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1137D" w14:textId="77777777" w:rsidR="003030CB" w:rsidRPr="00F767C8" w:rsidRDefault="003030CB" w:rsidP="00F767C8">
      <w:pPr>
        <w:spacing w:after="0" w:line="360" w:lineRule="auto"/>
        <w:jc w:val="center"/>
        <w:rPr>
          <w:rFonts w:ascii="Times New Roman" w:hAnsi="Times New Roman" w:cs="Times New Roman"/>
          <w:bCs/>
          <w:caps/>
          <w:color w:val="000000" w:themeColor="text1"/>
          <w:sz w:val="24"/>
          <w:szCs w:val="24"/>
        </w:rPr>
      </w:pPr>
      <w:r w:rsidRPr="00F767C8">
        <w:rPr>
          <w:rFonts w:ascii="Times New Roman" w:hAnsi="Times New Roman" w:cs="Times New Roman"/>
          <w:bCs/>
          <w:caps/>
          <w:color w:val="000000" w:themeColor="text1"/>
          <w:sz w:val="24"/>
          <w:szCs w:val="24"/>
        </w:rPr>
        <w:t>Uzasadnienie</w:t>
      </w:r>
    </w:p>
    <w:p w14:paraId="45BDA3B7" w14:textId="77777777" w:rsidR="00F767C8" w:rsidRPr="00F767C8" w:rsidRDefault="00F767C8" w:rsidP="00F767C8">
      <w:pPr>
        <w:spacing w:after="0" w:line="360" w:lineRule="auto"/>
        <w:jc w:val="center"/>
        <w:rPr>
          <w:rFonts w:ascii="Times New Roman" w:hAnsi="Times New Roman" w:cs="Times New Roman"/>
          <w:bCs/>
          <w:caps/>
          <w:color w:val="000000" w:themeColor="text1"/>
          <w:sz w:val="24"/>
          <w:szCs w:val="24"/>
        </w:rPr>
      </w:pPr>
    </w:p>
    <w:p w14:paraId="228567B9" w14:textId="2C311747" w:rsidR="003030CB" w:rsidRPr="00F767C8" w:rsidRDefault="00B34B5B" w:rsidP="00F767C8">
      <w:pPr>
        <w:spacing w:after="0" w:line="360" w:lineRule="auto"/>
        <w:ind w:left="426" w:hanging="426"/>
        <w:jc w:val="both"/>
        <w:rPr>
          <w:rFonts w:ascii="Times New Roman" w:hAnsi="Times New Roman" w:cs="Times New Roman"/>
          <w:b/>
          <w:bCs/>
          <w:color w:val="000000" w:themeColor="text1"/>
          <w:sz w:val="24"/>
          <w:szCs w:val="24"/>
        </w:rPr>
      </w:pPr>
      <w:r w:rsidRPr="00F767C8">
        <w:rPr>
          <w:rFonts w:ascii="Times New Roman" w:hAnsi="Times New Roman" w:cs="Times New Roman"/>
          <w:b/>
          <w:bCs/>
          <w:color w:val="000000" w:themeColor="text1"/>
          <w:sz w:val="24"/>
          <w:szCs w:val="24"/>
        </w:rPr>
        <w:t>1</w:t>
      </w:r>
      <w:r w:rsidR="003030CB" w:rsidRPr="00F767C8">
        <w:rPr>
          <w:rFonts w:ascii="Times New Roman" w:hAnsi="Times New Roman" w:cs="Times New Roman"/>
          <w:b/>
          <w:bCs/>
          <w:color w:val="000000" w:themeColor="text1"/>
          <w:sz w:val="24"/>
          <w:szCs w:val="24"/>
        </w:rPr>
        <w:t>.</w:t>
      </w:r>
      <w:r w:rsidRPr="00F767C8">
        <w:rPr>
          <w:rFonts w:ascii="Times New Roman" w:hAnsi="Times New Roman" w:cs="Times New Roman"/>
          <w:b/>
          <w:bCs/>
          <w:color w:val="000000" w:themeColor="text1"/>
          <w:sz w:val="24"/>
          <w:szCs w:val="24"/>
        </w:rPr>
        <w:t xml:space="preserve"> </w:t>
      </w:r>
      <w:r w:rsidR="003030CB" w:rsidRPr="00F767C8">
        <w:rPr>
          <w:rFonts w:ascii="Times New Roman" w:hAnsi="Times New Roman" w:cs="Times New Roman"/>
          <w:b/>
          <w:bCs/>
          <w:color w:val="000000" w:themeColor="text1"/>
          <w:sz w:val="24"/>
          <w:szCs w:val="24"/>
        </w:rPr>
        <w:t xml:space="preserve">Potrzeba i cel </w:t>
      </w:r>
      <w:r w:rsidRPr="00F767C8">
        <w:rPr>
          <w:rFonts w:ascii="Times New Roman" w:hAnsi="Times New Roman" w:cs="Times New Roman"/>
          <w:b/>
          <w:bCs/>
          <w:color w:val="000000" w:themeColor="text1"/>
          <w:sz w:val="24"/>
          <w:szCs w:val="24"/>
        </w:rPr>
        <w:t>wydania aktu</w:t>
      </w:r>
    </w:p>
    <w:p w14:paraId="6B94BE6B" w14:textId="453C44A0" w:rsidR="003030CB" w:rsidRPr="00F767C8" w:rsidRDefault="003030CB" w:rsidP="00F767C8">
      <w:pPr>
        <w:spacing w:after="0" w:line="360" w:lineRule="auto"/>
        <w:ind w:firstLine="567"/>
        <w:jc w:val="both"/>
        <w:rPr>
          <w:rFonts w:ascii="Times New Roman" w:hAnsi="Times New Roman" w:cs="Times New Roman"/>
          <w:color w:val="000000" w:themeColor="text1"/>
          <w:sz w:val="24"/>
          <w:szCs w:val="24"/>
        </w:rPr>
      </w:pPr>
      <w:r w:rsidRPr="00F767C8">
        <w:rPr>
          <w:rFonts w:ascii="Times New Roman" w:hAnsi="Times New Roman" w:cs="Times New Roman"/>
          <w:color w:val="000000" w:themeColor="text1"/>
          <w:sz w:val="24"/>
          <w:szCs w:val="24"/>
        </w:rPr>
        <w:t xml:space="preserve">Projekt rozporządzenia Rady </w:t>
      </w:r>
      <w:r w:rsidRPr="00F767C8">
        <w:rPr>
          <w:rFonts w:ascii="Times New Roman" w:hAnsi="Times New Roman" w:cs="Times New Roman"/>
          <w:i/>
          <w:iCs/>
          <w:color w:val="000000" w:themeColor="text1"/>
          <w:sz w:val="24"/>
          <w:szCs w:val="24"/>
        </w:rPr>
        <w:t xml:space="preserve">Ministrów </w:t>
      </w:r>
      <w:r w:rsidR="008C1A52" w:rsidRPr="00F767C8">
        <w:rPr>
          <w:rFonts w:ascii="Times New Roman" w:hAnsi="Times New Roman" w:cs="Times New Roman"/>
          <w:i/>
          <w:iCs/>
          <w:color w:val="000000" w:themeColor="text1"/>
          <w:sz w:val="24"/>
          <w:szCs w:val="24"/>
        </w:rPr>
        <w:t>w sprawie wyłączenia określonych porozumień specjalizacyjnych i badawczo-rozwojowych spod zakazu porozumień ograniczających konkurencję</w:t>
      </w:r>
      <w:r w:rsidR="008C1A52" w:rsidRPr="00F767C8">
        <w:rPr>
          <w:rFonts w:ascii="Times New Roman" w:hAnsi="Times New Roman" w:cs="Times New Roman"/>
          <w:color w:val="000000" w:themeColor="text1"/>
          <w:sz w:val="24"/>
          <w:szCs w:val="24"/>
        </w:rPr>
        <w:t xml:space="preserve"> stanowi wykonanie upoważnienia ustawowego zawartego w art. 8 ust. 3 ustawy z</w:t>
      </w:r>
      <w:r w:rsidR="009E3DE4" w:rsidRPr="00F767C8">
        <w:rPr>
          <w:rFonts w:ascii="Times New Roman" w:hAnsi="Times New Roman" w:cs="Times New Roman"/>
          <w:color w:val="000000" w:themeColor="text1"/>
          <w:sz w:val="24"/>
          <w:szCs w:val="24"/>
        </w:rPr>
        <w:t> </w:t>
      </w:r>
      <w:r w:rsidR="008C1A52" w:rsidRPr="00F767C8">
        <w:rPr>
          <w:rFonts w:ascii="Times New Roman" w:hAnsi="Times New Roman" w:cs="Times New Roman"/>
          <w:color w:val="000000" w:themeColor="text1"/>
          <w:sz w:val="24"/>
          <w:szCs w:val="24"/>
        </w:rPr>
        <w:t xml:space="preserve">dnia 16 lutego 2007 r. </w:t>
      </w:r>
      <w:r w:rsidR="00813CE6" w:rsidRPr="00F767C8">
        <w:rPr>
          <w:rFonts w:ascii="Times New Roman" w:hAnsi="Times New Roman" w:cs="Times New Roman"/>
          <w:i/>
          <w:iCs/>
          <w:color w:val="000000" w:themeColor="text1"/>
          <w:sz w:val="24"/>
          <w:szCs w:val="24"/>
        </w:rPr>
        <w:t xml:space="preserve">o </w:t>
      </w:r>
      <w:r w:rsidR="00D126EC" w:rsidRPr="00F767C8">
        <w:rPr>
          <w:rFonts w:ascii="Times New Roman" w:hAnsi="Times New Roman" w:cs="Times New Roman"/>
          <w:i/>
          <w:iCs/>
          <w:color w:val="000000" w:themeColor="text1"/>
          <w:sz w:val="24"/>
          <w:szCs w:val="24"/>
        </w:rPr>
        <w:t>o</w:t>
      </w:r>
      <w:r w:rsidR="00813CE6" w:rsidRPr="00F767C8">
        <w:rPr>
          <w:rFonts w:ascii="Times New Roman" w:hAnsi="Times New Roman" w:cs="Times New Roman"/>
          <w:i/>
          <w:iCs/>
          <w:color w:val="000000" w:themeColor="text1"/>
          <w:sz w:val="24"/>
          <w:szCs w:val="24"/>
        </w:rPr>
        <w:t>chroni</w:t>
      </w:r>
      <w:r w:rsidR="00D126EC" w:rsidRPr="00F767C8">
        <w:rPr>
          <w:rFonts w:ascii="Times New Roman" w:hAnsi="Times New Roman" w:cs="Times New Roman"/>
          <w:i/>
          <w:iCs/>
          <w:color w:val="000000" w:themeColor="text1"/>
          <w:sz w:val="24"/>
          <w:szCs w:val="24"/>
        </w:rPr>
        <w:t>e</w:t>
      </w:r>
      <w:r w:rsidR="00813CE6" w:rsidRPr="00F767C8">
        <w:rPr>
          <w:rFonts w:ascii="Times New Roman" w:hAnsi="Times New Roman" w:cs="Times New Roman"/>
          <w:i/>
          <w:iCs/>
          <w:color w:val="000000" w:themeColor="text1"/>
          <w:sz w:val="24"/>
          <w:szCs w:val="24"/>
        </w:rPr>
        <w:t xml:space="preserve"> konkurencji i konsumentów</w:t>
      </w:r>
      <w:r w:rsidR="00813CE6" w:rsidRPr="00F767C8">
        <w:rPr>
          <w:rFonts w:ascii="Times New Roman" w:hAnsi="Times New Roman" w:cs="Times New Roman"/>
          <w:color w:val="000000" w:themeColor="text1"/>
          <w:sz w:val="24"/>
          <w:szCs w:val="24"/>
        </w:rPr>
        <w:t xml:space="preserve"> </w:t>
      </w:r>
      <w:r w:rsidR="008C1A52" w:rsidRPr="00F767C8">
        <w:rPr>
          <w:rFonts w:ascii="Times New Roman" w:hAnsi="Times New Roman" w:cs="Times New Roman"/>
          <w:color w:val="000000" w:themeColor="text1"/>
          <w:sz w:val="24"/>
          <w:szCs w:val="24"/>
        </w:rPr>
        <w:t>(Dz. U. z 2023 r. poz. 1689 i</w:t>
      </w:r>
      <w:r w:rsidR="009E3DE4" w:rsidRPr="00F767C8">
        <w:rPr>
          <w:rFonts w:ascii="Times New Roman" w:hAnsi="Times New Roman" w:cs="Times New Roman"/>
          <w:color w:val="000000" w:themeColor="text1"/>
          <w:sz w:val="24"/>
          <w:szCs w:val="24"/>
        </w:rPr>
        <w:t> </w:t>
      </w:r>
      <w:r w:rsidR="008C1A52" w:rsidRPr="00F767C8">
        <w:rPr>
          <w:rFonts w:ascii="Times New Roman" w:hAnsi="Times New Roman" w:cs="Times New Roman"/>
          <w:color w:val="000000" w:themeColor="text1"/>
          <w:sz w:val="24"/>
          <w:szCs w:val="24"/>
        </w:rPr>
        <w:t xml:space="preserve">1705) </w:t>
      </w:r>
      <w:r w:rsidRPr="00F767C8">
        <w:rPr>
          <w:rFonts w:ascii="Times New Roman" w:hAnsi="Times New Roman" w:cs="Times New Roman"/>
          <w:color w:val="000000" w:themeColor="text1"/>
          <w:sz w:val="24"/>
          <w:szCs w:val="24"/>
        </w:rPr>
        <w:t xml:space="preserve">zwanej dalej „ustawą”. Zgodnie z </w:t>
      </w:r>
      <w:r w:rsidR="00A17395" w:rsidRPr="00F767C8">
        <w:rPr>
          <w:rFonts w:ascii="Times New Roman" w:hAnsi="Times New Roman" w:cs="Times New Roman"/>
          <w:color w:val="000000" w:themeColor="text1"/>
          <w:sz w:val="24"/>
          <w:szCs w:val="24"/>
        </w:rPr>
        <w:t>tym</w:t>
      </w:r>
      <w:r w:rsidRPr="00F767C8">
        <w:rPr>
          <w:rFonts w:ascii="Times New Roman" w:hAnsi="Times New Roman" w:cs="Times New Roman"/>
          <w:color w:val="000000" w:themeColor="text1"/>
          <w:sz w:val="24"/>
          <w:szCs w:val="24"/>
        </w:rPr>
        <w:t xml:space="preserve"> przepisem</w:t>
      </w:r>
      <w:r w:rsidR="00A17395" w:rsidRPr="00F767C8">
        <w:rPr>
          <w:rFonts w:ascii="Times New Roman" w:hAnsi="Times New Roman" w:cs="Times New Roman"/>
          <w:color w:val="000000" w:themeColor="text1"/>
          <w:sz w:val="24"/>
          <w:szCs w:val="24"/>
        </w:rPr>
        <w:t>,</w:t>
      </w:r>
      <w:r w:rsidRPr="00F767C8">
        <w:rPr>
          <w:rFonts w:ascii="Times New Roman" w:hAnsi="Times New Roman" w:cs="Times New Roman"/>
          <w:color w:val="000000" w:themeColor="text1"/>
          <w:sz w:val="24"/>
          <w:szCs w:val="24"/>
        </w:rPr>
        <w:t xml:space="preserve"> Rada Ministrów może w drodze rozporządzenia wyłączyć określone rodzaje porozumień ograniczających konkurencję spod zakazu, o którym mowa w</w:t>
      </w:r>
      <w:r w:rsidR="00787306" w:rsidRPr="00F767C8">
        <w:rPr>
          <w:rFonts w:ascii="Times New Roman" w:hAnsi="Times New Roman" w:cs="Times New Roman"/>
          <w:color w:val="000000" w:themeColor="text1"/>
          <w:sz w:val="24"/>
          <w:szCs w:val="24"/>
        </w:rPr>
        <w:t> </w:t>
      </w:r>
      <w:r w:rsidRPr="00F767C8">
        <w:rPr>
          <w:rFonts w:ascii="Times New Roman" w:hAnsi="Times New Roman" w:cs="Times New Roman"/>
          <w:color w:val="000000" w:themeColor="text1"/>
          <w:sz w:val="24"/>
          <w:szCs w:val="24"/>
        </w:rPr>
        <w:t>art. 6 ust. 1 ustawy, jeżeli spełniają one warunki określone w art. 8 ust. 1 ustawy.</w:t>
      </w:r>
    </w:p>
    <w:p w14:paraId="73163051" w14:textId="422B9AB1" w:rsidR="001430F5" w:rsidRPr="00F767C8" w:rsidRDefault="00512DC9" w:rsidP="00512DC9">
      <w:pPr>
        <w:spacing w:after="0"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Obecnie obowiązują dwa</w:t>
      </w:r>
      <w:r w:rsidR="009521C3" w:rsidRPr="00F767C8">
        <w:rPr>
          <w:rFonts w:ascii="Times New Roman" w:hAnsi="Times New Roman" w:cs="Times New Roman"/>
          <w:color w:val="000000" w:themeColor="text1"/>
          <w:sz w:val="24"/>
          <w:szCs w:val="24"/>
        </w:rPr>
        <w:t xml:space="preserve"> </w:t>
      </w:r>
      <w:r w:rsidR="003030CB" w:rsidRPr="00F767C8">
        <w:rPr>
          <w:rFonts w:ascii="Times New Roman" w:hAnsi="Times New Roman" w:cs="Times New Roman"/>
          <w:color w:val="000000" w:themeColor="text1"/>
          <w:sz w:val="24"/>
          <w:szCs w:val="24"/>
        </w:rPr>
        <w:t>rozporządze</w:t>
      </w:r>
      <w:r w:rsidR="009521C3" w:rsidRPr="00F767C8">
        <w:rPr>
          <w:rFonts w:ascii="Times New Roman" w:hAnsi="Times New Roman" w:cs="Times New Roman"/>
          <w:color w:val="000000" w:themeColor="text1"/>
          <w:sz w:val="24"/>
          <w:szCs w:val="24"/>
        </w:rPr>
        <w:t>nia</w:t>
      </w:r>
      <w:r w:rsidR="003030CB" w:rsidRPr="00F767C8">
        <w:rPr>
          <w:rFonts w:ascii="Times New Roman" w:hAnsi="Times New Roman" w:cs="Times New Roman"/>
          <w:color w:val="000000" w:themeColor="text1"/>
          <w:sz w:val="24"/>
          <w:szCs w:val="24"/>
        </w:rPr>
        <w:t xml:space="preserve"> Rady Ministrów wyłączając</w:t>
      </w:r>
      <w:r w:rsidR="009521C3" w:rsidRPr="00F767C8">
        <w:rPr>
          <w:rFonts w:ascii="Times New Roman" w:hAnsi="Times New Roman" w:cs="Times New Roman"/>
          <w:color w:val="000000" w:themeColor="text1"/>
          <w:sz w:val="24"/>
          <w:szCs w:val="24"/>
        </w:rPr>
        <w:t>e</w:t>
      </w:r>
      <w:r w:rsidR="003030CB" w:rsidRPr="00F767C8">
        <w:rPr>
          <w:rFonts w:ascii="Times New Roman" w:hAnsi="Times New Roman" w:cs="Times New Roman"/>
          <w:color w:val="000000" w:themeColor="text1"/>
          <w:sz w:val="24"/>
          <w:szCs w:val="24"/>
        </w:rPr>
        <w:t xml:space="preserve"> określone rodzaje porozumień spod zakazu porozumień ograniczających konkurencję:</w:t>
      </w:r>
    </w:p>
    <w:p w14:paraId="1BC7D844" w14:textId="77777777" w:rsidR="002B76BF" w:rsidRDefault="00C9092F" w:rsidP="002B76BF">
      <w:pPr>
        <w:pStyle w:val="Akapitzlist"/>
        <w:numPr>
          <w:ilvl w:val="0"/>
          <w:numId w:val="20"/>
        </w:numPr>
        <w:spacing w:after="0" w:line="360" w:lineRule="auto"/>
        <w:ind w:left="426" w:hanging="426"/>
        <w:jc w:val="both"/>
        <w:rPr>
          <w:rFonts w:ascii="Times New Roman" w:hAnsi="Times New Roman" w:cs="Times New Roman"/>
          <w:color w:val="000000" w:themeColor="text1"/>
          <w:sz w:val="24"/>
          <w:szCs w:val="24"/>
        </w:rPr>
      </w:pPr>
      <w:r w:rsidRPr="00F767C8">
        <w:rPr>
          <w:rFonts w:ascii="Times New Roman" w:hAnsi="Times New Roman" w:cs="Times New Roman"/>
          <w:color w:val="000000" w:themeColor="text1"/>
          <w:sz w:val="24"/>
          <w:szCs w:val="24"/>
        </w:rPr>
        <w:t xml:space="preserve">rozporządzenie Rady Ministrów z dnia 17 kwietnia 2015 r. </w:t>
      </w:r>
      <w:r w:rsidRPr="00F767C8">
        <w:rPr>
          <w:rFonts w:ascii="Times New Roman" w:hAnsi="Times New Roman" w:cs="Times New Roman"/>
          <w:i/>
          <w:iCs/>
          <w:color w:val="000000" w:themeColor="text1"/>
          <w:sz w:val="24"/>
          <w:szCs w:val="24"/>
        </w:rPr>
        <w:t>w sprawie wyłączenia niektórych rodzajów porozumień o transferze technologii spod zakazu porozumień ograniczających konkurencję</w:t>
      </w:r>
      <w:r w:rsidRPr="00F767C8">
        <w:rPr>
          <w:rFonts w:ascii="Times New Roman" w:hAnsi="Times New Roman" w:cs="Times New Roman"/>
          <w:color w:val="000000" w:themeColor="text1"/>
          <w:sz w:val="24"/>
          <w:szCs w:val="24"/>
        </w:rPr>
        <w:t xml:space="preserve"> (Dz. U. poz. 585)</w:t>
      </w:r>
      <w:r w:rsidR="00D126EC" w:rsidRPr="00F767C8">
        <w:rPr>
          <w:rFonts w:ascii="Times New Roman" w:hAnsi="Times New Roman" w:cs="Times New Roman"/>
          <w:color w:val="000000" w:themeColor="text1"/>
          <w:sz w:val="24"/>
          <w:szCs w:val="24"/>
        </w:rPr>
        <w:t xml:space="preserve"> oraz</w:t>
      </w:r>
    </w:p>
    <w:p w14:paraId="42B7323B" w14:textId="483C6A13" w:rsidR="000E107D" w:rsidRDefault="000E107D" w:rsidP="002B76BF">
      <w:pPr>
        <w:pStyle w:val="Akapitzlist"/>
        <w:numPr>
          <w:ilvl w:val="0"/>
          <w:numId w:val="20"/>
        </w:numPr>
        <w:spacing w:after="0" w:line="360" w:lineRule="auto"/>
        <w:ind w:left="426" w:hanging="426"/>
        <w:jc w:val="both"/>
        <w:rPr>
          <w:rFonts w:ascii="Times New Roman" w:hAnsi="Times New Roman" w:cs="Times New Roman"/>
          <w:color w:val="000000" w:themeColor="text1"/>
          <w:sz w:val="24"/>
          <w:szCs w:val="24"/>
        </w:rPr>
      </w:pPr>
      <w:r w:rsidRPr="002B76BF">
        <w:rPr>
          <w:rFonts w:ascii="Times New Roman" w:hAnsi="Times New Roman" w:cs="Times New Roman"/>
          <w:color w:val="000000" w:themeColor="text1"/>
          <w:sz w:val="24"/>
          <w:szCs w:val="24"/>
        </w:rPr>
        <w:t xml:space="preserve">rozporządzenie Rady Ministrów </w:t>
      </w:r>
      <w:r w:rsidR="004E57E3" w:rsidRPr="002B76BF">
        <w:rPr>
          <w:rFonts w:ascii="Times New Roman" w:hAnsi="Times New Roman" w:cs="Times New Roman"/>
          <w:iCs/>
          <w:color w:val="000000" w:themeColor="text1"/>
          <w:sz w:val="24"/>
          <w:szCs w:val="24"/>
        </w:rPr>
        <w:t xml:space="preserve">z </w:t>
      </w:r>
      <w:r w:rsidR="004E57E3">
        <w:rPr>
          <w:rFonts w:ascii="Times New Roman" w:hAnsi="Times New Roman" w:cs="Times New Roman"/>
          <w:iCs/>
          <w:color w:val="000000" w:themeColor="text1"/>
          <w:sz w:val="24"/>
          <w:szCs w:val="24"/>
        </w:rPr>
        <w:t xml:space="preserve">dnia </w:t>
      </w:r>
      <w:r w:rsidR="004E57E3" w:rsidRPr="002B76BF">
        <w:rPr>
          <w:rFonts w:ascii="Times New Roman" w:hAnsi="Times New Roman" w:cs="Times New Roman"/>
          <w:iCs/>
          <w:color w:val="000000" w:themeColor="text1"/>
          <w:sz w:val="24"/>
          <w:szCs w:val="24"/>
        </w:rPr>
        <w:t xml:space="preserve">22 maja 2023 r. </w:t>
      </w:r>
      <w:r w:rsidRPr="002B76BF">
        <w:rPr>
          <w:rFonts w:ascii="Times New Roman" w:hAnsi="Times New Roman" w:cs="Times New Roman"/>
          <w:i/>
          <w:iCs/>
          <w:color w:val="000000" w:themeColor="text1"/>
          <w:sz w:val="24"/>
          <w:szCs w:val="24"/>
        </w:rPr>
        <w:t>w sprawie wyłączenia niektórych rodzajów porozumień wertykalnych spod zakazu porozumień ograniczających konkurencję</w:t>
      </w:r>
      <w:r w:rsidR="002B76BF" w:rsidRPr="002B76BF">
        <w:rPr>
          <w:rFonts w:ascii="Times New Roman" w:hAnsi="Times New Roman" w:cs="Times New Roman"/>
          <w:i/>
          <w:iCs/>
          <w:color w:val="000000" w:themeColor="text1"/>
          <w:sz w:val="24"/>
          <w:szCs w:val="24"/>
        </w:rPr>
        <w:t xml:space="preserve"> </w:t>
      </w:r>
      <w:r w:rsidR="002B76BF" w:rsidRPr="002B76BF">
        <w:rPr>
          <w:rFonts w:ascii="Times New Roman" w:hAnsi="Times New Roman" w:cs="Times New Roman"/>
          <w:iCs/>
          <w:color w:val="000000" w:themeColor="text1"/>
          <w:sz w:val="24"/>
          <w:szCs w:val="24"/>
        </w:rPr>
        <w:t>(Dz.U. 2023 poz. 1033)</w:t>
      </w:r>
      <w:r w:rsidR="00D126EC" w:rsidRPr="002B76BF">
        <w:rPr>
          <w:rFonts w:ascii="Times New Roman" w:hAnsi="Times New Roman" w:cs="Times New Roman"/>
          <w:color w:val="000000" w:themeColor="text1"/>
          <w:sz w:val="24"/>
          <w:szCs w:val="24"/>
        </w:rPr>
        <w:t>.</w:t>
      </w:r>
    </w:p>
    <w:p w14:paraId="53BA2FAA" w14:textId="15715779" w:rsidR="000E107D" w:rsidRPr="00F767C8" w:rsidRDefault="00B40A1B" w:rsidP="00512DC9">
      <w:pPr>
        <w:spacing w:after="0" w:line="360" w:lineRule="auto"/>
        <w:ind w:firstLine="426"/>
        <w:jc w:val="both"/>
        <w:rPr>
          <w:rFonts w:ascii="Times New Roman" w:hAnsi="Times New Roman" w:cs="Times New Roman"/>
          <w:color w:val="000000" w:themeColor="text1"/>
          <w:sz w:val="24"/>
          <w:szCs w:val="24"/>
        </w:rPr>
      </w:pPr>
      <w:r w:rsidRPr="00F767C8">
        <w:rPr>
          <w:rFonts w:ascii="Times New Roman" w:hAnsi="Times New Roman" w:cs="Times New Roman"/>
          <w:color w:val="000000" w:themeColor="text1"/>
          <w:sz w:val="24"/>
          <w:szCs w:val="24"/>
        </w:rPr>
        <w:t xml:space="preserve">Z dniem 31 </w:t>
      </w:r>
      <w:r w:rsidR="00900647" w:rsidRPr="00F767C8">
        <w:rPr>
          <w:rFonts w:ascii="Times New Roman" w:hAnsi="Times New Roman" w:cs="Times New Roman"/>
          <w:color w:val="000000" w:themeColor="text1"/>
          <w:sz w:val="24"/>
          <w:szCs w:val="24"/>
        </w:rPr>
        <w:t>grudnia</w:t>
      </w:r>
      <w:r w:rsidRPr="00F767C8">
        <w:rPr>
          <w:rFonts w:ascii="Times New Roman" w:hAnsi="Times New Roman" w:cs="Times New Roman"/>
          <w:color w:val="000000" w:themeColor="text1"/>
          <w:sz w:val="24"/>
          <w:szCs w:val="24"/>
        </w:rPr>
        <w:t xml:space="preserve"> 202</w:t>
      </w:r>
      <w:r w:rsidR="0018262C" w:rsidRPr="00F767C8">
        <w:rPr>
          <w:rFonts w:ascii="Times New Roman" w:hAnsi="Times New Roman" w:cs="Times New Roman"/>
          <w:color w:val="000000" w:themeColor="text1"/>
          <w:sz w:val="24"/>
          <w:szCs w:val="24"/>
        </w:rPr>
        <w:t>3</w:t>
      </w:r>
      <w:r w:rsidRPr="00F767C8">
        <w:rPr>
          <w:rFonts w:ascii="Times New Roman" w:hAnsi="Times New Roman" w:cs="Times New Roman"/>
          <w:color w:val="000000" w:themeColor="text1"/>
          <w:sz w:val="24"/>
          <w:szCs w:val="24"/>
        </w:rPr>
        <w:t xml:space="preserve"> r. </w:t>
      </w:r>
      <w:r w:rsidR="003D211F" w:rsidRPr="00F767C8">
        <w:rPr>
          <w:rFonts w:ascii="Times New Roman" w:hAnsi="Times New Roman" w:cs="Times New Roman"/>
          <w:color w:val="000000" w:themeColor="text1"/>
          <w:sz w:val="24"/>
          <w:szCs w:val="24"/>
        </w:rPr>
        <w:t>straciło</w:t>
      </w:r>
      <w:r w:rsidR="006C0451">
        <w:rPr>
          <w:rFonts w:ascii="Times New Roman" w:hAnsi="Times New Roman" w:cs="Times New Roman"/>
          <w:color w:val="000000" w:themeColor="text1"/>
          <w:sz w:val="24"/>
          <w:szCs w:val="24"/>
        </w:rPr>
        <w:t xml:space="preserve"> zaś</w:t>
      </w:r>
      <w:r w:rsidR="003D211F" w:rsidRPr="00F767C8">
        <w:rPr>
          <w:rFonts w:ascii="Times New Roman" w:hAnsi="Times New Roman" w:cs="Times New Roman"/>
          <w:color w:val="000000" w:themeColor="text1"/>
          <w:sz w:val="24"/>
          <w:szCs w:val="24"/>
        </w:rPr>
        <w:t xml:space="preserve"> </w:t>
      </w:r>
      <w:r w:rsidR="00666076" w:rsidRPr="00F767C8">
        <w:rPr>
          <w:rFonts w:ascii="Times New Roman" w:hAnsi="Times New Roman" w:cs="Times New Roman"/>
          <w:color w:val="000000" w:themeColor="text1"/>
          <w:sz w:val="24"/>
          <w:szCs w:val="24"/>
        </w:rPr>
        <w:t xml:space="preserve">moc </w:t>
      </w:r>
      <w:r w:rsidR="00512DC9" w:rsidRPr="00512DC9">
        <w:rPr>
          <w:rFonts w:ascii="Times New Roman" w:hAnsi="Times New Roman" w:cs="Times New Roman"/>
          <w:color w:val="000000" w:themeColor="text1"/>
          <w:sz w:val="24"/>
          <w:szCs w:val="24"/>
        </w:rPr>
        <w:t xml:space="preserve">rozporządzenie Rady Ministrów z dnia 13 grudnia 2011 r. </w:t>
      </w:r>
      <w:r w:rsidR="00512DC9" w:rsidRPr="006C0451">
        <w:rPr>
          <w:rFonts w:ascii="Times New Roman" w:hAnsi="Times New Roman" w:cs="Times New Roman"/>
          <w:i/>
          <w:iCs/>
          <w:color w:val="000000" w:themeColor="text1"/>
          <w:sz w:val="24"/>
          <w:szCs w:val="24"/>
        </w:rPr>
        <w:t>w sprawie wyłączenia określonych porozumień specjalizacyjnych i badawczo-rozwojowych spod zakazu porozumień ograniczających konkurencję</w:t>
      </w:r>
      <w:r w:rsidR="00512DC9">
        <w:rPr>
          <w:rFonts w:ascii="Times New Roman" w:hAnsi="Times New Roman" w:cs="Times New Roman"/>
          <w:color w:val="000000" w:themeColor="text1"/>
          <w:sz w:val="24"/>
          <w:szCs w:val="24"/>
        </w:rPr>
        <w:t xml:space="preserve"> (Dz. U. poz. 1691). </w:t>
      </w:r>
      <w:r w:rsidR="00451F79" w:rsidRPr="00F767C8">
        <w:rPr>
          <w:rFonts w:ascii="Times New Roman" w:hAnsi="Times New Roman" w:cs="Times New Roman"/>
          <w:color w:val="000000" w:themeColor="text1"/>
          <w:sz w:val="24"/>
          <w:szCs w:val="24"/>
        </w:rPr>
        <w:t>Rozporządzenie to</w:t>
      </w:r>
      <w:r w:rsidRPr="00F767C8">
        <w:rPr>
          <w:rFonts w:ascii="Times New Roman" w:hAnsi="Times New Roman" w:cs="Times New Roman"/>
          <w:color w:val="000000" w:themeColor="text1"/>
          <w:sz w:val="24"/>
          <w:szCs w:val="24"/>
        </w:rPr>
        <w:t xml:space="preserve"> </w:t>
      </w:r>
      <w:r w:rsidR="00451F79" w:rsidRPr="00F767C8">
        <w:rPr>
          <w:rFonts w:ascii="Times New Roman" w:hAnsi="Times New Roman" w:cs="Times New Roman"/>
          <w:color w:val="000000" w:themeColor="text1"/>
          <w:sz w:val="24"/>
          <w:szCs w:val="24"/>
        </w:rPr>
        <w:t>było wzorowane</w:t>
      </w:r>
      <w:r w:rsidR="000E107D" w:rsidRPr="00F767C8">
        <w:rPr>
          <w:rFonts w:ascii="Times New Roman" w:hAnsi="Times New Roman" w:cs="Times New Roman"/>
          <w:color w:val="000000" w:themeColor="text1"/>
          <w:sz w:val="24"/>
          <w:szCs w:val="24"/>
        </w:rPr>
        <w:t xml:space="preserve"> na dwóch rozporządzeniach Komisji</w:t>
      </w:r>
      <w:r w:rsidR="001F694E" w:rsidRPr="00F767C8">
        <w:rPr>
          <w:rFonts w:ascii="Times New Roman" w:hAnsi="Times New Roman" w:cs="Times New Roman"/>
          <w:color w:val="000000" w:themeColor="text1"/>
          <w:sz w:val="24"/>
          <w:szCs w:val="24"/>
        </w:rPr>
        <w:t xml:space="preserve"> Europejskiej</w:t>
      </w:r>
      <w:r w:rsidR="000E107D" w:rsidRPr="00F767C8">
        <w:rPr>
          <w:rFonts w:ascii="Times New Roman" w:hAnsi="Times New Roman" w:cs="Times New Roman"/>
          <w:color w:val="000000" w:themeColor="text1"/>
          <w:sz w:val="24"/>
          <w:szCs w:val="24"/>
        </w:rPr>
        <w:t xml:space="preserve">: </w:t>
      </w:r>
      <w:r w:rsidR="00A818D3" w:rsidRPr="00F767C8">
        <w:rPr>
          <w:rFonts w:ascii="Times New Roman" w:hAnsi="Times New Roman" w:cs="Times New Roman"/>
          <w:color w:val="000000" w:themeColor="text1"/>
          <w:sz w:val="24"/>
          <w:szCs w:val="24"/>
        </w:rPr>
        <w:t>r</w:t>
      </w:r>
      <w:r w:rsidR="000E107D" w:rsidRPr="00F767C8">
        <w:rPr>
          <w:rFonts w:ascii="Times New Roman" w:hAnsi="Times New Roman" w:cs="Times New Roman"/>
          <w:color w:val="000000" w:themeColor="text1"/>
          <w:sz w:val="24"/>
          <w:szCs w:val="24"/>
        </w:rPr>
        <w:t>ozporządzeniu 1217/2010 w sprawie stosowania art. 101 ust. 3 Traktatu o funkcjonowaniu Unii Europejskiej do niektórych kategorii porozumień badawczo-rozwojowych (Dz. Urz. UE L 335 z 18.12.2010, str. 36)(dalej: „</w:t>
      </w:r>
      <w:r w:rsidR="00F767C8" w:rsidRPr="00F767C8">
        <w:rPr>
          <w:rFonts w:ascii="Times New Roman" w:hAnsi="Times New Roman" w:cs="Times New Roman"/>
          <w:color w:val="000000" w:themeColor="text1"/>
          <w:sz w:val="24"/>
          <w:szCs w:val="24"/>
        </w:rPr>
        <w:t>r</w:t>
      </w:r>
      <w:r w:rsidR="000E107D" w:rsidRPr="00F767C8">
        <w:rPr>
          <w:rFonts w:ascii="Times New Roman" w:hAnsi="Times New Roman" w:cs="Times New Roman"/>
          <w:color w:val="000000" w:themeColor="text1"/>
          <w:sz w:val="24"/>
          <w:szCs w:val="24"/>
        </w:rPr>
        <w:t xml:space="preserve">ozporządzenie R&amp;D UE”) oraz </w:t>
      </w:r>
      <w:r w:rsidR="00F767C8" w:rsidRPr="00F767C8">
        <w:rPr>
          <w:rFonts w:ascii="Times New Roman" w:hAnsi="Times New Roman" w:cs="Times New Roman"/>
          <w:color w:val="000000" w:themeColor="text1"/>
          <w:sz w:val="24"/>
          <w:szCs w:val="24"/>
        </w:rPr>
        <w:t>r</w:t>
      </w:r>
      <w:r w:rsidR="000E107D" w:rsidRPr="00F767C8">
        <w:rPr>
          <w:rFonts w:ascii="Times New Roman" w:hAnsi="Times New Roman" w:cs="Times New Roman"/>
          <w:color w:val="000000" w:themeColor="text1"/>
          <w:sz w:val="24"/>
          <w:szCs w:val="24"/>
        </w:rPr>
        <w:t>ozporządzeniu 1218/2010 w sprawie stosowania art. 101 ust. 3 Traktatu o funkcjonowaniu Unii Europejskiej do niektórych kategorii porozumień specjalizacyjnych (Dz. Urz. UE L 335 z 18.12.2010, str. 43) (dalej: „</w:t>
      </w:r>
      <w:r w:rsidR="00F767C8" w:rsidRPr="00F767C8">
        <w:rPr>
          <w:rFonts w:ascii="Times New Roman" w:hAnsi="Times New Roman" w:cs="Times New Roman"/>
          <w:color w:val="000000" w:themeColor="text1"/>
          <w:sz w:val="24"/>
          <w:szCs w:val="24"/>
        </w:rPr>
        <w:t>r</w:t>
      </w:r>
      <w:r w:rsidR="000E107D" w:rsidRPr="00F767C8">
        <w:rPr>
          <w:rFonts w:ascii="Times New Roman" w:hAnsi="Times New Roman" w:cs="Times New Roman"/>
          <w:color w:val="000000" w:themeColor="text1"/>
          <w:sz w:val="24"/>
          <w:szCs w:val="24"/>
        </w:rPr>
        <w:t xml:space="preserve">ozporządzenie specjalizacyjne UE”), </w:t>
      </w:r>
      <w:r w:rsidR="00451F79" w:rsidRPr="00F767C8">
        <w:rPr>
          <w:rFonts w:ascii="Times New Roman" w:hAnsi="Times New Roman" w:cs="Times New Roman"/>
          <w:color w:val="000000" w:themeColor="text1"/>
          <w:sz w:val="24"/>
          <w:szCs w:val="24"/>
        </w:rPr>
        <w:t xml:space="preserve">które </w:t>
      </w:r>
      <w:r w:rsidR="000E107D" w:rsidRPr="00F767C8">
        <w:rPr>
          <w:rFonts w:ascii="Times New Roman" w:hAnsi="Times New Roman" w:cs="Times New Roman"/>
          <w:color w:val="000000" w:themeColor="text1"/>
          <w:sz w:val="24"/>
          <w:szCs w:val="24"/>
        </w:rPr>
        <w:t>utraciły</w:t>
      </w:r>
      <w:r w:rsidR="00D4698A" w:rsidRPr="00F767C8">
        <w:rPr>
          <w:rFonts w:ascii="Times New Roman" w:hAnsi="Times New Roman" w:cs="Times New Roman"/>
          <w:color w:val="000000" w:themeColor="text1"/>
          <w:sz w:val="24"/>
          <w:szCs w:val="24"/>
        </w:rPr>
        <w:t xml:space="preserve"> moc z</w:t>
      </w:r>
      <w:r w:rsidR="00286B70" w:rsidRPr="00F767C8">
        <w:rPr>
          <w:rFonts w:ascii="Times New Roman" w:hAnsi="Times New Roman" w:cs="Times New Roman"/>
          <w:color w:val="000000" w:themeColor="text1"/>
          <w:sz w:val="24"/>
          <w:szCs w:val="24"/>
        </w:rPr>
        <w:t> </w:t>
      </w:r>
      <w:r w:rsidR="00D4698A" w:rsidRPr="00F767C8">
        <w:rPr>
          <w:rFonts w:ascii="Times New Roman" w:hAnsi="Times New Roman" w:cs="Times New Roman"/>
          <w:color w:val="000000" w:themeColor="text1"/>
          <w:sz w:val="24"/>
          <w:szCs w:val="24"/>
        </w:rPr>
        <w:t xml:space="preserve">dniem </w:t>
      </w:r>
      <w:r w:rsidR="000E107D" w:rsidRPr="00F767C8">
        <w:rPr>
          <w:rFonts w:ascii="Times New Roman" w:hAnsi="Times New Roman" w:cs="Times New Roman"/>
          <w:color w:val="000000" w:themeColor="text1"/>
          <w:sz w:val="24"/>
          <w:szCs w:val="24"/>
        </w:rPr>
        <w:t xml:space="preserve">31 maja 2023 </w:t>
      </w:r>
      <w:r w:rsidR="00D4698A" w:rsidRPr="00F767C8">
        <w:rPr>
          <w:rFonts w:ascii="Times New Roman" w:hAnsi="Times New Roman" w:cs="Times New Roman"/>
          <w:color w:val="000000" w:themeColor="text1"/>
          <w:sz w:val="24"/>
          <w:szCs w:val="24"/>
        </w:rPr>
        <w:t>r.</w:t>
      </w:r>
    </w:p>
    <w:p w14:paraId="0B79937E" w14:textId="61AB7A9B" w:rsidR="000E107D" w:rsidRPr="00F767C8" w:rsidRDefault="000E107D" w:rsidP="00F767C8">
      <w:pPr>
        <w:spacing w:after="0" w:line="360" w:lineRule="auto"/>
        <w:ind w:firstLine="567"/>
        <w:jc w:val="both"/>
        <w:rPr>
          <w:rFonts w:ascii="Times New Roman" w:hAnsi="Times New Roman" w:cs="Times New Roman"/>
          <w:color w:val="000000" w:themeColor="text1"/>
          <w:sz w:val="24"/>
          <w:szCs w:val="24"/>
        </w:rPr>
      </w:pPr>
      <w:r w:rsidRPr="00F767C8">
        <w:rPr>
          <w:rFonts w:ascii="Times New Roman" w:hAnsi="Times New Roman" w:cs="Times New Roman"/>
          <w:sz w:val="24"/>
          <w:szCs w:val="24"/>
        </w:rPr>
        <w:t xml:space="preserve">Polski ustawodawca zdecydował, że obie grupy porozumień w sprawie współpracy horyzontalnej zostaną objęte jednym aktem prawnym, co przeciwdziała przeregulowaniu materii wyłączeń grupowych i zbędnemu mnożeniu przepisów wykonawczych. Za takim rozwiązaniem przemawia także to, iż w praktyce porozumienia obydwu powyższych rodzajów występują w ramach jednej kooperacji przedsiębiorców. Tak też ta kwestia była rozwiązywana </w:t>
      </w:r>
      <w:r w:rsidRPr="00F767C8">
        <w:rPr>
          <w:rFonts w:ascii="Times New Roman" w:hAnsi="Times New Roman" w:cs="Times New Roman"/>
          <w:sz w:val="24"/>
          <w:szCs w:val="24"/>
        </w:rPr>
        <w:lastRenderedPageBreak/>
        <w:t xml:space="preserve">do tej pory.  Rozporządzenie R&amp;D UE oraz </w:t>
      </w:r>
      <w:r w:rsidR="00520158">
        <w:rPr>
          <w:rFonts w:ascii="Times New Roman" w:hAnsi="Times New Roman" w:cs="Times New Roman"/>
          <w:sz w:val="24"/>
          <w:szCs w:val="24"/>
        </w:rPr>
        <w:t>r</w:t>
      </w:r>
      <w:r w:rsidRPr="00F767C8">
        <w:rPr>
          <w:rFonts w:ascii="Times New Roman" w:hAnsi="Times New Roman" w:cs="Times New Roman"/>
          <w:sz w:val="24"/>
          <w:szCs w:val="24"/>
        </w:rPr>
        <w:t>ozporządzenie specjalizacyjne UE znalazły swój odpowiednik w rozporządzeni</w:t>
      </w:r>
      <w:r w:rsidR="00866FB9" w:rsidRPr="00F767C8">
        <w:rPr>
          <w:rFonts w:ascii="Times New Roman" w:hAnsi="Times New Roman" w:cs="Times New Roman"/>
          <w:sz w:val="24"/>
          <w:szCs w:val="24"/>
        </w:rPr>
        <w:t>u</w:t>
      </w:r>
      <w:r w:rsidRPr="00F767C8">
        <w:rPr>
          <w:rFonts w:ascii="Times New Roman" w:hAnsi="Times New Roman" w:cs="Times New Roman"/>
          <w:sz w:val="24"/>
          <w:szCs w:val="24"/>
        </w:rPr>
        <w:t xml:space="preserve"> Rady Ministrów z dnia 30 marca 2011 r. w sprawie wyłączenia określonych porozumień specjalizacyjnych i badawczo-rozwojowych spod zakazu porozumień ograniczających konkurencję.</w:t>
      </w:r>
    </w:p>
    <w:p w14:paraId="2FC84F80" w14:textId="4F978855" w:rsidR="000E107D" w:rsidRPr="00F767C8" w:rsidRDefault="000E107D" w:rsidP="00F767C8">
      <w:pPr>
        <w:spacing w:after="0" w:line="360" w:lineRule="auto"/>
        <w:ind w:firstLine="567"/>
        <w:jc w:val="both"/>
        <w:rPr>
          <w:rFonts w:ascii="Times New Roman" w:hAnsi="Times New Roman" w:cs="Times New Roman"/>
          <w:color w:val="000000" w:themeColor="text1"/>
          <w:sz w:val="24"/>
          <w:szCs w:val="24"/>
        </w:rPr>
      </w:pPr>
      <w:r w:rsidRPr="00F767C8">
        <w:rPr>
          <w:rFonts w:ascii="Times New Roman" w:hAnsi="Times New Roman" w:cs="Times New Roman"/>
          <w:sz w:val="24"/>
          <w:szCs w:val="24"/>
        </w:rPr>
        <w:t>Komisja Europejska w 2019 roku dokonała ewaluacji dotychczas obowiązujących przepisów</w:t>
      </w:r>
      <w:r w:rsidRPr="00F767C8">
        <w:rPr>
          <w:rStyle w:val="Odwoanieprzypisudolnego"/>
          <w:rFonts w:ascii="Times New Roman" w:hAnsi="Times New Roman" w:cs="Times New Roman"/>
          <w:sz w:val="24"/>
          <w:szCs w:val="24"/>
        </w:rPr>
        <w:footnoteReference w:id="1"/>
      </w:r>
      <w:r w:rsidRPr="00F767C8">
        <w:rPr>
          <w:rFonts w:ascii="Times New Roman" w:hAnsi="Times New Roman" w:cs="Times New Roman"/>
          <w:sz w:val="24"/>
          <w:szCs w:val="24"/>
        </w:rPr>
        <w:t xml:space="preserve">. Zarówno </w:t>
      </w:r>
      <w:r w:rsidR="00520158">
        <w:rPr>
          <w:rFonts w:ascii="Times New Roman" w:hAnsi="Times New Roman" w:cs="Times New Roman"/>
          <w:sz w:val="24"/>
          <w:szCs w:val="24"/>
        </w:rPr>
        <w:t>r</w:t>
      </w:r>
      <w:r w:rsidRPr="00F767C8">
        <w:rPr>
          <w:rFonts w:ascii="Times New Roman" w:hAnsi="Times New Roman" w:cs="Times New Roman"/>
          <w:sz w:val="24"/>
          <w:szCs w:val="24"/>
        </w:rPr>
        <w:t xml:space="preserve">ozporządzenie Specjalizacyjne UE i </w:t>
      </w:r>
      <w:r w:rsidR="00520158">
        <w:rPr>
          <w:rFonts w:ascii="Times New Roman" w:hAnsi="Times New Roman" w:cs="Times New Roman"/>
          <w:sz w:val="24"/>
          <w:szCs w:val="24"/>
        </w:rPr>
        <w:t>r</w:t>
      </w:r>
      <w:r w:rsidRPr="00F767C8">
        <w:rPr>
          <w:rFonts w:ascii="Times New Roman" w:hAnsi="Times New Roman" w:cs="Times New Roman"/>
          <w:sz w:val="24"/>
          <w:szCs w:val="24"/>
        </w:rPr>
        <w:t>ozporządzenie R&amp;D UE jak i</w:t>
      </w:r>
      <w:r w:rsidR="002A3B28" w:rsidRPr="00F767C8">
        <w:rPr>
          <w:rFonts w:ascii="Times New Roman" w:hAnsi="Times New Roman" w:cs="Times New Roman"/>
          <w:sz w:val="24"/>
          <w:szCs w:val="24"/>
        </w:rPr>
        <w:t> </w:t>
      </w:r>
      <w:r w:rsidRPr="00F767C8">
        <w:rPr>
          <w:rFonts w:ascii="Times New Roman" w:hAnsi="Times New Roman" w:cs="Times New Roman"/>
          <w:sz w:val="24"/>
          <w:szCs w:val="24"/>
        </w:rPr>
        <w:t xml:space="preserve">Wytyczne w sprawie stosowania art. 101 Traktatu o funkcjonowaniu Unii Europejskiej do horyzontalnych porozumień kooperacyjnych (OJ C 11, 14.1.2011, str. 1-72) zostały ocenione pozytywnie ze względu na ich znaczenie dla poprawy efektywności stosowania reguł konkurencji, a także fakt iż zwiększają pewność prawa dla przedsiębiorców. </w:t>
      </w:r>
    </w:p>
    <w:p w14:paraId="5394A468" w14:textId="16D176BB" w:rsidR="000E107D" w:rsidRPr="00F767C8" w:rsidRDefault="000E107D" w:rsidP="00F767C8">
      <w:pPr>
        <w:spacing w:after="0" w:line="360" w:lineRule="auto"/>
        <w:ind w:firstLine="567"/>
        <w:jc w:val="both"/>
        <w:rPr>
          <w:rFonts w:ascii="Times New Roman" w:hAnsi="Times New Roman" w:cs="Times New Roman"/>
          <w:color w:val="000000" w:themeColor="text1"/>
          <w:sz w:val="24"/>
          <w:szCs w:val="24"/>
        </w:rPr>
      </w:pPr>
      <w:r w:rsidRPr="00F767C8">
        <w:rPr>
          <w:rFonts w:ascii="Times New Roman" w:hAnsi="Times New Roman" w:cs="Times New Roman"/>
          <w:sz w:val="24"/>
          <w:szCs w:val="24"/>
        </w:rPr>
        <w:t xml:space="preserve">Jednocześnie Komisja wskazała, że część regulacji wymaga dostosowania do zmian rynkowych jakie zaszły od czasu przyjęcia </w:t>
      </w:r>
      <w:r w:rsidR="00520158">
        <w:rPr>
          <w:rFonts w:ascii="Times New Roman" w:hAnsi="Times New Roman" w:cs="Times New Roman"/>
          <w:sz w:val="24"/>
          <w:szCs w:val="24"/>
        </w:rPr>
        <w:t>r</w:t>
      </w:r>
      <w:r w:rsidRPr="00F767C8">
        <w:rPr>
          <w:rFonts w:ascii="Times New Roman" w:hAnsi="Times New Roman" w:cs="Times New Roman"/>
          <w:sz w:val="24"/>
          <w:szCs w:val="24"/>
        </w:rPr>
        <w:t xml:space="preserve">ozporządzeń. W świetle zebranych doświadczeń oraz przeprowadzonych szerokich konsultacji, Komisja podjęła decyzję o potrzebie przyjęcia nowych przepisów umożliwiających wyłączenie spod zakazu zawierania porozumień ograniczających konkurencję, które uwzględniłyby ocenę dotychczasowych przepisów oraz zmieniające się realia rynkowe. W konsekwencji Komisja Europejska przyjęła rozporządzenia: </w:t>
      </w:r>
    </w:p>
    <w:p w14:paraId="72874F8A" w14:textId="201EE438" w:rsidR="000E107D" w:rsidRPr="00F767C8" w:rsidRDefault="00520158" w:rsidP="00F767C8">
      <w:pPr>
        <w:pStyle w:val="Akapitzlist"/>
        <w:numPr>
          <w:ilvl w:val="0"/>
          <w:numId w:val="29"/>
        </w:numPr>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sz w:val="24"/>
          <w:szCs w:val="24"/>
        </w:rPr>
        <w:t>r</w:t>
      </w:r>
      <w:r w:rsidR="000E107D" w:rsidRPr="00F767C8">
        <w:rPr>
          <w:rFonts w:ascii="Times New Roman" w:hAnsi="Times New Roman" w:cs="Times New Roman"/>
          <w:sz w:val="24"/>
          <w:szCs w:val="24"/>
        </w:rPr>
        <w:t xml:space="preserve">ozporządzenie 2023/1066 </w:t>
      </w:r>
      <w:r w:rsidR="000E107D" w:rsidRPr="00520158">
        <w:rPr>
          <w:rFonts w:ascii="Times New Roman" w:hAnsi="Times New Roman" w:cs="Times New Roman"/>
          <w:i/>
          <w:iCs/>
          <w:sz w:val="24"/>
          <w:szCs w:val="24"/>
        </w:rPr>
        <w:t>w sprawie stosowania art. 101 ust. 3 Traktatu o</w:t>
      </w:r>
      <w:r w:rsidR="002A3B28" w:rsidRPr="00520158">
        <w:rPr>
          <w:rFonts w:ascii="Times New Roman" w:hAnsi="Times New Roman" w:cs="Times New Roman"/>
          <w:i/>
          <w:iCs/>
          <w:sz w:val="24"/>
          <w:szCs w:val="24"/>
        </w:rPr>
        <w:t> </w:t>
      </w:r>
      <w:r w:rsidR="000E107D" w:rsidRPr="00520158">
        <w:rPr>
          <w:rFonts w:ascii="Times New Roman" w:hAnsi="Times New Roman" w:cs="Times New Roman"/>
          <w:i/>
          <w:iCs/>
          <w:sz w:val="24"/>
          <w:szCs w:val="24"/>
        </w:rPr>
        <w:t>funkcjonowaniu Unii Europejskiej do niektórych kategorii porozumień badawczo-rozwojowych</w:t>
      </w:r>
      <w:r w:rsidR="000E107D" w:rsidRPr="00F767C8">
        <w:rPr>
          <w:rFonts w:ascii="Times New Roman" w:hAnsi="Times New Roman" w:cs="Times New Roman"/>
          <w:sz w:val="24"/>
          <w:szCs w:val="24"/>
        </w:rPr>
        <w:t xml:space="preserve">  (Dz. Urz. UE L 143 z 02.16.20123, str. 9) oraz </w:t>
      </w:r>
    </w:p>
    <w:p w14:paraId="1DE05983" w14:textId="3938C1E8" w:rsidR="000E107D" w:rsidRPr="00F767C8" w:rsidRDefault="00520158" w:rsidP="00F767C8">
      <w:pPr>
        <w:pStyle w:val="Akapitzlist"/>
        <w:numPr>
          <w:ilvl w:val="0"/>
          <w:numId w:val="29"/>
        </w:numPr>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sz w:val="24"/>
          <w:szCs w:val="24"/>
        </w:rPr>
        <w:t>r</w:t>
      </w:r>
      <w:r w:rsidR="000E107D" w:rsidRPr="00F767C8">
        <w:rPr>
          <w:rFonts w:ascii="Times New Roman" w:hAnsi="Times New Roman" w:cs="Times New Roman"/>
          <w:sz w:val="24"/>
          <w:szCs w:val="24"/>
        </w:rPr>
        <w:t xml:space="preserve">ozporządzenie 2023/1067 </w:t>
      </w:r>
      <w:r w:rsidR="000E107D" w:rsidRPr="00520158">
        <w:rPr>
          <w:rFonts w:ascii="Times New Roman" w:hAnsi="Times New Roman" w:cs="Times New Roman"/>
          <w:i/>
          <w:iCs/>
          <w:sz w:val="24"/>
          <w:szCs w:val="24"/>
        </w:rPr>
        <w:t>w sprawie stosowania art. 101 ust. 3 Traktatu o</w:t>
      </w:r>
      <w:r w:rsidR="002A3B28" w:rsidRPr="00520158">
        <w:rPr>
          <w:rFonts w:ascii="Times New Roman" w:hAnsi="Times New Roman" w:cs="Times New Roman"/>
          <w:i/>
          <w:iCs/>
          <w:sz w:val="24"/>
          <w:szCs w:val="24"/>
        </w:rPr>
        <w:t> </w:t>
      </w:r>
      <w:r w:rsidR="000E107D" w:rsidRPr="00520158">
        <w:rPr>
          <w:rFonts w:ascii="Times New Roman" w:hAnsi="Times New Roman" w:cs="Times New Roman"/>
          <w:i/>
          <w:iCs/>
          <w:sz w:val="24"/>
          <w:szCs w:val="24"/>
        </w:rPr>
        <w:t>funkcjonowaniu Unii Europejskiej do niektórych kategorii porozumień specjalizacyjnych</w:t>
      </w:r>
      <w:r w:rsidR="000E107D" w:rsidRPr="00F767C8">
        <w:rPr>
          <w:rFonts w:ascii="Times New Roman" w:hAnsi="Times New Roman" w:cs="Times New Roman"/>
          <w:sz w:val="24"/>
          <w:szCs w:val="24"/>
        </w:rPr>
        <w:t xml:space="preserve"> (Dz. Urz. UE L 143 z 02.16.20123, str. 20)</w:t>
      </w:r>
      <w:r w:rsidR="00A70F5A" w:rsidRPr="00F767C8">
        <w:rPr>
          <w:rFonts w:ascii="Times New Roman" w:hAnsi="Times New Roman" w:cs="Times New Roman"/>
          <w:sz w:val="24"/>
          <w:szCs w:val="24"/>
        </w:rPr>
        <w:t>(dalej łącznie jako: HBER)</w:t>
      </w:r>
      <w:r w:rsidR="000E107D" w:rsidRPr="00F767C8">
        <w:rPr>
          <w:rFonts w:ascii="Times New Roman" w:hAnsi="Times New Roman" w:cs="Times New Roman"/>
          <w:sz w:val="24"/>
          <w:szCs w:val="24"/>
        </w:rPr>
        <w:t xml:space="preserve">, </w:t>
      </w:r>
    </w:p>
    <w:p w14:paraId="026042CC" w14:textId="34221342" w:rsidR="000E107D" w:rsidRPr="00F767C8" w:rsidRDefault="000E107D" w:rsidP="00F767C8">
      <w:pPr>
        <w:spacing w:after="0" w:line="360" w:lineRule="auto"/>
        <w:ind w:firstLine="426"/>
        <w:jc w:val="both"/>
        <w:rPr>
          <w:rFonts w:ascii="Times New Roman" w:hAnsi="Times New Roman" w:cs="Times New Roman"/>
          <w:color w:val="000000" w:themeColor="text1"/>
          <w:sz w:val="24"/>
          <w:szCs w:val="24"/>
        </w:rPr>
      </w:pPr>
      <w:r w:rsidRPr="00F767C8">
        <w:rPr>
          <w:rFonts w:ascii="Times New Roman" w:hAnsi="Times New Roman" w:cs="Times New Roman"/>
          <w:sz w:val="24"/>
          <w:szCs w:val="24"/>
        </w:rPr>
        <w:t>Oba te rozporządzenia obowiązywać będą do 30 czerwca 2035 r. Przyjęte rozwiązania wynikają z doświadczeń unijnych organów ochrony konkurencji, w tym Prezesa Urzędu Ochrony Konkurencji i Konsumentów.</w:t>
      </w:r>
    </w:p>
    <w:p w14:paraId="49399DD4" w14:textId="77777777" w:rsidR="000E107D" w:rsidRPr="00F767C8" w:rsidRDefault="000E107D" w:rsidP="00F767C8">
      <w:pPr>
        <w:spacing w:after="0" w:line="360" w:lineRule="auto"/>
        <w:ind w:firstLine="426"/>
        <w:jc w:val="both"/>
        <w:rPr>
          <w:rFonts w:ascii="Times New Roman" w:hAnsi="Times New Roman" w:cs="Times New Roman"/>
          <w:color w:val="000000" w:themeColor="text1"/>
          <w:sz w:val="24"/>
          <w:szCs w:val="24"/>
        </w:rPr>
      </w:pPr>
      <w:r w:rsidRPr="00F767C8">
        <w:rPr>
          <w:rFonts w:ascii="Times New Roman" w:hAnsi="Times New Roman" w:cs="Times New Roman"/>
          <w:sz w:val="24"/>
          <w:szCs w:val="24"/>
        </w:rPr>
        <w:t xml:space="preserve">Jakkolwiek powyższe przepisy unijne stosowane są bezpośrednio i nie wymagają dla swojej skuteczności przyjęcia odpowiednich regulacji, należy uznać, że z punktu widzenia stosowania prawa, w tym ograniczania obciążeń regulacyjnych dla polskich przedsiębiorców, korzystne jest przyjęcie polskiego rozporządzenia w tym przedmiocie, którego kształt będzie odpowiadał rozporządzeniu unijnemu i będzie dotyczył porozumień zakazanych na podstawie przepisów u.o.k.k. zawieranych na rynku krajowym. </w:t>
      </w:r>
    </w:p>
    <w:p w14:paraId="292DD60C" w14:textId="2C4DCFC7" w:rsidR="000E107D" w:rsidRPr="00F767C8" w:rsidRDefault="000E107D" w:rsidP="00F767C8">
      <w:pPr>
        <w:spacing w:after="0" w:line="360" w:lineRule="auto"/>
        <w:ind w:firstLine="426"/>
        <w:jc w:val="both"/>
        <w:rPr>
          <w:rFonts w:ascii="Times New Roman" w:hAnsi="Times New Roman" w:cs="Times New Roman"/>
          <w:color w:val="000000" w:themeColor="text1"/>
          <w:sz w:val="24"/>
          <w:szCs w:val="24"/>
        </w:rPr>
      </w:pPr>
      <w:r w:rsidRPr="00F767C8">
        <w:rPr>
          <w:rFonts w:ascii="Times New Roman" w:hAnsi="Times New Roman" w:cs="Times New Roman"/>
          <w:sz w:val="24"/>
          <w:szCs w:val="24"/>
        </w:rPr>
        <w:lastRenderedPageBreak/>
        <w:t>Polski ustawodawca do tej pory konsekwentnie przyjmował przepisy, które na potrzeby rynku krajowego, regulowały zakres wyłączeń w sposób</w:t>
      </w:r>
      <w:r w:rsidR="00866FB9" w:rsidRPr="00F767C8">
        <w:rPr>
          <w:rFonts w:ascii="Times New Roman" w:hAnsi="Times New Roman" w:cs="Times New Roman"/>
          <w:sz w:val="24"/>
          <w:szCs w:val="24"/>
        </w:rPr>
        <w:t xml:space="preserve"> odpowiadający</w:t>
      </w:r>
      <w:r w:rsidRPr="00F767C8">
        <w:rPr>
          <w:rFonts w:ascii="Times New Roman" w:hAnsi="Times New Roman" w:cs="Times New Roman"/>
          <w:sz w:val="24"/>
          <w:szCs w:val="24"/>
        </w:rPr>
        <w:t xml:space="preserve"> zaproponowan</w:t>
      </w:r>
      <w:r w:rsidR="00866FB9" w:rsidRPr="00F767C8">
        <w:rPr>
          <w:rFonts w:ascii="Times New Roman" w:hAnsi="Times New Roman" w:cs="Times New Roman"/>
          <w:sz w:val="24"/>
          <w:szCs w:val="24"/>
        </w:rPr>
        <w:t xml:space="preserve">emu </w:t>
      </w:r>
      <w:r w:rsidRPr="00F767C8">
        <w:rPr>
          <w:rFonts w:ascii="Times New Roman" w:hAnsi="Times New Roman" w:cs="Times New Roman"/>
          <w:sz w:val="24"/>
          <w:szCs w:val="24"/>
        </w:rPr>
        <w:t>przez Komisję. W celu zachowania ciągłości, przepisy polskich rozporządzeń przewidywały okres obowiązywania o rok dłuższy niż regulacje unijne. Okres ten pozwalał na analizę kierunku rozwiązań przyjmowanych przez UE oraz na przeprowadzenie prac legislacyjnych mających na celu wprowadzenie wyłącz</w:t>
      </w:r>
      <w:r w:rsidR="00087C8E" w:rsidRPr="00F767C8">
        <w:rPr>
          <w:rFonts w:ascii="Times New Roman" w:hAnsi="Times New Roman" w:cs="Times New Roman"/>
          <w:sz w:val="24"/>
          <w:szCs w:val="24"/>
        </w:rPr>
        <w:t>e</w:t>
      </w:r>
      <w:r w:rsidRPr="00F767C8">
        <w:rPr>
          <w:rFonts w:ascii="Times New Roman" w:hAnsi="Times New Roman" w:cs="Times New Roman"/>
          <w:sz w:val="24"/>
          <w:szCs w:val="24"/>
        </w:rPr>
        <w:t>ń porozumień wzorowanych na rozwiązaniach unijnych.</w:t>
      </w:r>
    </w:p>
    <w:p w14:paraId="5F1060D4" w14:textId="0226E5DA" w:rsidR="000E107D" w:rsidRPr="00F767C8" w:rsidRDefault="000E107D" w:rsidP="00F767C8">
      <w:pPr>
        <w:spacing w:after="0" w:line="360" w:lineRule="auto"/>
        <w:ind w:firstLine="426"/>
        <w:jc w:val="both"/>
        <w:rPr>
          <w:rFonts w:ascii="Times New Roman" w:hAnsi="Times New Roman" w:cs="Times New Roman"/>
          <w:color w:val="000000" w:themeColor="text1"/>
          <w:sz w:val="24"/>
          <w:szCs w:val="24"/>
        </w:rPr>
      </w:pPr>
      <w:r w:rsidRPr="00F767C8">
        <w:rPr>
          <w:rFonts w:ascii="Times New Roman" w:hAnsi="Times New Roman" w:cs="Times New Roman"/>
          <w:sz w:val="24"/>
          <w:szCs w:val="24"/>
        </w:rPr>
        <w:t>Z punktu widzenia stosowania prawa, w tym ograniczania obciążeń regulacyjnych dla polskich przedsiębiorców uznano, że korzystne jest przyjęcie polskiego rozporządzenia dotyczącego wyłączeń porozumień badawczo-rozwojowych i specjalizacyjnych, którego kształt będzie odpowiadał rozporządzeniom unijnym. Polskie rozporządzenie znajduje zastosowanie zarówno do porozumień, które wywierają wpływ na handel między państwami członkowskimi Unii Europejskiej, jak i takich o wyłącznie krajowym wymiarze. Do tych pierwszych znajduje również równolegle zastosowanie prawo unijne, a porozumienia, które nie są zakazane na gruncie prawa unijnego, nie mogą być uznane za niezgodne z prawem polskim (nawet jeżeli polskie rozporządzenie wyłączające ich nie obejmowało). Należy przy tym mieć na uwadze, że ograniczenie geograficzne praktyki do terytorium jednego Państwa Członkowskiego nie wyklucza zastosowania do niego regulacji unijnych (ze względu na okoliczność, że może ono wywierać wpływ na handel UE, a sądy unijne przyjmują, że istnieje „mocne domniemanie” istnienia wpływu na handel, jeżeli naruszenie odnosi się do całego obszaru Państwa Członkowskiego (wyrok Trybunału Sprawiedliwości z 24 września 2009 r. w</w:t>
      </w:r>
      <w:r w:rsidR="002A3B28" w:rsidRPr="00F767C8">
        <w:rPr>
          <w:rFonts w:ascii="Times New Roman" w:hAnsi="Times New Roman" w:cs="Times New Roman"/>
          <w:sz w:val="24"/>
          <w:szCs w:val="24"/>
        </w:rPr>
        <w:t> </w:t>
      </w:r>
      <w:r w:rsidRPr="00F767C8">
        <w:rPr>
          <w:rFonts w:ascii="Times New Roman" w:hAnsi="Times New Roman" w:cs="Times New Roman"/>
          <w:sz w:val="24"/>
          <w:szCs w:val="24"/>
        </w:rPr>
        <w:t xml:space="preserve">sprawach połączonych C 125/07 P, C 133/07 P, C 135/07 P i C 137/07 P, Erste Group Bank, EU:C:2009:576, akapit 38-39). W konsekwencji należy przyjąć, że do znacznej </w:t>
      </w:r>
      <w:r w:rsidR="00813CE6" w:rsidRPr="00F767C8">
        <w:rPr>
          <w:rFonts w:ascii="Times New Roman" w:hAnsi="Times New Roman" w:cs="Times New Roman"/>
          <w:sz w:val="24"/>
          <w:szCs w:val="24"/>
        </w:rPr>
        <w:t xml:space="preserve">liczby </w:t>
      </w:r>
      <w:r w:rsidRPr="00F767C8">
        <w:rPr>
          <w:rFonts w:ascii="Times New Roman" w:hAnsi="Times New Roman" w:cs="Times New Roman"/>
          <w:sz w:val="24"/>
          <w:szCs w:val="24"/>
        </w:rPr>
        <w:t>porozumień badawczo- rozwojowych i specjalizacyjnych stosowanych w Polsce i mogących budzić wątpliwości z punktu widzenia prawa ochrony konkurencji, zastosowanie znajdują zarówno przepisy prawa polskiego, jak i unijnego.</w:t>
      </w:r>
    </w:p>
    <w:p w14:paraId="556897CE" w14:textId="7654CA60" w:rsidR="000E107D" w:rsidRPr="00F767C8" w:rsidRDefault="000E107D" w:rsidP="00F767C8">
      <w:pPr>
        <w:spacing w:after="0" w:line="360" w:lineRule="auto"/>
        <w:ind w:firstLine="426"/>
        <w:jc w:val="both"/>
        <w:rPr>
          <w:rFonts w:ascii="Times New Roman" w:hAnsi="Times New Roman" w:cs="Times New Roman"/>
          <w:color w:val="000000" w:themeColor="text1"/>
          <w:sz w:val="24"/>
          <w:szCs w:val="24"/>
        </w:rPr>
      </w:pPr>
      <w:r w:rsidRPr="00F767C8">
        <w:rPr>
          <w:rFonts w:ascii="Times New Roman" w:hAnsi="Times New Roman" w:cs="Times New Roman"/>
          <w:sz w:val="24"/>
          <w:szCs w:val="24"/>
        </w:rPr>
        <w:t>Brak spójności regulacji polskiej i unijnej w przedmiocie wyłączeń byłby niekorzystny dla polskich przedsiębiorców. W zakresie bowiem w jakim polskie rozporządzenie wyłączające byłoby szersze (prowadziłoby do konkluzji o braku naruszenia art. 6 u.o.k.k.) i tak nie wpływałoby na ocenę w ramach art. 101 TFUE, o ile wywierałoby wpływ na handel między państwami UE. W zakresie z kolei, w jakim polskie rozporządzenie byłoby węższe (otwierałoby pole, ale niekoniecznie wiązało z konkluzją o nielegalności porozumienia w</w:t>
      </w:r>
      <w:r w:rsidR="002A3B28" w:rsidRPr="00F767C8">
        <w:rPr>
          <w:rFonts w:ascii="Times New Roman" w:hAnsi="Times New Roman" w:cs="Times New Roman"/>
          <w:sz w:val="24"/>
          <w:szCs w:val="24"/>
        </w:rPr>
        <w:t> </w:t>
      </w:r>
      <w:r w:rsidRPr="00F767C8">
        <w:rPr>
          <w:rFonts w:ascii="Times New Roman" w:hAnsi="Times New Roman" w:cs="Times New Roman"/>
          <w:sz w:val="24"/>
          <w:szCs w:val="24"/>
        </w:rPr>
        <w:t xml:space="preserve">ramach art. 6 u.o.k.k.) ostatecznie i tak nie pozwalałoby na zakazanie porozumienia, tak </w:t>
      </w:r>
      <w:r w:rsidRPr="00F767C8">
        <w:rPr>
          <w:rFonts w:ascii="Times New Roman" w:hAnsi="Times New Roman" w:cs="Times New Roman"/>
          <w:sz w:val="24"/>
          <w:szCs w:val="24"/>
        </w:rPr>
        <w:lastRenderedPageBreak/>
        <w:t>długo jak wpływałoby na handel między państwami UE i wchodziło w zakres rozporządzenia unijnego.</w:t>
      </w:r>
    </w:p>
    <w:p w14:paraId="25408570" w14:textId="56A38749" w:rsidR="000E107D" w:rsidRPr="00F767C8" w:rsidRDefault="000E107D" w:rsidP="00F767C8">
      <w:pPr>
        <w:spacing w:after="0" w:line="360" w:lineRule="auto"/>
        <w:ind w:firstLine="426"/>
        <w:jc w:val="both"/>
        <w:rPr>
          <w:rFonts w:ascii="Times New Roman" w:hAnsi="Times New Roman" w:cs="Times New Roman"/>
          <w:color w:val="000000" w:themeColor="text1"/>
          <w:sz w:val="24"/>
          <w:szCs w:val="24"/>
        </w:rPr>
      </w:pPr>
      <w:r w:rsidRPr="00F767C8">
        <w:rPr>
          <w:rFonts w:ascii="Times New Roman" w:hAnsi="Times New Roman" w:cs="Times New Roman"/>
          <w:sz w:val="24"/>
          <w:szCs w:val="24"/>
        </w:rPr>
        <w:t>Oznacza to, że odmienności w polskim rozporządzeniu mogłyby mieć znaczenie w</w:t>
      </w:r>
      <w:r w:rsidR="002A3B28" w:rsidRPr="00F767C8">
        <w:rPr>
          <w:rFonts w:ascii="Times New Roman" w:hAnsi="Times New Roman" w:cs="Times New Roman"/>
          <w:sz w:val="24"/>
          <w:szCs w:val="24"/>
        </w:rPr>
        <w:t> </w:t>
      </w:r>
      <w:r w:rsidRPr="00F767C8">
        <w:rPr>
          <w:rFonts w:ascii="Times New Roman" w:hAnsi="Times New Roman" w:cs="Times New Roman"/>
          <w:sz w:val="24"/>
          <w:szCs w:val="24"/>
        </w:rPr>
        <w:t>zasadzie wyłącznie na potrzeby oceny porozumień w ogóle niewywierających wpływu na handel między państwami członkowskimi, co jednak wiązałoby się z tworzeniem swoistego dualizmu prawnego. Przedsiębiorcy musieliby analizować dwa różne porządki prawne, o ile nie mieliby całkowitej pewności, że ich kooperacja wpływa albo nie wpływa na handel unijny – takie rozwiązanie w nieuzasadniony sposób zwiększałoby koszty przestrzegania prawa i</w:t>
      </w:r>
      <w:r w:rsidR="002A3B28" w:rsidRPr="00F767C8">
        <w:rPr>
          <w:rFonts w:ascii="Times New Roman" w:hAnsi="Times New Roman" w:cs="Times New Roman"/>
          <w:sz w:val="24"/>
          <w:szCs w:val="24"/>
        </w:rPr>
        <w:t> </w:t>
      </w:r>
      <w:r w:rsidRPr="00F767C8">
        <w:rPr>
          <w:rFonts w:ascii="Times New Roman" w:hAnsi="Times New Roman" w:cs="Times New Roman"/>
          <w:sz w:val="24"/>
          <w:szCs w:val="24"/>
        </w:rPr>
        <w:t>utrudniało prowadzenie działalności gospodarczej w Polsce.</w:t>
      </w:r>
    </w:p>
    <w:p w14:paraId="3A307768" w14:textId="31883FE4" w:rsidR="000E107D" w:rsidRPr="00F767C8" w:rsidRDefault="000E107D" w:rsidP="00F767C8">
      <w:pPr>
        <w:spacing w:after="0" w:line="360" w:lineRule="auto"/>
        <w:ind w:firstLine="426"/>
        <w:jc w:val="both"/>
        <w:rPr>
          <w:rFonts w:ascii="Times New Roman" w:hAnsi="Times New Roman" w:cs="Times New Roman"/>
          <w:color w:val="000000" w:themeColor="text1"/>
          <w:sz w:val="24"/>
          <w:szCs w:val="24"/>
        </w:rPr>
      </w:pPr>
      <w:r w:rsidRPr="00F767C8">
        <w:rPr>
          <w:rFonts w:ascii="Times New Roman" w:hAnsi="Times New Roman" w:cs="Times New Roman"/>
          <w:sz w:val="24"/>
          <w:szCs w:val="24"/>
        </w:rPr>
        <w:t>Decyzja o konieczności wyłączenia określonych porozumień specjalizacyjnych i</w:t>
      </w:r>
      <w:r w:rsidR="002A3B28" w:rsidRPr="00F767C8">
        <w:rPr>
          <w:rFonts w:ascii="Times New Roman" w:hAnsi="Times New Roman" w:cs="Times New Roman"/>
          <w:sz w:val="24"/>
          <w:szCs w:val="24"/>
        </w:rPr>
        <w:t> </w:t>
      </w:r>
      <w:r w:rsidRPr="00F767C8">
        <w:rPr>
          <w:rFonts w:ascii="Times New Roman" w:hAnsi="Times New Roman" w:cs="Times New Roman"/>
          <w:sz w:val="24"/>
          <w:szCs w:val="24"/>
        </w:rPr>
        <w:t>badawczo-rozwojowych została podjęta w oparciu i na podstawie przepisów zawierające upoważnienie ustawowe do wydawania rozporządzeń wyłączających określone kategorie porozumień spod zakazu zawierania porozumień ograniczających konkurencję. Artykuł 8 ust. 3 u.o.k.k. zawiera delegację dla Rady Ministrów do wydania rozporządzeń zwalniających określone kategorie porozumień spod zakazu zawierania porozumień ograniczających konkurencje wyrażonego w art. 6 u.o.k.k. i wskazuje jakie warunki powinny spełniać porozumienia podlegające wyłączeniu.</w:t>
      </w:r>
    </w:p>
    <w:p w14:paraId="6F7B423C" w14:textId="77777777" w:rsidR="000E107D" w:rsidRPr="00F767C8" w:rsidRDefault="000E107D" w:rsidP="00F767C8">
      <w:pPr>
        <w:spacing w:after="0" w:line="360" w:lineRule="auto"/>
        <w:jc w:val="both"/>
        <w:rPr>
          <w:rFonts w:ascii="Times New Roman" w:hAnsi="Times New Roman" w:cs="Times New Roman"/>
          <w:color w:val="000000" w:themeColor="text1"/>
          <w:sz w:val="24"/>
          <w:szCs w:val="24"/>
        </w:rPr>
      </w:pPr>
      <w:r w:rsidRPr="00F767C8">
        <w:rPr>
          <w:rFonts w:ascii="Times New Roman" w:hAnsi="Times New Roman" w:cs="Times New Roman"/>
          <w:sz w:val="24"/>
          <w:szCs w:val="24"/>
        </w:rPr>
        <w:t>Zgodnie z delegacją ustawową, porozumienia objęte zwolnieniem spod zakazu muszą jednocześnie:</w:t>
      </w:r>
    </w:p>
    <w:p w14:paraId="69BE268B" w14:textId="77777777" w:rsidR="000E107D" w:rsidRPr="00F767C8" w:rsidRDefault="000E107D" w:rsidP="00F767C8">
      <w:pPr>
        <w:pStyle w:val="Akapitzlist"/>
        <w:numPr>
          <w:ilvl w:val="0"/>
          <w:numId w:val="30"/>
        </w:numPr>
        <w:tabs>
          <w:tab w:val="left" w:pos="567"/>
        </w:tabs>
        <w:spacing w:after="0" w:line="360" w:lineRule="auto"/>
        <w:ind w:left="567" w:hanging="567"/>
        <w:jc w:val="both"/>
        <w:rPr>
          <w:rFonts w:ascii="Times New Roman" w:hAnsi="Times New Roman" w:cs="Times New Roman"/>
          <w:color w:val="000000" w:themeColor="text1"/>
          <w:sz w:val="24"/>
          <w:szCs w:val="24"/>
        </w:rPr>
      </w:pPr>
      <w:r w:rsidRPr="00F767C8">
        <w:rPr>
          <w:rFonts w:ascii="Times New Roman" w:hAnsi="Times New Roman" w:cs="Times New Roman"/>
          <w:sz w:val="24"/>
          <w:szCs w:val="24"/>
        </w:rPr>
        <w:t>przyczyniać się do polepszenia produkcji, dystrybucji towarów lub do postępu technicznego lub gospodarczego;</w:t>
      </w:r>
    </w:p>
    <w:p w14:paraId="41EE0DEE" w14:textId="77777777" w:rsidR="000E107D" w:rsidRPr="00F767C8" w:rsidRDefault="000E107D" w:rsidP="00F767C8">
      <w:pPr>
        <w:pStyle w:val="Akapitzlist"/>
        <w:numPr>
          <w:ilvl w:val="0"/>
          <w:numId w:val="30"/>
        </w:numPr>
        <w:tabs>
          <w:tab w:val="left" w:pos="567"/>
        </w:tabs>
        <w:spacing w:after="0" w:line="360" w:lineRule="auto"/>
        <w:ind w:left="567" w:hanging="567"/>
        <w:jc w:val="both"/>
        <w:rPr>
          <w:rFonts w:ascii="Times New Roman" w:hAnsi="Times New Roman" w:cs="Times New Roman"/>
          <w:color w:val="000000" w:themeColor="text1"/>
          <w:sz w:val="24"/>
          <w:szCs w:val="24"/>
        </w:rPr>
      </w:pPr>
      <w:r w:rsidRPr="00F767C8">
        <w:rPr>
          <w:rFonts w:ascii="Times New Roman" w:hAnsi="Times New Roman" w:cs="Times New Roman"/>
          <w:sz w:val="24"/>
          <w:szCs w:val="24"/>
        </w:rPr>
        <w:t>zapewniać nabywcy lub użytkownikowi odpowiednią część wynikających z porozumień korzyści;</w:t>
      </w:r>
    </w:p>
    <w:p w14:paraId="29E6D537" w14:textId="77777777" w:rsidR="000E107D" w:rsidRPr="00F767C8" w:rsidRDefault="000E107D" w:rsidP="00F767C8">
      <w:pPr>
        <w:pStyle w:val="Akapitzlist"/>
        <w:numPr>
          <w:ilvl w:val="0"/>
          <w:numId w:val="30"/>
        </w:numPr>
        <w:tabs>
          <w:tab w:val="left" w:pos="567"/>
        </w:tabs>
        <w:spacing w:after="0" w:line="360" w:lineRule="auto"/>
        <w:ind w:left="567" w:hanging="567"/>
        <w:jc w:val="both"/>
        <w:rPr>
          <w:rFonts w:ascii="Times New Roman" w:hAnsi="Times New Roman" w:cs="Times New Roman"/>
          <w:color w:val="000000" w:themeColor="text1"/>
          <w:sz w:val="24"/>
          <w:szCs w:val="24"/>
        </w:rPr>
      </w:pPr>
      <w:r w:rsidRPr="00F767C8">
        <w:rPr>
          <w:rFonts w:ascii="Times New Roman" w:hAnsi="Times New Roman" w:cs="Times New Roman"/>
          <w:sz w:val="24"/>
          <w:szCs w:val="24"/>
        </w:rPr>
        <w:t>nie nakładać na zainteresowanych przedsiębiorców ograniczeń, które nie są niezbędne do osiągnięcia tych celów;</w:t>
      </w:r>
    </w:p>
    <w:p w14:paraId="72A8DF7B" w14:textId="77777777" w:rsidR="000E107D" w:rsidRPr="00F767C8" w:rsidRDefault="000E107D" w:rsidP="00F767C8">
      <w:pPr>
        <w:pStyle w:val="Akapitzlist"/>
        <w:numPr>
          <w:ilvl w:val="0"/>
          <w:numId w:val="30"/>
        </w:numPr>
        <w:tabs>
          <w:tab w:val="left" w:pos="567"/>
        </w:tabs>
        <w:spacing w:after="0" w:line="360" w:lineRule="auto"/>
        <w:ind w:left="567" w:hanging="567"/>
        <w:jc w:val="both"/>
        <w:rPr>
          <w:rFonts w:ascii="Times New Roman" w:hAnsi="Times New Roman" w:cs="Times New Roman"/>
          <w:color w:val="000000" w:themeColor="text1"/>
          <w:sz w:val="24"/>
          <w:szCs w:val="24"/>
        </w:rPr>
      </w:pPr>
      <w:r w:rsidRPr="00F767C8">
        <w:rPr>
          <w:rFonts w:ascii="Times New Roman" w:hAnsi="Times New Roman" w:cs="Times New Roman"/>
          <w:sz w:val="24"/>
          <w:szCs w:val="24"/>
        </w:rPr>
        <w:t xml:space="preserve">nie stwarzać tym przedsiębiorcom możliwości wyeliminowania konkurencji na rynku właściwym w zakresie znacznej części określonych towarów. </w:t>
      </w:r>
    </w:p>
    <w:p w14:paraId="26FFBFA4" w14:textId="30FC7F0A" w:rsidR="00E63096" w:rsidRPr="00F767C8" w:rsidRDefault="000E107D" w:rsidP="00F767C8">
      <w:pPr>
        <w:tabs>
          <w:tab w:val="left" w:pos="426"/>
        </w:tabs>
        <w:spacing w:after="0" w:line="360" w:lineRule="auto"/>
        <w:jc w:val="both"/>
        <w:rPr>
          <w:rFonts w:ascii="Times New Roman" w:hAnsi="Times New Roman" w:cs="Times New Roman"/>
          <w:color w:val="000000" w:themeColor="text1"/>
          <w:sz w:val="24"/>
          <w:szCs w:val="24"/>
        </w:rPr>
      </w:pPr>
      <w:r w:rsidRPr="00F767C8">
        <w:rPr>
          <w:rFonts w:ascii="Times New Roman" w:hAnsi="Times New Roman" w:cs="Times New Roman"/>
          <w:sz w:val="24"/>
          <w:szCs w:val="24"/>
        </w:rPr>
        <w:tab/>
        <w:t>Powyższe warunki są spełnione przez porozumienia objęte wyłączeniem. Wyłączenia grupowe porozumień kooperacyjnych powinny być postrzegane jako przejaw ekonomizacji prawa ochrony konkurencji, która zmierza do bardziej racjonalnego stosowania przepisów o</w:t>
      </w:r>
      <w:r w:rsidR="002A3B28" w:rsidRPr="00F767C8">
        <w:rPr>
          <w:rFonts w:ascii="Times New Roman" w:hAnsi="Times New Roman" w:cs="Times New Roman"/>
          <w:sz w:val="24"/>
          <w:szCs w:val="24"/>
        </w:rPr>
        <w:t> </w:t>
      </w:r>
      <w:r w:rsidRPr="00F767C8">
        <w:rPr>
          <w:rFonts w:ascii="Times New Roman" w:hAnsi="Times New Roman" w:cs="Times New Roman"/>
          <w:sz w:val="24"/>
          <w:szCs w:val="24"/>
        </w:rPr>
        <w:t xml:space="preserve">ochronie konkurencji. Stopień potencjalnego ograniczenia konkurencji spowodowanego przez porozumienie jest w dostatecznym wymiarze rekompensowany przez planowane korzyści dla gospodarki i konsumentów. </w:t>
      </w:r>
      <w:r w:rsidR="00E63096" w:rsidRPr="00F767C8">
        <w:rPr>
          <w:rFonts w:ascii="Times New Roman" w:hAnsi="Times New Roman" w:cs="Times New Roman"/>
          <w:sz w:val="24"/>
          <w:szCs w:val="24"/>
        </w:rPr>
        <w:t xml:space="preserve">Warunki wskazane w rozporządzeniu </w:t>
      </w:r>
      <w:r w:rsidR="00E63096" w:rsidRPr="00F767C8">
        <w:rPr>
          <w:rFonts w:ascii="Times New Roman" w:hAnsi="Times New Roman" w:cs="Times New Roman"/>
          <w:color w:val="000000" w:themeColor="text1"/>
          <w:sz w:val="24"/>
          <w:szCs w:val="24"/>
        </w:rPr>
        <w:t xml:space="preserve">gwarantują właściwy poziom ochrony konkurencji jednocześnie zapewniając przedsiębiorcom </w:t>
      </w:r>
      <w:r w:rsidR="00E63096" w:rsidRPr="00F767C8">
        <w:rPr>
          <w:rFonts w:ascii="Times New Roman" w:hAnsi="Times New Roman" w:cs="Times New Roman"/>
          <w:color w:val="000000" w:themeColor="text1"/>
          <w:sz w:val="24"/>
          <w:szCs w:val="24"/>
        </w:rPr>
        <w:lastRenderedPageBreak/>
        <w:t>elastyczność kształtowania stosunków gospodarczych zapewniającą im możliwość osiągania optymalnych korzyści gospodarczych.</w:t>
      </w:r>
    </w:p>
    <w:p w14:paraId="2F54B191" w14:textId="77777777" w:rsidR="000E107D" w:rsidRPr="00F767C8" w:rsidRDefault="000E107D" w:rsidP="00F767C8">
      <w:pPr>
        <w:tabs>
          <w:tab w:val="left" w:pos="567"/>
        </w:tabs>
        <w:spacing w:after="0" w:line="360" w:lineRule="auto"/>
        <w:jc w:val="both"/>
        <w:rPr>
          <w:rFonts w:ascii="Times New Roman" w:hAnsi="Times New Roman" w:cs="Times New Roman"/>
          <w:color w:val="000000" w:themeColor="text1"/>
          <w:sz w:val="24"/>
          <w:szCs w:val="24"/>
        </w:rPr>
      </w:pPr>
      <w:r w:rsidRPr="00F767C8">
        <w:rPr>
          <w:rFonts w:ascii="Times New Roman" w:hAnsi="Times New Roman" w:cs="Times New Roman"/>
          <w:sz w:val="24"/>
          <w:szCs w:val="24"/>
        </w:rPr>
        <w:tab/>
        <w:t xml:space="preserve">Wyłączenie porozumień specjalizacyjnych spod zakazu porozumień ograniczających konkurencję obejmuje porozumienia w sprawie specjalizacji jednostronnej, specjalizacji wzajemnej oraz wspólnej produkcji. </w:t>
      </w:r>
    </w:p>
    <w:p w14:paraId="220BFC4E" w14:textId="77777777" w:rsidR="000E107D" w:rsidRPr="00F767C8" w:rsidRDefault="000E107D" w:rsidP="00F767C8">
      <w:pPr>
        <w:tabs>
          <w:tab w:val="left" w:pos="567"/>
        </w:tabs>
        <w:spacing w:after="0" w:line="360" w:lineRule="auto"/>
        <w:jc w:val="both"/>
        <w:rPr>
          <w:rFonts w:ascii="Times New Roman" w:hAnsi="Times New Roman" w:cs="Times New Roman"/>
          <w:color w:val="000000" w:themeColor="text1"/>
          <w:sz w:val="24"/>
          <w:szCs w:val="24"/>
        </w:rPr>
      </w:pPr>
      <w:r w:rsidRPr="00F767C8">
        <w:rPr>
          <w:rFonts w:ascii="Times New Roman" w:hAnsi="Times New Roman" w:cs="Times New Roman"/>
          <w:color w:val="000000" w:themeColor="text1"/>
          <w:sz w:val="24"/>
          <w:szCs w:val="24"/>
        </w:rPr>
        <w:tab/>
      </w:r>
      <w:r w:rsidRPr="00F767C8">
        <w:rPr>
          <w:rFonts w:ascii="Times New Roman" w:hAnsi="Times New Roman" w:cs="Times New Roman"/>
          <w:sz w:val="24"/>
          <w:szCs w:val="24"/>
        </w:rPr>
        <w:t>Porozumienia specjalizacyjne dotyczą specjalizacji jednostronnej między przedsiębiorcami działającymi na tym samym rynku towarów. Jedna ze stron zobowiązuje się całkowicie lub częściowo do zaprzestania lub zaniechania produkcji określonych towarów i do nabywania ich od drugiej strony lub pozostałych stron, które zobowiązują się towary te produkować i dostarczać.</w:t>
      </w:r>
    </w:p>
    <w:p w14:paraId="71A22310" w14:textId="77777777" w:rsidR="000E107D" w:rsidRPr="00F767C8" w:rsidRDefault="000E107D" w:rsidP="00F767C8">
      <w:pPr>
        <w:tabs>
          <w:tab w:val="left" w:pos="567"/>
        </w:tabs>
        <w:spacing w:after="0" w:line="360" w:lineRule="auto"/>
        <w:jc w:val="both"/>
        <w:rPr>
          <w:rFonts w:ascii="Times New Roman" w:hAnsi="Times New Roman" w:cs="Times New Roman"/>
          <w:color w:val="000000" w:themeColor="text1"/>
          <w:sz w:val="24"/>
          <w:szCs w:val="24"/>
        </w:rPr>
      </w:pPr>
      <w:r w:rsidRPr="00F767C8">
        <w:rPr>
          <w:rFonts w:ascii="Times New Roman" w:hAnsi="Times New Roman" w:cs="Times New Roman"/>
          <w:sz w:val="24"/>
          <w:szCs w:val="24"/>
        </w:rPr>
        <w:tab/>
        <w:t>Porozumienia specjalizacyjne to zatem umowy, które mają na celu podział działań w taki sposób by przedsiębiorcy mogli specjalizować się w określonych obszarach działalności, co może przynosić następujące korzyści:</w:t>
      </w:r>
    </w:p>
    <w:p w14:paraId="4F747432" w14:textId="6E12DC8F" w:rsidR="000E107D" w:rsidRPr="00F767C8" w:rsidRDefault="008035ED" w:rsidP="00F767C8">
      <w:pPr>
        <w:pStyle w:val="Akapitzlist"/>
        <w:numPr>
          <w:ilvl w:val="0"/>
          <w:numId w:val="32"/>
        </w:numPr>
        <w:tabs>
          <w:tab w:val="left" w:pos="426"/>
        </w:tabs>
        <w:spacing w:after="0" w:line="36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sz w:val="24"/>
          <w:szCs w:val="24"/>
        </w:rPr>
        <w:t>z</w:t>
      </w:r>
      <w:r w:rsidR="000E107D" w:rsidRPr="00F767C8">
        <w:rPr>
          <w:rFonts w:ascii="Times New Roman" w:hAnsi="Times New Roman" w:cs="Times New Roman"/>
          <w:sz w:val="24"/>
          <w:szCs w:val="24"/>
        </w:rPr>
        <w:t xml:space="preserve">większenie efektywności i poprawa jakości: </w:t>
      </w:r>
      <w:r w:rsidR="00275502">
        <w:rPr>
          <w:rFonts w:ascii="Times New Roman" w:hAnsi="Times New Roman" w:cs="Times New Roman"/>
          <w:sz w:val="24"/>
          <w:szCs w:val="24"/>
        </w:rPr>
        <w:t>p</w:t>
      </w:r>
      <w:r w:rsidR="000E107D" w:rsidRPr="00F767C8">
        <w:rPr>
          <w:rFonts w:ascii="Times New Roman" w:hAnsi="Times New Roman" w:cs="Times New Roman"/>
          <w:sz w:val="24"/>
          <w:szCs w:val="24"/>
        </w:rPr>
        <w:t>orozumienia specjalizacyjne mogą prowadzić do zwiększenia efektywności. Przedsiębiorstwa specjalizujące się w</w:t>
      </w:r>
      <w:r w:rsidR="002A3B28" w:rsidRPr="00F767C8">
        <w:rPr>
          <w:rFonts w:ascii="Times New Roman" w:hAnsi="Times New Roman" w:cs="Times New Roman"/>
          <w:sz w:val="24"/>
          <w:szCs w:val="24"/>
        </w:rPr>
        <w:t> </w:t>
      </w:r>
      <w:r w:rsidR="000E107D" w:rsidRPr="00F767C8">
        <w:rPr>
          <w:rFonts w:ascii="Times New Roman" w:hAnsi="Times New Roman" w:cs="Times New Roman"/>
          <w:sz w:val="24"/>
          <w:szCs w:val="24"/>
        </w:rPr>
        <w:t>określonych dziedzinach lub regionach mogą skupić się na doskonaleniu swoich kompetencji w tych obszarach, co może prowadzić do obniżenia kosztów produkcji i</w:t>
      </w:r>
      <w:r w:rsidR="002A3B28" w:rsidRPr="00F767C8">
        <w:rPr>
          <w:rFonts w:ascii="Times New Roman" w:hAnsi="Times New Roman" w:cs="Times New Roman"/>
          <w:sz w:val="24"/>
          <w:szCs w:val="24"/>
        </w:rPr>
        <w:t> </w:t>
      </w:r>
      <w:r w:rsidR="000E107D" w:rsidRPr="00F767C8">
        <w:rPr>
          <w:rFonts w:ascii="Times New Roman" w:hAnsi="Times New Roman" w:cs="Times New Roman"/>
          <w:sz w:val="24"/>
          <w:szCs w:val="24"/>
        </w:rPr>
        <w:t>poprawy jakości produktów lub usług</w:t>
      </w:r>
      <w:r>
        <w:rPr>
          <w:rFonts w:ascii="Times New Roman" w:hAnsi="Times New Roman" w:cs="Times New Roman"/>
          <w:sz w:val="24"/>
          <w:szCs w:val="24"/>
        </w:rPr>
        <w:t>,</w:t>
      </w:r>
    </w:p>
    <w:p w14:paraId="017368DD" w14:textId="1B35EF3F" w:rsidR="000E107D" w:rsidRPr="00F767C8" w:rsidRDefault="00275502" w:rsidP="00F767C8">
      <w:pPr>
        <w:pStyle w:val="Akapitzlist"/>
        <w:numPr>
          <w:ilvl w:val="0"/>
          <w:numId w:val="32"/>
        </w:numPr>
        <w:tabs>
          <w:tab w:val="left" w:pos="426"/>
        </w:tabs>
        <w:spacing w:after="0" w:line="36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sz w:val="24"/>
          <w:szCs w:val="24"/>
        </w:rPr>
        <w:t>r</w:t>
      </w:r>
      <w:r w:rsidR="000E107D" w:rsidRPr="00F767C8">
        <w:rPr>
          <w:rFonts w:ascii="Times New Roman" w:hAnsi="Times New Roman" w:cs="Times New Roman"/>
          <w:sz w:val="24"/>
          <w:szCs w:val="24"/>
        </w:rPr>
        <w:t xml:space="preserve">edukcja dublowania: </w:t>
      </w:r>
      <w:r>
        <w:rPr>
          <w:rFonts w:ascii="Times New Roman" w:hAnsi="Times New Roman" w:cs="Times New Roman"/>
          <w:sz w:val="24"/>
          <w:szCs w:val="24"/>
        </w:rPr>
        <w:t>d</w:t>
      </w:r>
      <w:r w:rsidR="000E107D" w:rsidRPr="00F767C8">
        <w:rPr>
          <w:rFonts w:ascii="Times New Roman" w:hAnsi="Times New Roman" w:cs="Times New Roman"/>
          <w:sz w:val="24"/>
          <w:szCs w:val="24"/>
        </w:rPr>
        <w:t>zięki specjalizacji, przedsiębiorstwa unikają dublowania działań na tych samych rynkach. To może prowadzić do zmniejszenia marnotrawstwa zasobów i</w:t>
      </w:r>
      <w:r w:rsidR="002A3B28" w:rsidRPr="00F767C8">
        <w:rPr>
          <w:rFonts w:ascii="Times New Roman" w:hAnsi="Times New Roman" w:cs="Times New Roman"/>
          <w:sz w:val="24"/>
          <w:szCs w:val="24"/>
        </w:rPr>
        <w:t> </w:t>
      </w:r>
      <w:r w:rsidR="000E107D" w:rsidRPr="00F767C8">
        <w:rPr>
          <w:rFonts w:ascii="Times New Roman" w:hAnsi="Times New Roman" w:cs="Times New Roman"/>
          <w:sz w:val="24"/>
          <w:szCs w:val="24"/>
        </w:rPr>
        <w:t>zwiększenia wydajności</w:t>
      </w:r>
      <w:r>
        <w:rPr>
          <w:rFonts w:ascii="Times New Roman" w:hAnsi="Times New Roman" w:cs="Times New Roman"/>
          <w:sz w:val="24"/>
          <w:szCs w:val="24"/>
        </w:rPr>
        <w:t>,</w:t>
      </w:r>
    </w:p>
    <w:p w14:paraId="3F23B405" w14:textId="67380EDF" w:rsidR="000E107D" w:rsidRPr="00F767C8" w:rsidRDefault="00275502" w:rsidP="00F767C8">
      <w:pPr>
        <w:pStyle w:val="Akapitzlist"/>
        <w:numPr>
          <w:ilvl w:val="0"/>
          <w:numId w:val="32"/>
        </w:numPr>
        <w:tabs>
          <w:tab w:val="left" w:pos="426"/>
        </w:tabs>
        <w:spacing w:after="0" w:line="36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sz w:val="24"/>
          <w:szCs w:val="24"/>
        </w:rPr>
        <w:t>r</w:t>
      </w:r>
      <w:r w:rsidR="000E107D" w:rsidRPr="00F767C8">
        <w:rPr>
          <w:rFonts w:ascii="Times New Roman" w:hAnsi="Times New Roman" w:cs="Times New Roman"/>
          <w:sz w:val="24"/>
          <w:szCs w:val="24"/>
        </w:rPr>
        <w:t xml:space="preserve">ozwój innowacji: </w:t>
      </w:r>
      <w:r>
        <w:rPr>
          <w:rFonts w:ascii="Times New Roman" w:hAnsi="Times New Roman" w:cs="Times New Roman"/>
          <w:sz w:val="24"/>
          <w:szCs w:val="24"/>
        </w:rPr>
        <w:t>p</w:t>
      </w:r>
      <w:r w:rsidR="000E107D" w:rsidRPr="00F767C8">
        <w:rPr>
          <w:rFonts w:ascii="Times New Roman" w:hAnsi="Times New Roman" w:cs="Times New Roman"/>
          <w:sz w:val="24"/>
          <w:szCs w:val="24"/>
        </w:rPr>
        <w:t>rzedsiębiorstwa specjalizujące się w określonych dziedzinach mogą bardziej skoncentrować się na badaniach i rozwoju w tych obszarach. To może sprzyjać innowacjom i tworzeniu nowych produktów lub usług</w:t>
      </w:r>
      <w:r>
        <w:rPr>
          <w:rFonts w:ascii="Times New Roman" w:hAnsi="Times New Roman" w:cs="Times New Roman"/>
          <w:sz w:val="24"/>
          <w:szCs w:val="24"/>
        </w:rPr>
        <w:t>,</w:t>
      </w:r>
    </w:p>
    <w:p w14:paraId="42AE9BF8" w14:textId="05C6EB2E" w:rsidR="000E107D" w:rsidRPr="00F767C8" w:rsidRDefault="00275502" w:rsidP="00F767C8">
      <w:pPr>
        <w:pStyle w:val="Akapitzlist"/>
        <w:numPr>
          <w:ilvl w:val="0"/>
          <w:numId w:val="32"/>
        </w:numPr>
        <w:tabs>
          <w:tab w:val="left" w:pos="426"/>
        </w:tabs>
        <w:spacing w:after="0" w:line="36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sz w:val="24"/>
          <w:szCs w:val="24"/>
        </w:rPr>
        <w:t>z</w:t>
      </w:r>
      <w:r w:rsidR="000E107D" w:rsidRPr="00F767C8">
        <w:rPr>
          <w:rFonts w:ascii="Times New Roman" w:hAnsi="Times New Roman" w:cs="Times New Roman"/>
          <w:sz w:val="24"/>
          <w:szCs w:val="24"/>
        </w:rPr>
        <w:t xml:space="preserve">większenie dostępności: </w:t>
      </w:r>
      <w:r>
        <w:rPr>
          <w:rFonts w:ascii="Times New Roman" w:hAnsi="Times New Roman" w:cs="Times New Roman"/>
          <w:sz w:val="24"/>
          <w:szCs w:val="24"/>
        </w:rPr>
        <w:t>p</w:t>
      </w:r>
      <w:r w:rsidR="000E107D" w:rsidRPr="00F767C8">
        <w:rPr>
          <w:rFonts w:ascii="Times New Roman" w:hAnsi="Times New Roman" w:cs="Times New Roman"/>
          <w:sz w:val="24"/>
          <w:szCs w:val="24"/>
        </w:rPr>
        <w:t>orozumienia specjalizacyjne mogą zwiększyć dostępność produktów lub usług na rynku, zwłaszcza w regionach, gdzie wcześniej mogło brakować konkurencji, co jest korzystne dla konsumentów</w:t>
      </w:r>
      <w:r>
        <w:rPr>
          <w:rFonts w:ascii="Times New Roman" w:hAnsi="Times New Roman" w:cs="Times New Roman"/>
          <w:sz w:val="24"/>
          <w:szCs w:val="24"/>
        </w:rPr>
        <w:t>,</w:t>
      </w:r>
    </w:p>
    <w:p w14:paraId="1787C3C8" w14:textId="12224D1D" w:rsidR="00866FB9" w:rsidRPr="00F767C8" w:rsidRDefault="00275502" w:rsidP="00F767C8">
      <w:pPr>
        <w:pStyle w:val="Akapitzlist"/>
        <w:numPr>
          <w:ilvl w:val="0"/>
          <w:numId w:val="32"/>
        </w:numPr>
        <w:tabs>
          <w:tab w:val="left" w:pos="426"/>
        </w:tabs>
        <w:spacing w:after="0" w:line="36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sz w:val="24"/>
          <w:szCs w:val="24"/>
        </w:rPr>
        <w:t>z</w:t>
      </w:r>
      <w:r w:rsidR="000E107D" w:rsidRPr="00F767C8">
        <w:rPr>
          <w:rFonts w:ascii="Times New Roman" w:hAnsi="Times New Roman" w:cs="Times New Roman"/>
          <w:sz w:val="24"/>
          <w:szCs w:val="24"/>
        </w:rPr>
        <w:t>mniejszenie kosztów: tego typu umowy między przedsiębiorcami, umożliwiają np. specjalizowanie się w produkcji jednego z dwóch produktów i rezygnację z drugiej linii produkcyjnej. Specjalizacja ta może pomóc przedsiębiorcom w ograniczeniu kosztów surowców i składowania. Jednakże, tylko oszczędności związane z kosztami surowców i</w:t>
      </w:r>
      <w:r w:rsidR="002A3B28" w:rsidRPr="00F767C8">
        <w:rPr>
          <w:rFonts w:ascii="Times New Roman" w:hAnsi="Times New Roman" w:cs="Times New Roman"/>
          <w:sz w:val="24"/>
          <w:szCs w:val="24"/>
        </w:rPr>
        <w:t> </w:t>
      </w:r>
      <w:r w:rsidR="000E107D" w:rsidRPr="00F767C8">
        <w:rPr>
          <w:rFonts w:ascii="Times New Roman" w:hAnsi="Times New Roman" w:cs="Times New Roman"/>
          <w:sz w:val="24"/>
          <w:szCs w:val="24"/>
        </w:rPr>
        <w:t>składowania będą miały bezpośredni wpływ na decyzje przedsiębiorstw dotyczące cen i</w:t>
      </w:r>
      <w:r w:rsidR="002A3B28" w:rsidRPr="00F767C8">
        <w:rPr>
          <w:rFonts w:ascii="Times New Roman" w:hAnsi="Times New Roman" w:cs="Times New Roman"/>
          <w:sz w:val="24"/>
          <w:szCs w:val="24"/>
        </w:rPr>
        <w:t> </w:t>
      </w:r>
      <w:r w:rsidR="000E107D" w:rsidRPr="00F767C8">
        <w:rPr>
          <w:rFonts w:ascii="Times New Roman" w:hAnsi="Times New Roman" w:cs="Times New Roman"/>
          <w:sz w:val="24"/>
          <w:szCs w:val="24"/>
        </w:rPr>
        <w:t>produkcji, ponieważ wpłyną one na krańcowe koszty produkcji. Rezygnacja przez każde z</w:t>
      </w:r>
      <w:r w:rsidR="002A3B28" w:rsidRPr="00F767C8">
        <w:rPr>
          <w:rFonts w:ascii="Times New Roman" w:hAnsi="Times New Roman" w:cs="Times New Roman"/>
          <w:sz w:val="24"/>
          <w:szCs w:val="24"/>
        </w:rPr>
        <w:t> </w:t>
      </w:r>
      <w:r w:rsidR="000E107D" w:rsidRPr="00F767C8">
        <w:rPr>
          <w:rFonts w:ascii="Times New Roman" w:hAnsi="Times New Roman" w:cs="Times New Roman"/>
          <w:sz w:val="24"/>
          <w:szCs w:val="24"/>
        </w:rPr>
        <w:t xml:space="preserve">przedsiębiorstw z jednej ze swoich linii produkcyjnych nie ograniczy ich kosztów </w:t>
      </w:r>
      <w:r w:rsidR="000E107D" w:rsidRPr="00F767C8">
        <w:rPr>
          <w:rFonts w:ascii="Times New Roman" w:hAnsi="Times New Roman" w:cs="Times New Roman"/>
          <w:sz w:val="24"/>
          <w:szCs w:val="24"/>
        </w:rPr>
        <w:lastRenderedPageBreak/>
        <w:t>zmiennych oraz nie będzie miała wpływu na koszty produkcji. W wyniku tego, przedsiębiorstwa mogą mieć bezpośrednią motywację do przekazywania konsumentom korzyści w postaci większej produkcji oraz niższych cen, które ograniczają koszty krańcowe, podczas gdy nie mają takiej motywacji w przypadku korzyści, które ograniczają koszty stałe. Istnieje zatem większe prawdopodobieństwo, iż konsumenci uzyskają odpowiedni udział w korzyściach kosztowych w przypadku ograniczania kosztów zmiennych, niż w przypadku ograniczania kosztów stałych.</w:t>
      </w:r>
    </w:p>
    <w:p w14:paraId="7638E853" w14:textId="48487059" w:rsidR="00866FB9" w:rsidRPr="00F767C8" w:rsidRDefault="00866FB9" w:rsidP="00F767C8">
      <w:pPr>
        <w:tabs>
          <w:tab w:val="left" w:pos="426"/>
        </w:tabs>
        <w:spacing w:after="0" w:line="360" w:lineRule="auto"/>
        <w:jc w:val="both"/>
        <w:rPr>
          <w:rFonts w:ascii="Times New Roman" w:hAnsi="Times New Roman" w:cs="Times New Roman"/>
          <w:color w:val="000000" w:themeColor="text1"/>
          <w:sz w:val="24"/>
          <w:szCs w:val="24"/>
        </w:rPr>
      </w:pPr>
      <w:r w:rsidRPr="00F767C8">
        <w:rPr>
          <w:rFonts w:ascii="Times New Roman" w:hAnsi="Times New Roman" w:cs="Times New Roman"/>
          <w:sz w:val="24"/>
          <w:szCs w:val="24"/>
        </w:rPr>
        <w:tab/>
        <w:t>Z kolei wyłączenie porozumień badawczo-rozwojowych (</w:t>
      </w:r>
      <w:r w:rsidR="00DF25F9" w:rsidRPr="00F767C8">
        <w:rPr>
          <w:rFonts w:ascii="Times New Roman" w:hAnsi="Times New Roman" w:cs="Times New Roman"/>
          <w:sz w:val="24"/>
          <w:szCs w:val="24"/>
        </w:rPr>
        <w:t>nazywanych</w:t>
      </w:r>
      <w:r w:rsidRPr="00F767C8">
        <w:rPr>
          <w:rFonts w:ascii="Times New Roman" w:hAnsi="Times New Roman" w:cs="Times New Roman"/>
          <w:sz w:val="24"/>
          <w:szCs w:val="24"/>
        </w:rPr>
        <w:t xml:space="preserve"> także porozumieniami B+R lub porozumieniami R&amp;D, od ang. Research and Development)  spod zakazu obejmuje: porozumienia w sprawie wspólnego wykonywania działalności badawczo-rozwojowej w odniesieniu do towarów lub procesów, porozumienia w sprawie wspólnego wykorzystywania wyników działalności badawczo-rozwojowej w odniesieniu do towarów lub procesów, prowadzonej wspólnie oraz porozumienia, które łączą wykonywanie działalności badawczo-rozwojowej i wykorzystywanie jej wyników</w:t>
      </w:r>
    </w:p>
    <w:p w14:paraId="21E6F6A5" w14:textId="41F28A48" w:rsidR="000E107D" w:rsidRPr="00F767C8" w:rsidRDefault="000E107D" w:rsidP="00F767C8">
      <w:pPr>
        <w:tabs>
          <w:tab w:val="left" w:pos="426"/>
        </w:tabs>
        <w:spacing w:after="0" w:line="360" w:lineRule="auto"/>
        <w:jc w:val="both"/>
        <w:rPr>
          <w:rFonts w:ascii="Times New Roman" w:hAnsi="Times New Roman" w:cs="Times New Roman"/>
          <w:color w:val="000000" w:themeColor="text1"/>
          <w:sz w:val="24"/>
          <w:szCs w:val="24"/>
        </w:rPr>
      </w:pPr>
      <w:r w:rsidRPr="00F767C8">
        <w:rPr>
          <w:rFonts w:ascii="Times New Roman" w:hAnsi="Times New Roman" w:cs="Times New Roman"/>
          <w:sz w:val="24"/>
          <w:szCs w:val="24"/>
        </w:rPr>
        <w:tab/>
        <w:t>Porozumienia badawczo-rozwojowe, dotyczą współpracy w zakresie badań naukowych i</w:t>
      </w:r>
      <w:r w:rsidR="002A3B28" w:rsidRPr="00F767C8">
        <w:rPr>
          <w:rFonts w:ascii="Times New Roman" w:hAnsi="Times New Roman" w:cs="Times New Roman"/>
          <w:sz w:val="24"/>
          <w:szCs w:val="24"/>
        </w:rPr>
        <w:t> </w:t>
      </w:r>
      <w:r w:rsidRPr="00F767C8">
        <w:rPr>
          <w:rFonts w:ascii="Times New Roman" w:hAnsi="Times New Roman" w:cs="Times New Roman"/>
          <w:sz w:val="24"/>
          <w:szCs w:val="24"/>
        </w:rPr>
        <w:t>prac rozwojowych. Ich celem jest przyczynianie się do postępu technicznego lub gospodarczego poprzez prowadzenie badań naukowych lub prac rozwojowych, a także dzielenie się wynikami tych prac.</w:t>
      </w:r>
    </w:p>
    <w:p w14:paraId="6CC97FCE" w14:textId="49113245" w:rsidR="000E107D" w:rsidRPr="00F767C8" w:rsidRDefault="000E107D" w:rsidP="00F767C8">
      <w:pPr>
        <w:tabs>
          <w:tab w:val="left" w:pos="426"/>
        </w:tabs>
        <w:spacing w:after="0" w:line="360" w:lineRule="auto"/>
        <w:jc w:val="both"/>
        <w:rPr>
          <w:rFonts w:ascii="Times New Roman" w:hAnsi="Times New Roman" w:cs="Times New Roman"/>
          <w:color w:val="000000" w:themeColor="text1"/>
          <w:sz w:val="24"/>
          <w:szCs w:val="24"/>
        </w:rPr>
      </w:pPr>
      <w:r w:rsidRPr="00F767C8">
        <w:rPr>
          <w:rFonts w:ascii="Times New Roman" w:hAnsi="Times New Roman" w:cs="Times New Roman"/>
          <w:color w:val="000000" w:themeColor="text1"/>
          <w:sz w:val="24"/>
          <w:szCs w:val="24"/>
        </w:rPr>
        <w:tab/>
      </w:r>
      <w:r w:rsidRPr="00F767C8">
        <w:rPr>
          <w:rFonts w:ascii="Times New Roman" w:hAnsi="Times New Roman" w:cs="Times New Roman"/>
          <w:sz w:val="24"/>
          <w:szCs w:val="24"/>
        </w:rPr>
        <w:t>Porozumienia badawczo-rozwojowe, są umowami lub współpracą pomiędzy przedsiębiorstwami, które mają na celu prowadzenie wspólnych badań i prac rozwojowych. W</w:t>
      </w:r>
      <w:r w:rsidR="002A3B28" w:rsidRPr="00F767C8">
        <w:rPr>
          <w:rFonts w:ascii="Times New Roman" w:hAnsi="Times New Roman" w:cs="Times New Roman"/>
          <w:sz w:val="24"/>
          <w:szCs w:val="24"/>
        </w:rPr>
        <w:t> </w:t>
      </w:r>
      <w:r w:rsidRPr="00F767C8">
        <w:rPr>
          <w:rFonts w:ascii="Times New Roman" w:hAnsi="Times New Roman" w:cs="Times New Roman"/>
          <w:sz w:val="24"/>
          <w:szCs w:val="24"/>
        </w:rPr>
        <w:t>kontekście prawa konkurencji takie porozumienia mogą być analizowane pod kątem ich zgodności z przepisami antymonopolowymi.</w:t>
      </w:r>
    </w:p>
    <w:p w14:paraId="5FFA4172" w14:textId="77777777" w:rsidR="000E107D" w:rsidRPr="00F767C8" w:rsidRDefault="000E107D" w:rsidP="00F767C8">
      <w:pPr>
        <w:tabs>
          <w:tab w:val="left" w:pos="426"/>
        </w:tabs>
        <w:spacing w:after="0" w:line="360" w:lineRule="auto"/>
        <w:jc w:val="both"/>
        <w:rPr>
          <w:rFonts w:ascii="Times New Roman" w:hAnsi="Times New Roman" w:cs="Times New Roman"/>
          <w:color w:val="000000" w:themeColor="text1"/>
          <w:sz w:val="24"/>
          <w:szCs w:val="24"/>
        </w:rPr>
      </w:pPr>
      <w:r w:rsidRPr="00F767C8">
        <w:rPr>
          <w:rFonts w:ascii="Times New Roman" w:hAnsi="Times New Roman" w:cs="Times New Roman"/>
          <w:color w:val="000000" w:themeColor="text1"/>
          <w:sz w:val="24"/>
          <w:szCs w:val="24"/>
        </w:rPr>
        <w:tab/>
      </w:r>
      <w:r w:rsidRPr="00F767C8">
        <w:rPr>
          <w:rFonts w:ascii="Times New Roman" w:hAnsi="Times New Roman" w:cs="Times New Roman"/>
          <w:sz w:val="24"/>
          <w:szCs w:val="24"/>
        </w:rPr>
        <w:t>Korzyści płynące z porozumień badawczo-rozwojowych w prawie konkurencji obejmują:</w:t>
      </w:r>
    </w:p>
    <w:p w14:paraId="6E1EBC45" w14:textId="7F9954CE" w:rsidR="000E107D" w:rsidRPr="00F767C8" w:rsidRDefault="00C72F2B" w:rsidP="00F767C8">
      <w:pPr>
        <w:pStyle w:val="Akapitzlist"/>
        <w:numPr>
          <w:ilvl w:val="0"/>
          <w:numId w:val="33"/>
        </w:numPr>
        <w:tabs>
          <w:tab w:val="left" w:pos="426"/>
        </w:tabs>
        <w:spacing w:after="0" w:line="36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sz w:val="24"/>
          <w:szCs w:val="24"/>
        </w:rPr>
        <w:t>p</w:t>
      </w:r>
      <w:r w:rsidR="000E107D" w:rsidRPr="00F767C8">
        <w:rPr>
          <w:rFonts w:ascii="Times New Roman" w:hAnsi="Times New Roman" w:cs="Times New Roman"/>
          <w:sz w:val="24"/>
          <w:szCs w:val="24"/>
        </w:rPr>
        <w:t xml:space="preserve">ostęp technologiczny: </w:t>
      </w:r>
      <w:r>
        <w:rPr>
          <w:rFonts w:ascii="Times New Roman" w:hAnsi="Times New Roman" w:cs="Times New Roman"/>
          <w:sz w:val="24"/>
          <w:szCs w:val="24"/>
        </w:rPr>
        <w:t>p</w:t>
      </w:r>
      <w:r w:rsidR="000E107D" w:rsidRPr="00F767C8">
        <w:rPr>
          <w:rFonts w:ascii="Times New Roman" w:hAnsi="Times New Roman" w:cs="Times New Roman"/>
          <w:sz w:val="24"/>
          <w:szCs w:val="24"/>
        </w:rPr>
        <w:t>orozumienia te pozwalają różnym przedsiębiorstwom współpracować nad badaniami i rozwojem nowych produktów, technologii lub usług. Dzięki temu można przyspieszyć proces innowacyjny i osiągnąć lepsze wyniki niż działając oddzielnie. Pozwala to na produkcję nowych i ulepszonych produktów, często tańszych w eksploatacji</w:t>
      </w:r>
      <w:r>
        <w:rPr>
          <w:rFonts w:ascii="Times New Roman" w:hAnsi="Times New Roman" w:cs="Times New Roman"/>
          <w:sz w:val="24"/>
          <w:szCs w:val="24"/>
        </w:rPr>
        <w:t>,</w:t>
      </w:r>
    </w:p>
    <w:p w14:paraId="51B27E5B" w14:textId="3863E5F4" w:rsidR="000E107D" w:rsidRPr="00F767C8" w:rsidRDefault="00C72F2B" w:rsidP="00F767C8">
      <w:pPr>
        <w:pStyle w:val="Akapitzlist"/>
        <w:numPr>
          <w:ilvl w:val="0"/>
          <w:numId w:val="33"/>
        </w:numPr>
        <w:tabs>
          <w:tab w:val="left" w:pos="426"/>
        </w:tabs>
        <w:spacing w:after="0" w:line="36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sz w:val="24"/>
          <w:szCs w:val="24"/>
        </w:rPr>
        <w:t>r</w:t>
      </w:r>
      <w:r w:rsidR="000E107D" w:rsidRPr="00F767C8">
        <w:rPr>
          <w:rFonts w:ascii="Times New Roman" w:hAnsi="Times New Roman" w:cs="Times New Roman"/>
          <w:sz w:val="24"/>
          <w:szCs w:val="24"/>
        </w:rPr>
        <w:t xml:space="preserve">edukcję kosztów badawczych: </w:t>
      </w:r>
      <w:r>
        <w:rPr>
          <w:rFonts w:ascii="Times New Roman" w:hAnsi="Times New Roman" w:cs="Times New Roman"/>
          <w:sz w:val="24"/>
          <w:szCs w:val="24"/>
        </w:rPr>
        <w:t>w</w:t>
      </w:r>
      <w:r w:rsidR="000E107D" w:rsidRPr="00F767C8">
        <w:rPr>
          <w:rFonts w:ascii="Times New Roman" w:hAnsi="Times New Roman" w:cs="Times New Roman"/>
          <w:sz w:val="24"/>
          <w:szCs w:val="24"/>
        </w:rPr>
        <w:t>spólne finansowanie badań i rozwoju może pomóc obniżyć koszty związane z inwestycjami w ten obszar. Przedsiębiorcy mogą dzielić się zasobami, wiedzą i doświadczeniem, co prowadzi do efektywniejszego wykorzystania środków</w:t>
      </w:r>
      <w:r>
        <w:rPr>
          <w:rFonts w:ascii="Times New Roman" w:hAnsi="Times New Roman" w:cs="Times New Roman"/>
          <w:sz w:val="24"/>
          <w:szCs w:val="24"/>
        </w:rPr>
        <w:t>,</w:t>
      </w:r>
    </w:p>
    <w:p w14:paraId="25CCBE2C" w14:textId="0D7C5FDA" w:rsidR="000E107D" w:rsidRPr="00F767C8" w:rsidRDefault="00C72F2B" w:rsidP="00F767C8">
      <w:pPr>
        <w:pStyle w:val="Akapitzlist"/>
        <w:numPr>
          <w:ilvl w:val="0"/>
          <w:numId w:val="33"/>
        </w:numPr>
        <w:tabs>
          <w:tab w:val="left" w:pos="426"/>
        </w:tabs>
        <w:spacing w:after="0" w:line="36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d</w:t>
      </w:r>
      <w:r w:rsidR="000E107D" w:rsidRPr="00F767C8">
        <w:rPr>
          <w:rFonts w:ascii="Times New Roman" w:hAnsi="Times New Roman" w:cs="Times New Roman"/>
          <w:sz w:val="24"/>
          <w:szCs w:val="24"/>
        </w:rPr>
        <w:t xml:space="preserve">ostęp do unikalnych zasobów: </w:t>
      </w:r>
      <w:r>
        <w:rPr>
          <w:rFonts w:ascii="Times New Roman" w:hAnsi="Times New Roman" w:cs="Times New Roman"/>
          <w:sz w:val="24"/>
          <w:szCs w:val="24"/>
        </w:rPr>
        <w:t>d</w:t>
      </w:r>
      <w:r w:rsidR="000E107D" w:rsidRPr="00F767C8">
        <w:rPr>
          <w:rFonts w:ascii="Times New Roman" w:hAnsi="Times New Roman" w:cs="Times New Roman"/>
          <w:sz w:val="24"/>
          <w:szCs w:val="24"/>
        </w:rPr>
        <w:t>zięki porozumieniom przedsiębiorstwa mogą uzyskać dostęp do unikalnych zasobów, które inna firma lub instytucja posiada, takie jak patenty, dane, czy specjalistyczna wiedza</w:t>
      </w:r>
      <w:r>
        <w:rPr>
          <w:rFonts w:ascii="Times New Roman" w:hAnsi="Times New Roman" w:cs="Times New Roman"/>
          <w:sz w:val="24"/>
          <w:szCs w:val="24"/>
        </w:rPr>
        <w:t>,</w:t>
      </w:r>
    </w:p>
    <w:p w14:paraId="58ABF2D6" w14:textId="3D4E79C0" w:rsidR="00E0772D" w:rsidRPr="00F767C8" w:rsidRDefault="00C72F2B" w:rsidP="00F767C8">
      <w:pPr>
        <w:pStyle w:val="Akapitzlist"/>
        <w:numPr>
          <w:ilvl w:val="0"/>
          <w:numId w:val="33"/>
        </w:numPr>
        <w:tabs>
          <w:tab w:val="left" w:pos="426"/>
        </w:tabs>
        <w:spacing w:after="0" w:line="36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sz w:val="24"/>
          <w:szCs w:val="24"/>
        </w:rPr>
        <w:t>z</w:t>
      </w:r>
      <w:r w:rsidR="000E107D" w:rsidRPr="00F767C8">
        <w:rPr>
          <w:rFonts w:ascii="Times New Roman" w:hAnsi="Times New Roman" w:cs="Times New Roman"/>
          <w:sz w:val="24"/>
          <w:szCs w:val="24"/>
        </w:rPr>
        <w:t xml:space="preserve">większenie konkurencyjności: </w:t>
      </w:r>
      <w:r>
        <w:rPr>
          <w:rFonts w:ascii="Times New Roman" w:hAnsi="Times New Roman" w:cs="Times New Roman"/>
          <w:sz w:val="24"/>
          <w:szCs w:val="24"/>
        </w:rPr>
        <w:t>w</w:t>
      </w:r>
      <w:r w:rsidR="000E107D" w:rsidRPr="00F767C8">
        <w:rPr>
          <w:rFonts w:ascii="Times New Roman" w:hAnsi="Times New Roman" w:cs="Times New Roman"/>
          <w:sz w:val="24"/>
          <w:szCs w:val="24"/>
        </w:rPr>
        <w:t>spółpraca w zakresie badań i rozwoju może zwiększyć konkurencyjność przedsiębiorstw na rynku. Pozwala to na tworzenie nowych produktów lub usług, które mogą zdobyć większą część rynku lub zaoferować klientom innowacyjne rozwiązania.</w:t>
      </w:r>
    </w:p>
    <w:p w14:paraId="6E8B2BAD" w14:textId="654E0812" w:rsidR="00E0772D" w:rsidRPr="00F767C8" w:rsidRDefault="00E63096" w:rsidP="00F767C8">
      <w:pPr>
        <w:tabs>
          <w:tab w:val="left" w:pos="426"/>
        </w:tabs>
        <w:spacing w:after="0" w:line="360" w:lineRule="auto"/>
        <w:jc w:val="both"/>
        <w:rPr>
          <w:rFonts w:ascii="Times New Roman" w:hAnsi="Times New Roman" w:cs="Times New Roman"/>
          <w:color w:val="000000" w:themeColor="text1"/>
          <w:sz w:val="24"/>
          <w:szCs w:val="24"/>
        </w:rPr>
      </w:pPr>
      <w:r w:rsidRPr="00F767C8">
        <w:rPr>
          <w:rFonts w:ascii="Times New Roman" w:hAnsi="Times New Roman" w:cs="Times New Roman"/>
          <w:color w:val="000000" w:themeColor="text1"/>
          <w:sz w:val="24"/>
          <w:szCs w:val="24"/>
        </w:rPr>
        <w:tab/>
      </w:r>
      <w:r w:rsidR="00E0772D" w:rsidRPr="00F767C8">
        <w:rPr>
          <w:rFonts w:ascii="Times New Roman" w:hAnsi="Times New Roman" w:cs="Times New Roman"/>
          <w:color w:val="000000" w:themeColor="text1"/>
          <w:sz w:val="24"/>
          <w:szCs w:val="24"/>
        </w:rPr>
        <w:t>W wypadku porozumień specjalizacyjnych i badawczo-rozwojowych korzyści wynikają zatem z integracji działalności gospodarczej, w ramach której przedsiębiorstwa wspólnie wykorzystują posiadane zasoby (materialne i niematerialne), aby osiągnąć cele, których nie mogłyby osiągnąć w tak efektywny sposób działając samodzielnie lub w ramach współpracy powierzają innemu przedsiębiorstwu zadania, które mogą być realizowane w bardziej efektywny sposób przez to przedsiębiorstwo. Dotyczy to działań innowacyjnych, które z natury są bardzo kosztowne oraz wymagają unikalnych zasobów. Porozumienia kooperacyjne mogą dawać korzyści poprzez umożliwienie przedsiębiorstwom wykonywania tych zadań po niższych kosztach lub wytwarzając jednocześnie wyższą wartość dla konsumentów.</w:t>
      </w:r>
    </w:p>
    <w:p w14:paraId="6C177C76" w14:textId="77777777" w:rsidR="00E0772D" w:rsidRPr="00F767C8" w:rsidRDefault="00E0772D" w:rsidP="00F767C8">
      <w:pPr>
        <w:tabs>
          <w:tab w:val="left" w:pos="426"/>
        </w:tabs>
        <w:spacing w:after="0" w:line="360" w:lineRule="auto"/>
        <w:jc w:val="both"/>
        <w:rPr>
          <w:rFonts w:ascii="Times New Roman" w:hAnsi="Times New Roman" w:cs="Times New Roman"/>
          <w:color w:val="000000" w:themeColor="text1"/>
          <w:sz w:val="24"/>
          <w:szCs w:val="24"/>
        </w:rPr>
      </w:pPr>
      <w:r w:rsidRPr="00F767C8">
        <w:rPr>
          <w:rFonts w:ascii="Times New Roman" w:hAnsi="Times New Roman" w:cs="Times New Roman"/>
          <w:color w:val="000000" w:themeColor="text1"/>
          <w:sz w:val="24"/>
          <w:szCs w:val="24"/>
        </w:rPr>
        <w:t>Dzięki wzajemnej współpracy przedsiębiorstwa mogą osiągać korzyści, które nie byłyby możliwe bez porozumienia ograniczającego konkurencję lub byłyby możliwe jedynie ze znacznym opóźnieniem lub przy wyższych kosztach.</w:t>
      </w:r>
    </w:p>
    <w:p w14:paraId="3C36F2C5" w14:textId="4D7A3B9E" w:rsidR="00E0772D" w:rsidRPr="00F767C8" w:rsidRDefault="00E63096" w:rsidP="00F767C8">
      <w:pPr>
        <w:tabs>
          <w:tab w:val="left" w:pos="426"/>
        </w:tabs>
        <w:spacing w:after="0" w:line="360" w:lineRule="auto"/>
        <w:jc w:val="both"/>
        <w:rPr>
          <w:rFonts w:ascii="Times New Roman" w:hAnsi="Times New Roman" w:cs="Times New Roman"/>
          <w:color w:val="000000" w:themeColor="text1"/>
          <w:sz w:val="24"/>
          <w:szCs w:val="24"/>
        </w:rPr>
      </w:pPr>
      <w:r w:rsidRPr="00F767C8">
        <w:rPr>
          <w:rFonts w:ascii="Times New Roman" w:hAnsi="Times New Roman" w:cs="Times New Roman"/>
          <w:color w:val="000000" w:themeColor="text1"/>
          <w:sz w:val="24"/>
          <w:szCs w:val="24"/>
        </w:rPr>
        <w:tab/>
      </w:r>
      <w:r w:rsidR="00E0772D" w:rsidRPr="00F767C8">
        <w:rPr>
          <w:rFonts w:ascii="Times New Roman" w:hAnsi="Times New Roman" w:cs="Times New Roman"/>
          <w:color w:val="000000" w:themeColor="text1"/>
          <w:sz w:val="24"/>
          <w:szCs w:val="24"/>
        </w:rPr>
        <w:t>Porozumienia te przynoszą korzyści kosztowe, jakościowe oraz korzyści dla konsumentów. Jednym z kluczowych źródeł oszczędności kosztowych jest rozwijanie nowych technologii i metod produkcji. Ogólnie rzecz biorąc, to właśnie w momencie dokonywania przeskoków technologicznych istnieje największe prawdopodobieństwo uzyskania znaczących oszczędności kosztowych. Przykładem może być np. wprowadzenie linii montażowej, które przyczyniło się do istotnego obniżenia kosztów produkcji pojazdów silnikowych</w:t>
      </w:r>
      <w:r w:rsidR="00F13783" w:rsidRPr="00F767C8">
        <w:rPr>
          <w:rStyle w:val="Odwoanieprzypisudolnego"/>
          <w:rFonts w:ascii="Times New Roman" w:hAnsi="Times New Roman" w:cs="Times New Roman"/>
          <w:color w:val="000000" w:themeColor="text1"/>
          <w:sz w:val="24"/>
          <w:szCs w:val="24"/>
        </w:rPr>
        <w:footnoteReference w:id="2"/>
      </w:r>
      <w:r w:rsidR="00E0772D" w:rsidRPr="00F767C8">
        <w:rPr>
          <w:rFonts w:ascii="Times New Roman" w:hAnsi="Times New Roman" w:cs="Times New Roman"/>
          <w:color w:val="000000" w:themeColor="text1"/>
          <w:sz w:val="24"/>
          <w:szCs w:val="24"/>
        </w:rPr>
        <w:t>.</w:t>
      </w:r>
    </w:p>
    <w:p w14:paraId="230C3F71" w14:textId="21AEE3AA" w:rsidR="00E0772D" w:rsidRPr="00F767C8" w:rsidRDefault="00E63096" w:rsidP="00F767C8">
      <w:pPr>
        <w:tabs>
          <w:tab w:val="left" w:pos="426"/>
        </w:tabs>
        <w:spacing w:after="0" w:line="360" w:lineRule="auto"/>
        <w:jc w:val="both"/>
        <w:rPr>
          <w:rFonts w:ascii="Times New Roman" w:hAnsi="Times New Roman" w:cs="Times New Roman"/>
          <w:color w:val="000000" w:themeColor="text1"/>
          <w:sz w:val="24"/>
          <w:szCs w:val="24"/>
        </w:rPr>
      </w:pPr>
      <w:r w:rsidRPr="00F767C8">
        <w:rPr>
          <w:rFonts w:ascii="Times New Roman" w:hAnsi="Times New Roman" w:cs="Times New Roman"/>
          <w:color w:val="000000" w:themeColor="text1"/>
          <w:sz w:val="24"/>
          <w:szCs w:val="24"/>
        </w:rPr>
        <w:tab/>
      </w:r>
      <w:r w:rsidR="00E0772D" w:rsidRPr="00F767C8">
        <w:rPr>
          <w:rFonts w:ascii="Times New Roman" w:hAnsi="Times New Roman" w:cs="Times New Roman"/>
          <w:color w:val="000000" w:themeColor="text1"/>
          <w:sz w:val="24"/>
          <w:szCs w:val="24"/>
        </w:rPr>
        <w:t xml:space="preserve">Ponadto, istotne jest zjawisko synergii wynikającej z integracji istniejących aktywów. Kiedy przedsiębiorstwa łączą swoje zasoby i aktywa, mogą efektywniej wykorzystać swoje potencjały, co prowadzi do obniżenia kosztów oraz zwiększenia efektywności operacyjnej. Kolejnym istotnym źródłem korzyści kosztowych są korzyści skali. Oznacza to, że w miarę wzrostu skali produkcji, koszty na jednostkę produkcji maleją. Przedsiębiorstwa mogą osiągnąć ekonomię skali, które pozwalają im produkować większe ilości towarów lub usług przy niższych kosztach jednostkowych. </w:t>
      </w:r>
    </w:p>
    <w:p w14:paraId="5CCF5DBF" w14:textId="7789FE2B" w:rsidR="00E63096" w:rsidRPr="00F767C8" w:rsidRDefault="00E63096" w:rsidP="00F767C8">
      <w:pPr>
        <w:tabs>
          <w:tab w:val="left" w:pos="426"/>
        </w:tabs>
        <w:spacing w:after="0" w:line="360" w:lineRule="auto"/>
        <w:jc w:val="both"/>
        <w:rPr>
          <w:rFonts w:ascii="Times New Roman" w:hAnsi="Times New Roman" w:cs="Times New Roman"/>
          <w:color w:val="000000" w:themeColor="text1"/>
          <w:sz w:val="24"/>
          <w:szCs w:val="24"/>
        </w:rPr>
      </w:pPr>
      <w:r w:rsidRPr="00F767C8">
        <w:rPr>
          <w:rFonts w:ascii="Times New Roman" w:hAnsi="Times New Roman" w:cs="Times New Roman"/>
          <w:color w:val="000000" w:themeColor="text1"/>
          <w:sz w:val="24"/>
          <w:szCs w:val="24"/>
        </w:rPr>
        <w:lastRenderedPageBreak/>
        <w:tab/>
        <w:t xml:space="preserve">W związku z powyższym </w:t>
      </w:r>
      <w:r w:rsidR="00813CE6" w:rsidRPr="00F767C8">
        <w:rPr>
          <w:rFonts w:ascii="Times New Roman" w:hAnsi="Times New Roman" w:cs="Times New Roman"/>
          <w:color w:val="000000" w:themeColor="text1"/>
          <w:sz w:val="24"/>
          <w:szCs w:val="24"/>
        </w:rPr>
        <w:t xml:space="preserve">w </w:t>
      </w:r>
      <w:r w:rsidRPr="00F767C8">
        <w:rPr>
          <w:rFonts w:ascii="Times New Roman" w:hAnsi="Times New Roman" w:cs="Times New Roman"/>
          <w:color w:val="000000" w:themeColor="text1"/>
          <w:sz w:val="24"/>
          <w:szCs w:val="24"/>
        </w:rPr>
        <w:t>prawie unijnym i polskim przyjęto założenie, że dla ułatwienia działalności gospodarczej, niektóre typy porozumień zostaną wyłączone spod zakazów zawierania niedozwolonych porozumień określonych w art. 6 u.o.k.k. (lub odpowiednio 101 TFUE), z uwagi na ich potencjalne prokonkurencyjne skutki lub brak możliwości istotnego oddziaływania na konkurencję.</w:t>
      </w:r>
    </w:p>
    <w:p w14:paraId="6EAEF412" w14:textId="3CABFD03" w:rsidR="00E0772D" w:rsidRPr="00F767C8" w:rsidRDefault="00866FB9" w:rsidP="00F767C8">
      <w:pPr>
        <w:tabs>
          <w:tab w:val="left" w:pos="426"/>
        </w:tabs>
        <w:spacing w:after="0" w:line="360" w:lineRule="auto"/>
        <w:jc w:val="both"/>
        <w:rPr>
          <w:rFonts w:ascii="Times New Roman" w:hAnsi="Times New Roman" w:cs="Times New Roman"/>
          <w:color w:val="000000" w:themeColor="text1"/>
          <w:sz w:val="24"/>
          <w:szCs w:val="24"/>
        </w:rPr>
      </w:pPr>
      <w:r w:rsidRPr="00F767C8">
        <w:rPr>
          <w:rFonts w:ascii="Times New Roman" w:hAnsi="Times New Roman" w:cs="Times New Roman"/>
          <w:color w:val="000000" w:themeColor="text1"/>
          <w:sz w:val="24"/>
          <w:szCs w:val="24"/>
        </w:rPr>
        <w:tab/>
        <w:t>Jednocześnie należy pamiętać, że w przypadku wyłączeń potencjalne o</w:t>
      </w:r>
      <w:r w:rsidR="00E0772D" w:rsidRPr="00F767C8">
        <w:rPr>
          <w:rFonts w:ascii="Times New Roman" w:hAnsi="Times New Roman" w:cs="Times New Roman"/>
          <w:color w:val="000000" w:themeColor="text1"/>
          <w:sz w:val="24"/>
          <w:szCs w:val="24"/>
        </w:rPr>
        <w:t xml:space="preserve">graniczenia konkurencji muszą być niezbędne do osiągnięcia zakładanych korzyści. Kryterium niezbędności </w:t>
      </w:r>
      <w:r w:rsidRPr="00F767C8">
        <w:rPr>
          <w:rFonts w:ascii="Times New Roman" w:hAnsi="Times New Roman" w:cs="Times New Roman"/>
          <w:color w:val="000000" w:themeColor="text1"/>
          <w:sz w:val="24"/>
          <w:szCs w:val="24"/>
        </w:rPr>
        <w:t xml:space="preserve">oznacza, że </w:t>
      </w:r>
      <w:r w:rsidR="00E0772D" w:rsidRPr="00F767C8">
        <w:rPr>
          <w:rFonts w:ascii="Times New Roman" w:hAnsi="Times New Roman" w:cs="Times New Roman"/>
          <w:color w:val="000000" w:themeColor="text1"/>
          <w:sz w:val="24"/>
          <w:szCs w:val="24"/>
        </w:rPr>
        <w:t>istnieni</w:t>
      </w:r>
      <w:r w:rsidRPr="00F767C8">
        <w:rPr>
          <w:rFonts w:ascii="Times New Roman" w:hAnsi="Times New Roman" w:cs="Times New Roman"/>
          <w:color w:val="000000" w:themeColor="text1"/>
          <w:sz w:val="24"/>
          <w:szCs w:val="24"/>
        </w:rPr>
        <w:t xml:space="preserve">e </w:t>
      </w:r>
      <w:r w:rsidR="00E0772D" w:rsidRPr="00F767C8">
        <w:rPr>
          <w:rFonts w:ascii="Times New Roman" w:hAnsi="Times New Roman" w:cs="Times New Roman"/>
          <w:color w:val="000000" w:themeColor="text1"/>
          <w:sz w:val="24"/>
          <w:szCs w:val="24"/>
        </w:rPr>
        <w:t xml:space="preserve">umowy lub praktyki </w:t>
      </w:r>
      <w:r w:rsidRPr="00F767C8">
        <w:rPr>
          <w:rFonts w:ascii="Times New Roman" w:hAnsi="Times New Roman" w:cs="Times New Roman"/>
          <w:color w:val="000000" w:themeColor="text1"/>
          <w:sz w:val="24"/>
          <w:szCs w:val="24"/>
        </w:rPr>
        <w:t xml:space="preserve">jest konieczne </w:t>
      </w:r>
      <w:r w:rsidR="00E0772D" w:rsidRPr="00F767C8">
        <w:rPr>
          <w:rFonts w:ascii="Times New Roman" w:hAnsi="Times New Roman" w:cs="Times New Roman"/>
          <w:color w:val="000000" w:themeColor="text1"/>
          <w:sz w:val="24"/>
          <w:szCs w:val="24"/>
        </w:rPr>
        <w:t xml:space="preserve">dla osiągnięcia określonego celu lub korzyści z punktu widzenia gospodarki lub konsumentów (niemożliwe byłoby </w:t>
      </w:r>
      <w:r w:rsidRPr="00F767C8">
        <w:rPr>
          <w:rFonts w:ascii="Times New Roman" w:hAnsi="Times New Roman" w:cs="Times New Roman"/>
          <w:color w:val="000000" w:themeColor="text1"/>
          <w:sz w:val="24"/>
          <w:szCs w:val="24"/>
        </w:rPr>
        <w:t>osiągnięcie</w:t>
      </w:r>
      <w:r w:rsidR="00E0772D" w:rsidRPr="00F767C8">
        <w:rPr>
          <w:rFonts w:ascii="Times New Roman" w:hAnsi="Times New Roman" w:cs="Times New Roman"/>
          <w:color w:val="000000" w:themeColor="text1"/>
          <w:sz w:val="24"/>
          <w:szCs w:val="24"/>
        </w:rPr>
        <w:t xml:space="preserve"> korzyści w inny sposób – z pominięciem porozumienia). Kryterium niezbędności ma na celu zachowanie równowagi między promowaniem konkurencji a</w:t>
      </w:r>
      <w:r w:rsidR="002A3B28" w:rsidRPr="00F767C8">
        <w:rPr>
          <w:rFonts w:ascii="Times New Roman" w:hAnsi="Times New Roman" w:cs="Times New Roman"/>
          <w:color w:val="000000" w:themeColor="text1"/>
          <w:sz w:val="24"/>
          <w:szCs w:val="24"/>
        </w:rPr>
        <w:t> </w:t>
      </w:r>
      <w:r w:rsidR="00E0772D" w:rsidRPr="00F767C8">
        <w:rPr>
          <w:rFonts w:ascii="Times New Roman" w:hAnsi="Times New Roman" w:cs="Times New Roman"/>
          <w:color w:val="000000" w:themeColor="text1"/>
          <w:sz w:val="24"/>
          <w:szCs w:val="24"/>
        </w:rPr>
        <w:t xml:space="preserve">umożliwianiem pewnych form współpracy lub umów, które mogą przynosić korzyści gospodarce lub konsumentom. </w:t>
      </w:r>
    </w:p>
    <w:p w14:paraId="5E55309A" w14:textId="159551A7" w:rsidR="00E0772D" w:rsidRPr="00F767C8" w:rsidRDefault="00866FB9" w:rsidP="00F767C8">
      <w:pPr>
        <w:tabs>
          <w:tab w:val="left" w:pos="426"/>
        </w:tabs>
        <w:spacing w:after="0" w:line="360" w:lineRule="auto"/>
        <w:jc w:val="both"/>
        <w:rPr>
          <w:rFonts w:ascii="Times New Roman" w:hAnsi="Times New Roman" w:cs="Times New Roman"/>
          <w:color w:val="000000" w:themeColor="text1"/>
          <w:sz w:val="24"/>
          <w:szCs w:val="24"/>
        </w:rPr>
      </w:pPr>
      <w:r w:rsidRPr="00F767C8">
        <w:rPr>
          <w:rFonts w:ascii="Times New Roman" w:hAnsi="Times New Roman" w:cs="Times New Roman"/>
          <w:color w:val="000000" w:themeColor="text1"/>
          <w:sz w:val="24"/>
          <w:szCs w:val="24"/>
        </w:rPr>
        <w:tab/>
      </w:r>
      <w:r w:rsidR="00E0772D" w:rsidRPr="00F767C8">
        <w:rPr>
          <w:rFonts w:ascii="Times New Roman" w:hAnsi="Times New Roman" w:cs="Times New Roman"/>
          <w:color w:val="000000" w:themeColor="text1"/>
          <w:sz w:val="24"/>
          <w:szCs w:val="24"/>
        </w:rPr>
        <w:t xml:space="preserve">Ponadto strony umów nie mogą posiadać zbyt dużego udziału w rynku właściwym aby skorzystać ze zwolnienia grupowego. Z przywileju mogą skorzystać tylko  uczestnicy porozumienia, którzy nie wykazują nadmiernej siły rynkowej. Zastosowanie przepisów zależy więc od stopnia w jakim przedsiębiorstwa te konkurują z innymi dostawcami towarów lub usług uważanych przez ich klientów za wzajemnie zamienne lub za substytucyjne z uwagi na cechy, ceny i zamierzone przeznaczenie produktów. </w:t>
      </w:r>
      <w:r w:rsidRPr="00F767C8">
        <w:rPr>
          <w:rFonts w:ascii="Times New Roman" w:hAnsi="Times New Roman" w:cs="Times New Roman"/>
          <w:color w:val="000000" w:themeColor="text1"/>
          <w:sz w:val="24"/>
          <w:szCs w:val="24"/>
        </w:rPr>
        <w:t>Mając powyższe na uwadze warunkiem dopuszczalności zwolnienia jest także nieprzekroczenie przez strony porozumienia określonej wielkości udziału w rynku.</w:t>
      </w:r>
    </w:p>
    <w:p w14:paraId="133148C1" w14:textId="369F68C1" w:rsidR="00E0772D" w:rsidRPr="00F767C8" w:rsidRDefault="00866FB9" w:rsidP="00F767C8">
      <w:pPr>
        <w:tabs>
          <w:tab w:val="left" w:pos="426"/>
        </w:tabs>
        <w:spacing w:after="0" w:line="360" w:lineRule="auto"/>
        <w:jc w:val="both"/>
        <w:rPr>
          <w:rFonts w:ascii="Times New Roman" w:hAnsi="Times New Roman" w:cs="Times New Roman"/>
          <w:color w:val="000000" w:themeColor="text1"/>
          <w:sz w:val="24"/>
          <w:szCs w:val="24"/>
        </w:rPr>
      </w:pPr>
      <w:r w:rsidRPr="00F767C8">
        <w:rPr>
          <w:rFonts w:ascii="Times New Roman" w:hAnsi="Times New Roman" w:cs="Times New Roman"/>
          <w:color w:val="000000" w:themeColor="text1"/>
          <w:sz w:val="24"/>
          <w:szCs w:val="24"/>
        </w:rPr>
        <w:tab/>
      </w:r>
      <w:r w:rsidR="0005064A" w:rsidRPr="00F767C8">
        <w:rPr>
          <w:rFonts w:ascii="Times New Roman" w:hAnsi="Times New Roman" w:cs="Times New Roman"/>
          <w:color w:val="000000" w:themeColor="text1"/>
          <w:sz w:val="24"/>
          <w:szCs w:val="24"/>
        </w:rPr>
        <w:t>Zgodnie z rozporządzeniem p</w:t>
      </w:r>
      <w:r w:rsidR="00E0772D" w:rsidRPr="00F767C8">
        <w:rPr>
          <w:rFonts w:ascii="Times New Roman" w:hAnsi="Times New Roman" w:cs="Times New Roman"/>
          <w:color w:val="000000" w:themeColor="text1"/>
          <w:sz w:val="24"/>
          <w:szCs w:val="24"/>
        </w:rPr>
        <w:t>orozumienia nie mogą</w:t>
      </w:r>
      <w:r w:rsidR="00E63096" w:rsidRPr="00F767C8">
        <w:rPr>
          <w:rFonts w:ascii="Times New Roman" w:hAnsi="Times New Roman" w:cs="Times New Roman"/>
          <w:color w:val="000000" w:themeColor="text1"/>
          <w:sz w:val="24"/>
          <w:szCs w:val="24"/>
        </w:rPr>
        <w:t xml:space="preserve"> bezpośrednio lub pośrednio, samodzielnie lub w powiązaniu z innymi czynnikami zależnymi od stron, mieć na najpoważniejszych ograniczeń konkurencji (tzw. klauzule czarne)(ang. hardcore restraints) </w:t>
      </w:r>
      <w:r w:rsidR="00E0772D" w:rsidRPr="00F767C8">
        <w:rPr>
          <w:rFonts w:ascii="Times New Roman" w:hAnsi="Times New Roman" w:cs="Times New Roman"/>
          <w:color w:val="000000" w:themeColor="text1"/>
          <w:sz w:val="24"/>
          <w:szCs w:val="24"/>
        </w:rPr>
        <w:t xml:space="preserve">(np. nie mogą ustalać cen lub zobowiązywać się do wyłączności w zakresie współpracy), ponieważ ich antykonkurencyjny charakter nie </w:t>
      </w:r>
      <w:r w:rsidRPr="00F767C8">
        <w:rPr>
          <w:rFonts w:ascii="Times New Roman" w:hAnsi="Times New Roman" w:cs="Times New Roman"/>
          <w:color w:val="000000" w:themeColor="text1"/>
          <w:sz w:val="24"/>
          <w:szCs w:val="24"/>
        </w:rPr>
        <w:t xml:space="preserve">może </w:t>
      </w:r>
      <w:r w:rsidR="00E0772D" w:rsidRPr="00F767C8">
        <w:rPr>
          <w:rFonts w:ascii="Times New Roman" w:hAnsi="Times New Roman" w:cs="Times New Roman"/>
          <w:color w:val="000000" w:themeColor="text1"/>
          <w:sz w:val="24"/>
          <w:szCs w:val="24"/>
        </w:rPr>
        <w:t>zosta</w:t>
      </w:r>
      <w:r w:rsidRPr="00F767C8">
        <w:rPr>
          <w:rFonts w:ascii="Times New Roman" w:hAnsi="Times New Roman" w:cs="Times New Roman"/>
          <w:color w:val="000000" w:themeColor="text1"/>
          <w:sz w:val="24"/>
          <w:szCs w:val="24"/>
        </w:rPr>
        <w:t xml:space="preserve">ć </w:t>
      </w:r>
      <w:r w:rsidR="00E0772D" w:rsidRPr="00F767C8">
        <w:rPr>
          <w:rFonts w:ascii="Times New Roman" w:hAnsi="Times New Roman" w:cs="Times New Roman"/>
          <w:color w:val="000000" w:themeColor="text1"/>
          <w:sz w:val="24"/>
          <w:szCs w:val="24"/>
        </w:rPr>
        <w:t xml:space="preserve">skompensowany przez wskazane korzyści. </w:t>
      </w:r>
    </w:p>
    <w:p w14:paraId="1D8059B3" w14:textId="327E6844" w:rsidR="00E63096" w:rsidRPr="00F767C8" w:rsidRDefault="00E63096" w:rsidP="00F767C8">
      <w:pPr>
        <w:tabs>
          <w:tab w:val="left" w:pos="426"/>
        </w:tabs>
        <w:spacing w:after="0" w:line="360" w:lineRule="auto"/>
        <w:jc w:val="both"/>
        <w:rPr>
          <w:rFonts w:ascii="Times New Roman" w:hAnsi="Times New Roman" w:cs="Times New Roman"/>
          <w:sz w:val="24"/>
          <w:szCs w:val="24"/>
        </w:rPr>
      </w:pPr>
      <w:r w:rsidRPr="00F767C8">
        <w:rPr>
          <w:rFonts w:ascii="Times New Roman" w:hAnsi="Times New Roman" w:cs="Times New Roman"/>
          <w:color w:val="000000" w:themeColor="text1"/>
          <w:sz w:val="24"/>
          <w:szCs w:val="24"/>
        </w:rPr>
        <w:tab/>
        <w:t xml:space="preserve">Poza klauzulami stanowiącymi najpoważniejsze ograniczenia konkurencji, które prowadząca do unieważnienia całego porozumienia, rozporządzenie w par. </w:t>
      </w:r>
      <w:r w:rsidR="008B2919" w:rsidRPr="00F767C8">
        <w:rPr>
          <w:rFonts w:ascii="Times New Roman" w:hAnsi="Times New Roman" w:cs="Times New Roman"/>
          <w:color w:val="000000" w:themeColor="text1"/>
          <w:sz w:val="24"/>
          <w:szCs w:val="24"/>
        </w:rPr>
        <w:t>10</w:t>
      </w:r>
      <w:r w:rsidRPr="00F767C8">
        <w:rPr>
          <w:rFonts w:ascii="Times New Roman" w:hAnsi="Times New Roman" w:cs="Times New Roman"/>
          <w:color w:val="000000" w:themeColor="text1"/>
          <w:sz w:val="24"/>
          <w:szCs w:val="24"/>
        </w:rPr>
        <w:t xml:space="preserve"> wymienia także postanowienia, które są niedozwolone, nie powodując unieważnienia porozumienia w całości (tzw. klauzule szare)(ang. excluded restrictions).</w:t>
      </w:r>
      <w:r w:rsidRPr="00F767C8">
        <w:rPr>
          <w:rFonts w:ascii="Times New Roman" w:hAnsi="Times New Roman" w:cs="Times New Roman"/>
          <w:sz w:val="24"/>
          <w:szCs w:val="24"/>
        </w:rPr>
        <w:t xml:space="preserve"> </w:t>
      </w:r>
    </w:p>
    <w:p w14:paraId="3CA1290B" w14:textId="082C1902" w:rsidR="00E63096" w:rsidRDefault="00E63096" w:rsidP="00F767C8">
      <w:pPr>
        <w:tabs>
          <w:tab w:val="left" w:pos="426"/>
        </w:tabs>
        <w:spacing w:after="0" w:line="360" w:lineRule="auto"/>
        <w:jc w:val="both"/>
        <w:rPr>
          <w:rFonts w:ascii="Times New Roman" w:hAnsi="Times New Roman" w:cs="Times New Roman"/>
          <w:color w:val="000000" w:themeColor="text1"/>
          <w:sz w:val="24"/>
          <w:szCs w:val="24"/>
        </w:rPr>
      </w:pPr>
      <w:r w:rsidRPr="00F767C8">
        <w:rPr>
          <w:rFonts w:ascii="Times New Roman" w:hAnsi="Times New Roman" w:cs="Times New Roman"/>
          <w:color w:val="000000" w:themeColor="text1"/>
          <w:sz w:val="24"/>
          <w:szCs w:val="24"/>
        </w:rPr>
        <w:tab/>
        <w:t xml:space="preserve">Klauzule czarne i szare łącznie z kryterium udziału w rynku pozwalają na zidentyfikowanie tzw. bezpiecznej przystani (ang. safe harbour) wyznaczając granicę swobody przedsiębiorców w konstruowaniu zasad współpracy gospodarczej. </w:t>
      </w:r>
    </w:p>
    <w:p w14:paraId="3EE85AB8" w14:textId="77777777" w:rsidR="00854AAA" w:rsidRPr="00F767C8" w:rsidRDefault="00854AAA" w:rsidP="00F767C8">
      <w:pPr>
        <w:tabs>
          <w:tab w:val="left" w:pos="426"/>
        </w:tabs>
        <w:spacing w:after="0" w:line="360" w:lineRule="auto"/>
        <w:jc w:val="both"/>
        <w:rPr>
          <w:rFonts w:ascii="Times New Roman" w:hAnsi="Times New Roman" w:cs="Times New Roman"/>
          <w:color w:val="000000" w:themeColor="text1"/>
          <w:sz w:val="24"/>
          <w:szCs w:val="24"/>
        </w:rPr>
      </w:pPr>
    </w:p>
    <w:p w14:paraId="347FDCB9" w14:textId="653F7B36" w:rsidR="003030CB" w:rsidRPr="00F767C8" w:rsidRDefault="00866FB9" w:rsidP="00F767C8">
      <w:pPr>
        <w:tabs>
          <w:tab w:val="left" w:pos="426"/>
        </w:tabs>
        <w:spacing w:after="0" w:line="360" w:lineRule="auto"/>
        <w:jc w:val="both"/>
        <w:rPr>
          <w:rFonts w:ascii="Times New Roman" w:hAnsi="Times New Roman" w:cs="Times New Roman"/>
          <w:b/>
          <w:bCs/>
          <w:color w:val="000000" w:themeColor="text1"/>
          <w:sz w:val="24"/>
          <w:szCs w:val="24"/>
        </w:rPr>
      </w:pPr>
      <w:r w:rsidRPr="00F767C8">
        <w:rPr>
          <w:rFonts w:ascii="Times New Roman" w:hAnsi="Times New Roman" w:cs="Times New Roman"/>
          <w:color w:val="000000" w:themeColor="text1"/>
          <w:sz w:val="24"/>
          <w:szCs w:val="24"/>
        </w:rPr>
        <w:lastRenderedPageBreak/>
        <w:tab/>
      </w:r>
      <w:r w:rsidRPr="00F767C8">
        <w:rPr>
          <w:rFonts w:ascii="Times New Roman" w:hAnsi="Times New Roman" w:cs="Times New Roman"/>
          <w:color w:val="000000" w:themeColor="text1"/>
          <w:sz w:val="24"/>
          <w:szCs w:val="24"/>
        </w:rPr>
        <w:tab/>
      </w:r>
      <w:r w:rsidR="00B34B5B" w:rsidRPr="00F767C8">
        <w:rPr>
          <w:rFonts w:ascii="Times New Roman" w:hAnsi="Times New Roman" w:cs="Times New Roman"/>
          <w:b/>
          <w:bCs/>
          <w:color w:val="000000" w:themeColor="text1"/>
          <w:sz w:val="24"/>
          <w:szCs w:val="24"/>
        </w:rPr>
        <w:t>2. Opis proponowanych rozwiązań</w:t>
      </w:r>
    </w:p>
    <w:p w14:paraId="4B5ACE2B" w14:textId="77777777" w:rsidR="00097FEA" w:rsidRPr="00F767C8" w:rsidRDefault="000E107D" w:rsidP="00F767C8">
      <w:pPr>
        <w:spacing w:after="0" w:line="360" w:lineRule="auto"/>
        <w:ind w:firstLine="426"/>
        <w:jc w:val="both"/>
        <w:rPr>
          <w:rFonts w:ascii="Times New Roman" w:hAnsi="Times New Roman" w:cs="Times New Roman"/>
          <w:bCs/>
          <w:color w:val="000000" w:themeColor="text1"/>
          <w:sz w:val="24"/>
          <w:szCs w:val="24"/>
        </w:rPr>
      </w:pPr>
      <w:r w:rsidRPr="00F767C8">
        <w:rPr>
          <w:rFonts w:ascii="Times New Roman" w:hAnsi="Times New Roman" w:cs="Times New Roman"/>
          <w:spacing w:val="-2"/>
          <w:sz w:val="24"/>
          <w:szCs w:val="24"/>
        </w:rPr>
        <w:t xml:space="preserve">Rozporządzenie, wzorując się na rozwiązaniach przyjętych w HBER, będzie przewidywało wyłączenie porozumień specjalizacyjnych i badawczo-rozwojowych spod zakazu porozumień ograniczających konkurencję określonego w art. 6 u.o.k.k. Jednocześnie rozporządzenie określi </w:t>
      </w:r>
      <w:r w:rsidRPr="00F767C8">
        <w:rPr>
          <w:rFonts w:ascii="Times New Roman" w:hAnsi="Times New Roman" w:cs="Times New Roman"/>
          <w:bCs/>
          <w:sz w:val="24"/>
          <w:szCs w:val="24"/>
        </w:rPr>
        <w:t>warunki dopuszczalności zwolnienia, klauzule niedozwolone </w:t>
      </w:r>
      <w:r w:rsidRPr="00F767C8">
        <w:rPr>
          <w:rFonts w:ascii="Times New Roman" w:hAnsi="Times New Roman" w:cs="Times New Roman"/>
          <w:sz w:val="24"/>
          <w:szCs w:val="24"/>
        </w:rPr>
        <w:t xml:space="preserve">- czyli takie, których strony nie mogą wprowadzić do porozumienia (występowanie tych klauzul w porozumieniu stanowi naruszenie art. 6 u.o.k.k.) oraz </w:t>
      </w:r>
      <w:r w:rsidRPr="00F767C8">
        <w:rPr>
          <w:rFonts w:ascii="Times New Roman" w:hAnsi="Times New Roman" w:cs="Times New Roman"/>
          <w:bCs/>
          <w:sz w:val="24"/>
          <w:szCs w:val="24"/>
        </w:rPr>
        <w:t>okres obowiązywania </w:t>
      </w:r>
      <w:r w:rsidRPr="00F767C8">
        <w:rPr>
          <w:rFonts w:ascii="Times New Roman" w:hAnsi="Times New Roman" w:cs="Times New Roman"/>
          <w:sz w:val="24"/>
          <w:szCs w:val="24"/>
        </w:rPr>
        <w:t xml:space="preserve">wyłączenia. </w:t>
      </w:r>
    </w:p>
    <w:p w14:paraId="4BF118A3" w14:textId="77777777" w:rsidR="00097FEA" w:rsidRPr="00F767C8" w:rsidRDefault="000E107D" w:rsidP="00F767C8">
      <w:pPr>
        <w:spacing w:after="0" w:line="360" w:lineRule="auto"/>
        <w:ind w:firstLine="426"/>
        <w:jc w:val="both"/>
        <w:rPr>
          <w:rFonts w:ascii="Times New Roman" w:hAnsi="Times New Roman" w:cs="Times New Roman"/>
          <w:bCs/>
          <w:color w:val="000000" w:themeColor="text1"/>
          <w:sz w:val="24"/>
          <w:szCs w:val="24"/>
        </w:rPr>
      </w:pPr>
      <w:r w:rsidRPr="00F767C8">
        <w:rPr>
          <w:rFonts w:ascii="Times New Roman" w:hAnsi="Times New Roman" w:cs="Times New Roman"/>
          <w:spacing w:val="-2"/>
          <w:sz w:val="24"/>
          <w:szCs w:val="24"/>
        </w:rPr>
        <w:t>Rozporządzenie wprowadza ogólne definicje i zakres rozporządzenia, określając, że reguluje ono warunki, na jakich porozumienia specjalizacyjne i badawczo-rozwojowe mogą być wyłączone spod zakazu porozumień ograniczających konkurencję.</w:t>
      </w:r>
    </w:p>
    <w:p w14:paraId="5BC6ED17" w14:textId="1030D46F" w:rsidR="00097FEA" w:rsidRPr="00F767C8" w:rsidRDefault="000E107D" w:rsidP="00F767C8">
      <w:pPr>
        <w:spacing w:after="0" w:line="360" w:lineRule="auto"/>
        <w:ind w:firstLine="426"/>
        <w:jc w:val="both"/>
        <w:rPr>
          <w:rFonts w:ascii="Times New Roman" w:hAnsi="Times New Roman" w:cs="Times New Roman"/>
          <w:bCs/>
          <w:sz w:val="24"/>
          <w:szCs w:val="24"/>
        </w:rPr>
      </w:pPr>
      <w:r w:rsidRPr="00F767C8">
        <w:rPr>
          <w:rFonts w:ascii="Times New Roman" w:hAnsi="Times New Roman" w:cs="Times New Roman"/>
          <w:spacing w:val="-2"/>
          <w:sz w:val="24"/>
          <w:szCs w:val="24"/>
        </w:rPr>
        <w:t>Rozporządzeni</w:t>
      </w:r>
      <w:r w:rsidR="00813CE6" w:rsidRPr="00F767C8">
        <w:rPr>
          <w:rFonts w:ascii="Times New Roman" w:hAnsi="Times New Roman" w:cs="Times New Roman"/>
          <w:spacing w:val="-2"/>
          <w:sz w:val="24"/>
          <w:szCs w:val="24"/>
        </w:rPr>
        <w:t>e</w:t>
      </w:r>
      <w:r w:rsidRPr="00F767C8">
        <w:rPr>
          <w:rFonts w:ascii="Times New Roman" w:hAnsi="Times New Roman" w:cs="Times New Roman"/>
          <w:spacing w:val="-2"/>
          <w:sz w:val="24"/>
          <w:szCs w:val="24"/>
        </w:rPr>
        <w:t xml:space="preserve"> określa, które porozumienia specjalizacyjne i badawczo-rozwojowe mogą być wyłączone spod zakazu konkurencji, jaki jest próg udziału w rynku warunkujący wyłączenie, jakie klauzule niezależnie od spełniani</w:t>
      </w:r>
      <w:r w:rsidR="00813CE6" w:rsidRPr="00F767C8">
        <w:rPr>
          <w:rFonts w:ascii="Times New Roman" w:hAnsi="Times New Roman" w:cs="Times New Roman"/>
          <w:spacing w:val="-2"/>
          <w:sz w:val="24"/>
          <w:szCs w:val="24"/>
        </w:rPr>
        <w:t>a</w:t>
      </w:r>
      <w:r w:rsidRPr="00F767C8">
        <w:rPr>
          <w:rFonts w:ascii="Times New Roman" w:hAnsi="Times New Roman" w:cs="Times New Roman"/>
          <w:spacing w:val="-2"/>
          <w:sz w:val="24"/>
          <w:szCs w:val="24"/>
        </w:rPr>
        <w:t xml:space="preserve"> pozostałych warunków nie mogą zostać wyłączone spod zakazu oraz</w:t>
      </w:r>
      <w:r w:rsidR="00C8373D" w:rsidRPr="00F767C8">
        <w:rPr>
          <w:rFonts w:ascii="Times New Roman" w:hAnsi="Times New Roman" w:cs="Times New Roman"/>
          <w:spacing w:val="-2"/>
          <w:sz w:val="24"/>
          <w:szCs w:val="24"/>
        </w:rPr>
        <w:t xml:space="preserve"> klauzule</w:t>
      </w:r>
      <w:r w:rsidR="00190F78" w:rsidRPr="00F767C8">
        <w:rPr>
          <w:rFonts w:ascii="Times New Roman" w:hAnsi="Times New Roman" w:cs="Times New Roman"/>
          <w:spacing w:val="-2"/>
          <w:sz w:val="24"/>
          <w:szCs w:val="24"/>
        </w:rPr>
        <w:t xml:space="preserve"> dotyczące </w:t>
      </w:r>
      <w:r w:rsidR="00C8373D" w:rsidRPr="00F767C8">
        <w:rPr>
          <w:rFonts w:ascii="Times New Roman" w:hAnsi="Times New Roman" w:cs="Times New Roman"/>
          <w:spacing w:val="-2"/>
          <w:sz w:val="24"/>
          <w:szCs w:val="24"/>
        </w:rPr>
        <w:t>wspólnego</w:t>
      </w:r>
      <w:r w:rsidR="00190F78" w:rsidRPr="00F767C8">
        <w:rPr>
          <w:rFonts w:ascii="Times New Roman" w:hAnsi="Times New Roman" w:cs="Times New Roman"/>
          <w:spacing w:val="-2"/>
          <w:sz w:val="24"/>
          <w:szCs w:val="24"/>
        </w:rPr>
        <w:t xml:space="preserve"> wykorzystywania wyników, których występowani</w:t>
      </w:r>
      <w:r w:rsidR="00C8373D" w:rsidRPr="00F767C8">
        <w:rPr>
          <w:rFonts w:ascii="Times New Roman" w:hAnsi="Times New Roman" w:cs="Times New Roman"/>
          <w:spacing w:val="-2"/>
          <w:sz w:val="24"/>
          <w:szCs w:val="24"/>
        </w:rPr>
        <w:t xml:space="preserve">e </w:t>
      </w:r>
      <w:r w:rsidR="00190F78" w:rsidRPr="00F767C8">
        <w:rPr>
          <w:rFonts w:ascii="Times New Roman" w:hAnsi="Times New Roman" w:cs="Times New Roman"/>
          <w:spacing w:val="-2"/>
          <w:sz w:val="24"/>
          <w:szCs w:val="24"/>
        </w:rPr>
        <w:t>w porozumieniach badawczo-rozwojowych nie uznaje się za naruszenie art. 6 ust. 1 ustawy</w:t>
      </w:r>
      <w:r w:rsidR="00C8373D" w:rsidRPr="00F767C8">
        <w:rPr>
          <w:rFonts w:ascii="Times New Roman" w:hAnsi="Times New Roman" w:cs="Times New Roman"/>
          <w:spacing w:val="-2"/>
          <w:sz w:val="24"/>
          <w:szCs w:val="24"/>
        </w:rPr>
        <w:t>.</w:t>
      </w:r>
    </w:p>
    <w:p w14:paraId="19D94E21" w14:textId="14B355EE" w:rsidR="00097FEA" w:rsidRPr="00F767C8" w:rsidRDefault="000E107D" w:rsidP="00F767C8">
      <w:pPr>
        <w:spacing w:after="0" w:line="360" w:lineRule="auto"/>
        <w:ind w:firstLine="426"/>
        <w:jc w:val="both"/>
        <w:rPr>
          <w:rFonts w:ascii="Times New Roman" w:hAnsi="Times New Roman" w:cs="Times New Roman"/>
          <w:spacing w:val="-2"/>
          <w:sz w:val="24"/>
          <w:szCs w:val="24"/>
        </w:rPr>
      </w:pPr>
      <w:r w:rsidRPr="00F767C8">
        <w:rPr>
          <w:rFonts w:ascii="Times New Roman" w:hAnsi="Times New Roman" w:cs="Times New Roman"/>
          <w:spacing w:val="-2"/>
          <w:sz w:val="24"/>
          <w:szCs w:val="24"/>
        </w:rPr>
        <w:t>Porozumienia specjalizacyjne i badawczo-rozwojowe to umowy zawierane między przedsiębiorcami, które mają na celu wspólną działalność badawczo-rozwojową lub specjalizacyjną. W takich umowach strony decydują się na współpracę w celu realizacji projektów badawczo-rozwojowych lub dzielenia się zasobami, wiedzą lub technologią w</w:t>
      </w:r>
      <w:r w:rsidR="002A3B28" w:rsidRPr="00F767C8">
        <w:rPr>
          <w:rFonts w:ascii="Times New Roman" w:hAnsi="Times New Roman" w:cs="Times New Roman"/>
          <w:spacing w:val="-2"/>
          <w:sz w:val="24"/>
          <w:szCs w:val="24"/>
        </w:rPr>
        <w:t> </w:t>
      </w:r>
      <w:r w:rsidRPr="00F767C8">
        <w:rPr>
          <w:rFonts w:ascii="Times New Roman" w:hAnsi="Times New Roman" w:cs="Times New Roman"/>
          <w:spacing w:val="-2"/>
          <w:sz w:val="24"/>
          <w:szCs w:val="24"/>
        </w:rPr>
        <w:t>określonych dziedzinach lub sektorach gospodarki.</w:t>
      </w:r>
    </w:p>
    <w:p w14:paraId="7C447C2B" w14:textId="013BFF30" w:rsidR="00097FEA" w:rsidRPr="00F767C8" w:rsidRDefault="000E107D" w:rsidP="00F767C8">
      <w:pPr>
        <w:spacing w:after="0" w:line="360" w:lineRule="auto"/>
        <w:ind w:firstLine="426"/>
        <w:jc w:val="both"/>
        <w:rPr>
          <w:rFonts w:ascii="Times New Roman" w:hAnsi="Times New Roman" w:cs="Times New Roman"/>
          <w:spacing w:val="-2"/>
          <w:sz w:val="24"/>
          <w:szCs w:val="24"/>
        </w:rPr>
      </w:pPr>
      <w:r w:rsidRPr="00F767C8">
        <w:rPr>
          <w:rFonts w:ascii="Times New Roman" w:hAnsi="Times New Roman" w:cs="Times New Roman"/>
          <w:spacing w:val="-2"/>
          <w:sz w:val="24"/>
          <w:szCs w:val="24"/>
        </w:rPr>
        <w:t>Po spełnieniu odpowiednich</w:t>
      </w:r>
      <w:r w:rsidR="00097FEA" w:rsidRPr="00F767C8">
        <w:rPr>
          <w:rFonts w:ascii="Times New Roman" w:hAnsi="Times New Roman" w:cs="Times New Roman"/>
          <w:spacing w:val="-2"/>
          <w:sz w:val="24"/>
          <w:szCs w:val="24"/>
        </w:rPr>
        <w:t xml:space="preserve"> warunków wyłączeniu podlegaj</w:t>
      </w:r>
      <w:r w:rsidR="00813CE6" w:rsidRPr="00F767C8">
        <w:rPr>
          <w:rFonts w:ascii="Times New Roman" w:hAnsi="Times New Roman" w:cs="Times New Roman"/>
          <w:spacing w:val="-2"/>
          <w:sz w:val="24"/>
          <w:szCs w:val="24"/>
        </w:rPr>
        <w:t>ą</w:t>
      </w:r>
      <w:r w:rsidR="00097FEA" w:rsidRPr="00F767C8">
        <w:rPr>
          <w:rFonts w:ascii="Times New Roman" w:hAnsi="Times New Roman" w:cs="Times New Roman"/>
          <w:spacing w:val="-2"/>
          <w:sz w:val="24"/>
          <w:szCs w:val="24"/>
        </w:rPr>
        <w:t xml:space="preserve"> p</w:t>
      </w:r>
      <w:r w:rsidRPr="00F767C8">
        <w:rPr>
          <w:rFonts w:ascii="Times New Roman" w:hAnsi="Times New Roman" w:cs="Times New Roman"/>
          <w:spacing w:val="-2"/>
          <w:sz w:val="24"/>
          <w:szCs w:val="24"/>
        </w:rPr>
        <w:t>orozumienia specjalizacyjne dotyczące:</w:t>
      </w:r>
    </w:p>
    <w:p w14:paraId="1BAFBB5F" w14:textId="77777777" w:rsidR="00097FEA" w:rsidRPr="00F767C8" w:rsidRDefault="000E107D" w:rsidP="00F767C8">
      <w:pPr>
        <w:pStyle w:val="Akapitzlist"/>
        <w:numPr>
          <w:ilvl w:val="0"/>
          <w:numId w:val="38"/>
        </w:numPr>
        <w:spacing w:after="0" w:line="360" w:lineRule="auto"/>
        <w:jc w:val="both"/>
        <w:rPr>
          <w:rFonts w:ascii="Times New Roman" w:hAnsi="Times New Roman" w:cs="Times New Roman"/>
          <w:bCs/>
          <w:color w:val="000000" w:themeColor="text1"/>
          <w:sz w:val="24"/>
          <w:szCs w:val="24"/>
        </w:rPr>
      </w:pPr>
      <w:r w:rsidRPr="00F767C8">
        <w:rPr>
          <w:rFonts w:ascii="Times New Roman" w:hAnsi="Times New Roman" w:cs="Times New Roman"/>
          <w:spacing w:val="-2"/>
          <w:sz w:val="24"/>
          <w:szCs w:val="24"/>
        </w:rPr>
        <w:t>jednostronnej specjalizacji, gdzie jedna strona zobowiązuje się do zaprzestania produkcji określonych towarów i nabywania ich od drugiej strony,</w:t>
      </w:r>
    </w:p>
    <w:p w14:paraId="625DC16E" w14:textId="77777777" w:rsidR="00097FEA" w:rsidRPr="00F767C8" w:rsidRDefault="000E107D" w:rsidP="00F767C8">
      <w:pPr>
        <w:pStyle w:val="Akapitzlist"/>
        <w:numPr>
          <w:ilvl w:val="0"/>
          <w:numId w:val="38"/>
        </w:numPr>
        <w:spacing w:after="0" w:line="360" w:lineRule="auto"/>
        <w:jc w:val="both"/>
        <w:rPr>
          <w:rFonts w:ascii="Times New Roman" w:hAnsi="Times New Roman" w:cs="Times New Roman"/>
          <w:bCs/>
          <w:color w:val="000000" w:themeColor="text1"/>
          <w:sz w:val="24"/>
          <w:szCs w:val="24"/>
        </w:rPr>
      </w:pPr>
      <w:r w:rsidRPr="00F767C8">
        <w:rPr>
          <w:rFonts w:ascii="Times New Roman" w:hAnsi="Times New Roman" w:cs="Times New Roman"/>
          <w:spacing w:val="-2"/>
          <w:sz w:val="24"/>
          <w:szCs w:val="24"/>
        </w:rPr>
        <w:t>wzajemnej specjalizacji, gdzie strony zobowiązują się do zaprzestania produkcji różnych, ale określonych towarów, i nabywania ich od pozostałych stron,</w:t>
      </w:r>
    </w:p>
    <w:p w14:paraId="40651E62" w14:textId="41D2932B" w:rsidR="000E107D" w:rsidRPr="00F767C8" w:rsidRDefault="000E107D" w:rsidP="00F767C8">
      <w:pPr>
        <w:pStyle w:val="Akapitzlist"/>
        <w:numPr>
          <w:ilvl w:val="0"/>
          <w:numId w:val="38"/>
        </w:numPr>
        <w:spacing w:after="0" w:line="360" w:lineRule="auto"/>
        <w:jc w:val="both"/>
        <w:rPr>
          <w:rFonts w:ascii="Times New Roman" w:hAnsi="Times New Roman" w:cs="Times New Roman"/>
          <w:bCs/>
          <w:color w:val="000000" w:themeColor="text1"/>
          <w:sz w:val="24"/>
          <w:szCs w:val="24"/>
        </w:rPr>
      </w:pPr>
      <w:r w:rsidRPr="00F767C8">
        <w:rPr>
          <w:rFonts w:ascii="Times New Roman" w:hAnsi="Times New Roman" w:cs="Times New Roman"/>
          <w:spacing w:val="-2"/>
          <w:sz w:val="24"/>
          <w:szCs w:val="24"/>
        </w:rPr>
        <w:t>wspólnej produkcji, gdzie strony zobowiązują się wspólnie produkować określone towary.</w:t>
      </w:r>
    </w:p>
    <w:p w14:paraId="1D893629" w14:textId="2C0D1AFC" w:rsidR="00097FEA" w:rsidRPr="00F767C8" w:rsidRDefault="00B706EB" w:rsidP="00F767C8">
      <w:pPr>
        <w:spacing w:after="0" w:line="360" w:lineRule="auto"/>
        <w:jc w:val="both"/>
        <w:rPr>
          <w:rFonts w:ascii="Times New Roman" w:hAnsi="Times New Roman" w:cs="Times New Roman"/>
          <w:spacing w:val="-2"/>
          <w:sz w:val="24"/>
          <w:szCs w:val="24"/>
        </w:rPr>
      </w:pPr>
      <w:r w:rsidRPr="00F767C8">
        <w:rPr>
          <w:rFonts w:ascii="Times New Roman" w:hAnsi="Times New Roman" w:cs="Times New Roman"/>
          <w:bCs/>
          <w:color w:val="000000" w:themeColor="text1"/>
          <w:sz w:val="24"/>
          <w:szCs w:val="24"/>
        </w:rPr>
        <w:t>o</w:t>
      </w:r>
      <w:r w:rsidR="00097FEA" w:rsidRPr="00F767C8">
        <w:rPr>
          <w:rFonts w:ascii="Times New Roman" w:hAnsi="Times New Roman" w:cs="Times New Roman"/>
          <w:bCs/>
          <w:color w:val="000000" w:themeColor="text1"/>
          <w:sz w:val="24"/>
          <w:szCs w:val="24"/>
        </w:rPr>
        <w:t>raz p</w:t>
      </w:r>
      <w:r w:rsidR="000E107D" w:rsidRPr="00F767C8">
        <w:rPr>
          <w:rFonts w:ascii="Times New Roman" w:hAnsi="Times New Roman" w:cs="Times New Roman"/>
          <w:spacing w:val="-2"/>
          <w:sz w:val="24"/>
          <w:szCs w:val="24"/>
        </w:rPr>
        <w:t>orozumienia badawczo-rozwojowe dotyczące:</w:t>
      </w:r>
    </w:p>
    <w:p w14:paraId="672BC360" w14:textId="77777777" w:rsidR="00097FEA" w:rsidRPr="00F767C8" w:rsidRDefault="000E107D" w:rsidP="00F767C8">
      <w:pPr>
        <w:pStyle w:val="Akapitzlist"/>
        <w:numPr>
          <w:ilvl w:val="0"/>
          <w:numId w:val="40"/>
        </w:numPr>
        <w:spacing w:after="0" w:line="360" w:lineRule="auto"/>
        <w:jc w:val="both"/>
        <w:rPr>
          <w:rFonts w:ascii="Times New Roman" w:hAnsi="Times New Roman" w:cs="Times New Roman"/>
          <w:spacing w:val="-2"/>
          <w:sz w:val="24"/>
          <w:szCs w:val="24"/>
        </w:rPr>
      </w:pPr>
      <w:r w:rsidRPr="00F767C8">
        <w:rPr>
          <w:rFonts w:ascii="Times New Roman" w:hAnsi="Times New Roman" w:cs="Times New Roman"/>
          <w:spacing w:val="-2"/>
          <w:sz w:val="24"/>
          <w:szCs w:val="24"/>
        </w:rPr>
        <w:t>wspólnego prowadzenia działalności badawczo-rozwojowej w odniesieniu do towarów lub procesów objętych porozumieniem oraz wspólnego wykorzystywania wyników tej działalności,</w:t>
      </w:r>
    </w:p>
    <w:p w14:paraId="3C868034" w14:textId="77777777" w:rsidR="00097FEA" w:rsidRPr="00F767C8" w:rsidRDefault="000E107D" w:rsidP="00F767C8">
      <w:pPr>
        <w:pStyle w:val="Akapitzlist"/>
        <w:numPr>
          <w:ilvl w:val="0"/>
          <w:numId w:val="40"/>
        </w:numPr>
        <w:spacing w:after="0" w:line="360" w:lineRule="auto"/>
        <w:jc w:val="both"/>
        <w:rPr>
          <w:rFonts w:ascii="Times New Roman" w:hAnsi="Times New Roman" w:cs="Times New Roman"/>
          <w:spacing w:val="-2"/>
          <w:sz w:val="24"/>
          <w:szCs w:val="24"/>
        </w:rPr>
      </w:pPr>
      <w:r w:rsidRPr="00F767C8">
        <w:rPr>
          <w:rFonts w:ascii="Times New Roman" w:hAnsi="Times New Roman" w:cs="Times New Roman"/>
          <w:spacing w:val="-2"/>
          <w:sz w:val="24"/>
          <w:szCs w:val="24"/>
        </w:rPr>
        <w:lastRenderedPageBreak/>
        <w:t>wspólnego wykorzystywania wyników działalności badawczo-rozwojowej w odniesieniu do towarów lub procesów objętych porozumieniem, prowadzonej wspólnie w ramach porozumienia zawartego wcześniej między tymi samymi stronami,</w:t>
      </w:r>
    </w:p>
    <w:p w14:paraId="10D79EFA" w14:textId="77777777" w:rsidR="00097FEA" w:rsidRPr="00F767C8" w:rsidRDefault="000E107D" w:rsidP="00F767C8">
      <w:pPr>
        <w:pStyle w:val="Akapitzlist"/>
        <w:numPr>
          <w:ilvl w:val="0"/>
          <w:numId w:val="40"/>
        </w:numPr>
        <w:spacing w:after="0" w:line="360" w:lineRule="auto"/>
        <w:jc w:val="both"/>
        <w:rPr>
          <w:rFonts w:ascii="Times New Roman" w:hAnsi="Times New Roman" w:cs="Times New Roman"/>
          <w:spacing w:val="-2"/>
          <w:sz w:val="24"/>
          <w:szCs w:val="24"/>
        </w:rPr>
      </w:pPr>
      <w:r w:rsidRPr="00F767C8">
        <w:rPr>
          <w:rFonts w:ascii="Times New Roman" w:hAnsi="Times New Roman" w:cs="Times New Roman"/>
          <w:spacing w:val="-2"/>
          <w:sz w:val="24"/>
          <w:szCs w:val="24"/>
        </w:rPr>
        <w:t>wspólnego prowadzenia działalności badawczo-rozwojowej w odniesieniu do towarów lub procesów objętych porozumieniem, z wyłączeniem wspólnego wykorzystywania wyników tej działalności,</w:t>
      </w:r>
    </w:p>
    <w:p w14:paraId="549E2586" w14:textId="77777777" w:rsidR="00097FEA" w:rsidRPr="00F767C8" w:rsidRDefault="000E107D" w:rsidP="00F767C8">
      <w:pPr>
        <w:pStyle w:val="Akapitzlist"/>
        <w:numPr>
          <w:ilvl w:val="0"/>
          <w:numId w:val="40"/>
        </w:numPr>
        <w:spacing w:after="0" w:line="360" w:lineRule="auto"/>
        <w:jc w:val="both"/>
        <w:rPr>
          <w:rFonts w:ascii="Times New Roman" w:hAnsi="Times New Roman" w:cs="Times New Roman"/>
          <w:spacing w:val="-2"/>
          <w:sz w:val="24"/>
          <w:szCs w:val="24"/>
        </w:rPr>
      </w:pPr>
      <w:r w:rsidRPr="00F767C8">
        <w:rPr>
          <w:rFonts w:ascii="Times New Roman" w:hAnsi="Times New Roman" w:cs="Times New Roman"/>
          <w:spacing w:val="-2"/>
          <w:sz w:val="24"/>
          <w:szCs w:val="24"/>
        </w:rPr>
        <w:t>prowadzenia opłacanej działalności badawczo-rozwojowej w odniesieniu do towarów lub procesów objętych porozumieniem oraz wspólnego wykorzystywania wyników tej działalności,</w:t>
      </w:r>
    </w:p>
    <w:p w14:paraId="3C02E664" w14:textId="08E7EB79" w:rsidR="00097FEA" w:rsidRPr="00F767C8" w:rsidRDefault="000E107D" w:rsidP="00F767C8">
      <w:pPr>
        <w:pStyle w:val="Akapitzlist"/>
        <w:numPr>
          <w:ilvl w:val="0"/>
          <w:numId w:val="40"/>
        </w:numPr>
        <w:spacing w:after="0" w:line="360" w:lineRule="auto"/>
        <w:jc w:val="both"/>
        <w:rPr>
          <w:rFonts w:ascii="Times New Roman" w:hAnsi="Times New Roman" w:cs="Times New Roman"/>
          <w:spacing w:val="-2"/>
          <w:sz w:val="24"/>
          <w:szCs w:val="24"/>
        </w:rPr>
      </w:pPr>
      <w:r w:rsidRPr="00F767C8">
        <w:rPr>
          <w:rFonts w:ascii="Times New Roman" w:hAnsi="Times New Roman" w:cs="Times New Roman"/>
          <w:spacing w:val="-2"/>
          <w:sz w:val="24"/>
          <w:szCs w:val="24"/>
        </w:rPr>
        <w:t>wspólnego wykorzystywania wyników opłacanej działalności badawczo-rozwojowej w</w:t>
      </w:r>
      <w:r w:rsidR="002A3B28" w:rsidRPr="00F767C8">
        <w:rPr>
          <w:rFonts w:ascii="Times New Roman" w:hAnsi="Times New Roman" w:cs="Times New Roman"/>
          <w:spacing w:val="-2"/>
          <w:sz w:val="24"/>
          <w:szCs w:val="24"/>
        </w:rPr>
        <w:t> </w:t>
      </w:r>
      <w:r w:rsidRPr="00F767C8">
        <w:rPr>
          <w:rFonts w:ascii="Times New Roman" w:hAnsi="Times New Roman" w:cs="Times New Roman"/>
          <w:spacing w:val="-2"/>
          <w:sz w:val="24"/>
          <w:szCs w:val="24"/>
        </w:rPr>
        <w:t>odniesieniu do towarów lub procesów objętych porozumieniem w ramach porozumienia zawartego wcześniej między tymi samymi stronami,</w:t>
      </w:r>
    </w:p>
    <w:p w14:paraId="0062E289" w14:textId="77777777" w:rsidR="00097FEA" w:rsidRPr="00F767C8" w:rsidRDefault="000E107D" w:rsidP="00F767C8">
      <w:pPr>
        <w:pStyle w:val="Akapitzlist"/>
        <w:numPr>
          <w:ilvl w:val="0"/>
          <w:numId w:val="40"/>
        </w:numPr>
        <w:spacing w:after="0" w:line="360" w:lineRule="auto"/>
        <w:jc w:val="both"/>
        <w:rPr>
          <w:rFonts w:ascii="Times New Roman" w:hAnsi="Times New Roman" w:cs="Times New Roman"/>
          <w:spacing w:val="-2"/>
          <w:sz w:val="24"/>
          <w:szCs w:val="24"/>
        </w:rPr>
      </w:pPr>
      <w:r w:rsidRPr="00F767C8">
        <w:rPr>
          <w:rFonts w:ascii="Times New Roman" w:hAnsi="Times New Roman" w:cs="Times New Roman"/>
          <w:spacing w:val="-2"/>
          <w:sz w:val="24"/>
          <w:szCs w:val="24"/>
        </w:rPr>
        <w:t>prowadzenia opłacanej działalności badawczo-rozwojowej w odniesieniu do towarów lub procesów objętych porozumieniem, z wyłączeniem wspólnego wykorzystywania wyników tej działalności.</w:t>
      </w:r>
    </w:p>
    <w:p w14:paraId="2D7DCE55" w14:textId="77777777" w:rsidR="00097FEA" w:rsidRPr="00F767C8" w:rsidRDefault="000E107D" w:rsidP="00F767C8">
      <w:pPr>
        <w:spacing w:after="0" w:line="360" w:lineRule="auto"/>
        <w:ind w:left="360" w:firstLine="348"/>
        <w:jc w:val="both"/>
        <w:rPr>
          <w:rFonts w:ascii="Times New Roman" w:hAnsi="Times New Roman" w:cs="Times New Roman"/>
          <w:spacing w:val="-2"/>
          <w:sz w:val="24"/>
          <w:szCs w:val="24"/>
        </w:rPr>
      </w:pPr>
      <w:r w:rsidRPr="00F767C8">
        <w:rPr>
          <w:rFonts w:ascii="Times New Roman" w:hAnsi="Times New Roman" w:cs="Times New Roman"/>
          <w:spacing w:val="-2"/>
          <w:sz w:val="24"/>
          <w:szCs w:val="24"/>
        </w:rPr>
        <w:t>Wyłączenie dotyczy również klauzul związanych z tymi porozumieniami, które nie stanowią ich głównego przedmiotu, ale są z nimi powiązane i niezbędne do ich wykonywania, które mogą dotyczyć:</w:t>
      </w:r>
    </w:p>
    <w:p w14:paraId="0D2C6224" w14:textId="77777777" w:rsidR="00097FEA" w:rsidRPr="00F767C8" w:rsidRDefault="000E107D" w:rsidP="00F767C8">
      <w:pPr>
        <w:pStyle w:val="Akapitzlist"/>
        <w:numPr>
          <w:ilvl w:val="0"/>
          <w:numId w:val="41"/>
        </w:numPr>
        <w:spacing w:after="0" w:line="360" w:lineRule="auto"/>
        <w:jc w:val="both"/>
        <w:rPr>
          <w:rFonts w:ascii="Times New Roman" w:hAnsi="Times New Roman" w:cs="Times New Roman"/>
          <w:spacing w:val="-2"/>
          <w:sz w:val="24"/>
          <w:szCs w:val="24"/>
        </w:rPr>
      </w:pPr>
      <w:r w:rsidRPr="00F767C8">
        <w:rPr>
          <w:rFonts w:ascii="Times New Roman" w:hAnsi="Times New Roman" w:cs="Times New Roman"/>
          <w:spacing w:val="-2"/>
          <w:sz w:val="24"/>
          <w:szCs w:val="24"/>
        </w:rPr>
        <w:t>przeniesienia praw własności intelektualnej lub udzielenia licencji na te prawa stronie lub stronom porozumienia,</w:t>
      </w:r>
    </w:p>
    <w:p w14:paraId="777090FE" w14:textId="77777777" w:rsidR="00097FEA" w:rsidRPr="00F767C8" w:rsidRDefault="000E107D" w:rsidP="00F767C8">
      <w:pPr>
        <w:pStyle w:val="Akapitzlist"/>
        <w:numPr>
          <w:ilvl w:val="0"/>
          <w:numId w:val="41"/>
        </w:numPr>
        <w:spacing w:after="0" w:line="360" w:lineRule="auto"/>
        <w:jc w:val="both"/>
        <w:rPr>
          <w:rFonts w:ascii="Times New Roman" w:hAnsi="Times New Roman" w:cs="Times New Roman"/>
          <w:spacing w:val="-2"/>
          <w:sz w:val="24"/>
          <w:szCs w:val="24"/>
        </w:rPr>
      </w:pPr>
      <w:r w:rsidRPr="00F767C8">
        <w:rPr>
          <w:rFonts w:ascii="Times New Roman" w:hAnsi="Times New Roman" w:cs="Times New Roman"/>
          <w:spacing w:val="-2"/>
          <w:sz w:val="24"/>
          <w:szCs w:val="24"/>
        </w:rPr>
        <w:t>zobowiązań do wyłącznej dostawy lub zakupu towarów objętych specjalizacją,</w:t>
      </w:r>
    </w:p>
    <w:p w14:paraId="425A57C7" w14:textId="77777777" w:rsidR="00097FEA" w:rsidRPr="00F767C8" w:rsidRDefault="000E107D" w:rsidP="00F767C8">
      <w:pPr>
        <w:pStyle w:val="Akapitzlist"/>
        <w:numPr>
          <w:ilvl w:val="0"/>
          <w:numId w:val="41"/>
        </w:numPr>
        <w:spacing w:after="0" w:line="360" w:lineRule="auto"/>
        <w:jc w:val="both"/>
        <w:rPr>
          <w:rFonts w:ascii="Times New Roman" w:hAnsi="Times New Roman" w:cs="Times New Roman"/>
          <w:spacing w:val="-2"/>
          <w:sz w:val="24"/>
          <w:szCs w:val="24"/>
        </w:rPr>
      </w:pPr>
      <w:r w:rsidRPr="00F767C8">
        <w:rPr>
          <w:rFonts w:ascii="Times New Roman" w:hAnsi="Times New Roman" w:cs="Times New Roman"/>
          <w:spacing w:val="-2"/>
          <w:sz w:val="24"/>
          <w:szCs w:val="24"/>
        </w:rPr>
        <w:t>zobowiązań do zaprzestania samodzielnej sprzedaży towarów objętych specjalizacją, z jednoczesnym ustanowieniem klauzuli o ich wspólnej dystrybucji,</w:t>
      </w:r>
    </w:p>
    <w:p w14:paraId="0C7980AF" w14:textId="618002FA" w:rsidR="00097FEA" w:rsidRPr="00F767C8" w:rsidRDefault="000E107D" w:rsidP="00F767C8">
      <w:pPr>
        <w:pStyle w:val="Akapitzlist"/>
        <w:numPr>
          <w:ilvl w:val="0"/>
          <w:numId w:val="41"/>
        </w:numPr>
        <w:spacing w:after="0" w:line="360" w:lineRule="auto"/>
        <w:jc w:val="both"/>
        <w:rPr>
          <w:rFonts w:ascii="Times New Roman" w:hAnsi="Times New Roman" w:cs="Times New Roman"/>
          <w:spacing w:val="-2"/>
          <w:sz w:val="24"/>
          <w:szCs w:val="24"/>
        </w:rPr>
      </w:pPr>
      <w:r w:rsidRPr="00F767C8">
        <w:rPr>
          <w:rFonts w:ascii="Times New Roman" w:hAnsi="Times New Roman" w:cs="Times New Roman"/>
          <w:spacing w:val="-2"/>
          <w:sz w:val="24"/>
          <w:szCs w:val="24"/>
        </w:rPr>
        <w:t xml:space="preserve">określenia </w:t>
      </w:r>
      <w:r w:rsidR="00097FEA" w:rsidRPr="00F767C8">
        <w:rPr>
          <w:rFonts w:ascii="Times New Roman" w:hAnsi="Times New Roman" w:cs="Times New Roman"/>
          <w:spacing w:val="-2"/>
          <w:sz w:val="24"/>
          <w:szCs w:val="24"/>
        </w:rPr>
        <w:t>poziomów</w:t>
      </w:r>
      <w:r w:rsidRPr="00F767C8">
        <w:rPr>
          <w:rFonts w:ascii="Times New Roman" w:hAnsi="Times New Roman" w:cs="Times New Roman"/>
          <w:spacing w:val="-2"/>
          <w:sz w:val="24"/>
          <w:szCs w:val="24"/>
        </w:rPr>
        <w:t xml:space="preserve"> sprzedaży w przypadku wspólnej dystrybucji,</w:t>
      </w:r>
    </w:p>
    <w:p w14:paraId="62777B1D" w14:textId="77777777" w:rsidR="00097FEA" w:rsidRPr="00F767C8" w:rsidRDefault="00097FEA" w:rsidP="00F767C8">
      <w:pPr>
        <w:pStyle w:val="Akapitzlist"/>
        <w:numPr>
          <w:ilvl w:val="0"/>
          <w:numId w:val="41"/>
        </w:numPr>
        <w:spacing w:after="0" w:line="360" w:lineRule="auto"/>
        <w:jc w:val="both"/>
        <w:rPr>
          <w:rFonts w:ascii="Times New Roman" w:hAnsi="Times New Roman" w:cs="Times New Roman"/>
          <w:spacing w:val="-2"/>
          <w:sz w:val="24"/>
          <w:szCs w:val="24"/>
        </w:rPr>
      </w:pPr>
      <w:r w:rsidRPr="00F767C8">
        <w:rPr>
          <w:rFonts w:ascii="Times New Roman" w:hAnsi="Times New Roman" w:cs="Times New Roman"/>
          <w:spacing w:val="-2"/>
          <w:sz w:val="24"/>
          <w:szCs w:val="24"/>
        </w:rPr>
        <w:t>u</w:t>
      </w:r>
      <w:r w:rsidR="000E107D" w:rsidRPr="00F767C8">
        <w:rPr>
          <w:rFonts w:ascii="Times New Roman" w:hAnsi="Times New Roman" w:cs="Times New Roman"/>
          <w:spacing w:val="-2"/>
          <w:sz w:val="24"/>
          <w:szCs w:val="24"/>
        </w:rPr>
        <w:t>stalania cen od bezpośrednich klientów w przypadku wspólnej dystrybucji lub ustalania opłat licencyjnych od bezpośrednich licencjobiorców, w określonych przypadkach.</w:t>
      </w:r>
    </w:p>
    <w:p w14:paraId="0F7BFE79" w14:textId="0DD0F76A" w:rsidR="00097FEA" w:rsidRPr="00F767C8" w:rsidRDefault="000E107D" w:rsidP="00F767C8">
      <w:pPr>
        <w:spacing w:after="0" w:line="360" w:lineRule="auto"/>
        <w:ind w:firstLine="708"/>
        <w:jc w:val="both"/>
        <w:rPr>
          <w:rFonts w:ascii="Times New Roman" w:hAnsi="Times New Roman" w:cs="Times New Roman"/>
          <w:spacing w:val="-2"/>
          <w:sz w:val="24"/>
          <w:szCs w:val="24"/>
        </w:rPr>
      </w:pPr>
      <w:r w:rsidRPr="00F767C8">
        <w:rPr>
          <w:rFonts w:ascii="Times New Roman" w:hAnsi="Times New Roman" w:cs="Times New Roman"/>
          <w:spacing w:val="-2"/>
          <w:sz w:val="24"/>
          <w:szCs w:val="24"/>
        </w:rPr>
        <w:t xml:space="preserve">Warunkiem dopuszczalności wyłączenia będzie przede wszystkim nieprzekroczenie wielkości udziału w rynku przez strony porozumienia (w przypadku porozumień specjalizacyjnych zasadniczo 20%, a w przypadku porozumień badawczo-rozwojowych zasadniczo 25%). Rozporządzenie będzie zawierało szczegółowe regulacje dotyczące sposobu wyliczenia udziału w rynku na potrzeby stosowania wyłączenia. </w:t>
      </w:r>
    </w:p>
    <w:p w14:paraId="192E5B98" w14:textId="17F376B2" w:rsidR="00B706EB" w:rsidRPr="00F767C8" w:rsidRDefault="00B706EB" w:rsidP="00F767C8">
      <w:pPr>
        <w:spacing w:after="0" w:line="360" w:lineRule="auto"/>
        <w:ind w:firstLine="708"/>
        <w:jc w:val="both"/>
        <w:rPr>
          <w:rFonts w:ascii="Times New Roman" w:hAnsi="Times New Roman" w:cs="Times New Roman"/>
          <w:spacing w:val="-2"/>
          <w:sz w:val="24"/>
          <w:szCs w:val="24"/>
        </w:rPr>
      </w:pPr>
      <w:r w:rsidRPr="00F767C8">
        <w:rPr>
          <w:rFonts w:ascii="Times New Roman" w:hAnsi="Times New Roman" w:cs="Times New Roman"/>
          <w:spacing w:val="-2"/>
          <w:sz w:val="24"/>
          <w:szCs w:val="24"/>
        </w:rPr>
        <w:t xml:space="preserve">Rozporządzenie </w:t>
      </w:r>
      <w:r w:rsidR="00045BAE" w:rsidRPr="00F767C8">
        <w:rPr>
          <w:rFonts w:ascii="Times New Roman" w:hAnsi="Times New Roman" w:cs="Times New Roman"/>
          <w:spacing w:val="-2"/>
          <w:sz w:val="24"/>
          <w:szCs w:val="24"/>
        </w:rPr>
        <w:t xml:space="preserve">wskazuje </w:t>
      </w:r>
      <w:r w:rsidRPr="00F767C8">
        <w:rPr>
          <w:rFonts w:ascii="Times New Roman" w:hAnsi="Times New Roman" w:cs="Times New Roman"/>
          <w:spacing w:val="-2"/>
          <w:sz w:val="24"/>
          <w:szCs w:val="24"/>
        </w:rPr>
        <w:t xml:space="preserve">także </w:t>
      </w:r>
      <w:r w:rsidR="00045BAE" w:rsidRPr="00F767C8">
        <w:rPr>
          <w:rFonts w:ascii="Times New Roman" w:hAnsi="Times New Roman" w:cs="Times New Roman"/>
          <w:spacing w:val="-2"/>
          <w:sz w:val="24"/>
          <w:szCs w:val="24"/>
        </w:rPr>
        <w:t>na warunki jakie muszą spełniać klauzule t</w:t>
      </w:r>
      <w:r w:rsidRPr="00F767C8">
        <w:rPr>
          <w:rFonts w:ascii="Times New Roman" w:hAnsi="Times New Roman" w:cs="Times New Roman"/>
          <w:spacing w:val="-2"/>
          <w:sz w:val="24"/>
          <w:szCs w:val="24"/>
        </w:rPr>
        <w:t xml:space="preserve"> dotyczące wspólnego wykorzystania wyników, tj. konieczność zapewnienia:</w:t>
      </w:r>
    </w:p>
    <w:p w14:paraId="227C9FA7" w14:textId="77777777" w:rsidR="00B706EB" w:rsidRPr="00F767C8" w:rsidRDefault="00B706EB" w:rsidP="00F767C8">
      <w:pPr>
        <w:spacing w:after="0" w:line="360" w:lineRule="auto"/>
        <w:jc w:val="both"/>
        <w:rPr>
          <w:rFonts w:ascii="Times New Roman" w:hAnsi="Times New Roman" w:cs="Times New Roman"/>
          <w:spacing w:val="-2"/>
          <w:sz w:val="24"/>
          <w:szCs w:val="24"/>
        </w:rPr>
      </w:pPr>
      <w:r w:rsidRPr="00F767C8">
        <w:rPr>
          <w:rFonts w:ascii="Times New Roman" w:hAnsi="Times New Roman" w:cs="Times New Roman"/>
          <w:spacing w:val="-2"/>
          <w:sz w:val="24"/>
          <w:szCs w:val="24"/>
        </w:rPr>
        <w:lastRenderedPageBreak/>
        <w:t xml:space="preserve">- pełnego dostępu do wyników (zasadniczo wszystkie strony porozumienia muszą mieć pełen dostęp do ostatecznych wyników wspólnej działalności badawczo-rozwojowej lub opłacanej działalności badawczo-rozwojowej, włącznie z prawami własności intelektualnej i know-how), </w:t>
      </w:r>
    </w:p>
    <w:p w14:paraId="22057D72" w14:textId="17FE3B34" w:rsidR="00B706EB" w:rsidRPr="00F767C8" w:rsidRDefault="00B706EB" w:rsidP="00F767C8">
      <w:pPr>
        <w:spacing w:after="0" w:line="360" w:lineRule="auto"/>
        <w:jc w:val="both"/>
        <w:rPr>
          <w:rFonts w:ascii="Times New Roman" w:hAnsi="Times New Roman" w:cs="Times New Roman"/>
          <w:spacing w:val="-2"/>
          <w:sz w:val="24"/>
          <w:szCs w:val="24"/>
        </w:rPr>
      </w:pPr>
      <w:r w:rsidRPr="00F767C8">
        <w:rPr>
          <w:rFonts w:ascii="Times New Roman" w:hAnsi="Times New Roman" w:cs="Times New Roman"/>
          <w:spacing w:val="-2"/>
          <w:sz w:val="24"/>
          <w:szCs w:val="24"/>
        </w:rPr>
        <w:t xml:space="preserve">- dostępności do know-how (wszystkie strony </w:t>
      </w:r>
      <w:r w:rsidR="00813CE6" w:rsidRPr="00F767C8">
        <w:rPr>
          <w:rFonts w:ascii="Times New Roman" w:hAnsi="Times New Roman" w:cs="Times New Roman"/>
          <w:spacing w:val="-2"/>
          <w:sz w:val="24"/>
          <w:szCs w:val="24"/>
        </w:rPr>
        <w:t xml:space="preserve">porozumienia </w:t>
      </w:r>
      <w:r w:rsidRPr="00F767C8">
        <w:rPr>
          <w:rFonts w:ascii="Times New Roman" w:hAnsi="Times New Roman" w:cs="Times New Roman"/>
          <w:spacing w:val="-2"/>
          <w:sz w:val="24"/>
          <w:szCs w:val="24"/>
        </w:rPr>
        <w:t>muszą mieć dostęp do istniejącego wcześniej know-how innych stron, jeśli porozumienie zakłada wspólne prowadzenie działalności badawczo-rozwojowej lub opłacanej działalności badawczo-rozwojowej),</w:t>
      </w:r>
    </w:p>
    <w:p w14:paraId="47AA4599" w14:textId="77777777" w:rsidR="00B706EB" w:rsidRPr="00F767C8" w:rsidRDefault="00B706EB" w:rsidP="00F767C8">
      <w:pPr>
        <w:spacing w:after="0" w:line="360" w:lineRule="auto"/>
        <w:jc w:val="both"/>
        <w:rPr>
          <w:rFonts w:ascii="Times New Roman" w:hAnsi="Times New Roman" w:cs="Times New Roman"/>
          <w:spacing w:val="-2"/>
          <w:sz w:val="24"/>
          <w:szCs w:val="24"/>
        </w:rPr>
      </w:pPr>
      <w:r w:rsidRPr="00F767C8">
        <w:rPr>
          <w:rFonts w:ascii="Times New Roman" w:hAnsi="Times New Roman" w:cs="Times New Roman"/>
          <w:spacing w:val="-2"/>
          <w:sz w:val="24"/>
          <w:szCs w:val="24"/>
        </w:rPr>
        <w:t>- wspólne wykorzystywanie wyników musi dotyczyć tylko tych wyników, które są chronione przez prawa własności intelektualnej lub stanowią know-how i są istotne dla produkcji towarów lub procesów objętych porozumieniem,</w:t>
      </w:r>
    </w:p>
    <w:p w14:paraId="6A3CC77C" w14:textId="77777777" w:rsidR="00B706EB" w:rsidRPr="00F767C8" w:rsidRDefault="00B706EB" w:rsidP="00F767C8">
      <w:pPr>
        <w:spacing w:after="0" w:line="360" w:lineRule="auto"/>
        <w:jc w:val="both"/>
        <w:rPr>
          <w:rFonts w:ascii="Times New Roman" w:hAnsi="Times New Roman" w:cs="Times New Roman"/>
          <w:spacing w:val="-2"/>
          <w:sz w:val="24"/>
          <w:szCs w:val="24"/>
        </w:rPr>
      </w:pPr>
      <w:r w:rsidRPr="00F767C8">
        <w:rPr>
          <w:rFonts w:ascii="Times New Roman" w:hAnsi="Times New Roman" w:cs="Times New Roman"/>
          <w:spacing w:val="-2"/>
          <w:sz w:val="24"/>
          <w:szCs w:val="24"/>
        </w:rPr>
        <w:t>- w wypadku dostawy towarów w ramach porozumienia specjalizacyjnego, przedsiębiorcy zobowiązani do produkcji tych towarów muszą realizować zamówienia innych stron porozumienia na dostawy tych towarów, chyba że porozumienie przewiduje inną formę dystrybucji lub strony uzgodniły, że tylko strona wytwarzająca te towary może je dystrybuować.</w:t>
      </w:r>
    </w:p>
    <w:p w14:paraId="62F97122" w14:textId="3ECF1679" w:rsidR="000E107D" w:rsidRPr="00F767C8" w:rsidRDefault="00097FEA" w:rsidP="00F767C8">
      <w:pPr>
        <w:spacing w:after="0" w:line="360" w:lineRule="auto"/>
        <w:ind w:firstLine="709"/>
        <w:jc w:val="both"/>
        <w:rPr>
          <w:rFonts w:ascii="Times New Roman" w:hAnsi="Times New Roman" w:cs="Times New Roman"/>
          <w:spacing w:val="-2"/>
          <w:sz w:val="24"/>
          <w:szCs w:val="24"/>
        </w:rPr>
      </w:pPr>
      <w:r w:rsidRPr="00F767C8">
        <w:rPr>
          <w:rFonts w:ascii="Times New Roman" w:hAnsi="Times New Roman" w:cs="Times New Roman"/>
          <w:spacing w:val="-2"/>
          <w:sz w:val="24"/>
          <w:szCs w:val="24"/>
        </w:rPr>
        <w:t>Rozporządzenie określa</w:t>
      </w:r>
      <w:r w:rsidR="0054107A" w:rsidRPr="00F767C8">
        <w:rPr>
          <w:rFonts w:ascii="Times New Roman" w:hAnsi="Times New Roman" w:cs="Times New Roman"/>
          <w:spacing w:val="-2"/>
          <w:sz w:val="24"/>
          <w:szCs w:val="24"/>
        </w:rPr>
        <w:t xml:space="preserve"> przypadki w których dane porozumienie nie może być niezależnie od spełnienia pozostałych warunków wyłączone spod zakazu. Są to porozumienia, które ograniczają konkurencję, w sposób, który nie zostanie zrekompensowany przez potencjalne korzyści płynące z porozumienia. Zgodnie z rozporządzeniem</w:t>
      </w:r>
      <w:r w:rsidRPr="00F767C8">
        <w:rPr>
          <w:rFonts w:ascii="Times New Roman" w:hAnsi="Times New Roman" w:cs="Times New Roman"/>
          <w:spacing w:val="-2"/>
          <w:sz w:val="24"/>
          <w:szCs w:val="24"/>
        </w:rPr>
        <w:t xml:space="preserve"> wyłączenia nie stosuje się do porozumień, które bezpośrednio lub pośrednio, samodzielnie lub w powiązaniu z innymi czynnikami zależnymi od stron, mają na celu:</w:t>
      </w:r>
    </w:p>
    <w:p w14:paraId="48C5E139" w14:textId="6F03C4A8" w:rsidR="000E107D" w:rsidRPr="00F767C8" w:rsidRDefault="000E107D" w:rsidP="00F767C8">
      <w:pPr>
        <w:pStyle w:val="Akapitzlist"/>
        <w:numPr>
          <w:ilvl w:val="0"/>
          <w:numId w:val="34"/>
        </w:numPr>
        <w:spacing w:after="0" w:line="360" w:lineRule="auto"/>
        <w:jc w:val="both"/>
        <w:rPr>
          <w:rFonts w:ascii="Times New Roman" w:hAnsi="Times New Roman" w:cs="Times New Roman"/>
          <w:b/>
          <w:spacing w:val="-2"/>
          <w:sz w:val="24"/>
          <w:szCs w:val="24"/>
        </w:rPr>
      </w:pPr>
      <w:r w:rsidRPr="00F767C8">
        <w:rPr>
          <w:rFonts w:ascii="Times New Roman" w:hAnsi="Times New Roman" w:cs="Times New Roman"/>
          <w:b/>
          <w:spacing w:val="-2"/>
          <w:sz w:val="24"/>
          <w:szCs w:val="24"/>
        </w:rPr>
        <w:t xml:space="preserve">w </w:t>
      </w:r>
      <w:r w:rsidR="00097FEA" w:rsidRPr="00F767C8">
        <w:rPr>
          <w:rFonts w:ascii="Times New Roman" w:hAnsi="Times New Roman" w:cs="Times New Roman"/>
          <w:b/>
          <w:spacing w:val="-2"/>
          <w:sz w:val="24"/>
          <w:szCs w:val="24"/>
        </w:rPr>
        <w:t>przypadku porozumień</w:t>
      </w:r>
      <w:r w:rsidRPr="00F767C8">
        <w:rPr>
          <w:rFonts w:ascii="Times New Roman" w:hAnsi="Times New Roman" w:cs="Times New Roman"/>
          <w:b/>
          <w:spacing w:val="-2"/>
          <w:sz w:val="24"/>
          <w:szCs w:val="24"/>
        </w:rPr>
        <w:t xml:space="preserve"> specjalizacyjnych (§ </w:t>
      </w:r>
      <w:r w:rsidR="008B2919" w:rsidRPr="00F767C8">
        <w:rPr>
          <w:rFonts w:ascii="Times New Roman" w:hAnsi="Times New Roman" w:cs="Times New Roman"/>
          <w:b/>
          <w:spacing w:val="-2"/>
          <w:sz w:val="24"/>
          <w:szCs w:val="24"/>
        </w:rPr>
        <w:t>8</w:t>
      </w:r>
      <w:r w:rsidRPr="00F767C8">
        <w:rPr>
          <w:rFonts w:ascii="Times New Roman" w:hAnsi="Times New Roman" w:cs="Times New Roman"/>
          <w:b/>
          <w:spacing w:val="-2"/>
          <w:sz w:val="24"/>
          <w:szCs w:val="24"/>
        </w:rPr>
        <w:t>):</w:t>
      </w:r>
    </w:p>
    <w:p w14:paraId="362BC133" w14:textId="77777777" w:rsidR="000E107D" w:rsidRPr="00F767C8" w:rsidRDefault="000E107D" w:rsidP="00F767C8">
      <w:pPr>
        <w:pStyle w:val="Akapitzlist"/>
        <w:numPr>
          <w:ilvl w:val="0"/>
          <w:numId w:val="42"/>
        </w:numPr>
        <w:spacing w:after="0" w:line="360" w:lineRule="auto"/>
        <w:jc w:val="both"/>
        <w:rPr>
          <w:rFonts w:ascii="Times New Roman" w:hAnsi="Times New Roman" w:cs="Times New Roman"/>
          <w:spacing w:val="-2"/>
          <w:sz w:val="24"/>
          <w:szCs w:val="24"/>
        </w:rPr>
      </w:pPr>
      <w:r w:rsidRPr="00F767C8">
        <w:rPr>
          <w:rFonts w:ascii="Times New Roman" w:hAnsi="Times New Roman" w:cs="Times New Roman"/>
          <w:spacing w:val="-2"/>
          <w:sz w:val="24"/>
          <w:szCs w:val="24"/>
        </w:rPr>
        <w:t>ustalanie cen sprzedaży towarów;</w:t>
      </w:r>
    </w:p>
    <w:p w14:paraId="479F8DCE" w14:textId="77777777" w:rsidR="000E107D" w:rsidRPr="00F767C8" w:rsidRDefault="000E107D" w:rsidP="00F767C8">
      <w:pPr>
        <w:pStyle w:val="Akapitzlist"/>
        <w:numPr>
          <w:ilvl w:val="0"/>
          <w:numId w:val="42"/>
        </w:numPr>
        <w:spacing w:after="0" w:line="360" w:lineRule="auto"/>
        <w:jc w:val="both"/>
        <w:rPr>
          <w:rFonts w:ascii="Times New Roman" w:hAnsi="Times New Roman" w:cs="Times New Roman"/>
          <w:spacing w:val="-2"/>
          <w:sz w:val="24"/>
          <w:szCs w:val="24"/>
        </w:rPr>
      </w:pPr>
      <w:r w:rsidRPr="00F767C8">
        <w:rPr>
          <w:rFonts w:ascii="Times New Roman" w:hAnsi="Times New Roman" w:cs="Times New Roman"/>
          <w:spacing w:val="-2"/>
          <w:sz w:val="24"/>
          <w:szCs w:val="24"/>
        </w:rPr>
        <w:t>ograniczanie produkcji lub sprzedaży towarów: porozumienia specjalizacyjne nie mogą zawierać klauzul, które ograniczają produkcję lub sprzedaż towarów objętych specjalizacją. Strony nie mogą działać wspólnie w celu kontrolowania produkcji lub ilości towarów dostępnych na rynku;</w:t>
      </w:r>
    </w:p>
    <w:p w14:paraId="31331178" w14:textId="77777777" w:rsidR="000E107D" w:rsidRPr="00F767C8" w:rsidRDefault="000E107D" w:rsidP="00F767C8">
      <w:pPr>
        <w:pStyle w:val="Akapitzlist"/>
        <w:numPr>
          <w:ilvl w:val="0"/>
          <w:numId w:val="42"/>
        </w:numPr>
        <w:spacing w:after="0" w:line="360" w:lineRule="auto"/>
        <w:jc w:val="both"/>
        <w:rPr>
          <w:rFonts w:ascii="Times New Roman" w:hAnsi="Times New Roman" w:cs="Times New Roman"/>
          <w:spacing w:val="-2"/>
          <w:sz w:val="24"/>
          <w:szCs w:val="24"/>
        </w:rPr>
      </w:pPr>
      <w:r w:rsidRPr="00F767C8">
        <w:rPr>
          <w:rFonts w:ascii="Times New Roman" w:hAnsi="Times New Roman" w:cs="Times New Roman"/>
          <w:spacing w:val="-2"/>
          <w:sz w:val="24"/>
          <w:szCs w:val="24"/>
        </w:rPr>
        <w:t>podział rynków: strony porozumienia specjalizacyjnego nie mogą dzielić rynków zbytu towarów objętych specjalizacją. Nie mogą także ustalać, które obszary geograficzne lub grupy klientów przypisane są każdej ze stron.</w:t>
      </w:r>
    </w:p>
    <w:p w14:paraId="0C2CB2A8" w14:textId="4D00D283" w:rsidR="000E107D" w:rsidRPr="00F767C8" w:rsidRDefault="00097FEA" w:rsidP="00F767C8">
      <w:pPr>
        <w:pStyle w:val="Akapitzlist"/>
        <w:numPr>
          <w:ilvl w:val="0"/>
          <w:numId w:val="34"/>
        </w:numPr>
        <w:spacing w:after="0" w:line="360" w:lineRule="auto"/>
        <w:jc w:val="both"/>
        <w:rPr>
          <w:rFonts w:ascii="Times New Roman" w:hAnsi="Times New Roman" w:cs="Times New Roman"/>
          <w:b/>
          <w:spacing w:val="-2"/>
          <w:sz w:val="24"/>
          <w:szCs w:val="24"/>
        </w:rPr>
      </w:pPr>
      <w:r w:rsidRPr="00F767C8">
        <w:rPr>
          <w:rFonts w:ascii="Times New Roman" w:hAnsi="Times New Roman" w:cs="Times New Roman"/>
          <w:b/>
          <w:spacing w:val="-2"/>
          <w:sz w:val="24"/>
          <w:szCs w:val="24"/>
        </w:rPr>
        <w:t>w przypadku w porozumień</w:t>
      </w:r>
      <w:r w:rsidR="000E107D" w:rsidRPr="00F767C8">
        <w:rPr>
          <w:rFonts w:ascii="Times New Roman" w:hAnsi="Times New Roman" w:cs="Times New Roman"/>
          <w:b/>
          <w:spacing w:val="-2"/>
          <w:sz w:val="24"/>
          <w:szCs w:val="24"/>
        </w:rPr>
        <w:t xml:space="preserve"> badawczo-rozwojowych (§ </w:t>
      </w:r>
      <w:r w:rsidR="008B2919" w:rsidRPr="00F767C8">
        <w:rPr>
          <w:rFonts w:ascii="Times New Roman" w:hAnsi="Times New Roman" w:cs="Times New Roman"/>
          <w:b/>
          <w:spacing w:val="-2"/>
          <w:sz w:val="24"/>
          <w:szCs w:val="24"/>
        </w:rPr>
        <w:t>9</w:t>
      </w:r>
      <w:r w:rsidR="000E107D" w:rsidRPr="00F767C8">
        <w:rPr>
          <w:rFonts w:ascii="Times New Roman" w:hAnsi="Times New Roman" w:cs="Times New Roman"/>
          <w:b/>
          <w:spacing w:val="-2"/>
          <w:sz w:val="24"/>
          <w:szCs w:val="24"/>
        </w:rPr>
        <w:t>):</w:t>
      </w:r>
    </w:p>
    <w:p w14:paraId="72CFB877" w14:textId="77777777" w:rsidR="000E107D" w:rsidRPr="00F767C8" w:rsidRDefault="000E107D" w:rsidP="00F767C8">
      <w:pPr>
        <w:pStyle w:val="Akapitzlist"/>
        <w:numPr>
          <w:ilvl w:val="0"/>
          <w:numId w:val="43"/>
        </w:numPr>
        <w:spacing w:after="0" w:line="360" w:lineRule="auto"/>
        <w:jc w:val="both"/>
        <w:rPr>
          <w:rFonts w:ascii="Times New Roman" w:hAnsi="Times New Roman" w:cs="Times New Roman"/>
          <w:spacing w:val="-2"/>
          <w:sz w:val="24"/>
          <w:szCs w:val="24"/>
        </w:rPr>
      </w:pPr>
      <w:r w:rsidRPr="00F767C8">
        <w:rPr>
          <w:rFonts w:ascii="Times New Roman" w:hAnsi="Times New Roman" w:cs="Times New Roman"/>
          <w:spacing w:val="-2"/>
          <w:sz w:val="24"/>
          <w:szCs w:val="24"/>
        </w:rPr>
        <w:t>ustalanie cen lub opłat w przypadku sprzedaży towarów;</w:t>
      </w:r>
    </w:p>
    <w:p w14:paraId="50825135" w14:textId="7A710BB3" w:rsidR="000E107D" w:rsidRPr="00F767C8" w:rsidRDefault="000E107D" w:rsidP="00F767C8">
      <w:pPr>
        <w:pStyle w:val="Akapitzlist"/>
        <w:numPr>
          <w:ilvl w:val="0"/>
          <w:numId w:val="43"/>
        </w:numPr>
        <w:spacing w:after="0" w:line="360" w:lineRule="auto"/>
        <w:jc w:val="both"/>
        <w:rPr>
          <w:rFonts w:ascii="Times New Roman" w:hAnsi="Times New Roman" w:cs="Times New Roman"/>
          <w:spacing w:val="-2"/>
          <w:sz w:val="24"/>
          <w:szCs w:val="24"/>
        </w:rPr>
      </w:pPr>
      <w:r w:rsidRPr="00F767C8">
        <w:rPr>
          <w:rFonts w:ascii="Times New Roman" w:hAnsi="Times New Roman" w:cs="Times New Roman"/>
          <w:spacing w:val="-2"/>
          <w:sz w:val="24"/>
          <w:szCs w:val="24"/>
        </w:rPr>
        <w:t xml:space="preserve">ograniczanie produkcji lub sprzedaży (z wyjątkiem ustalania </w:t>
      </w:r>
      <w:r w:rsidR="00097FEA" w:rsidRPr="00F767C8">
        <w:rPr>
          <w:rFonts w:ascii="Times New Roman" w:hAnsi="Times New Roman" w:cs="Times New Roman"/>
          <w:spacing w:val="-2"/>
          <w:sz w:val="24"/>
          <w:szCs w:val="24"/>
        </w:rPr>
        <w:t>poziomów</w:t>
      </w:r>
      <w:r w:rsidRPr="00F767C8">
        <w:rPr>
          <w:rFonts w:ascii="Times New Roman" w:hAnsi="Times New Roman" w:cs="Times New Roman"/>
          <w:spacing w:val="-2"/>
          <w:sz w:val="24"/>
          <w:szCs w:val="24"/>
        </w:rPr>
        <w:t xml:space="preserve"> produkcji, jeśli wspólne wykorzystywanie wyników obejmuje wspólne wytwarzanie towarów objętych porozumieniem oraz ustalania </w:t>
      </w:r>
      <w:r w:rsidR="00097FEA" w:rsidRPr="00F767C8">
        <w:rPr>
          <w:rFonts w:ascii="Times New Roman" w:hAnsi="Times New Roman" w:cs="Times New Roman"/>
          <w:spacing w:val="-2"/>
          <w:sz w:val="24"/>
          <w:szCs w:val="24"/>
        </w:rPr>
        <w:t>poziomów</w:t>
      </w:r>
      <w:r w:rsidRPr="00F767C8">
        <w:rPr>
          <w:rFonts w:ascii="Times New Roman" w:hAnsi="Times New Roman" w:cs="Times New Roman"/>
          <w:spacing w:val="-2"/>
          <w:sz w:val="24"/>
          <w:szCs w:val="24"/>
        </w:rPr>
        <w:t xml:space="preserve"> sprzedaży, jeśli wspólne wykorzystywanie </w:t>
      </w:r>
      <w:r w:rsidRPr="00F767C8">
        <w:rPr>
          <w:rFonts w:ascii="Times New Roman" w:hAnsi="Times New Roman" w:cs="Times New Roman"/>
          <w:spacing w:val="-2"/>
          <w:sz w:val="24"/>
          <w:szCs w:val="24"/>
        </w:rPr>
        <w:lastRenderedPageBreak/>
        <w:t>wyników obejmuje wspólną dystrybucję towarów lub wspólne udzielanie licencji w</w:t>
      </w:r>
      <w:r w:rsidR="002A3B28" w:rsidRPr="00F767C8">
        <w:rPr>
          <w:rFonts w:ascii="Times New Roman" w:hAnsi="Times New Roman" w:cs="Times New Roman"/>
          <w:spacing w:val="-2"/>
          <w:sz w:val="24"/>
          <w:szCs w:val="24"/>
        </w:rPr>
        <w:t> </w:t>
      </w:r>
      <w:r w:rsidRPr="00F767C8">
        <w:rPr>
          <w:rFonts w:ascii="Times New Roman" w:hAnsi="Times New Roman" w:cs="Times New Roman"/>
          <w:spacing w:val="-2"/>
          <w:sz w:val="24"/>
          <w:szCs w:val="24"/>
        </w:rPr>
        <w:t>określony sposób);</w:t>
      </w:r>
    </w:p>
    <w:p w14:paraId="665CBA2B" w14:textId="77777777" w:rsidR="000E107D" w:rsidRPr="00F767C8" w:rsidRDefault="000E107D" w:rsidP="00F767C8">
      <w:pPr>
        <w:pStyle w:val="Akapitzlist"/>
        <w:numPr>
          <w:ilvl w:val="0"/>
          <w:numId w:val="43"/>
        </w:numPr>
        <w:spacing w:after="0" w:line="360" w:lineRule="auto"/>
        <w:jc w:val="both"/>
        <w:rPr>
          <w:rFonts w:ascii="Times New Roman" w:hAnsi="Times New Roman" w:cs="Times New Roman"/>
          <w:spacing w:val="-2"/>
          <w:sz w:val="24"/>
          <w:szCs w:val="24"/>
        </w:rPr>
      </w:pPr>
      <w:r w:rsidRPr="00F767C8">
        <w:rPr>
          <w:rFonts w:ascii="Times New Roman" w:hAnsi="Times New Roman" w:cs="Times New Roman"/>
          <w:spacing w:val="-2"/>
          <w:sz w:val="24"/>
          <w:szCs w:val="24"/>
        </w:rPr>
        <w:t>podział rynków: porozumienia badawczo-rozwojowe nie mogą zawierać klauzul, które ograniczają, na których obszarach lub dla których klientów strony mogą sprzedawać towary objęte porozumieniem. Wyjątek stanowi sytuacja, gdy jedna ze stron otrzymuje wyłączną licencję na wykorzystywanie wyników;</w:t>
      </w:r>
    </w:p>
    <w:p w14:paraId="6BB88320" w14:textId="77777777" w:rsidR="000E107D" w:rsidRPr="00F767C8" w:rsidRDefault="000E107D" w:rsidP="00F767C8">
      <w:pPr>
        <w:pStyle w:val="Akapitzlist"/>
        <w:numPr>
          <w:ilvl w:val="0"/>
          <w:numId w:val="43"/>
        </w:numPr>
        <w:spacing w:after="0" w:line="360" w:lineRule="auto"/>
        <w:jc w:val="both"/>
        <w:rPr>
          <w:rFonts w:ascii="Times New Roman" w:hAnsi="Times New Roman" w:cs="Times New Roman"/>
          <w:spacing w:val="-2"/>
          <w:sz w:val="24"/>
          <w:szCs w:val="24"/>
        </w:rPr>
      </w:pPr>
      <w:r w:rsidRPr="00F767C8">
        <w:rPr>
          <w:rFonts w:ascii="Times New Roman" w:hAnsi="Times New Roman" w:cs="Times New Roman"/>
          <w:spacing w:val="-2"/>
          <w:sz w:val="24"/>
          <w:szCs w:val="24"/>
        </w:rPr>
        <w:t>wyeliminowanie lub ograniczanie aktywnej sprzedaży – strony porozumienia nie mogą utrudniać aktywnej sprzedaży towarów objętych porozumieniem na obszarach lub klientach, których nie przydzielono na wyłączność jednej ze stron;</w:t>
      </w:r>
    </w:p>
    <w:p w14:paraId="1ED6CB47" w14:textId="2E63365F" w:rsidR="000E107D" w:rsidRPr="00F767C8" w:rsidRDefault="000E107D" w:rsidP="00F767C8">
      <w:pPr>
        <w:pStyle w:val="Akapitzlist"/>
        <w:numPr>
          <w:ilvl w:val="0"/>
          <w:numId w:val="43"/>
        </w:numPr>
        <w:spacing w:after="0" w:line="360" w:lineRule="auto"/>
        <w:jc w:val="both"/>
        <w:rPr>
          <w:rFonts w:ascii="Times New Roman" w:hAnsi="Times New Roman" w:cs="Times New Roman"/>
          <w:spacing w:val="-2"/>
          <w:sz w:val="24"/>
          <w:szCs w:val="24"/>
        </w:rPr>
      </w:pPr>
      <w:r w:rsidRPr="00F767C8">
        <w:rPr>
          <w:rFonts w:ascii="Times New Roman" w:hAnsi="Times New Roman" w:cs="Times New Roman"/>
          <w:spacing w:val="-2"/>
          <w:sz w:val="24"/>
          <w:szCs w:val="24"/>
        </w:rPr>
        <w:t>zobowiązanie do odmowy zaspokojenia popytu - strony porozumienia nie mogą zobowiązywać się do odmowy zaspokojenia popytu ze strony klientów na obszarach lub w sposób rozdzielonych między strony w ramach specjalizacji w zakresie wykorzystywania wyników</w:t>
      </w:r>
      <w:r w:rsidR="002E1E3E" w:rsidRPr="00F767C8">
        <w:rPr>
          <w:rFonts w:ascii="Times New Roman" w:hAnsi="Times New Roman" w:cs="Times New Roman"/>
          <w:spacing w:val="-2"/>
          <w:sz w:val="24"/>
          <w:szCs w:val="24"/>
        </w:rPr>
        <w:t>.</w:t>
      </w:r>
    </w:p>
    <w:p w14:paraId="53D50665" w14:textId="0F32002D" w:rsidR="002E1E3E" w:rsidRPr="00F767C8" w:rsidRDefault="00813CE6" w:rsidP="00F767C8">
      <w:pPr>
        <w:spacing w:after="0" w:line="360" w:lineRule="auto"/>
        <w:ind w:left="360"/>
        <w:jc w:val="both"/>
        <w:rPr>
          <w:rFonts w:ascii="Times New Roman" w:hAnsi="Times New Roman" w:cs="Times New Roman"/>
          <w:spacing w:val="-2"/>
          <w:sz w:val="24"/>
          <w:szCs w:val="24"/>
        </w:rPr>
      </w:pPr>
      <w:r w:rsidRPr="00F767C8">
        <w:rPr>
          <w:rFonts w:ascii="Times New Roman" w:hAnsi="Times New Roman" w:cs="Times New Roman"/>
          <w:spacing w:val="-2"/>
          <w:sz w:val="24"/>
          <w:szCs w:val="24"/>
        </w:rPr>
        <w:t xml:space="preserve">Rozporządzenie </w:t>
      </w:r>
      <w:r w:rsidR="002E1E3E" w:rsidRPr="00F767C8">
        <w:rPr>
          <w:rFonts w:ascii="Times New Roman" w:hAnsi="Times New Roman" w:cs="Times New Roman"/>
          <w:spacing w:val="-2"/>
          <w:sz w:val="24"/>
          <w:szCs w:val="24"/>
        </w:rPr>
        <w:t>określa także klauzule, których występowanie w porozumieniu horyzontalnym stanowi naruszenie art. 6 ust. 1 ustawy:</w:t>
      </w:r>
    </w:p>
    <w:p w14:paraId="2D36163E" w14:textId="77777777" w:rsidR="000E107D" w:rsidRPr="00F767C8" w:rsidRDefault="000E107D" w:rsidP="00F767C8">
      <w:pPr>
        <w:pStyle w:val="Akapitzlist"/>
        <w:numPr>
          <w:ilvl w:val="0"/>
          <w:numId w:val="43"/>
        </w:numPr>
        <w:spacing w:after="0" w:line="360" w:lineRule="auto"/>
        <w:jc w:val="both"/>
        <w:rPr>
          <w:rFonts w:ascii="Times New Roman" w:hAnsi="Times New Roman" w:cs="Times New Roman"/>
          <w:spacing w:val="-2"/>
          <w:sz w:val="24"/>
          <w:szCs w:val="24"/>
        </w:rPr>
      </w:pPr>
      <w:r w:rsidRPr="00F767C8">
        <w:rPr>
          <w:rFonts w:ascii="Times New Roman" w:hAnsi="Times New Roman" w:cs="Times New Roman"/>
          <w:spacing w:val="-2"/>
          <w:sz w:val="24"/>
          <w:szCs w:val="24"/>
        </w:rPr>
        <w:t>ograniczanie swobody uczestnictwa w działalności badawczo-rozwojowej - stronom porozumienia nie mogą ograniczać uczestnictwa w prowadzeniu działalności badawczo-rozwojowej samodzielnie lub we współpracy z osobami trzecimi w innej dziedzinie niż objęta porozumieniem;</w:t>
      </w:r>
    </w:p>
    <w:p w14:paraId="1F28BB68" w14:textId="0D4B53D3" w:rsidR="000E107D" w:rsidRPr="00F767C8" w:rsidRDefault="000E107D" w:rsidP="00F767C8">
      <w:pPr>
        <w:pStyle w:val="Akapitzlist"/>
        <w:numPr>
          <w:ilvl w:val="0"/>
          <w:numId w:val="43"/>
        </w:numPr>
        <w:spacing w:after="0" w:line="360" w:lineRule="auto"/>
        <w:jc w:val="both"/>
        <w:rPr>
          <w:rFonts w:ascii="Times New Roman" w:hAnsi="Times New Roman" w:cs="Times New Roman"/>
          <w:spacing w:val="-2"/>
          <w:sz w:val="24"/>
          <w:szCs w:val="24"/>
        </w:rPr>
      </w:pPr>
      <w:r w:rsidRPr="00F767C8">
        <w:rPr>
          <w:rFonts w:ascii="Times New Roman" w:hAnsi="Times New Roman" w:cs="Times New Roman"/>
          <w:spacing w:val="-2"/>
          <w:sz w:val="24"/>
          <w:szCs w:val="24"/>
        </w:rPr>
        <w:t>zakaz podważania ważności praw własności intelektualnej - strony nie mogą zawierać w</w:t>
      </w:r>
      <w:r w:rsidR="002A3B28" w:rsidRPr="00F767C8">
        <w:rPr>
          <w:rFonts w:ascii="Times New Roman" w:hAnsi="Times New Roman" w:cs="Times New Roman"/>
          <w:spacing w:val="-2"/>
          <w:sz w:val="24"/>
          <w:szCs w:val="24"/>
        </w:rPr>
        <w:t> </w:t>
      </w:r>
      <w:r w:rsidRPr="00F767C8">
        <w:rPr>
          <w:rFonts w:ascii="Times New Roman" w:hAnsi="Times New Roman" w:cs="Times New Roman"/>
          <w:spacing w:val="-2"/>
          <w:sz w:val="24"/>
          <w:szCs w:val="24"/>
        </w:rPr>
        <w:t>porozumieniu klauzul, które zakazują podważania ważności praw własności intelektualnej, którymi dysponują, i które są istotne dla działalności badawczo-rozwojowej;</w:t>
      </w:r>
    </w:p>
    <w:p w14:paraId="51F85CD9" w14:textId="640622D0" w:rsidR="00097FEA" w:rsidRPr="00F767C8" w:rsidRDefault="000E107D" w:rsidP="00F767C8">
      <w:pPr>
        <w:pStyle w:val="Akapitzlist"/>
        <w:numPr>
          <w:ilvl w:val="0"/>
          <w:numId w:val="43"/>
        </w:numPr>
        <w:spacing w:after="0" w:line="360" w:lineRule="auto"/>
        <w:jc w:val="both"/>
        <w:rPr>
          <w:rFonts w:ascii="Times New Roman" w:hAnsi="Times New Roman" w:cs="Times New Roman"/>
          <w:spacing w:val="-2"/>
          <w:sz w:val="24"/>
          <w:szCs w:val="24"/>
        </w:rPr>
      </w:pPr>
      <w:r w:rsidRPr="00F767C8">
        <w:rPr>
          <w:rFonts w:ascii="Times New Roman" w:hAnsi="Times New Roman" w:cs="Times New Roman"/>
          <w:spacing w:val="-2"/>
          <w:sz w:val="24"/>
          <w:szCs w:val="24"/>
        </w:rPr>
        <w:t>zakaz podważania ważności praw własności intelektualnej po zakończeniu porozumienia: zakaz podważania ważności praw własności intelektualnej, które strony dysponują, również po zakończeniu porozumienia badawczo-rozwojowego;</w:t>
      </w:r>
    </w:p>
    <w:p w14:paraId="1D9C9A3B" w14:textId="38BDD622" w:rsidR="000E107D" w:rsidRPr="00F767C8" w:rsidRDefault="000E107D" w:rsidP="00F767C8">
      <w:pPr>
        <w:pStyle w:val="Akapitzlist"/>
        <w:numPr>
          <w:ilvl w:val="0"/>
          <w:numId w:val="43"/>
        </w:numPr>
        <w:spacing w:after="0" w:line="360" w:lineRule="auto"/>
        <w:jc w:val="both"/>
        <w:rPr>
          <w:rFonts w:ascii="Times New Roman" w:hAnsi="Times New Roman" w:cs="Times New Roman"/>
          <w:spacing w:val="-2"/>
          <w:sz w:val="24"/>
          <w:szCs w:val="24"/>
        </w:rPr>
      </w:pPr>
      <w:r w:rsidRPr="00F767C8">
        <w:rPr>
          <w:rFonts w:ascii="Times New Roman" w:hAnsi="Times New Roman" w:cs="Times New Roman"/>
          <w:spacing w:val="-2"/>
          <w:sz w:val="24"/>
          <w:szCs w:val="24"/>
        </w:rPr>
        <w:t>zobowiązanie do nieudzielania licencji osobom trzecim: strony nie mogą zobowiązywać się do nieudzielania osobom trzecim licencji na wytwarzanie towarów lub procesów objętych porozumieniem, chyba że istnieje wyjątek przewidziany w porozumieniu, pozwalający na wykorzystywanie wyników działalności badawczo-rozwojowej przez przynajmniej jedną ze stron w stosunku do osób trzecich.</w:t>
      </w:r>
    </w:p>
    <w:p w14:paraId="328FE8CA" w14:textId="2E72243D" w:rsidR="000E107D" w:rsidRPr="00F767C8" w:rsidRDefault="000E107D" w:rsidP="00F767C8">
      <w:pPr>
        <w:spacing w:after="0" w:line="360" w:lineRule="auto"/>
        <w:ind w:firstLine="567"/>
        <w:jc w:val="both"/>
        <w:rPr>
          <w:rFonts w:ascii="Times New Roman" w:hAnsi="Times New Roman" w:cs="Times New Roman"/>
          <w:spacing w:val="-2"/>
          <w:sz w:val="24"/>
          <w:szCs w:val="24"/>
        </w:rPr>
      </w:pPr>
      <w:r w:rsidRPr="00F767C8">
        <w:rPr>
          <w:rFonts w:ascii="Times New Roman" w:hAnsi="Times New Roman" w:cs="Times New Roman"/>
          <w:spacing w:val="-2"/>
          <w:sz w:val="24"/>
          <w:szCs w:val="24"/>
        </w:rPr>
        <w:t xml:space="preserve">Wyłączenia określone w projekcie będą obowiązywały </w:t>
      </w:r>
      <w:r w:rsidR="00813CE6" w:rsidRPr="00F767C8">
        <w:rPr>
          <w:rFonts w:ascii="Times New Roman" w:hAnsi="Times New Roman" w:cs="Times New Roman"/>
          <w:spacing w:val="-2"/>
          <w:sz w:val="24"/>
          <w:szCs w:val="24"/>
        </w:rPr>
        <w:t xml:space="preserve">do </w:t>
      </w:r>
      <w:r w:rsidRPr="00F767C8">
        <w:rPr>
          <w:rFonts w:ascii="Times New Roman" w:hAnsi="Times New Roman" w:cs="Times New Roman"/>
          <w:spacing w:val="-2"/>
          <w:sz w:val="24"/>
          <w:szCs w:val="24"/>
        </w:rPr>
        <w:t xml:space="preserve">31 grudnia 2036 </w:t>
      </w:r>
      <w:r w:rsidRPr="00F767C8">
        <w:rPr>
          <w:rFonts w:ascii="Times New Roman" w:hAnsi="Times New Roman" w:cs="Times New Roman"/>
          <w:sz w:val="24"/>
          <w:szCs w:val="24"/>
        </w:rPr>
        <w:t>r., a więc rok dłużej niż Rozporządzenie 2023/1066 w sprawie stosowania art. 101 ust. 3 Traktatu o</w:t>
      </w:r>
      <w:r w:rsidR="002A3B28" w:rsidRPr="00F767C8">
        <w:rPr>
          <w:rFonts w:ascii="Times New Roman" w:hAnsi="Times New Roman" w:cs="Times New Roman"/>
          <w:sz w:val="24"/>
          <w:szCs w:val="24"/>
        </w:rPr>
        <w:t> </w:t>
      </w:r>
      <w:r w:rsidRPr="00F767C8">
        <w:rPr>
          <w:rFonts w:ascii="Times New Roman" w:hAnsi="Times New Roman" w:cs="Times New Roman"/>
          <w:sz w:val="24"/>
          <w:szCs w:val="24"/>
        </w:rPr>
        <w:t>funkcjonowaniu Unii Europejskiej do niektórych kategorii porozumień badawczo-</w:t>
      </w:r>
      <w:r w:rsidRPr="00F767C8">
        <w:rPr>
          <w:rFonts w:ascii="Times New Roman" w:hAnsi="Times New Roman" w:cs="Times New Roman"/>
          <w:sz w:val="24"/>
          <w:szCs w:val="24"/>
        </w:rPr>
        <w:lastRenderedPageBreak/>
        <w:t>rozwojowych  oraz Rozporządzenie 2023/1067 w sprawie stosowania art. 101 ust. 3 Traktatu o</w:t>
      </w:r>
      <w:r w:rsidR="002A3B28" w:rsidRPr="00F767C8">
        <w:rPr>
          <w:rFonts w:ascii="Times New Roman" w:hAnsi="Times New Roman" w:cs="Times New Roman"/>
          <w:sz w:val="24"/>
          <w:szCs w:val="24"/>
        </w:rPr>
        <w:t> </w:t>
      </w:r>
      <w:r w:rsidRPr="00F767C8">
        <w:rPr>
          <w:rFonts w:ascii="Times New Roman" w:hAnsi="Times New Roman" w:cs="Times New Roman"/>
          <w:sz w:val="24"/>
          <w:szCs w:val="24"/>
        </w:rPr>
        <w:t>funkcjonowaniu Unii Europejskiej do niektórych kategorii porozumień specjalizacyjnych . Polski ustawodawca do tej pory konsekwentnie przyjmował przepisy, które, na potrzeby rynku krajowego, regulowały zakres wyłączeń w sposób zaproponowany przez Komisję w przepisach przez nią przyjętych. W celu zachowania ciągłości, przepisy polskich rozporządzeń przewidywały okres obowiązywania o rok dłuższy niż regulacje unijne. Jest to więc świadomy zabieg legislacyjny.</w:t>
      </w:r>
    </w:p>
    <w:p w14:paraId="01295BF1" w14:textId="5B986E51" w:rsidR="006C7707" w:rsidRPr="00F767C8" w:rsidRDefault="00877AC5" w:rsidP="00F767C8">
      <w:pPr>
        <w:spacing w:after="0" w:line="360" w:lineRule="auto"/>
        <w:ind w:firstLine="567"/>
        <w:jc w:val="both"/>
        <w:rPr>
          <w:rFonts w:ascii="Times New Roman" w:hAnsi="Times New Roman" w:cs="Times New Roman"/>
          <w:bCs/>
          <w:color w:val="000000" w:themeColor="text1"/>
          <w:sz w:val="24"/>
          <w:szCs w:val="24"/>
        </w:rPr>
      </w:pPr>
      <w:r w:rsidRPr="00F767C8">
        <w:rPr>
          <w:rFonts w:ascii="Times New Roman" w:hAnsi="Times New Roman" w:cs="Times New Roman"/>
          <w:bCs/>
          <w:color w:val="000000" w:themeColor="text1"/>
          <w:sz w:val="24"/>
          <w:szCs w:val="24"/>
        </w:rPr>
        <w:t>Przewiduje się</w:t>
      </w:r>
      <w:r w:rsidR="00E3439A" w:rsidRPr="00F767C8">
        <w:rPr>
          <w:rFonts w:ascii="Times New Roman" w:hAnsi="Times New Roman" w:cs="Times New Roman"/>
          <w:bCs/>
          <w:color w:val="000000" w:themeColor="text1"/>
          <w:sz w:val="24"/>
          <w:szCs w:val="24"/>
        </w:rPr>
        <w:t xml:space="preserve">, że projektowane rozporządzenie wejdzie </w:t>
      </w:r>
      <w:r w:rsidRPr="00F767C8">
        <w:rPr>
          <w:rFonts w:ascii="Times New Roman" w:hAnsi="Times New Roman" w:cs="Times New Roman"/>
          <w:bCs/>
          <w:color w:val="000000" w:themeColor="text1"/>
          <w:sz w:val="24"/>
          <w:szCs w:val="24"/>
        </w:rPr>
        <w:t xml:space="preserve">w życie </w:t>
      </w:r>
      <w:r w:rsidR="009707EB" w:rsidRPr="00F767C8">
        <w:rPr>
          <w:rFonts w:ascii="Times New Roman" w:hAnsi="Times New Roman" w:cs="Times New Roman"/>
          <w:bCs/>
          <w:color w:val="000000" w:themeColor="text1"/>
          <w:sz w:val="24"/>
          <w:szCs w:val="24"/>
        </w:rPr>
        <w:t>z dniem następującym po dniu ogłoszenia z mocą od dnia 1 stycznia 2024 r</w:t>
      </w:r>
      <w:r w:rsidR="009707EB" w:rsidRPr="00F767C8" w:rsidDel="009707EB">
        <w:rPr>
          <w:rFonts w:ascii="Times New Roman" w:hAnsi="Times New Roman" w:cs="Times New Roman"/>
          <w:bCs/>
          <w:color w:val="000000" w:themeColor="text1"/>
          <w:sz w:val="24"/>
          <w:szCs w:val="24"/>
        </w:rPr>
        <w:t xml:space="preserve"> </w:t>
      </w:r>
      <w:r w:rsidR="009707EB" w:rsidRPr="00F767C8">
        <w:rPr>
          <w:rFonts w:ascii="Times New Roman" w:hAnsi="Times New Roman" w:cs="Times New Roman"/>
          <w:bCs/>
          <w:color w:val="000000" w:themeColor="text1"/>
          <w:sz w:val="24"/>
          <w:szCs w:val="24"/>
        </w:rPr>
        <w:t xml:space="preserve"> </w:t>
      </w:r>
      <w:r w:rsidR="00E3439A" w:rsidRPr="00F767C8">
        <w:rPr>
          <w:rFonts w:ascii="Times New Roman" w:hAnsi="Times New Roman" w:cs="Times New Roman"/>
          <w:bCs/>
          <w:color w:val="000000" w:themeColor="text1"/>
          <w:sz w:val="24"/>
          <w:szCs w:val="24"/>
        </w:rPr>
        <w:t>czyli bezpośrednio po wygaśnięciu przepisów</w:t>
      </w:r>
      <w:r w:rsidR="009707EB" w:rsidRPr="00F767C8">
        <w:rPr>
          <w:rFonts w:ascii="Times New Roman" w:hAnsi="Times New Roman" w:cs="Times New Roman"/>
          <w:bCs/>
          <w:color w:val="000000" w:themeColor="text1"/>
          <w:sz w:val="24"/>
          <w:szCs w:val="24"/>
        </w:rPr>
        <w:t xml:space="preserve"> </w:t>
      </w:r>
      <w:r w:rsidR="003D211F" w:rsidRPr="00F767C8">
        <w:rPr>
          <w:rFonts w:ascii="Times New Roman" w:hAnsi="Times New Roman" w:cs="Times New Roman"/>
          <w:color w:val="000000" w:themeColor="text1"/>
          <w:sz w:val="24"/>
          <w:szCs w:val="24"/>
        </w:rPr>
        <w:t>rozporządzenia wyłączeniowego z 2011 r</w:t>
      </w:r>
      <w:r w:rsidR="007451FA" w:rsidRPr="00F767C8">
        <w:rPr>
          <w:rFonts w:ascii="Times New Roman" w:hAnsi="Times New Roman" w:cs="Times New Roman"/>
          <w:color w:val="000000" w:themeColor="text1"/>
          <w:sz w:val="24"/>
          <w:szCs w:val="24"/>
        </w:rPr>
        <w:t xml:space="preserve">. </w:t>
      </w:r>
      <w:r w:rsidR="00E3439A" w:rsidRPr="00F767C8">
        <w:rPr>
          <w:rFonts w:ascii="Times New Roman" w:hAnsi="Times New Roman" w:cs="Times New Roman"/>
          <w:bCs/>
          <w:color w:val="000000" w:themeColor="text1"/>
          <w:sz w:val="24"/>
          <w:szCs w:val="24"/>
        </w:rPr>
        <w:t xml:space="preserve">Takie rozwiązanie </w:t>
      </w:r>
      <w:r w:rsidR="00BE4AE7" w:rsidRPr="00F767C8">
        <w:rPr>
          <w:rFonts w:ascii="Times New Roman" w:hAnsi="Times New Roman" w:cs="Times New Roman"/>
          <w:bCs/>
          <w:color w:val="000000" w:themeColor="text1"/>
          <w:sz w:val="24"/>
          <w:szCs w:val="24"/>
        </w:rPr>
        <w:t xml:space="preserve">jest korzystne dla przedsiębiorców, ponieważ </w:t>
      </w:r>
      <w:r w:rsidR="00E3439A" w:rsidRPr="00F767C8">
        <w:rPr>
          <w:rFonts w:ascii="Times New Roman" w:hAnsi="Times New Roman" w:cs="Times New Roman"/>
          <w:bCs/>
          <w:color w:val="000000" w:themeColor="text1"/>
          <w:sz w:val="24"/>
          <w:szCs w:val="24"/>
        </w:rPr>
        <w:t xml:space="preserve">pozwoli na zachowanie ciągłości </w:t>
      </w:r>
      <w:r w:rsidR="00BE4AE7" w:rsidRPr="00F767C8">
        <w:rPr>
          <w:rFonts w:ascii="Times New Roman" w:hAnsi="Times New Roman" w:cs="Times New Roman"/>
          <w:bCs/>
          <w:color w:val="000000" w:themeColor="text1"/>
          <w:sz w:val="24"/>
          <w:szCs w:val="24"/>
        </w:rPr>
        <w:t xml:space="preserve">obowiązywania </w:t>
      </w:r>
      <w:r w:rsidR="006C7707" w:rsidRPr="00F767C8">
        <w:rPr>
          <w:rFonts w:ascii="Times New Roman" w:hAnsi="Times New Roman" w:cs="Times New Roman"/>
          <w:bCs/>
          <w:color w:val="000000" w:themeColor="text1"/>
          <w:sz w:val="24"/>
          <w:szCs w:val="24"/>
        </w:rPr>
        <w:t xml:space="preserve">przepisów określających warunki wyłączenia </w:t>
      </w:r>
      <w:r w:rsidR="0054017B" w:rsidRPr="00F767C8">
        <w:rPr>
          <w:rFonts w:ascii="Times New Roman" w:hAnsi="Times New Roman" w:cs="Times New Roman"/>
          <w:bCs/>
          <w:color w:val="000000" w:themeColor="text1"/>
          <w:sz w:val="24"/>
          <w:szCs w:val="24"/>
        </w:rPr>
        <w:t xml:space="preserve">porozumień kooperacyjnych </w:t>
      </w:r>
      <w:r w:rsidR="006C7707" w:rsidRPr="00F767C8">
        <w:rPr>
          <w:rFonts w:ascii="Times New Roman" w:hAnsi="Times New Roman" w:cs="Times New Roman"/>
          <w:bCs/>
          <w:color w:val="000000" w:themeColor="text1"/>
          <w:sz w:val="24"/>
          <w:szCs w:val="24"/>
        </w:rPr>
        <w:t xml:space="preserve">zawieranych </w:t>
      </w:r>
      <w:r w:rsidR="00BE4AE7" w:rsidRPr="00F767C8">
        <w:rPr>
          <w:rFonts w:ascii="Times New Roman" w:hAnsi="Times New Roman" w:cs="Times New Roman"/>
          <w:bCs/>
          <w:color w:val="000000" w:themeColor="text1"/>
          <w:sz w:val="24"/>
          <w:szCs w:val="24"/>
        </w:rPr>
        <w:t xml:space="preserve">przez przedsiębiorców </w:t>
      </w:r>
      <w:r w:rsidR="006C7707" w:rsidRPr="00F767C8">
        <w:rPr>
          <w:rFonts w:ascii="Times New Roman" w:hAnsi="Times New Roman" w:cs="Times New Roman"/>
          <w:bCs/>
          <w:color w:val="000000" w:themeColor="text1"/>
          <w:sz w:val="24"/>
          <w:szCs w:val="24"/>
        </w:rPr>
        <w:t>spod zakazu, o którym mowa w</w:t>
      </w:r>
      <w:r w:rsidR="00D717E7" w:rsidRPr="00F767C8">
        <w:rPr>
          <w:rFonts w:ascii="Times New Roman" w:hAnsi="Times New Roman" w:cs="Times New Roman"/>
          <w:bCs/>
          <w:color w:val="000000" w:themeColor="text1"/>
          <w:sz w:val="24"/>
          <w:szCs w:val="24"/>
        </w:rPr>
        <w:t> </w:t>
      </w:r>
      <w:r w:rsidR="006C7707" w:rsidRPr="00F767C8">
        <w:rPr>
          <w:rFonts w:ascii="Times New Roman" w:hAnsi="Times New Roman" w:cs="Times New Roman"/>
          <w:bCs/>
          <w:color w:val="000000" w:themeColor="text1"/>
          <w:sz w:val="24"/>
          <w:szCs w:val="24"/>
        </w:rPr>
        <w:t>art. 6 ust. 1 ustawy.</w:t>
      </w:r>
      <w:r w:rsidR="009707EB" w:rsidRPr="00F767C8">
        <w:rPr>
          <w:rFonts w:ascii="Times New Roman" w:hAnsi="Times New Roman" w:cs="Times New Roman"/>
          <w:bCs/>
          <w:color w:val="000000" w:themeColor="text1"/>
          <w:sz w:val="24"/>
          <w:szCs w:val="24"/>
        </w:rPr>
        <w:t xml:space="preserve"> </w:t>
      </w:r>
      <w:r w:rsidR="003D211F" w:rsidRPr="00F767C8">
        <w:rPr>
          <w:rFonts w:ascii="Times New Roman" w:hAnsi="Times New Roman" w:cs="Times New Roman"/>
          <w:bCs/>
          <w:color w:val="000000" w:themeColor="text1"/>
          <w:sz w:val="24"/>
          <w:szCs w:val="24"/>
        </w:rPr>
        <w:t>Nadanie aktowi normatywnemu wstecznej mocy obowiązującej, czyli wejście w życie nowego rozporządzenia bezpośrednio po wygaśnięciu poprzednich przepisów nie stoi w sprzeczności z zasadami demokratycznego państwa prawnego. Takie rozwiązanie eliminuje okres przejściowy między wygaśnięciem starych przepisów a wprowadzeniem nowych, zapewniając stabilność i</w:t>
      </w:r>
      <w:r w:rsidR="004B248D">
        <w:rPr>
          <w:rFonts w:ascii="Times New Roman" w:hAnsi="Times New Roman" w:cs="Times New Roman"/>
          <w:bCs/>
          <w:color w:val="000000" w:themeColor="text1"/>
          <w:sz w:val="24"/>
          <w:szCs w:val="24"/>
        </w:rPr>
        <w:t> </w:t>
      </w:r>
      <w:r w:rsidR="003D211F" w:rsidRPr="00F767C8">
        <w:rPr>
          <w:rFonts w:ascii="Times New Roman" w:hAnsi="Times New Roman" w:cs="Times New Roman"/>
          <w:bCs/>
          <w:color w:val="000000" w:themeColor="text1"/>
          <w:sz w:val="24"/>
          <w:szCs w:val="24"/>
        </w:rPr>
        <w:t>kontynuację ram prawnych dla przedsiębiorców działających w obszarze porozumień</w:t>
      </w:r>
      <w:r w:rsidR="007451FA" w:rsidRPr="00F767C8">
        <w:rPr>
          <w:rFonts w:ascii="Times New Roman" w:hAnsi="Times New Roman" w:cs="Times New Roman"/>
          <w:bCs/>
          <w:color w:val="000000" w:themeColor="text1"/>
          <w:sz w:val="24"/>
          <w:szCs w:val="24"/>
        </w:rPr>
        <w:t xml:space="preserve"> specjalizacyjnych i badawczo-rozwojowych</w:t>
      </w:r>
      <w:r w:rsidR="003D211F" w:rsidRPr="00F767C8">
        <w:rPr>
          <w:rFonts w:ascii="Times New Roman" w:hAnsi="Times New Roman" w:cs="Times New Roman"/>
          <w:bCs/>
          <w:color w:val="000000" w:themeColor="text1"/>
          <w:sz w:val="24"/>
          <w:szCs w:val="24"/>
        </w:rPr>
        <w:t>.</w:t>
      </w:r>
      <w:r w:rsidR="007451FA" w:rsidRPr="00F767C8">
        <w:rPr>
          <w:rFonts w:ascii="Times New Roman" w:hAnsi="Times New Roman" w:cs="Times New Roman"/>
          <w:bCs/>
          <w:color w:val="000000" w:themeColor="text1"/>
          <w:sz w:val="24"/>
          <w:szCs w:val="24"/>
        </w:rPr>
        <w:t xml:space="preserve"> Dodatkowo należy zwrócić uwagę, że z</w:t>
      </w:r>
      <w:r w:rsidR="004B248D">
        <w:rPr>
          <w:rFonts w:ascii="Times New Roman" w:hAnsi="Times New Roman" w:cs="Times New Roman"/>
          <w:bCs/>
          <w:color w:val="000000" w:themeColor="text1"/>
          <w:sz w:val="24"/>
          <w:szCs w:val="24"/>
        </w:rPr>
        <w:t> </w:t>
      </w:r>
      <w:r w:rsidR="007451FA" w:rsidRPr="00F767C8">
        <w:rPr>
          <w:rFonts w:ascii="Times New Roman" w:hAnsi="Times New Roman" w:cs="Times New Roman"/>
          <w:bCs/>
          <w:color w:val="000000" w:themeColor="text1"/>
          <w:sz w:val="24"/>
          <w:szCs w:val="24"/>
        </w:rPr>
        <w:t>obowiązującej ustawy wynika wyłączenie indywidualne oparte na tych samych zasadach, a</w:t>
      </w:r>
      <w:r w:rsidR="004B248D">
        <w:rPr>
          <w:rFonts w:ascii="Times New Roman" w:hAnsi="Times New Roman" w:cs="Times New Roman"/>
          <w:bCs/>
          <w:color w:val="000000" w:themeColor="text1"/>
          <w:sz w:val="24"/>
          <w:szCs w:val="24"/>
        </w:rPr>
        <w:t> </w:t>
      </w:r>
      <w:r w:rsidR="007451FA" w:rsidRPr="00F767C8">
        <w:rPr>
          <w:rFonts w:ascii="Times New Roman" w:hAnsi="Times New Roman" w:cs="Times New Roman"/>
          <w:bCs/>
          <w:color w:val="000000" w:themeColor="text1"/>
          <w:sz w:val="24"/>
          <w:szCs w:val="24"/>
        </w:rPr>
        <w:t>wyłączenie blokowe na podstawie rozporządzenia stanowi jedynie ułatwienie dla przedsiębiorców, nie zmieniając substancji obowiązujących przepisów.</w:t>
      </w:r>
    </w:p>
    <w:p w14:paraId="44AD4B01" w14:textId="3E603CC0" w:rsidR="007725FD" w:rsidRDefault="007725FD" w:rsidP="00F767C8">
      <w:pPr>
        <w:spacing w:after="0" w:line="360" w:lineRule="auto"/>
        <w:ind w:firstLine="567"/>
        <w:jc w:val="both"/>
        <w:rPr>
          <w:rFonts w:ascii="Times New Roman" w:hAnsi="Times New Roman" w:cs="Times New Roman"/>
          <w:bCs/>
          <w:color w:val="000000" w:themeColor="text1"/>
          <w:sz w:val="24"/>
          <w:szCs w:val="24"/>
        </w:rPr>
      </w:pPr>
      <w:r w:rsidRPr="00F767C8">
        <w:rPr>
          <w:rFonts w:ascii="Times New Roman" w:hAnsi="Times New Roman" w:cs="Times New Roman"/>
          <w:bCs/>
          <w:color w:val="000000" w:themeColor="text1"/>
          <w:sz w:val="24"/>
          <w:szCs w:val="24"/>
        </w:rPr>
        <w:t xml:space="preserve">Mając na uwadze umożliwienie zachowania ciągłości działań prowadzonych przez przedsiębiorców, przepisy przejściowe przewidują czas na dostosowanie zasad istniejącej kooperacji, która nie spełnia warunków wyłączenia określonych w rozporządzeniu, jednocześnie podlegając wyłączeniu na zasadach określonych w rozporządzeniu z 2011 r. – potencjalna niezgodność z nowymi zasadami nie może trwać dłużej niż do dnia 30 czerwca 2025 r. </w:t>
      </w:r>
    </w:p>
    <w:p w14:paraId="2FDC5B05" w14:textId="77777777" w:rsidR="004B248D" w:rsidRPr="00F767C8" w:rsidRDefault="004B248D" w:rsidP="00F767C8">
      <w:pPr>
        <w:spacing w:after="0" w:line="360" w:lineRule="auto"/>
        <w:ind w:firstLine="567"/>
        <w:jc w:val="both"/>
        <w:rPr>
          <w:rFonts w:ascii="Times New Roman" w:hAnsi="Times New Roman" w:cs="Times New Roman"/>
          <w:bCs/>
          <w:color w:val="000000" w:themeColor="text1"/>
          <w:sz w:val="24"/>
          <w:szCs w:val="24"/>
        </w:rPr>
      </w:pPr>
    </w:p>
    <w:p w14:paraId="12903312" w14:textId="660BF4FB" w:rsidR="003030CB" w:rsidRPr="00F767C8" w:rsidRDefault="00877AC5" w:rsidP="00F767C8">
      <w:pPr>
        <w:spacing w:after="0" w:line="360" w:lineRule="auto"/>
        <w:ind w:left="426" w:hanging="426"/>
        <w:jc w:val="both"/>
        <w:rPr>
          <w:rFonts w:ascii="Times New Roman" w:hAnsi="Times New Roman" w:cs="Times New Roman"/>
          <w:b/>
          <w:bCs/>
          <w:color w:val="000000" w:themeColor="text1"/>
          <w:sz w:val="24"/>
          <w:szCs w:val="24"/>
        </w:rPr>
      </w:pPr>
      <w:r w:rsidRPr="00F767C8">
        <w:rPr>
          <w:rFonts w:ascii="Times New Roman" w:hAnsi="Times New Roman" w:cs="Times New Roman"/>
          <w:b/>
          <w:bCs/>
          <w:color w:val="000000" w:themeColor="text1"/>
          <w:sz w:val="24"/>
          <w:szCs w:val="24"/>
        </w:rPr>
        <w:t>3</w:t>
      </w:r>
      <w:r w:rsidR="003030CB" w:rsidRPr="00F767C8">
        <w:rPr>
          <w:rFonts w:ascii="Times New Roman" w:hAnsi="Times New Roman" w:cs="Times New Roman"/>
          <w:b/>
          <w:bCs/>
          <w:color w:val="000000" w:themeColor="text1"/>
          <w:sz w:val="24"/>
          <w:szCs w:val="24"/>
        </w:rPr>
        <w:t>.</w:t>
      </w:r>
      <w:r w:rsidR="00580486" w:rsidRPr="00F767C8">
        <w:rPr>
          <w:rFonts w:ascii="Times New Roman" w:hAnsi="Times New Roman" w:cs="Times New Roman"/>
          <w:b/>
          <w:bCs/>
          <w:color w:val="000000" w:themeColor="text1"/>
          <w:sz w:val="24"/>
          <w:szCs w:val="24"/>
        </w:rPr>
        <w:t xml:space="preserve"> </w:t>
      </w:r>
      <w:r w:rsidRPr="00F767C8">
        <w:rPr>
          <w:rFonts w:ascii="Times New Roman" w:hAnsi="Times New Roman" w:cs="Times New Roman"/>
          <w:b/>
          <w:bCs/>
          <w:color w:val="000000" w:themeColor="text1"/>
          <w:sz w:val="24"/>
          <w:szCs w:val="24"/>
        </w:rPr>
        <w:t>Pozostałe informacje</w:t>
      </w:r>
    </w:p>
    <w:p w14:paraId="108B38E1" w14:textId="6164982C" w:rsidR="00AD5B60" w:rsidRPr="00F767C8" w:rsidRDefault="006075AB" w:rsidP="00F767C8">
      <w:pPr>
        <w:spacing w:after="0" w:line="360" w:lineRule="auto"/>
        <w:ind w:firstLine="567"/>
        <w:jc w:val="both"/>
        <w:rPr>
          <w:rFonts w:ascii="Times New Roman" w:hAnsi="Times New Roman" w:cs="Times New Roman"/>
          <w:color w:val="000000" w:themeColor="text1"/>
          <w:sz w:val="24"/>
          <w:szCs w:val="24"/>
        </w:rPr>
      </w:pPr>
      <w:r w:rsidRPr="00F767C8">
        <w:rPr>
          <w:rFonts w:ascii="Times New Roman" w:hAnsi="Times New Roman" w:cs="Times New Roman"/>
          <w:color w:val="000000" w:themeColor="text1"/>
          <w:sz w:val="24"/>
          <w:szCs w:val="24"/>
        </w:rPr>
        <w:t xml:space="preserve">Projekt będzie miał pozytywny wpływ na mikroprzedsiębiorców, małych i średnich przedsiębiorców, ponieważ </w:t>
      </w:r>
      <w:r w:rsidR="00201344" w:rsidRPr="00F767C8">
        <w:rPr>
          <w:rFonts w:ascii="Times New Roman" w:hAnsi="Times New Roman" w:cs="Times New Roman"/>
          <w:color w:val="000000" w:themeColor="text1"/>
          <w:sz w:val="24"/>
          <w:szCs w:val="24"/>
        </w:rPr>
        <w:t xml:space="preserve">zwiększy </w:t>
      </w:r>
      <w:r w:rsidR="00067B30" w:rsidRPr="00F767C8">
        <w:rPr>
          <w:rFonts w:ascii="Times New Roman" w:hAnsi="Times New Roman" w:cs="Times New Roman"/>
          <w:color w:val="000000" w:themeColor="text1"/>
          <w:sz w:val="24"/>
          <w:szCs w:val="24"/>
        </w:rPr>
        <w:t xml:space="preserve">pewność </w:t>
      </w:r>
      <w:r w:rsidR="00201344" w:rsidRPr="00F767C8">
        <w:rPr>
          <w:rFonts w:ascii="Times New Roman" w:hAnsi="Times New Roman" w:cs="Times New Roman"/>
          <w:color w:val="000000" w:themeColor="text1"/>
          <w:sz w:val="24"/>
          <w:szCs w:val="24"/>
        </w:rPr>
        <w:t>przedsiębiorców</w:t>
      </w:r>
      <w:r w:rsidR="00067B30" w:rsidRPr="00F767C8">
        <w:rPr>
          <w:rFonts w:ascii="Times New Roman" w:hAnsi="Times New Roman" w:cs="Times New Roman"/>
          <w:color w:val="000000" w:themeColor="text1"/>
          <w:sz w:val="24"/>
          <w:szCs w:val="24"/>
        </w:rPr>
        <w:t xml:space="preserve"> co do zgodności z prawem konkurencji zawieranych porozumień</w:t>
      </w:r>
      <w:r w:rsidR="0054017B" w:rsidRPr="00F767C8">
        <w:rPr>
          <w:rFonts w:ascii="Times New Roman" w:hAnsi="Times New Roman" w:cs="Times New Roman"/>
          <w:color w:val="000000" w:themeColor="text1"/>
          <w:sz w:val="24"/>
          <w:szCs w:val="24"/>
        </w:rPr>
        <w:t xml:space="preserve"> specjalizacyjnych i badawczo-rozwojowych</w:t>
      </w:r>
      <w:r w:rsidR="00201344" w:rsidRPr="00F767C8">
        <w:rPr>
          <w:rFonts w:ascii="Times New Roman" w:hAnsi="Times New Roman" w:cs="Times New Roman"/>
          <w:color w:val="000000" w:themeColor="text1"/>
          <w:sz w:val="24"/>
          <w:szCs w:val="24"/>
        </w:rPr>
        <w:t>.</w:t>
      </w:r>
      <w:r w:rsidR="00936071" w:rsidRPr="00F767C8">
        <w:rPr>
          <w:rFonts w:ascii="Times New Roman" w:hAnsi="Times New Roman" w:cs="Times New Roman"/>
          <w:color w:val="000000" w:themeColor="text1"/>
          <w:sz w:val="24"/>
          <w:szCs w:val="24"/>
        </w:rPr>
        <w:t xml:space="preserve"> Zaproponowane rozwiązania </w:t>
      </w:r>
      <w:r w:rsidR="00BE28F6" w:rsidRPr="00F767C8">
        <w:rPr>
          <w:rFonts w:ascii="Times New Roman" w:hAnsi="Times New Roman" w:cs="Times New Roman"/>
          <w:color w:val="000000" w:themeColor="text1"/>
          <w:sz w:val="24"/>
          <w:szCs w:val="24"/>
        </w:rPr>
        <w:t xml:space="preserve">ułatwią działalność </w:t>
      </w:r>
      <w:r w:rsidR="00936071" w:rsidRPr="00F767C8">
        <w:rPr>
          <w:rFonts w:ascii="Times New Roman" w:hAnsi="Times New Roman" w:cs="Times New Roman"/>
          <w:color w:val="000000" w:themeColor="text1"/>
          <w:sz w:val="24"/>
          <w:szCs w:val="24"/>
        </w:rPr>
        <w:t xml:space="preserve">przedsiębiorców, którzy nie będą zobligowani </w:t>
      </w:r>
      <w:r w:rsidR="00936071" w:rsidRPr="00F767C8">
        <w:rPr>
          <w:rFonts w:ascii="Times New Roman" w:hAnsi="Times New Roman" w:cs="Times New Roman"/>
          <w:color w:val="000000" w:themeColor="text1"/>
          <w:sz w:val="24"/>
          <w:szCs w:val="24"/>
        </w:rPr>
        <w:lastRenderedPageBreak/>
        <w:t>do każdorazowego przeprowadzenia oceny, czy ich porozumienie ogranicza konkurencję oraz czy potencjalnie wchodzi ono w</w:t>
      </w:r>
      <w:r w:rsidR="00AD5B60" w:rsidRPr="00F767C8">
        <w:rPr>
          <w:rFonts w:ascii="Times New Roman" w:hAnsi="Times New Roman" w:cs="Times New Roman"/>
          <w:color w:val="000000" w:themeColor="text1"/>
          <w:sz w:val="24"/>
          <w:szCs w:val="24"/>
        </w:rPr>
        <w:t> </w:t>
      </w:r>
      <w:r w:rsidR="00936071" w:rsidRPr="00F767C8">
        <w:rPr>
          <w:rFonts w:ascii="Times New Roman" w:hAnsi="Times New Roman" w:cs="Times New Roman"/>
          <w:color w:val="000000" w:themeColor="text1"/>
          <w:sz w:val="24"/>
          <w:szCs w:val="24"/>
        </w:rPr>
        <w:t>zakres wyjątku określonego w art. 8 ust. 1 ustawy.</w:t>
      </w:r>
    </w:p>
    <w:p w14:paraId="0EA98FCC" w14:textId="77777777" w:rsidR="00AD5B60" w:rsidRPr="00F767C8" w:rsidRDefault="0037602D" w:rsidP="00F767C8">
      <w:pPr>
        <w:spacing w:after="0" w:line="360" w:lineRule="auto"/>
        <w:ind w:firstLine="567"/>
        <w:jc w:val="both"/>
        <w:rPr>
          <w:rFonts w:ascii="Times New Roman" w:hAnsi="Times New Roman" w:cs="Times New Roman"/>
          <w:color w:val="000000" w:themeColor="text1"/>
          <w:sz w:val="24"/>
          <w:szCs w:val="24"/>
        </w:rPr>
      </w:pPr>
      <w:r w:rsidRPr="00F767C8">
        <w:rPr>
          <w:rFonts w:ascii="Times New Roman" w:hAnsi="Times New Roman" w:cs="Times New Roman"/>
          <w:color w:val="000000" w:themeColor="text1"/>
          <w:sz w:val="24"/>
          <w:szCs w:val="24"/>
        </w:rPr>
        <w:t>Projekt jest zgodny z prawem Unii Europejskiej.</w:t>
      </w:r>
    </w:p>
    <w:p w14:paraId="4F204446" w14:textId="77777777" w:rsidR="00AD5B60" w:rsidRPr="00F767C8" w:rsidRDefault="0037602D" w:rsidP="00F767C8">
      <w:pPr>
        <w:spacing w:after="0" w:line="360" w:lineRule="auto"/>
        <w:ind w:firstLine="567"/>
        <w:jc w:val="both"/>
        <w:rPr>
          <w:rFonts w:ascii="Times New Roman" w:hAnsi="Times New Roman" w:cs="Times New Roman"/>
          <w:color w:val="000000" w:themeColor="text1"/>
          <w:sz w:val="24"/>
          <w:szCs w:val="24"/>
        </w:rPr>
      </w:pPr>
      <w:r w:rsidRPr="00F767C8">
        <w:rPr>
          <w:rFonts w:ascii="Times New Roman" w:hAnsi="Times New Roman" w:cs="Times New Roman"/>
          <w:color w:val="000000" w:themeColor="text1"/>
          <w:sz w:val="24"/>
          <w:szCs w:val="24"/>
        </w:rPr>
        <w:t>Projekt nie wymaga przedstawienia właściwym organom i instytucjom Unii Europejskiej, w</w:t>
      </w:r>
      <w:r w:rsidR="007F7819" w:rsidRPr="00F767C8">
        <w:rPr>
          <w:rFonts w:ascii="Times New Roman" w:hAnsi="Times New Roman" w:cs="Times New Roman"/>
          <w:color w:val="000000" w:themeColor="text1"/>
          <w:sz w:val="24"/>
          <w:szCs w:val="24"/>
        </w:rPr>
        <w:t> </w:t>
      </w:r>
      <w:r w:rsidRPr="00F767C8">
        <w:rPr>
          <w:rFonts w:ascii="Times New Roman" w:hAnsi="Times New Roman" w:cs="Times New Roman"/>
          <w:color w:val="000000" w:themeColor="text1"/>
          <w:sz w:val="24"/>
          <w:szCs w:val="24"/>
        </w:rPr>
        <w:t>tym Europejskiemu Bankowi Centralnemu, w celu uzyskania opinii, dokonania powiadomienia, konsultacji albo uzgodnienia.</w:t>
      </w:r>
    </w:p>
    <w:p w14:paraId="7B32F420" w14:textId="1E6C42C6" w:rsidR="00AD5B60" w:rsidRPr="00F767C8" w:rsidRDefault="003030CB" w:rsidP="00F767C8">
      <w:pPr>
        <w:spacing w:after="0" w:line="360" w:lineRule="auto"/>
        <w:ind w:firstLine="567"/>
        <w:jc w:val="both"/>
        <w:rPr>
          <w:rFonts w:ascii="Times New Roman" w:hAnsi="Times New Roman" w:cs="Times New Roman"/>
          <w:color w:val="000000" w:themeColor="text1"/>
          <w:sz w:val="24"/>
          <w:szCs w:val="24"/>
        </w:rPr>
      </w:pPr>
      <w:r w:rsidRPr="00F767C8">
        <w:rPr>
          <w:rFonts w:ascii="Times New Roman" w:hAnsi="Times New Roman" w:cs="Times New Roman"/>
          <w:color w:val="000000" w:themeColor="text1"/>
          <w:sz w:val="24"/>
          <w:szCs w:val="24"/>
        </w:rPr>
        <w:t>Projekt nie zawiera przepisów technicznych</w:t>
      </w:r>
      <w:r w:rsidR="007620FE" w:rsidRPr="00F767C8">
        <w:rPr>
          <w:rFonts w:ascii="Times New Roman" w:hAnsi="Times New Roman" w:cs="Times New Roman"/>
          <w:color w:val="000000" w:themeColor="text1"/>
          <w:sz w:val="24"/>
          <w:szCs w:val="24"/>
        </w:rPr>
        <w:t xml:space="preserve"> w rozumieniu</w:t>
      </w:r>
      <w:r w:rsidRPr="00F767C8">
        <w:rPr>
          <w:rFonts w:ascii="Times New Roman" w:hAnsi="Times New Roman" w:cs="Times New Roman"/>
          <w:color w:val="000000" w:themeColor="text1"/>
          <w:sz w:val="24"/>
          <w:szCs w:val="24"/>
        </w:rPr>
        <w:t xml:space="preserve"> rozporządzenia Rady Ministrów z</w:t>
      </w:r>
      <w:r w:rsidR="007620FE" w:rsidRPr="00F767C8">
        <w:rPr>
          <w:rFonts w:ascii="Times New Roman" w:hAnsi="Times New Roman" w:cs="Times New Roman"/>
          <w:color w:val="000000" w:themeColor="text1"/>
          <w:sz w:val="24"/>
          <w:szCs w:val="24"/>
        </w:rPr>
        <w:t> </w:t>
      </w:r>
      <w:r w:rsidRPr="00F767C8">
        <w:rPr>
          <w:rFonts w:ascii="Times New Roman" w:hAnsi="Times New Roman" w:cs="Times New Roman"/>
          <w:color w:val="000000" w:themeColor="text1"/>
          <w:sz w:val="24"/>
          <w:szCs w:val="24"/>
        </w:rPr>
        <w:t>dnia 23 grudnia 2002 r. w sprawie sposobu funkcjonowania krajowego systemu notyfikacji norm i aktów prawnych</w:t>
      </w:r>
      <w:r w:rsidR="00664E10" w:rsidRPr="00F767C8">
        <w:rPr>
          <w:rFonts w:ascii="Times New Roman" w:hAnsi="Times New Roman" w:cs="Times New Roman"/>
          <w:color w:val="000000" w:themeColor="text1"/>
          <w:sz w:val="24"/>
          <w:szCs w:val="24"/>
        </w:rPr>
        <w:t xml:space="preserve"> (Dz. U. poz. 2039 oraz z 2004 r. poz. 597) </w:t>
      </w:r>
      <w:r w:rsidRPr="00F767C8">
        <w:rPr>
          <w:rFonts w:ascii="Times New Roman" w:hAnsi="Times New Roman" w:cs="Times New Roman"/>
          <w:color w:val="000000" w:themeColor="text1"/>
          <w:sz w:val="24"/>
          <w:szCs w:val="24"/>
        </w:rPr>
        <w:t>i w związku z</w:t>
      </w:r>
      <w:r w:rsidR="00AD5B60" w:rsidRPr="00F767C8">
        <w:rPr>
          <w:rFonts w:ascii="Times New Roman" w:hAnsi="Times New Roman" w:cs="Times New Roman"/>
          <w:color w:val="000000" w:themeColor="text1"/>
          <w:sz w:val="24"/>
          <w:szCs w:val="24"/>
        </w:rPr>
        <w:t> </w:t>
      </w:r>
      <w:r w:rsidRPr="00F767C8">
        <w:rPr>
          <w:rFonts w:ascii="Times New Roman" w:hAnsi="Times New Roman" w:cs="Times New Roman"/>
          <w:color w:val="000000" w:themeColor="text1"/>
          <w:sz w:val="24"/>
          <w:szCs w:val="24"/>
        </w:rPr>
        <w:t>tym nie podlega notyfikacji.</w:t>
      </w:r>
    </w:p>
    <w:p w14:paraId="673DCAFA" w14:textId="05102416" w:rsidR="0037602D" w:rsidRPr="00F767C8" w:rsidRDefault="003030CB" w:rsidP="00F767C8">
      <w:pPr>
        <w:spacing w:after="0" w:line="360" w:lineRule="auto"/>
        <w:ind w:firstLine="567"/>
        <w:jc w:val="both"/>
        <w:rPr>
          <w:rFonts w:ascii="Times New Roman" w:hAnsi="Times New Roman" w:cs="Times New Roman"/>
          <w:color w:val="000000" w:themeColor="text1"/>
          <w:sz w:val="24"/>
          <w:szCs w:val="24"/>
        </w:rPr>
      </w:pPr>
      <w:r w:rsidRPr="00F767C8">
        <w:rPr>
          <w:rFonts w:ascii="Times New Roman" w:hAnsi="Times New Roman" w:cs="Times New Roman"/>
          <w:color w:val="000000" w:themeColor="text1"/>
          <w:sz w:val="24"/>
          <w:szCs w:val="24"/>
        </w:rPr>
        <w:t xml:space="preserve">Zgodnie z art. 5 ustawy z dnia 7 lipca 2005 r. o działalności lobbingowej w procesie stanowienia prawa (Dz. U. z 2017 r. poz. 248) projekt </w:t>
      </w:r>
      <w:r w:rsidR="0037602D" w:rsidRPr="00F767C8">
        <w:rPr>
          <w:rFonts w:ascii="Times New Roman" w:hAnsi="Times New Roman" w:cs="Times New Roman"/>
          <w:color w:val="000000" w:themeColor="text1"/>
          <w:sz w:val="24"/>
          <w:szCs w:val="24"/>
        </w:rPr>
        <w:t>rozporządzenia zostanie</w:t>
      </w:r>
      <w:r w:rsidRPr="00F767C8">
        <w:rPr>
          <w:rFonts w:ascii="Times New Roman" w:hAnsi="Times New Roman" w:cs="Times New Roman"/>
          <w:color w:val="000000" w:themeColor="text1"/>
          <w:sz w:val="24"/>
          <w:szCs w:val="24"/>
        </w:rPr>
        <w:t xml:space="preserve"> udostępniony w</w:t>
      </w:r>
      <w:r w:rsidR="002A3B28" w:rsidRPr="00F767C8">
        <w:rPr>
          <w:rFonts w:ascii="Times New Roman" w:hAnsi="Times New Roman" w:cs="Times New Roman"/>
          <w:color w:val="000000" w:themeColor="text1"/>
          <w:sz w:val="24"/>
          <w:szCs w:val="24"/>
        </w:rPr>
        <w:t> </w:t>
      </w:r>
      <w:r w:rsidRPr="00F767C8">
        <w:rPr>
          <w:rFonts w:ascii="Times New Roman" w:hAnsi="Times New Roman" w:cs="Times New Roman"/>
          <w:color w:val="000000" w:themeColor="text1"/>
          <w:sz w:val="24"/>
          <w:szCs w:val="24"/>
        </w:rPr>
        <w:t>Biuletynie Informacji Publicznej na stronie podmiotowej UOKiK. Ponadto stosownie do § 52 ust. 1 uchwały nr 190 Rady Ministrów z dnia 29 października 2013 r. – Regulamin pracy Rady Ministrów (M.P. z 2022 r. poz. 348) projekt z</w:t>
      </w:r>
      <w:r w:rsidR="0037602D" w:rsidRPr="00F767C8">
        <w:rPr>
          <w:rFonts w:ascii="Times New Roman" w:hAnsi="Times New Roman" w:cs="Times New Roman"/>
          <w:color w:val="000000" w:themeColor="text1"/>
          <w:sz w:val="24"/>
          <w:szCs w:val="24"/>
        </w:rPr>
        <w:t xml:space="preserve">ostanie </w:t>
      </w:r>
      <w:r w:rsidRPr="00F767C8">
        <w:rPr>
          <w:rFonts w:ascii="Times New Roman" w:hAnsi="Times New Roman" w:cs="Times New Roman"/>
          <w:color w:val="000000" w:themeColor="text1"/>
          <w:sz w:val="24"/>
          <w:szCs w:val="24"/>
        </w:rPr>
        <w:t>udostępniony w Biuletynie Informacji Publicznej na stronie podmiotowej Rządowego Centrum Legislacji, w serwisie Rządowy Proces Legislacyjny.</w:t>
      </w:r>
    </w:p>
    <w:sectPr w:rsidR="0037602D" w:rsidRPr="00F767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70688" w14:textId="77777777" w:rsidR="00A3358E" w:rsidRDefault="00A3358E" w:rsidP="003030CB">
      <w:pPr>
        <w:spacing w:after="0" w:line="240" w:lineRule="auto"/>
      </w:pPr>
      <w:r>
        <w:separator/>
      </w:r>
    </w:p>
  </w:endnote>
  <w:endnote w:type="continuationSeparator" w:id="0">
    <w:p w14:paraId="1DF72A5A" w14:textId="77777777" w:rsidR="00A3358E" w:rsidRDefault="00A3358E" w:rsidP="00303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40972" w14:textId="77777777" w:rsidR="00A3358E" w:rsidRDefault="00A3358E" w:rsidP="003030CB">
      <w:pPr>
        <w:spacing w:after="0" w:line="240" w:lineRule="auto"/>
      </w:pPr>
      <w:r>
        <w:separator/>
      </w:r>
    </w:p>
  </w:footnote>
  <w:footnote w:type="continuationSeparator" w:id="0">
    <w:p w14:paraId="33DD61C1" w14:textId="77777777" w:rsidR="00A3358E" w:rsidRDefault="00A3358E" w:rsidP="003030CB">
      <w:pPr>
        <w:spacing w:after="0" w:line="240" w:lineRule="auto"/>
      </w:pPr>
      <w:r>
        <w:continuationSeparator/>
      </w:r>
    </w:p>
  </w:footnote>
  <w:footnote w:id="1">
    <w:p w14:paraId="1DE6E455" w14:textId="77777777" w:rsidR="000E107D" w:rsidRPr="0069177D" w:rsidRDefault="000E107D" w:rsidP="000E107D">
      <w:pPr>
        <w:pStyle w:val="Tekstprzypisudolnego"/>
        <w:rPr>
          <w:rFonts w:ascii="Times New Roman" w:hAnsi="Times New Roman"/>
          <w:sz w:val="18"/>
          <w:szCs w:val="18"/>
          <w:lang w:val="en-GB"/>
        </w:rPr>
      </w:pPr>
      <w:r w:rsidRPr="0069177D">
        <w:rPr>
          <w:rStyle w:val="Odwoanieprzypisudolnego"/>
          <w:rFonts w:ascii="Times New Roman" w:hAnsi="Times New Roman"/>
          <w:sz w:val="18"/>
          <w:szCs w:val="18"/>
        </w:rPr>
        <w:footnoteRef/>
      </w:r>
      <w:r w:rsidRPr="0069177D">
        <w:rPr>
          <w:rFonts w:ascii="Times New Roman" w:hAnsi="Times New Roman"/>
          <w:sz w:val="18"/>
          <w:szCs w:val="18"/>
          <w:lang w:val="en-GB"/>
        </w:rPr>
        <w:t xml:space="preserve"> </w:t>
      </w:r>
      <w:r w:rsidRPr="005E024A">
        <w:rPr>
          <w:rFonts w:ascii="Times New Roman" w:hAnsi="Times New Roman"/>
          <w:sz w:val="18"/>
          <w:szCs w:val="18"/>
          <w:lang w:val="en-GB"/>
        </w:rPr>
        <w:t>https://competition-policy.ec.europa.eu/public-consultations/2019-hbers_en</w:t>
      </w:r>
    </w:p>
  </w:footnote>
  <w:footnote w:id="2">
    <w:p w14:paraId="36270D48" w14:textId="5320BDC3" w:rsidR="00F13783" w:rsidRPr="00C72F2B" w:rsidRDefault="00F13783">
      <w:pPr>
        <w:pStyle w:val="Tekstprzypisudolnego"/>
        <w:rPr>
          <w:rFonts w:ascii="Times New Roman" w:hAnsi="Times New Roman"/>
        </w:rPr>
      </w:pPr>
      <w:r w:rsidRPr="00C72F2B">
        <w:rPr>
          <w:rStyle w:val="Odwoanieprzypisudolnego"/>
          <w:rFonts w:ascii="Times New Roman" w:hAnsi="Times New Roman"/>
        </w:rPr>
        <w:footnoteRef/>
      </w:r>
      <w:r w:rsidRPr="00C72F2B">
        <w:rPr>
          <w:rFonts w:ascii="Times New Roman" w:hAnsi="Times New Roman"/>
        </w:rPr>
        <w:t xml:space="preserve"> Wyłączenia grupowe spod zakazu porozumień ograniczających konkurencję we Wspólnocie Europejskiej i</w:t>
      </w:r>
      <w:r w:rsidR="00C72F2B">
        <w:rPr>
          <w:rFonts w:ascii="Times New Roman" w:hAnsi="Times New Roman"/>
        </w:rPr>
        <w:t> </w:t>
      </w:r>
      <w:r w:rsidRPr="00C72F2B">
        <w:rPr>
          <w:rFonts w:ascii="Times New Roman" w:hAnsi="Times New Roman"/>
        </w:rPr>
        <w:t>w</w:t>
      </w:r>
      <w:r w:rsidR="00C72F2B">
        <w:rPr>
          <w:rFonts w:ascii="Times New Roman" w:hAnsi="Times New Roman"/>
        </w:rPr>
        <w:t> </w:t>
      </w:r>
      <w:r w:rsidRPr="00C72F2B">
        <w:rPr>
          <w:rFonts w:ascii="Times New Roman" w:hAnsi="Times New Roman"/>
        </w:rPr>
        <w:t>Polsce Pod redakcją Agaty Jurkowskiej i Tadeusza Skocznego, Warszawa 2008, s. 100</w:t>
      </w:r>
      <w:r w:rsidR="00C72F2B">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91B"/>
    <w:multiLevelType w:val="hybridMultilevel"/>
    <w:tmpl w:val="0CDEEE4E"/>
    <w:lvl w:ilvl="0" w:tplc="9D2C0646">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4098C"/>
    <w:multiLevelType w:val="hybridMultilevel"/>
    <w:tmpl w:val="CFB4B180"/>
    <w:lvl w:ilvl="0" w:tplc="9D2C0646">
      <w:start w:val="1"/>
      <w:numFmt w:val="bullet"/>
      <w:lvlText w:val="-"/>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06372C72"/>
    <w:multiLevelType w:val="hybridMultilevel"/>
    <w:tmpl w:val="9482ED56"/>
    <w:lvl w:ilvl="0" w:tplc="9D2C0646">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D65318"/>
    <w:multiLevelType w:val="hybridMultilevel"/>
    <w:tmpl w:val="057CDD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B56838"/>
    <w:multiLevelType w:val="hybridMultilevel"/>
    <w:tmpl w:val="057CDD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5B3BA1"/>
    <w:multiLevelType w:val="hybridMultilevel"/>
    <w:tmpl w:val="BF5827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63F7C3B"/>
    <w:multiLevelType w:val="hybridMultilevel"/>
    <w:tmpl w:val="6EE49CE8"/>
    <w:lvl w:ilvl="0" w:tplc="696249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10795C"/>
    <w:multiLevelType w:val="hybridMultilevel"/>
    <w:tmpl w:val="11A6766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CC83DE3"/>
    <w:multiLevelType w:val="hybridMultilevel"/>
    <w:tmpl w:val="C82E4B6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0AC798F"/>
    <w:multiLevelType w:val="hybridMultilevel"/>
    <w:tmpl w:val="5AFA92F4"/>
    <w:lvl w:ilvl="0" w:tplc="9D2C0646">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8A40D7"/>
    <w:multiLevelType w:val="hybridMultilevel"/>
    <w:tmpl w:val="79483894"/>
    <w:lvl w:ilvl="0" w:tplc="C79E8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9B1153"/>
    <w:multiLevelType w:val="hybridMultilevel"/>
    <w:tmpl w:val="8DAC86D2"/>
    <w:lvl w:ilvl="0" w:tplc="9D2C0646">
      <w:start w:val="1"/>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30490E"/>
    <w:multiLevelType w:val="hybridMultilevel"/>
    <w:tmpl w:val="E9668F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72B2F6E"/>
    <w:multiLevelType w:val="hybridMultilevel"/>
    <w:tmpl w:val="9CC83E2A"/>
    <w:lvl w:ilvl="0" w:tplc="9D2C0646">
      <w:start w:val="1"/>
      <w:numFmt w:val="bullet"/>
      <w:lvlText w:val="-"/>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383A408A"/>
    <w:multiLevelType w:val="hybridMultilevel"/>
    <w:tmpl w:val="6BF29126"/>
    <w:lvl w:ilvl="0" w:tplc="9D2C0646">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A974D4"/>
    <w:multiLevelType w:val="hybridMultilevel"/>
    <w:tmpl w:val="7D6058D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9634B95"/>
    <w:multiLevelType w:val="hybridMultilevel"/>
    <w:tmpl w:val="A0D44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CF2677"/>
    <w:multiLevelType w:val="hybridMultilevel"/>
    <w:tmpl w:val="36827D3C"/>
    <w:lvl w:ilvl="0" w:tplc="CB4468A4">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E7A11C5"/>
    <w:multiLevelType w:val="hybridMultilevel"/>
    <w:tmpl w:val="0AA00820"/>
    <w:lvl w:ilvl="0" w:tplc="04150011">
      <w:start w:val="1"/>
      <w:numFmt w:val="decimal"/>
      <w:lvlText w:val="%1)"/>
      <w:lvlJc w:val="left"/>
      <w:pPr>
        <w:ind w:left="720" w:hanging="360"/>
      </w:pPr>
      <w:rPr>
        <w:rFonts w:hint="default"/>
      </w:rPr>
    </w:lvl>
    <w:lvl w:ilvl="1" w:tplc="16CCF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5F3A42"/>
    <w:multiLevelType w:val="hybridMultilevel"/>
    <w:tmpl w:val="FC7EF1CC"/>
    <w:lvl w:ilvl="0" w:tplc="9DF657D8">
      <w:start w:val="1"/>
      <w:numFmt w:val="decimal"/>
      <w:lvlText w:val="%1."/>
      <w:lvlJc w:val="left"/>
      <w:pPr>
        <w:ind w:left="1125" w:hanging="765"/>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0C21422"/>
    <w:multiLevelType w:val="hybridMultilevel"/>
    <w:tmpl w:val="466AB6F6"/>
    <w:lvl w:ilvl="0" w:tplc="9D2C0646">
      <w:start w:val="1"/>
      <w:numFmt w:val="bullet"/>
      <w:lvlText w:val="-"/>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15:restartNumberingAfterBreak="0">
    <w:nsid w:val="432938C3"/>
    <w:multiLevelType w:val="hybridMultilevel"/>
    <w:tmpl w:val="F782DF32"/>
    <w:lvl w:ilvl="0" w:tplc="04150017">
      <w:start w:val="1"/>
      <w:numFmt w:val="lowerLetter"/>
      <w:lvlText w:val="%1)"/>
      <w:lvlJc w:val="left"/>
      <w:pPr>
        <w:ind w:left="720" w:hanging="360"/>
      </w:pPr>
    </w:lvl>
    <w:lvl w:ilvl="1" w:tplc="24AA048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6282D2A"/>
    <w:multiLevelType w:val="hybridMultilevel"/>
    <w:tmpl w:val="DECE2FC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15:restartNumberingAfterBreak="0">
    <w:nsid w:val="480B02D5"/>
    <w:multiLevelType w:val="hybridMultilevel"/>
    <w:tmpl w:val="B66E123E"/>
    <w:lvl w:ilvl="0" w:tplc="9D2C0646">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9BB4219"/>
    <w:multiLevelType w:val="hybridMultilevel"/>
    <w:tmpl w:val="1578FC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F6924D3"/>
    <w:multiLevelType w:val="hybridMultilevel"/>
    <w:tmpl w:val="C50E4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7CF74AA"/>
    <w:multiLevelType w:val="hybridMultilevel"/>
    <w:tmpl w:val="D138D4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8A4E44"/>
    <w:multiLevelType w:val="hybridMultilevel"/>
    <w:tmpl w:val="7D9C474A"/>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613B5E06"/>
    <w:multiLevelType w:val="hybridMultilevel"/>
    <w:tmpl w:val="A7D057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3FA3561"/>
    <w:multiLevelType w:val="hybridMultilevel"/>
    <w:tmpl w:val="B832F2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337E79"/>
    <w:multiLevelType w:val="hybridMultilevel"/>
    <w:tmpl w:val="8C8C40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6E5A500A"/>
    <w:multiLevelType w:val="hybridMultilevel"/>
    <w:tmpl w:val="6FE88160"/>
    <w:lvl w:ilvl="0" w:tplc="301C325E">
      <w:start w:val="1"/>
      <w:numFmt w:val="lowerLetter"/>
      <w:pStyle w:val="listawewnatrz"/>
      <w:lvlText w:val="%1."/>
      <w:lvlJc w:val="left"/>
      <w:pPr>
        <w:ind w:left="720" w:hanging="360"/>
      </w:pPr>
    </w:lvl>
    <w:lvl w:ilvl="1" w:tplc="64EE63B4">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F6D08B0"/>
    <w:multiLevelType w:val="hybridMultilevel"/>
    <w:tmpl w:val="DEE6A5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01D505A"/>
    <w:multiLevelType w:val="hybridMultilevel"/>
    <w:tmpl w:val="B7282C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1871EE0"/>
    <w:multiLevelType w:val="hybridMultilevel"/>
    <w:tmpl w:val="6A8C15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3A25EB6"/>
    <w:multiLevelType w:val="hybridMultilevel"/>
    <w:tmpl w:val="63CC0A62"/>
    <w:lvl w:ilvl="0" w:tplc="9D2C0646">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4F1D76"/>
    <w:multiLevelType w:val="hybridMultilevel"/>
    <w:tmpl w:val="C9962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C70BF5"/>
    <w:multiLevelType w:val="hybridMultilevel"/>
    <w:tmpl w:val="8398D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4714A3"/>
    <w:multiLevelType w:val="hybridMultilevel"/>
    <w:tmpl w:val="E2AA39EA"/>
    <w:lvl w:ilvl="0" w:tplc="9D2C0646">
      <w:start w:val="1"/>
      <w:numFmt w:val="bullet"/>
      <w:lvlText w:val="-"/>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7DC3026B"/>
    <w:multiLevelType w:val="hybridMultilevel"/>
    <w:tmpl w:val="F246EC08"/>
    <w:lvl w:ilvl="0" w:tplc="9D2C0646">
      <w:start w:val="1"/>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7870427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94740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43471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45286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45007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47020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28252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6003058">
    <w:abstractNumId w:val="8"/>
    <w:lvlOverride w:ilvl="0">
      <w:startOverride w:val="1"/>
    </w:lvlOverride>
    <w:lvlOverride w:ilvl="1"/>
    <w:lvlOverride w:ilvl="2"/>
    <w:lvlOverride w:ilvl="3"/>
    <w:lvlOverride w:ilvl="4"/>
    <w:lvlOverride w:ilvl="5"/>
    <w:lvlOverride w:ilvl="6"/>
    <w:lvlOverride w:ilvl="7"/>
    <w:lvlOverride w:ilvl="8"/>
  </w:num>
  <w:num w:numId="9" w16cid:durableId="1381007169">
    <w:abstractNumId w:val="27"/>
    <w:lvlOverride w:ilvl="0">
      <w:startOverride w:val="1"/>
    </w:lvlOverride>
    <w:lvlOverride w:ilvl="1"/>
    <w:lvlOverride w:ilvl="2"/>
    <w:lvlOverride w:ilvl="3"/>
    <w:lvlOverride w:ilvl="4"/>
    <w:lvlOverride w:ilvl="5"/>
    <w:lvlOverride w:ilvl="6"/>
    <w:lvlOverride w:ilvl="7"/>
    <w:lvlOverride w:ilvl="8"/>
  </w:num>
  <w:num w:numId="10" w16cid:durableId="15077880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98513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09390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40893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51323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65834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72192869">
    <w:abstractNumId w:val="8"/>
  </w:num>
  <w:num w:numId="17" w16cid:durableId="1088115045">
    <w:abstractNumId w:val="3"/>
  </w:num>
  <w:num w:numId="18" w16cid:durableId="1777015746">
    <w:abstractNumId w:val="21"/>
  </w:num>
  <w:num w:numId="19" w16cid:durableId="1072239368">
    <w:abstractNumId w:val="36"/>
  </w:num>
  <w:num w:numId="20" w16cid:durableId="1381051319">
    <w:abstractNumId w:val="29"/>
  </w:num>
  <w:num w:numId="21" w16cid:durableId="364067753">
    <w:abstractNumId w:val="16"/>
  </w:num>
  <w:num w:numId="22" w16cid:durableId="1490099398">
    <w:abstractNumId w:val="24"/>
  </w:num>
  <w:num w:numId="23" w16cid:durableId="937366207">
    <w:abstractNumId w:val="25"/>
  </w:num>
  <w:num w:numId="24" w16cid:durableId="1208294969">
    <w:abstractNumId w:val="7"/>
  </w:num>
  <w:num w:numId="25" w16cid:durableId="519440081">
    <w:abstractNumId w:val="30"/>
  </w:num>
  <w:num w:numId="26" w16cid:durableId="2088647652">
    <w:abstractNumId w:val="26"/>
  </w:num>
  <w:num w:numId="27" w16cid:durableId="425003272">
    <w:abstractNumId w:val="10"/>
  </w:num>
  <w:num w:numId="28" w16cid:durableId="1213888118">
    <w:abstractNumId w:val="6"/>
  </w:num>
  <w:num w:numId="29" w16cid:durableId="1054889616">
    <w:abstractNumId w:val="13"/>
  </w:num>
  <w:num w:numId="30" w16cid:durableId="389040962">
    <w:abstractNumId w:val="17"/>
  </w:num>
  <w:num w:numId="31" w16cid:durableId="860435650">
    <w:abstractNumId w:val="23"/>
  </w:num>
  <w:num w:numId="32" w16cid:durableId="1054088194">
    <w:abstractNumId w:val="20"/>
  </w:num>
  <w:num w:numId="33" w16cid:durableId="1544832487">
    <w:abstractNumId w:val="0"/>
  </w:num>
  <w:num w:numId="34" w16cid:durableId="685834418">
    <w:abstractNumId w:val="18"/>
  </w:num>
  <w:num w:numId="35" w16cid:durableId="798456517">
    <w:abstractNumId w:val="14"/>
  </w:num>
  <w:num w:numId="36" w16cid:durableId="1620381277">
    <w:abstractNumId w:val="11"/>
  </w:num>
  <w:num w:numId="37" w16cid:durableId="172033946">
    <w:abstractNumId w:val="37"/>
  </w:num>
  <w:num w:numId="38" w16cid:durableId="1934973111">
    <w:abstractNumId w:val="38"/>
  </w:num>
  <w:num w:numId="39" w16cid:durableId="94520899">
    <w:abstractNumId w:val="9"/>
  </w:num>
  <w:num w:numId="40" w16cid:durableId="307055509">
    <w:abstractNumId w:val="2"/>
  </w:num>
  <w:num w:numId="41" w16cid:durableId="2027558386">
    <w:abstractNumId w:val="1"/>
  </w:num>
  <w:num w:numId="42" w16cid:durableId="1993025926">
    <w:abstractNumId w:val="39"/>
  </w:num>
  <w:num w:numId="43" w16cid:durableId="20596678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F36"/>
    <w:rsid w:val="00014E88"/>
    <w:rsid w:val="000175EE"/>
    <w:rsid w:val="000314A8"/>
    <w:rsid w:val="00036237"/>
    <w:rsid w:val="00044949"/>
    <w:rsid w:val="00045BAE"/>
    <w:rsid w:val="0005064A"/>
    <w:rsid w:val="000512B0"/>
    <w:rsid w:val="00053AED"/>
    <w:rsid w:val="00057BC1"/>
    <w:rsid w:val="00067B30"/>
    <w:rsid w:val="00071BDC"/>
    <w:rsid w:val="000742B4"/>
    <w:rsid w:val="000856E3"/>
    <w:rsid w:val="00087C8E"/>
    <w:rsid w:val="000904FE"/>
    <w:rsid w:val="00097FEA"/>
    <w:rsid w:val="000B3EB3"/>
    <w:rsid w:val="000C08F3"/>
    <w:rsid w:val="000C44D2"/>
    <w:rsid w:val="000D3B6A"/>
    <w:rsid w:val="000D4860"/>
    <w:rsid w:val="000E107D"/>
    <w:rsid w:val="000F0A1E"/>
    <w:rsid w:val="000F55FC"/>
    <w:rsid w:val="001430F5"/>
    <w:rsid w:val="00144249"/>
    <w:rsid w:val="00146456"/>
    <w:rsid w:val="0016142B"/>
    <w:rsid w:val="00166ECB"/>
    <w:rsid w:val="00173D31"/>
    <w:rsid w:val="00175EC6"/>
    <w:rsid w:val="00176997"/>
    <w:rsid w:val="00180E04"/>
    <w:rsid w:val="0018262C"/>
    <w:rsid w:val="00182F21"/>
    <w:rsid w:val="0018459B"/>
    <w:rsid w:val="00185FF2"/>
    <w:rsid w:val="00190F78"/>
    <w:rsid w:val="00192212"/>
    <w:rsid w:val="0019544E"/>
    <w:rsid w:val="001A5388"/>
    <w:rsid w:val="001C7EDE"/>
    <w:rsid w:val="001D1E13"/>
    <w:rsid w:val="001D31F8"/>
    <w:rsid w:val="001F32F0"/>
    <w:rsid w:val="001F694E"/>
    <w:rsid w:val="001F7D40"/>
    <w:rsid w:val="00201344"/>
    <w:rsid w:val="0021058C"/>
    <w:rsid w:val="00222B03"/>
    <w:rsid w:val="0022638C"/>
    <w:rsid w:val="002325CF"/>
    <w:rsid w:val="0024070D"/>
    <w:rsid w:val="00252200"/>
    <w:rsid w:val="002529C5"/>
    <w:rsid w:val="00254CEC"/>
    <w:rsid w:val="002649E2"/>
    <w:rsid w:val="00266120"/>
    <w:rsid w:val="002717EA"/>
    <w:rsid w:val="00275137"/>
    <w:rsid w:val="00275502"/>
    <w:rsid w:val="00276EC1"/>
    <w:rsid w:val="00280743"/>
    <w:rsid w:val="00285AE9"/>
    <w:rsid w:val="00286B70"/>
    <w:rsid w:val="00292A77"/>
    <w:rsid w:val="00295475"/>
    <w:rsid w:val="0029760D"/>
    <w:rsid w:val="002A3B28"/>
    <w:rsid w:val="002B76BF"/>
    <w:rsid w:val="002C05D4"/>
    <w:rsid w:val="002C0712"/>
    <w:rsid w:val="002C180D"/>
    <w:rsid w:val="002C7642"/>
    <w:rsid w:val="002D358D"/>
    <w:rsid w:val="002E1E3E"/>
    <w:rsid w:val="002F15D7"/>
    <w:rsid w:val="002F6B1E"/>
    <w:rsid w:val="003030CB"/>
    <w:rsid w:val="00313547"/>
    <w:rsid w:val="00321C2E"/>
    <w:rsid w:val="00322E69"/>
    <w:rsid w:val="00354D36"/>
    <w:rsid w:val="00363885"/>
    <w:rsid w:val="003671C2"/>
    <w:rsid w:val="00373C44"/>
    <w:rsid w:val="00373D18"/>
    <w:rsid w:val="0037602D"/>
    <w:rsid w:val="00392ED8"/>
    <w:rsid w:val="00394E24"/>
    <w:rsid w:val="003971DE"/>
    <w:rsid w:val="003A58C9"/>
    <w:rsid w:val="003C036B"/>
    <w:rsid w:val="003C1425"/>
    <w:rsid w:val="003D211F"/>
    <w:rsid w:val="003F4FF2"/>
    <w:rsid w:val="004031AA"/>
    <w:rsid w:val="0040790A"/>
    <w:rsid w:val="004125D2"/>
    <w:rsid w:val="004154C5"/>
    <w:rsid w:val="004222C9"/>
    <w:rsid w:val="004417A6"/>
    <w:rsid w:val="00451F79"/>
    <w:rsid w:val="00491936"/>
    <w:rsid w:val="004966F4"/>
    <w:rsid w:val="004976A8"/>
    <w:rsid w:val="004A0F30"/>
    <w:rsid w:val="004A4478"/>
    <w:rsid w:val="004A4520"/>
    <w:rsid w:val="004A6FB3"/>
    <w:rsid w:val="004A7436"/>
    <w:rsid w:val="004B248D"/>
    <w:rsid w:val="004B4B7B"/>
    <w:rsid w:val="004C1ED3"/>
    <w:rsid w:val="004E308D"/>
    <w:rsid w:val="004E57E3"/>
    <w:rsid w:val="004F3214"/>
    <w:rsid w:val="004F3DF3"/>
    <w:rsid w:val="00512AF7"/>
    <w:rsid w:val="00512DC9"/>
    <w:rsid w:val="00512F36"/>
    <w:rsid w:val="00520158"/>
    <w:rsid w:val="0052782B"/>
    <w:rsid w:val="00537556"/>
    <w:rsid w:val="00537A30"/>
    <w:rsid w:val="0054017B"/>
    <w:rsid w:val="0054107A"/>
    <w:rsid w:val="005448EE"/>
    <w:rsid w:val="005449B3"/>
    <w:rsid w:val="00545B12"/>
    <w:rsid w:val="00580486"/>
    <w:rsid w:val="00596A20"/>
    <w:rsid w:val="005A020B"/>
    <w:rsid w:val="005A100C"/>
    <w:rsid w:val="005A1858"/>
    <w:rsid w:val="005A5D64"/>
    <w:rsid w:val="005A650A"/>
    <w:rsid w:val="005B2D40"/>
    <w:rsid w:val="005C5AB8"/>
    <w:rsid w:val="005C6C33"/>
    <w:rsid w:val="005D03A2"/>
    <w:rsid w:val="005F058E"/>
    <w:rsid w:val="006020B4"/>
    <w:rsid w:val="00605A83"/>
    <w:rsid w:val="006075AB"/>
    <w:rsid w:val="00612093"/>
    <w:rsid w:val="006144E6"/>
    <w:rsid w:val="0063556B"/>
    <w:rsid w:val="0065288F"/>
    <w:rsid w:val="00660559"/>
    <w:rsid w:val="006641D0"/>
    <w:rsid w:val="00664E10"/>
    <w:rsid w:val="00666076"/>
    <w:rsid w:val="00680FFF"/>
    <w:rsid w:val="00694701"/>
    <w:rsid w:val="00695F1D"/>
    <w:rsid w:val="006A0E44"/>
    <w:rsid w:val="006B132A"/>
    <w:rsid w:val="006C0451"/>
    <w:rsid w:val="006C14E0"/>
    <w:rsid w:val="006C1D09"/>
    <w:rsid w:val="006C7707"/>
    <w:rsid w:val="006E4C57"/>
    <w:rsid w:val="006F0B2D"/>
    <w:rsid w:val="006F2710"/>
    <w:rsid w:val="00707EFD"/>
    <w:rsid w:val="00724097"/>
    <w:rsid w:val="0073525C"/>
    <w:rsid w:val="007430A6"/>
    <w:rsid w:val="007451FA"/>
    <w:rsid w:val="00753AF9"/>
    <w:rsid w:val="00755B9E"/>
    <w:rsid w:val="007620FE"/>
    <w:rsid w:val="00762103"/>
    <w:rsid w:val="007725FD"/>
    <w:rsid w:val="00777518"/>
    <w:rsid w:val="00783B8D"/>
    <w:rsid w:val="00787306"/>
    <w:rsid w:val="00791863"/>
    <w:rsid w:val="00795970"/>
    <w:rsid w:val="007A7D14"/>
    <w:rsid w:val="007B022F"/>
    <w:rsid w:val="007B2562"/>
    <w:rsid w:val="007B452D"/>
    <w:rsid w:val="007B6A0A"/>
    <w:rsid w:val="007C1FEF"/>
    <w:rsid w:val="007C796D"/>
    <w:rsid w:val="007D195C"/>
    <w:rsid w:val="007E0A71"/>
    <w:rsid w:val="007E45D9"/>
    <w:rsid w:val="007F2D70"/>
    <w:rsid w:val="007F7819"/>
    <w:rsid w:val="00801CB1"/>
    <w:rsid w:val="008035ED"/>
    <w:rsid w:val="00810BC7"/>
    <w:rsid w:val="00813CE6"/>
    <w:rsid w:val="00840EB7"/>
    <w:rsid w:val="008451FC"/>
    <w:rsid w:val="0085319C"/>
    <w:rsid w:val="00854AAA"/>
    <w:rsid w:val="00861F2C"/>
    <w:rsid w:val="0086485E"/>
    <w:rsid w:val="00866FB9"/>
    <w:rsid w:val="008748CE"/>
    <w:rsid w:val="00877AC5"/>
    <w:rsid w:val="008964AD"/>
    <w:rsid w:val="008A70A9"/>
    <w:rsid w:val="008B2919"/>
    <w:rsid w:val="008B4E38"/>
    <w:rsid w:val="008B6572"/>
    <w:rsid w:val="008B675C"/>
    <w:rsid w:val="008B6900"/>
    <w:rsid w:val="008C1A52"/>
    <w:rsid w:val="008D75C1"/>
    <w:rsid w:val="008F07F8"/>
    <w:rsid w:val="008F5DCE"/>
    <w:rsid w:val="008F73AF"/>
    <w:rsid w:val="00900647"/>
    <w:rsid w:val="00902242"/>
    <w:rsid w:val="00924CAD"/>
    <w:rsid w:val="00936071"/>
    <w:rsid w:val="00941A01"/>
    <w:rsid w:val="00941DFB"/>
    <w:rsid w:val="0095030D"/>
    <w:rsid w:val="00951FE6"/>
    <w:rsid w:val="009521C3"/>
    <w:rsid w:val="00964867"/>
    <w:rsid w:val="009707EB"/>
    <w:rsid w:val="00975BF6"/>
    <w:rsid w:val="0098303C"/>
    <w:rsid w:val="009835B6"/>
    <w:rsid w:val="00986759"/>
    <w:rsid w:val="009A0ABF"/>
    <w:rsid w:val="009A29B0"/>
    <w:rsid w:val="009A732A"/>
    <w:rsid w:val="009B1704"/>
    <w:rsid w:val="009B6D87"/>
    <w:rsid w:val="009C148E"/>
    <w:rsid w:val="009E1AFF"/>
    <w:rsid w:val="009E3DE4"/>
    <w:rsid w:val="009F2279"/>
    <w:rsid w:val="00A0039C"/>
    <w:rsid w:val="00A037D2"/>
    <w:rsid w:val="00A152BF"/>
    <w:rsid w:val="00A17395"/>
    <w:rsid w:val="00A272A8"/>
    <w:rsid w:val="00A3358E"/>
    <w:rsid w:val="00A450BF"/>
    <w:rsid w:val="00A70F5A"/>
    <w:rsid w:val="00A7538C"/>
    <w:rsid w:val="00A818D3"/>
    <w:rsid w:val="00A91852"/>
    <w:rsid w:val="00A92C31"/>
    <w:rsid w:val="00AA7825"/>
    <w:rsid w:val="00AB7DE3"/>
    <w:rsid w:val="00AC3A71"/>
    <w:rsid w:val="00AD0F89"/>
    <w:rsid w:val="00AD4FEF"/>
    <w:rsid w:val="00AD5B60"/>
    <w:rsid w:val="00AE00B6"/>
    <w:rsid w:val="00AE3A33"/>
    <w:rsid w:val="00AE79F0"/>
    <w:rsid w:val="00AF19AC"/>
    <w:rsid w:val="00AF5458"/>
    <w:rsid w:val="00AF599C"/>
    <w:rsid w:val="00B0216C"/>
    <w:rsid w:val="00B02C46"/>
    <w:rsid w:val="00B030D4"/>
    <w:rsid w:val="00B13359"/>
    <w:rsid w:val="00B15ECB"/>
    <w:rsid w:val="00B23E7B"/>
    <w:rsid w:val="00B34858"/>
    <w:rsid w:val="00B34B5B"/>
    <w:rsid w:val="00B40A1B"/>
    <w:rsid w:val="00B55C00"/>
    <w:rsid w:val="00B7025A"/>
    <w:rsid w:val="00B706EB"/>
    <w:rsid w:val="00B727C6"/>
    <w:rsid w:val="00B75F56"/>
    <w:rsid w:val="00B97341"/>
    <w:rsid w:val="00BC6DBF"/>
    <w:rsid w:val="00BD7AF9"/>
    <w:rsid w:val="00BE0FCB"/>
    <w:rsid w:val="00BE28F6"/>
    <w:rsid w:val="00BE4AE7"/>
    <w:rsid w:val="00BE5228"/>
    <w:rsid w:val="00BF218E"/>
    <w:rsid w:val="00BF311F"/>
    <w:rsid w:val="00BF3943"/>
    <w:rsid w:val="00BF3B40"/>
    <w:rsid w:val="00BF78AA"/>
    <w:rsid w:val="00C06B67"/>
    <w:rsid w:val="00C122B8"/>
    <w:rsid w:val="00C13563"/>
    <w:rsid w:val="00C165DC"/>
    <w:rsid w:val="00C22024"/>
    <w:rsid w:val="00C320C4"/>
    <w:rsid w:val="00C417AC"/>
    <w:rsid w:val="00C41DF7"/>
    <w:rsid w:val="00C4544A"/>
    <w:rsid w:val="00C52CA2"/>
    <w:rsid w:val="00C536F7"/>
    <w:rsid w:val="00C60614"/>
    <w:rsid w:val="00C60C51"/>
    <w:rsid w:val="00C72F2B"/>
    <w:rsid w:val="00C73D7A"/>
    <w:rsid w:val="00C74DBF"/>
    <w:rsid w:val="00C8373D"/>
    <w:rsid w:val="00C9092F"/>
    <w:rsid w:val="00CA6466"/>
    <w:rsid w:val="00CB3F5B"/>
    <w:rsid w:val="00CC3837"/>
    <w:rsid w:val="00CC7AFF"/>
    <w:rsid w:val="00CE0AF7"/>
    <w:rsid w:val="00CE194E"/>
    <w:rsid w:val="00CF1857"/>
    <w:rsid w:val="00CF34C3"/>
    <w:rsid w:val="00CF4177"/>
    <w:rsid w:val="00D126EC"/>
    <w:rsid w:val="00D13EDF"/>
    <w:rsid w:val="00D344AB"/>
    <w:rsid w:val="00D4698A"/>
    <w:rsid w:val="00D55C3B"/>
    <w:rsid w:val="00D56B7E"/>
    <w:rsid w:val="00D717E7"/>
    <w:rsid w:val="00D755F9"/>
    <w:rsid w:val="00DB1937"/>
    <w:rsid w:val="00DC33A3"/>
    <w:rsid w:val="00DD1D21"/>
    <w:rsid w:val="00DD4D45"/>
    <w:rsid w:val="00DD4F06"/>
    <w:rsid w:val="00DE7DD0"/>
    <w:rsid w:val="00DF0C68"/>
    <w:rsid w:val="00DF25F9"/>
    <w:rsid w:val="00DF6A75"/>
    <w:rsid w:val="00E04D4B"/>
    <w:rsid w:val="00E0772D"/>
    <w:rsid w:val="00E256E2"/>
    <w:rsid w:val="00E3439A"/>
    <w:rsid w:val="00E34ED5"/>
    <w:rsid w:val="00E538D9"/>
    <w:rsid w:val="00E63096"/>
    <w:rsid w:val="00E73475"/>
    <w:rsid w:val="00E749EA"/>
    <w:rsid w:val="00E755D8"/>
    <w:rsid w:val="00E96D3C"/>
    <w:rsid w:val="00EA0325"/>
    <w:rsid w:val="00EC28BB"/>
    <w:rsid w:val="00ED6C06"/>
    <w:rsid w:val="00EE6007"/>
    <w:rsid w:val="00F033BA"/>
    <w:rsid w:val="00F07D76"/>
    <w:rsid w:val="00F07F7C"/>
    <w:rsid w:val="00F10D32"/>
    <w:rsid w:val="00F13783"/>
    <w:rsid w:val="00F234AA"/>
    <w:rsid w:val="00F36D99"/>
    <w:rsid w:val="00F44872"/>
    <w:rsid w:val="00F62B51"/>
    <w:rsid w:val="00F63A7D"/>
    <w:rsid w:val="00F711E0"/>
    <w:rsid w:val="00F74357"/>
    <w:rsid w:val="00F74405"/>
    <w:rsid w:val="00F767C8"/>
    <w:rsid w:val="00F77EB1"/>
    <w:rsid w:val="00F83FF1"/>
    <w:rsid w:val="00F95F12"/>
    <w:rsid w:val="00FB4A37"/>
    <w:rsid w:val="00FC3A29"/>
    <w:rsid w:val="00FC460B"/>
    <w:rsid w:val="00FC48AD"/>
    <w:rsid w:val="00FC7AFC"/>
    <w:rsid w:val="00FD2C30"/>
    <w:rsid w:val="00FD37B2"/>
    <w:rsid w:val="00FD6DC0"/>
    <w:rsid w:val="00FF0C8E"/>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E854A2"/>
  <w15:chartTrackingRefBased/>
  <w15:docId w15:val="{782C5837-0252-4D0D-A7F2-B63BEAF9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30C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030CB"/>
    <w:pPr>
      <w:autoSpaceDN w:val="0"/>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030CB"/>
    <w:rPr>
      <w:rFonts w:ascii="Calibri" w:eastAsia="Calibri" w:hAnsi="Calibri" w:cs="Times New Roman"/>
      <w:sz w:val="20"/>
      <w:szCs w:val="20"/>
    </w:rPr>
  </w:style>
  <w:style w:type="paragraph" w:styleId="Akapitzlist">
    <w:name w:val="List Paragraph"/>
    <w:basedOn w:val="Normalny"/>
    <w:uiPriority w:val="34"/>
    <w:qFormat/>
    <w:rsid w:val="003030CB"/>
    <w:pPr>
      <w:ind w:left="720"/>
      <w:contextualSpacing/>
    </w:pPr>
  </w:style>
  <w:style w:type="character" w:customStyle="1" w:styleId="listawewnatrzZnak">
    <w:name w:val="lista wewnatrz Znak"/>
    <w:basedOn w:val="Domylnaczcionkaakapitu"/>
    <w:link w:val="listawewnatrz"/>
    <w:locked/>
    <w:rsid w:val="003030CB"/>
    <w:rPr>
      <w:rFonts w:ascii="Calibri" w:eastAsia="Calibri" w:hAnsi="Calibri" w:cs="Calibri"/>
      <w:sz w:val="24"/>
      <w:szCs w:val="24"/>
    </w:rPr>
  </w:style>
  <w:style w:type="paragraph" w:customStyle="1" w:styleId="listawewnatrz">
    <w:name w:val="lista wewnatrz"/>
    <w:basedOn w:val="Akapitzlist"/>
    <w:link w:val="listawewnatrzZnak"/>
    <w:qFormat/>
    <w:rsid w:val="003030CB"/>
    <w:pPr>
      <w:numPr>
        <w:numId w:val="1"/>
      </w:numPr>
      <w:autoSpaceDN w:val="0"/>
      <w:spacing w:line="360" w:lineRule="auto"/>
      <w:contextualSpacing w:val="0"/>
      <w:jc w:val="both"/>
    </w:pPr>
    <w:rPr>
      <w:rFonts w:ascii="Calibri" w:eastAsia="Calibri" w:hAnsi="Calibri" w:cs="Calibri"/>
      <w:sz w:val="24"/>
      <w:szCs w:val="24"/>
    </w:rPr>
  </w:style>
  <w:style w:type="character" w:styleId="Odwoanieprzypisudolnego">
    <w:name w:val="footnote reference"/>
    <w:basedOn w:val="Domylnaczcionkaakapitu"/>
    <w:uiPriority w:val="99"/>
    <w:semiHidden/>
    <w:unhideWhenUsed/>
    <w:rsid w:val="003030CB"/>
    <w:rPr>
      <w:position w:val="0"/>
      <w:vertAlign w:val="superscript"/>
    </w:rPr>
  </w:style>
  <w:style w:type="paragraph" w:styleId="Nagwek">
    <w:name w:val="header"/>
    <w:basedOn w:val="Normalny"/>
    <w:link w:val="NagwekZnak"/>
    <w:uiPriority w:val="99"/>
    <w:unhideWhenUsed/>
    <w:rsid w:val="003030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30CB"/>
  </w:style>
  <w:style w:type="paragraph" w:styleId="Stopka">
    <w:name w:val="footer"/>
    <w:basedOn w:val="Normalny"/>
    <w:link w:val="StopkaZnak"/>
    <w:uiPriority w:val="99"/>
    <w:unhideWhenUsed/>
    <w:rsid w:val="003030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30CB"/>
  </w:style>
  <w:style w:type="paragraph" w:styleId="Tekstprzypisukocowego">
    <w:name w:val="endnote text"/>
    <w:basedOn w:val="Normalny"/>
    <w:link w:val="TekstprzypisukocowegoZnak"/>
    <w:uiPriority w:val="99"/>
    <w:semiHidden/>
    <w:unhideWhenUsed/>
    <w:rsid w:val="004A743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7436"/>
    <w:rPr>
      <w:sz w:val="20"/>
      <w:szCs w:val="20"/>
    </w:rPr>
  </w:style>
  <w:style w:type="character" w:styleId="Odwoanieprzypisukocowego">
    <w:name w:val="endnote reference"/>
    <w:basedOn w:val="Domylnaczcionkaakapitu"/>
    <w:uiPriority w:val="99"/>
    <w:semiHidden/>
    <w:unhideWhenUsed/>
    <w:rsid w:val="004A7436"/>
    <w:rPr>
      <w:vertAlign w:val="superscript"/>
    </w:rPr>
  </w:style>
  <w:style w:type="paragraph" w:styleId="Tekstdymka">
    <w:name w:val="Balloon Text"/>
    <w:basedOn w:val="Normalny"/>
    <w:link w:val="TekstdymkaZnak"/>
    <w:uiPriority w:val="99"/>
    <w:semiHidden/>
    <w:unhideWhenUsed/>
    <w:rsid w:val="00394E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4E24"/>
    <w:rPr>
      <w:rFonts w:ascii="Segoe UI" w:hAnsi="Segoe UI" w:cs="Segoe UI"/>
      <w:sz w:val="18"/>
      <w:szCs w:val="18"/>
    </w:rPr>
  </w:style>
  <w:style w:type="character" w:customStyle="1" w:styleId="Ppogrubienie">
    <w:name w:val="_P_ – pogrubienie"/>
    <w:basedOn w:val="Domylnaczcionkaakapitu"/>
    <w:uiPriority w:val="1"/>
    <w:qFormat/>
    <w:rsid w:val="00CF1857"/>
    <w:rPr>
      <w:b/>
    </w:rPr>
  </w:style>
  <w:style w:type="character" w:styleId="Odwoaniedokomentarza">
    <w:name w:val="annotation reference"/>
    <w:basedOn w:val="Domylnaczcionkaakapitu"/>
    <w:uiPriority w:val="99"/>
    <w:semiHidden/>
    <w:unhideWhenUsed/>
    <w:rsid w:val="00373C44"/>
    <w:rPr>
      <w:sz w:val="16"/>
      <w:szCs w:val="16"/>
    </w:rPr>
  </w:style>
  <w:style w:type="paragraph" w:styleId="Tekstkomentarza">
    <w:name w:val="annotation text"/>
    <w:basedOn w:val="Normalny"/>
    <w:link w:val="TekstkomentarzaZnak"/>
    <w:uiPriority w:val="99"/>
    <w:unhideWhenUsed/>
    <w:rsid w:val="00373C44"/>
    <w:pPr>
      <w:spacing w:line="240" w:lineRule="auto"/>
    </w:pPr>
    <w:rPr>
      <w:sz w:val="20"/>
      <w:szCs w:val="20"/>
    </w:rPr>
  </w:style>
  <w:style w:type="character" w:customStyle="1" w:styleId="TekstkomentarzaZnak">
    <w:name w:val="Tekst komentarza Znak"/>
    <w:basedOn w:val="Domylnaczcionkaakapitu"/>
    <w:link w:val="Tekstkomentarza"/>
    <w:uiPriority w:val="99"/>
    <w:rsid w:val="00373C44"/>
    <w:rPr>
      <w:sz w:val="20"/>
      <w:szCs w:val="20"/>
    </w:rPr>
  </w:style>
  <w:style w:type="paragraph" w:styleId="Tematkomentarza">
    <w:name w:val="annotation subject"/>
    <w:basedOn w:val="Tekstkomentarza"/>
    <w:next w:val="Tekstkomentarza"/>
    <w:link w:val="TematkomentarzaZnak"/>
    <w:uiPriority w:val="99"/>
    <w:semiHidden/>
    <w:unhideWhenUsed/>
    <w:rsid w:val="00373C44"/>
    <w:rPr>
      <w:b/>
      <w:bCs/>
    </w:rPr>
  </w:style>
  <w:style w:type="character" w:customStyle="1" w:styleId="TematkomentarzaZnak">
    <w:name w:val="Temat komentarza Znak"/>
    <w:basedOn w:val="TekstkomentarzaZnak"/>
    <w:link w:val="Tematkomentarza"/>
    <w:uiPriority w:val="99"/>
    <w:semiHidden/>
    <w:rsid w:val="00373C44"/>
    <w:rPr>
      <w:b/>
      <w:bCs/>
      <w:sz w:val="20"/>
      <w:szCs w:val="20"/>
    </w:rPr>
  </w:style>
  <w:style w:type="paragraph" w:customStyle="1" w:styleId="LITlitera">
    <w:name w:val="LIT – litera"/>
    <w:basedOn w:val="Normalny"/>
    <w:uiPriority w:val="14"/>
    <w:qFormat/>
    <w:rsid w:val="00596A20"/>
    <w:pPr>
      <w:spacing w:after="0" w:line="360" w:lineRule="auto"/>
      <w:ind w:left="986" w:hanging="476"/>
      <w:jc w:val="both"/>
    </w:pPr>
    <w:rPr>
      <w:rFonts w:ascii="Times" w:eastAsiaTheme="minorEastAsia" w:hAnsi="Times" w:cs="Arial"/>
      <w:bCs/>
      <w:sz w:val="24"/>
      <w:szCs w:val="20"/>
      <w:lang w:eastAsia="pl-PL"/>
    </w:rPr>
  </w:style>
  <w:style w:type="paragraph" w:styleId="Poprawka">
    <w:name w:val="Revision"/>
    <w:hidden/>
    <w:uiPriority w:val="99"/>
    <w:semiHidden/>
    <w:rsid w:val="009E3D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6812">
      <w:bodyDiv w:val="1"/>
      <w:marLeft w:val="0"/>
      <w:marRight w:val="0"/>
      <w:marTop w:val="0"/>
      <w:marBottom w:val="0"/>
      <w:divBdr>
        <w:top w:val="none" w:sz="0" w:space="0" w:color="auto"/>
        <w:left w:val="none" w:sz="0" w:space="0" w:color="auto"/>
        <w:bottom w:val="none" w:sz="0" w:space="0" w:color="auto"/>
        <w:right w:val="none" w:sz="0" w:space="0" w:color="auto"/>
      </w:divBdr>
    </w:div>
    <w:div w:id="261913195">
      <w:bodyDiv w:val="1"/>
      <w:marLeft w:val="0"/>
      <w:marRight w:val="0"/>
      <w:marTop w:val="0"/>
      <w:marBottom w:val="0"/>
      <w:divBdr>
        <w:top w:val="none" w:sz="0" w:space="0" w:color="auto"/>
        <w:left w:val="none" w:sz="0" w:space="0" w:color="auto"/>
        <w:bottom w:val="none" w:sz="0" w:space="0" w:color="auto"/>
        <w:right w:val="none" w:sz="0" w:space="0" w:color="auto"/>
      </w:divBdr>
      <w:divsChild>
        <w:div w:id="1803185704">
          <w:marLeft w:val="0"/>
          <w:marRight w:val="0"/>
          <w:marTop w:val="240"/>
          <w:marBottom w:val="0"/>
          <w:divBdr>
            <w:top w:val="none" w:sz="0" w:space="0" w:color="auto"/>
            <w:left w:val="none" w:sz="0" w:space="0" w:color="auto"/>
            <w:bottom w:val="none" w:sz="0" w:space="0" w:color="auto"/>
            <w:right w:val="none" w:sz="0" w:space="0" w:color="auto"/>
          </w:divBdr>
        </w:div>
        <w:div w:id="715660253">
          <w:marLeft w:val="0"/>
          <w:marRight w:val="0"/>
          <w:marTop w:val="240"/>
          <w:marBottom w:val="0"/>
          <w:divBdr>
            <w:top w:val="none" w:sz="0" w:space="0" w:color="auto"/>
            <w:left w:val="none" w:sz="0" w:space="0" w:color="auto"/>
            <w:bottom w:val="none" w:sz="0" w:space="0" w:color="auto"/>
            <w:right w:val="none" w:sz="0" w:space="0" w:color="auto"/>
          </w:divBdr>
        </w:div>
      </w:divsChild>
    </w:div>
    <w:div w:id="601110997">
      <w:bodyDiv w:val="1"/>
      <w:marLeft w:val="0"/>
      <w:marRight w:val="0"/>
      <w:marTop w:val="0"/>
      <w:marBottom w:val="0"/>
      <w:divBdr>
        <w:top w:val="none" w:sz="0" w:space="0" w:color="auto"/>
        <w:left w:val="none" w:sz="0" w:space="0" w:color="auto"/>
        <w:bottom w:val="none" w:sz="0" w:space="0" w:color="auto"/>
        <w:right w:val="none" w:sz="0" w:space="0" w:color="auto"/>
      </w:divBdr>
    </w:div>
    <w:div w:id="830021279">
      <w:bodyDiv w:val="1"/>
      <w:marLeft w:val="0"/>
      <w:marRight w:val="0"/>
      <w:marTop w:val="0"/>
      <w:marBottom w:val="0"/>
      <w:divBdr>
        <w:top w:val="none" w:sz="0" w:space="0" w:color="auto"/>
        <w:left w:val="none" w:sz="0" w:space="0" w:color="auto"/>
        <w:bottom w:val="none" w:sz="0" w:space="0" w:color="auto"/>
        <w:right w:val="none" w:sz="0" w:space="0" w:color="auto"/>
      </w:divBdr>
    </w:div>
    <w:div w:id="831262189">
      <w:bodyDiv w:val="1"/>
      <w:marLeft w:val="0"/>
      <w:marRight w:val="0"/>
      <w:marTop w:val="0"/>
      <w:marBottom w:val="0"/>
      <w:divBdr>
        <w:top w:val="none" w:sz="0" w:space="0" w:color="auto"/>
        <w:left w:val="none" w:sz="0" w:space="0" w:color="auto"/>
        <w:bottom w:val="none" w:sz="0" w:space="0" w:color="auto"/>
        <w:right w:val="none" w:sz="0" w:space="0" w:color="auto"/>
      </w:divBdr>
    </w:div>
    <w:div w:id="877204524">
      <w:bodyDiv w:val="1"/>
      <w:marLeft w:val="0"/>
      <w:marRight w:val="0"/>
      <w:marTop w:val="0"/>
      <w:marBottom w:val="0"/>
      <w:divBdr>
        <w:top w:val="none" w:sz="0" w:space="0" w:color="auto"/>
        <w:left w:val="none" w:sz="0" w:space="0" w:color="auto"/>
        <w:bottom w:val="none" w:sz="0" w:space="0" w:color="auto"/>
        <w:right w:val="none" w:sz="0" w:space="0" w:color="auto"/>
      </w:divBdr>
    </w:div>
    <w:div w:id="942030962">
      <w:bodyDiv w:val="1"/>
      <w:marLeft w:val="0"/>
      <w:marRight w:val="0"/>
      <w:marTop w:val="0"/>
      <w:marBottom w:val="0"/>
      <w:divBdr>
        <w:top w:val="none" w:sz="0" w:space="0" w:color="auto"/>
        <w:left w:val="none" w:sz="0" w:space="0" w:color="auto"/>
        <w:bottom w:val="none" w:sz="0" w:space="0" w:color="auto"/>
        <w:right w:val="none" w:sz="0" w:space="0" w:color="auto"/>
      </w:divBdr>
    </w:div>
    <w:div w:id="1110123080">
      <w:bodyDiv w:val="1"/>
      <w:marLeft w:val="0"/>
      <w:marRight w:val="0"/>
      <w:marTop w:val="0"/>
      <w:marBottom w:val="0"/>
      <w:divBdr>
        <w:top w:val="none" w:sz="0" w:space="0" w:color="auto"/>
        <w:left w:val="none" w:sz="0" w:space="0" w:color="auto"/>
        <w:bottom w:val="none" w:sz="0" w:space="0" w:color="auto"/>
        <w:right w:val="none" w:sz="0" w:space="0" w:color="auto"/>
      </w:divBdr>
    </w:div>
    <w:div w:id="1187019760">
      <w:bodyDiv w:val="1"/>
      <w:marLeft w:val="0"/>
      <w:marRight w:val="0"/>
      <w:marTop w:val="0"/>
      <w:marBottom w:val="0"/>
      <w:divBdr>
        <w:top w:val="none" w:sz="0" w:space="0" w:color="auto"/>
        <w:left w:val="none" w:sz="0" w:space="0" w:color="auto"/>
        <w:bottom w:val="none" w:sz="0" w:space="0" w:color="auto"/>
        <w:right w:val="none" w:sz="0" w:space="0" w:color="auto"/>
      </w:divBdr>
    </w:div>
    <w:div w:id="1235315441">
      <w:bodyDiv w:val="1"/>
      <w:marLeft w:val="0"/>
      <w:marRight w:val="0"/>
      <w:marTop w:val="0"/>
      <w:marBottom w:val="0"/>
      <w:divBdr>
        <w:top w:val="none" w:sz="0" w:space="0" w:color="auto"/>
        <w:left w:val="none" w:sz="0" w:space="0" w:color="auto"/>
        <w:bottom w:val="none" w:sz="0" w:space="0" w:color="auto"/>
        <w:right w:val="none" w:sz="0" w:space="0" w:color="auto"/>
      </w:divBdr>
      <w:divsChild>
        <w:div w:id="258565842">
          <w:marLeft w:val="0"/>
          <w:marRight w:val="0"/>
          <w:marTop w:val="240"/>
          <w:marBottom w:val="0"/>
          <w:divBdr>
            <w:top w:val="none" w:sz="0" w:space="0" w:color="auto"/>
            <w:left w:val="none" w:sz="0" w:space="0" w:color="auto"/>
            <w:bottom w:val="none" w:sz="0" w:space="0" w:color="auto"/>
            <w:right w:val="none" w:sz="0" w:space="0" w:color="auto"/>
          </w:divBdr>
        </w:div>
        <w:div w:id="788819704">
          <w:marLeft w:val="0"/>
          <w:marRight w:val="0"/>
          <w:marTop w:val="240"/>
          <w:marBottom w:val="0"/>
          <w:divBdr>
            <w:top w:val="none" w:sz="0" w:space="0" w:color="auto"/>
            <w:left w:val="none" w:sz="0" w:space="0" w:color="auto"/>
            <w:bottom w:val="none" w:sz="0" w:space="0" w:color="auto"/>
            <w:right w:val="none" w:sz="0" w:space="0" w:color="auto"/>
          </w:divBdr>
        </w:div>
      </w:divsChild>
    </w:div>
    <w:div w:id="1275794319">
      <w:bodyDiv w:val="1"/>
      <w:marLeft w:val="0"/>
      <w:marRight w:val="0"/>
      <w:marTop w:val="0"/>
      <w:marBottom w:val="0"/>
      <w:divBdr>
        <w:top w:val="none" w:sz="0" w:space="0" w:color="auto"/>
        <w:left w:val="none" w:sz="0" w:space="0" w:color="auto"/>
        <w:bottom w:val="none" w:sz="0" w:space="0" w:color="auto"/>
        <w:right w:val="none" w:sz="0" w:space="0" w:color="auto"/>
      </w:divBdr>
    </w:div>
    <w:div w:id="1503622592">
      <w:bodyDiv w:val="1"/>
      <w:marLeft w:val="0"/>
      <w:marRight w:val="0"/>
      <w:marTop w:val="0"/>
      <w:marBottom w:val="0"/>
      <w:divBdr>
        <w:top w:val="none" w:sz="0" w:space="0" w:color="auto"/>
        <w:left w:val="none" w:sz="0" w:space="0" w:color="auto"/>
        <w:bottom w:val="none" w:sz="0" w:space="0" w:color="auto"/>
        <w:right w:val="none" w:sz="0" w:space="0" w:color="auto"/>
      </w:divBdr>
    </w:div>
    <w:div w:id="1516113014">
      <w:bodyDiv w:val="1"/>
      <w:marLeft w:val="0"/>
      <w:marRight w:val="0"/>
      <w:marTop w:val="0"/>
      <w:marBottom w:val="0"/>
      <w:divBdr>
        <w:top w:val="none" w:sz="0" w:space="0" w:color="auto"/>
        <w:left w:val="none" w:sz="0" w:space="0" w:color="auto"/>
        <w:bottom w:val="none" w:sz="0" w:space="0" w:color="auto"/>
        <w:right w:val="none" w:sz="0" w:space="0" w:color="auto"/>
      </w:divBdr>
      <w:divsChild>
        <w:div w:id="1366325715">
          <w:marLeft w:val="0"/>
          <w:marRight w:val="0"/>
          <w:marTop w:val="240"/>
          <w:marBottom w:val="0"/>
          <w:divBdr>
            <w:top w:val="none" w:sz="0" w:space="0" w:color="auto"/>
            <w:left w:val="none" w:sz="0" w:space="0" w:color="auto"/>
            <w:bottom w:val="none" w:sz="0" w:space="0" w:color="auto"/>
            <w:right w:val="none" w:sz="0" w:space="0" w:color="auto"/>
          </w:divBdr>
        </w:div>
        <w:div w:id="1268075691">
          <w:marLeft w:val="0"/>
          <w:marRight w:val="0"/>
          <w:marTop w:val="240"/>
          <w:marBottom w:val="0"/>
          <w:divBdr>
            <w:top w:val="none" w:sz="0" w:space="0" w:color="auto"/>
            <w:left w:val="none" w:sz="0" w:space="0" w:color="auto"/>
            <w:bottom w:val="none" w:sz="0" w:space="0" w:color="auto"/>
            <w:right w:val="none" w:sz="0" w:space="0" w:color="auto"/>
          </w:divBdr>
        </w:div>
      </w:divsChild>
    </w:div>
    <w:div w:id="1674071308">
      <w:bodyDiv w:val="1"/>
      <w:marLeft w:val="0"/>
      <w:marRight w:val="0"/>
      <w:marTop w:val="0"/>
      <w:marBottom w:val="0"/>
      <w:divBdr>
        <w:top w:val="none" w:sz="0" w:space="0" w:color="auto"/>
        <w:left w:val="none" w:sz="0" w:space="0" w:color="auto"/>
        <w:bottom w:val="none" w:sz="0" w:space="0" w:color="auto"/>
        <w:right w:val="none" w:sz="0" w:space="0" w:color="auto"/>
      </w:divBdr>
    </w:div>
    <w:div w:id="1737968838">
      <w:bodyDiv w:val="1"/>
      <w:marLeft w:val="0"/>
      <w:marRight w:val="0"/>
      <w:marTop w:val="0"/>
      <w:marBottom w:val="0"/>
      <w:divBdr>
        <w:top w:val="none" w:sz="0" w:space="0" w:color="auto"/>
        <w:left w:val="none" w:sz="0" w:space="0" w:color="auto"/>
        <w:bottom w:val="none" w:sz="0" w:space="0" w:color="auto"/>
        <w:right w:val="none" w:sz="0" w:space="0" w:color="auto"/>
      </w:divBdr>
    </w:div>
    <w:div w:id="1803379977">
      <w:bodyDiv w:val="1"/>
      <w:marLeft w:val="0"/>
      <w:marRight w:val="0"/>
      <w:marTop w:val="0"/>
      <w:marBottom w:val="0"/>
      <w:divBdr>
        <w:top w:val="none" w:sz="0" w:space="0" w:color="auto"/>
        <w:left w:val="none" w:sz="0" w:space="0" w:color="auto"/>
        <w:bottom w:val="none" w:sz="0" w:space="0" w:color="auto"/>
        <w:right w:val="none" w:sz="0" w:space="0" w:color="auto"/>
      </w:divBdr>
    </w:div>
    <w:div w:id="1841000792">
      <w:bodyDiv w:val="1"/>
      <w:marLeft w:val="0"/>
      <w:marRight w:val="0"/>
      <w:marTop w:val="0"/>
      <w:marBottom w:val="0"/>
      <w:divBdr>
        <w:top w:val="none" w:sz="0" w:space="0" w:color="auto"/>
        <w:left w:val="none" w:sz="0" w:space="0" w:color="auto"/>
        <w:bottom w:val="none" w:sz="0" w:space="0" w:color="auto"/>
        <w:right w:val="none" w:sz="0" w:space="0" w:color="auto"/>
      </w:divBdr>
    </w:div>
    <w:div w:id="2075471052">
      <w:bodyDiv w:val="1"/>
      <w:marLeft w:val="0"/>
      <w:marRight w:val="0"/>
      <w:marTop w:val="0"/>
      <w:marBottom w:val="0"/>
      <w:divBdr>
        <w:top w:val="none" w:sz="0" w:space="0" w:color="auto"/>
        <w:left w:val="none" w:sz="0" w:space="0" w:color="auto"/>
        <w:bottom w:val="none" w:sz="0" w:space="0" w:color="auto"/>
        <w:right w:val="none" w:sz="0" w:space="0" w:color="auto"/>
      </w:divBdr>
    </w:div>
    <w:div w:id="211093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Props1.xml><?xml version="1.0" encoding="utf-8"?>
<ds:datastoreItem xmlns:ds="http://schemas.openxmlformats.org/officeDocument/2006/customXml" ds:itemID="{DA8683A0-ED42-471F-87E8-032FA88E7F9F}">
  <ds:schemaRefs>
    <ds:schemaRef ds:uri="http://schemas.openxmlformats.org/officeDocument/2006/bibliography"/>
  </ds:schemaRefs>
</ds:datastoreItem>
</file>

<file path=customXml/itemProps2.xml><?xml version="1.0" encoding="utf-8"?>
<ds:datastoreItem xmlns:ds="http://schemas.openxmlformats.org/officeDocument/2006/customXml" ds:itemID="{93E11F51-0911-4254-8B70-66A535D5228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14</Pages>
  <Words>4737</Words>
  <Characters>28424</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Nawrocki</dc:creator>
  <cp:keywords/>
  <dc:description/>
  <cp:lastModifiedBy>Paulina Sawa</cp:lastModifiedBy>
  <cp:revision>20</cp:revision>
  <cp:lastPrinted>2023-03-31T08:52:00Z</cp:lastPrinted>
  <dcterms:created xsi:type="dcterms:W3CDTF">2023-12-22T13:23:00Z</dcterms:created>
  <dcterms:modified xsi:type="dcterms:W3CDTF">2024-02-08T09:50:00Z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b07160ca-078d-4ee4-b1f0-05faa962b65f</vt:lpwstr>
  </property>
  <property fmtid="{D5CDD505-2E9C-101B-9397-08002B2CF9AE}" pid="3" name="bjSaver">
    <vt:lpwstr>k1+NX8BWzjnJCXu/7T5qhu4qWWAENzG6</vt:lpwstr>
  </property>
  <property fmtid="{D5CDD505-2E9C-101B-9397-08002B2CF9AE}" pid="4" name="bjClsUserRVM">
    <vt:lpwstr>[]</vt:lpwstr>
  </property>
  <property fmtid="{D5CDD505-2E9C-101B-9397-08002B2CF9AE}" pid="5" name="bjDocumentSecurityLabel">
    <vt:lpwstr>JAWNE</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