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699F" w14:textId="77777777" w:rsidR="007B2370" w:rsidRPr="007B2370" w:rsidRDefault="007B2370" w:rsidP="007B2370">
      <w:pPr>
        <w:rPr>
          <w:rFonts w:ascii="Times New Roman" w:hAnsi="Times New Roman" w:cs="Times New Roman"/>
          <w:b/>
          <w:bCs/>
          <w:sz w:val="26"/>
          <w:szCs w:val="26"/>
        </w:rPr>
      </w:pPr>
      <w:r w:rsidRPr="007B2370">
        <w:rPr>
          <w:rFonts w:ascii="Times New Roman" w:hAnsi="Times New Roman" w:cs="Times New Roman"/>
          <w:b/>
          <w:bCs/>
          <w:sz w:val="26"/>
          <w:szCs w:val="26"/>
        </w:rPr>
        <w:t xml:space="preserve">Planowany zakres rewizji Krajowego Planu Odbudowy i Zwiększania Odporności </w:t>
      </w:r>
    </w:p>
    <w:p w14:paraId="1A6BC710" w14:textId="140E00C6" w:rsidR="007B2370" w:rsidRDefault="007B2370" w:rsidP="00111178">
      <w:pPr>
        <w:jc w:val="center"/>
        <w:rPr>
          <w:rFonts w:ascii="Times New Roman" w:hAnsi="Times New Roman" w:cs="Times New Roman"/>
          <w:b/>
          <w:bCs/>
          <w:sz w:val="26"/>
          <w:szCs w:val="26"/>
          <w:u w:val="single"/>
        </w:rPr>
      </w:pPr>
      <w:r w:rsidRPr="007B2370">
        <w:rPr>
          <w:rFonts w:ascii="Times New Roman" w:hAnsi="Times New Roman" w:cs="Times New Roman"/>
          <w:b/>
          <w:bCs/>
          <w:sz w:val="26"/>
          <w:szCs w:val="26"/>
          <w:u w:val="single"/>
        </w:rPr>
        <w:t>Inwestycje</w:t>
      </w:r>
    </w:p>
    <w:p w14:paraId="78407608" w14:textId="56DA08DE" w:rsidR="00870400" w:rsidRPr="003733FD" w:rsidRDefault="003733FD" w:rsidP="007B2370">
      <w:pPr>
        <w:rPr>
          <w:rFonts w:ascii="Times New Roman" w:hAnsi="Times New Roman" w:cs="Times New Roman"/>
          <w:b/>
          <w:bCs/>
          <w:sz w:val="26"/>
          <w:szCs w:val="26"/>
        </w:rPr>
      </w:pPr>
      <w:r>
        <w:rPr>
          <w:rFonts w:ascii="Times New Roman" w:hAnsi="Times New Roman" w:cs="Times New Roman"/>
          <w:b/>
          <w:bCs/>
          <w:sz w:val="26"/>
          <w:szCs w:val="26"/>
        </w:rPr>
        <w:t>Część dotacyjna</w:t>
      </w:r>
    </w:p>
    <w:p w14:paraId="20830789" w14:textId="0555DC9B" w:rsidR="007B2370" w:rsidRDefault="007B2370" w:rsidP="00EB6F14">
      <w:pPr>
        <w:spacing w:after="120" w:line="240" w:lineRule="auto"/>
        <w:rPr>
          <w:rFonts w:ascii="Times New Roman" w:hAnsi="Times New Roman" w:cs="Times New Roman"/>
          <w:b/>
          <w:bCs/>
          <w:sz w:val="26"/>
          <w:szCs w:val="26"/>
        </w:rPr>
      </w:pPr>
      <w:bookmarkStart w:id="0" w:name="_Toc49944562"/>
      <w:bookmarkStart w:id="1" w:name="_Toc61252492"/>
      <w:bookmarkStart w:id="2" w:name="_Toc103250207"/>
      <w:r w:rsidRPr="00870400">
        <w:rPr>
          <w:rFonts w:ascii="Times New Roman" w:hAnsi="Times New Roman" w:cs="Times New Roman"/>
          <w:b/>
          <w:bCs/>
          <w:sz w:val="26"/>
          <w:szCs w:val="26"/>
        </w:rPr>
        <w:t>Komponent A – Odporność i konkurencyjność gospodarki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6"/>
        <w:gridCol w:w="3465"/>
        <w:gridCol w:w="3661"/>
      </w:tblGrid>
      <w:tr w:rsidR="000C1193" w:rsidRPr="00AC516C" w14:paraId="24069DF1" w14:textId="77777777" w:rsidTr="00144E7D">
        <w:tc>
          <w:tcPr>
            <w:tcW w:w="1068" w:type="pct"/>
            <w:shd w:val="clear" w:color="auto" w:fill="auto"/>
          </w:tcPr>
          <w:p w14:paraId="1967F089" w14:textId="77777777" w:rsidR="000C1193" w:rsidRPr="00AC516C" w:rsidRDefault="000C1193" w:rsidP="00144E7D">
            <w:pPr>
              <w:spacing w:after="120" w:line="240" w:lineRule="auto"/>
              <w:rPr>
                <w:rFonts w:ascii="Times New Roman" w:hAnsi="Times New Roman" w:cs="Times New Roman"/>
                <w:b/>
                <w:bCs/>
              </w:rPr>
            </w:pPr>
            <w:r w:rsidRPr="00AC516C">
              <w:rPr>
                <w:rFonts w:ascii="Times New Roman" w:hAnsi="Times New Roman" w:cs="Times New Roman"/>
                <w:b/>
                <w:bCs/>
              </w:rPr>
              <w:t>Numer inwestycji</w:t>
            </w:r>
          </w:p>
        </w:tc>
        <w:tc>
          <w:tcPr>
            <w:tcW w:w="3932" w:type="pct"/>
            <w:gridSpan w:val="2"/>
            <w:shd w:val="clear" w:color="auto" w:fill="auto"/>
          </w:tcPr>
          <w:p w14:paraId="43836D58" w14:textId="77777777" w:rsidR="000C1193" w:rsidRPr="00AC516C" w:rsidRDefault="000C1193" w:rsidP="00C40440">
            <w:pPr>
              <w:pStyle w:val="Akapitzlist"/>
              <w:spacing w:after="120"/>
              <w:ind w:left="-24"/>
              <w:rPr>
                <w:b/>
                <w:bCs/>
                <w:sz w:val="22"/>
                <w:szCs w:val="22"/>
              </w:rPr>
            </w:pPr>
            <w:r w:rsidRPr="00AC516C">
              <w:rPr>
                <w:b/>
                <w:bCs/>
                <w:sz w:val="22"/>
                <w:szCs w:val="22"/>
              </w:rPr>
              <w:t>A1.3.1</w:t>
            </w:r>
            <w:r>
              <w:rPr>
                <w:b/>
                <w:bCs/>
                <w:sz w:val="22"/>
                <w:szCs w:val="22"/>
              </w:rPr>
              <w:t>.</w:t>
            </w:r>
          </w:p>
        </w:tc>
      </w:tr>
      <w:tr w:rsidR="000C1193" w:rsidRPr="00AC516C" w14:paraId="47BCC477" w14:textId="77777777" w:rsidTr="00144E7D">
        <w:tc>
          <w:tcPr>
            <w:tcW w:w="1068" w:type="pct"/>
            <w:shd w:val="clear" w:color="auto" w:fill="auto"/>
          </w:tcPr>
          <w:p w14:paraId="2CE5D947" w14:textId="77777777" w:rsidR="000C1193" w:rsidRPr="00AC516C" w:rsidRDefault="000C1193" w:rsidP="00C40440">
            <w:pPr>
              <w:pStyle w:val="Akapitzlist"/>
              <w:spacing w:after="120"/>
              <w:ind w:left="0"/>
              <w:rPr>
                <w:b/>
                <w:bCs/>
                <w:sz w:val="22"/>
                <w:szCs w:val="22"/>
              </w:rPr>
            </w:pPr>
            <w:r w:rsidRPr="00AC516C">
              <w:rPr>
                <w:b/>
                <w:bCs/>
                <w:sz w:val="22"/>
                <w:szCs w:val="22"/>
              </w:rPr>
              <w:t xml:space="preserve">Nazwa inwestycji </w:t>
            </w:r>
          </w:p>
        </w:tc>
        <w:tc>
          <w:tcPr>
            <w:tcW w:w="3932" w:type="pct"/>
            <w:gridSpan w:val="2"/>
            <w:shd w:val="clear" w:color="auto" w:fill="auto"/>
          </w:tcPr>
          <w:p w14:paraId="08CD5183" w14:textId="77777777" w:rsidR="000C1193" w:rsidRPr="00C40440" w:rsidRDefault="000C1193" w:rsidP="00C40440">
            <w:pPr>
              <w:spacing w:after="120" w:line="240" w:lineRule="auto"/>
              <w:rPr>
                <w:b/>
                <w:bCs/>
              </w:rPr>
            </w:pPr>
            <w:r w:rsidRPr="00C40440">
              <w:rPr>
                <w:rFonts w:ascii="Times New Roman" w:hAnsi="Times New Roman" w:cs="Times New Roman"/>
                <w:b/>
                <w:bCs/>
              </w:rPr>
              <w:t xml:space="preserve">Wdrożenie reformy planowania i zagospodarowania przestrzennego </w:t>
            </w:r>
          </w:p>
        </w:tc>
      </w:tr>
      <w:tr w:rsidR="000C1193" w:rsidRPr="00AC516C" w14:paraId="5A3E8162" w14:textId="77777777" w:rsidTr="00144E7D">
        <w:trPr>
          <w:trHeight w:val="1212"/>
        </w:trPr>
        <w:tc>
          <w:tcPr>
            <w:tcW w:w="1068" w:type="pct"/>
            <w:shd w:val="clear" w:color="auto" w:fill="auto"/>
          </w:tcPr>
          <w:p w14:paraId="2FC9D3B6" w14:textId="77777777" w:rsidR="000C1193" w:rsidRPr="00AC516C" w:rsidRDefault="000C1193" w:rsidP="00C40440">
            <w:pPr>
              <w:pStyle w:val="Akapitzlist"/>
              <w:spacing w:after="120"/>
              <w:ind w:left="0"/>
              <w:rPr>
                <w:sz w:val="22"/>
                <w:szCs w:val="22"/>
              </w:rPr>
            </w:pPr>
            <w:r w:rsidRPr="00AC516C">
              <w:rPr>
                <w:sz w:val="22"/>
                <w:szCs w:val="22"/>
              </w:rPr>
              <w:t>Rodzaj wprowadzonej zmiany w odniesieniu do CID</w:t>
            </w:r>
          </w:p>
        </w:tc>
        <w:tc>
          <w:tcPr>
            <w:tcW w:w="3932" w:type="pct"/>
            <w:gridSpan w:val="2"/>
            <w:shd w:val="clear" w:color="auto" w:fill="auto"/>
          </w:tcPr>
          <w:p w14:paraId="6CCBB5B8"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C516C">
              <w:rPr>
                <w:rFonts w:ascii="Times New Roman" w:hAnsi="Times New Roman" w:cs="Times New Roman"/>
              </w:rPr>
              <w:t>Modyfikacja nazwy i opisu wskaźnika A16G i A17G.</w:t>
            </w:r>
          </w:p>
          <w:p w14:paraId="5E07546B"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r>
      <w:tr w:rsidR="000C1193" w:rsidRPr="00AC516C" w14:paraId="1FC4F558" w14:textId="77777777" w:rsidTr="00144E7D">
        <w:tc>
          <w:tcPr>
            <w:tcW w:w="1068" w:type="pct"/>
            <w:shd w:val="clear" w:color="auto" w:fill="auto"/>
          </w:tcPr>
          <w:p w14:paraId="2AF677C0" w14:textId="77777777" w:rsidR="000C1193" w:rsidRPr="00AC516C" w:rsidRDefault="000C1193" w:rsidP="00C40440">
            <w:pPr>
              <w:pStyle w:val="Akapitzlist"/>
              <w:spacing w:after="120"/>
              <w:ind w:left="0"/>
              <w:rPr>
                <w:sz w:val="22"/>
                <w:szCs w:val="22"/>
              </w:rPr>
            </w:pPr>
            <w:r w:rsidRPr="00AC516C">
              <w:rPr>
                <w:sz w:val="22"/>
                <w:szCs w:val="22"/>
              </w:rPr>
              <w:t>Podstawa prawna zmiany</w:t>
            </w:r>
          </w:p>
        </w:tc>
        <w:tc>
          <w:tcPr>
            <w:tcW w:w="3932" w:type="pct"/>
            <w:gridSpan w:val="2"/>
            <w:shd w:val="clear" w:color="auto" w:fill="auto"/>
          </w:tcPr>
          <w:p w14:paraId="4C5CD0D9" w14:textId="5694B5F5" w:rsidR="000C1193" w:rsidRPr="00AC516C" w:rsidRDefault="00DE59E4" w:rsidP="00C40440">
            <w:pPr>
              <w:pStyle w:val="Akapitzlist"/>
              <w:spacing w:line="240" w:lineRule="auto"/>
              <w:ind w:left="0"/>
              <w:rPr>
                <w:sz w:val="22"/>
                <w:szCs w:val="22"/>
              </w:rPr>
            </w:pPr>
            <w:r>
              <w:rPr>
                <w:sz w:val="22"/>
                <w:szCs w:val="22"/>
              </w:rPr>
              <w:t>a</w:t>
            </w:r>
            <w:r w:rsidR="000C1193" w:rsidRPr="00AC516C">
              <w:rPr>
                <w:sz w:val="22"/>
                <w:szCs w:val="22"/>
              </w:rPr>
              <w:t xml:space="preserve">rt. 21 rozporządzenia Parlamentu Europejskiego i Rady (UE) 2021/241 z dnia 12 lutego 2021 r. ustanawiającego Instrument na rzecz Odbudowy </w:t>
            </w:r>
            <w:r w:rsidR="000C1193" w:rsidRPr="00AC516C">
              <w:rPr>
                <w:sz w:val="22"/>
                <w:szCs w:val="22"/>
              </w:rPr>
              <w:br/>
              <w:t xml:space="preserve">i Zwiększania Odporności </w:t>
            </w:r>
          </w:p>
        </w:tc>
      </w:tr>
      <w:tr w:rsidR="000C1193" w:rsidRPr="00AC516C" w14:paraId="658D3D09" w14:textId="77777777" w:rsidTr="00144E7D">
        <w:tc>
          <w:tcPr>
            <w:tcW w:w="1068" w:type="pct"/>
            <w:shd w:val="clear" w:color="auto" w:fill="D9D9D9" w:themeFill="background1" w:themeFillShade="D9"/>
          </w:tcPr>
          <w:p w14:paraId="6204E2A5" w14:textId="77777777" w:rsidR="000C1193" w:rsidRPr="00AC516C" w:rsidRDefault="000C1193" w:rsidP="00144E7D">
            <w:pPr>
              <w:spacing w:after="120" w:line="240" w:lineRule="auto"/>
              <w:rPr>
                <w:rFonts w:ascii="Times New Roman" w:hAnsi="Times New Roman" w:cs="Times New Roman"/>
              </w:rPr>
            </w:pPr>
            <w:r w:rsidRPr="00AC516C">
              <w:rPr>
                <w:rFonts w:ascii="Times New Roman" w:hAnsi="Times New Roman" w:cs="Times New Roman"/>
              </w:rPr>
              <w:t>Modyfikowany element</w:t>
            </w:r>
          </w:p>
        </w:tc>
        <w:tc>
          <w:tcPr>
            <w:tcW w:w="1912" w:type="pct"/>
            <w:shd w:val="clear" w:color="auto" w:fill="D9D9D9" w:themeFill="background1" w:themeFillShade="D9"/>
          </w:tcPr>
          <w:p w14:paraId="7077BE30" w14:textId="77777777" w:rsidR="000C1193" w:rsidRPr="00AC516C" w:rsidRDefault="000C1193">
            <w:pPr>
              <w:spacing w:after="120" w:line="240" w:lineRule="auto"/>
              <w:jc w:val="center"/>
              <w:rPr>
                <w:rFonts w:ascii="Times New Roman" w:hAnsi="Times New Roman" w:cs="Times New Roman"/>
              </w:rPr>
            </w:pPr>
            <w:r w:rsidRPr="00AC516C">
              <w:rPr>
                <w:rFonts w:ascii="Times New Roman" w:hAnsi="Times New Roman" w:cs="Times New Roman"/>
              </w:rPr>
              <w:t>Wersja aktualna</w:t>
            </w:r>
          </w:p>
        </w:tc>
        <w:tc>
          <w:tcPr>
            <w:tcW w:w="2020" w:type="pct"/>
            <w:shd w:val="clear" w:color="auto" w:fill="D9D9D9" w:themeFill="background1" w:themeFillShade="D9"/>
          </w:tcPr>
          <w:p w14:paraId="3CC82702" w14:textId="77777777" w:rsidR="000C1193" w:rsidRPr="00AC516C" w:rsidRDefault="000C1193">
            <w:pPr>
              <w:spacing w:after="120" w:line="240" w:lineRule="auto"/>
              <w:jc w:val="center"/>
              <w:rPr>
                <w:rFonts w:ascii="Times New Roman" w:hAnsi="Times New Roman" w:cs="Times New Roman"/>
              </w:rPr>
            </w:pPr>
            <w:r w:rsidRPr="00AC516C">
              <w:rPr>
                <w:rFonts w:ascii="Times New Roman" w:hAnsi="Times New Roman" w:cs="Times New Roman"/>
              </w:rPr>
              <w:t>Wersja zmieniona</w:t>
            </w:r>
          </w:p>
        </w:tc>
      </w:tr>
      <w:tr w:rsidR="000C1193" w:rsidRPr="00AC516C" w14:paraId="617280F4" w14:textId="77777777" w:rsidTr="00144E7D">
        <w:tc>
          <w:tcPr>
            <w:tcW w:w="1068" w:type="pct"/>
          </w:tcPr>
          <w:p w14:paraId="766B5CC8" w14:textId="77777777" w:rsidR="000C1193" w:rsidRPr="00AC516C" w:rsidRDefault="000C1193" w:rsidP="00144E7D">
            <w:pPr>
              <w:spacing w:after="120" w:line="240" w:lineRule="auto"/>
              <w:rPr>
                <w:rFonts w:ascii="Times New Roman" w:hAnsi="Times New Roman" w:cs="Times New Roman"/>
              </w:rPr>
            </w:pPr>
            <w:r w:rsidRPr="00AC516C">
              <w:rPr>
                <w:rFonts w:ascii="Times New Roman" w:hAnsi="Times New Roman" w:cs="Times New Roman"/>
              </w:rPr>
              <w:t>Opis kamienia milowego lub wskaźnika.</w:t>
            </w:r>
          </w:p>
        </w:tc>
        <w:tc>
          <w:tcPr>
            <w:tcW w:w="1912" w:type="pct"/>
          </w:tcPr>
          <w:p w14:paraId="0FD34EAF"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r w:rsidRPr="00AC516C">
              <w:rPr>
                <w:rFonts w:ascii="Times New Roman" w:hAnsi="Times New Roman" w:cs="Times New Roman"/>
              </w:rPr>
              <w:t>A16G. O</w:t>
            </w:r>
            <w:r w:rsidRPr="00AC516C">
              <w:rPr>
                <w:rFonts w:ascii="Times New Roman" w:hAnsi="Times New Roman" w:cs="Times New Roman"/>
                <w:color w:val="202124"/>
              </w:rPr>
              <w:t>dsetek gmin, które przyjęły ogólne plany zagospodarowania przestrzennego</w:t>
            </w:r>
          </w:p>
          <w:p w14:paraId="387E43F3"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p w14:paraId="5F0199D7"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p w14:paraId="5B77C1C4"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p w14:paraId="1C51754A"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r w:rsidRPr="00AC516C">
              <w:rPr>
                <w:rFonts w:ascii="Times New Roman" w:hAnsi="Times New Roman" w:cs="Times New Roman"/>
                <w:color w:val="202124"/>
              </w:rPr>
              <w:t>Opis każdego kamienia milowego i każdej wartości docelowej: co najmniej 10% gmin przygotowało i przyjęło ogólny plan zagospodarowania przestrzennego, zgodnie z wymogami nowego prawa określonego w kamieniu milowym A12G</w:t>
            </w:r>
          </w:p>
          <w:p w14:paraId="7C0D5FBC"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tc>
        <w:tc>
          <w:tcPr>
            <w:tcW w:w="2020" w:type="pct"/>
          </w:tcPr>
          <w:p w14:paraId="281EB6EB"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C516C">
              <w:rPr>
                <w:rFonts w:ascii="Times New Roman" w:hAnsi="Times New Roman" w:cs="Times New Roman"/>
              </w:rPr>
              <w:t>A16G. O</w:t>
            </w:r>
            <w:r w:rsidRPr="00AC516C">
              <w:rPr>
                <w:rFonts w:ascii="Times New Roman" w:hAnsi="Times New Roman" w:cs="Times New Roman"/>
                <w:color w:val="202124"/>
              </w:rPr>
              <w:t xml:space="preserve">dsetek gmin, które </w:t>
            </w:r>
            <w:r w:rsidRPr="00AC516C">
              <w:rPr>
                <w:rFonts w:ascii="Times New Roman" w:hAnsi="Times New Roman" w:cs="Times New Roman"/>
                <w:color w:val="FF0000"/>
              </w:rPr>
              <w:t>przygotowały i opublikowały w Biuletynie Informacji Publicznej projekt ogólnego planu zagospodarowania przestrzennego</w:t>
            </w:r>
          </w:p>
          <w:p w14:paraId="3D5C2685"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133E8B4B"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r w:rsidRPr="00AC516C">
              <w:rPr>
                <w:rFonts w:ascii="Times New Roman" w:hAnsi="Times New Roman" w:cs="Times New Roman"/>
                <w:color w:val="202124"/>
              </w:rPr>
              <w:t xml:space="preserve">Opis każdego kamienia milowego i każdej wartości docelowej: co najmniej 10% gmin </w:t>
            </w:r>
            <w:r w:rsidRPr="00AC516C">
              <w:rPr>
                <w:rFonts w:ascii="Times New Roman" w:hAnsi="Times New Roman" w:cs="Times New Roman"/>
              </w:rPr>
              <w:t xml:space="preserve">przygotowało i </w:t>
            </w:r>
            <w:r w:rsidRPr="00AC516C">
              <w:rPr>
                <w:rFonts w:ascii="Times New Roman" w:hAnsi="Times New Roman" w:cs="Times New Roman"/>
                <w:color w:val="FF0000"/>
              </w:rPr>
              <w:t xml:space="preserve">opublikowało w Biuletynie Informacji Publicznej projekt ogólnego planu </w:t>
            </w:r>
            <w:r w:rsidRPr="00AC516C">
              <w:rPr>
                <w:rFonts w:ascii="Times New Roman" w:hAnsi="Times New Roman" w:cs="Times New Roman"/>
                <w:color w:val="202124"/>
              </w:rPr>
              <w:t>zagospodarowania przestrzennego, zgodnie z wymogami nowego prawa określonego w kamieniu milowym A12G</w:t>
            </w:r>
          </w:p>
        </w:tc>
      </w:tr>
      <w:tr w:rsidR="000C1193" w:rsidRPr="00AC516C" w14:paraId="326140AA" w14:textId="77777777" w:rsidTr="00144E7D">
        <w:tc>
          <w:tcPr>
            <w:tcW w:w="1068" w:type="pct"/>
          </w:tcPr>
          <w:p w14:paraId="7A9F6C09" w14:textId="77777777" w:rsidR="000C1193" w:rsidRPr="00C40440" w:rsidRDefault="000C1193" w:rsidP="00144E7D">
            <w:pPr>
              <w:spacing w:after="120" w:line="240" w:lineRule="auto"/>
              <w:rPr>
                <w:rFonts w:ascii="Times New Roman" w:hAnsi="Times New Roman" w:cs="Times New Roman"/>
              </w:rPr>
            </w:pPr>
          </w:p>
        </w:tc>
        <w:tc>
          <w:tcPr>
            <w:tcW w:w="1912" w:type="pct"/>
          </w:tcPr>
          <w:p w14:paraId="510087C2"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r w:rsidRPr="00AC516C">
              <w:rPr>
                <w:rFonts w:ascii="Times New Roman" w:hAnsi="Times New Roman" w:cs="Times New Roman"/>
                <w:color w:val="202124"/>
              </w:rPr>
              <w:t>A17G Odsetek gmin, które przyjęły ogólne plany zagospodarowania przestrzennego</w:t>
            </w:r>
          </w:p>
          <w:p w14:paraId="1C650C4C"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p w14:paraId="6B958BE2"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p w14:paraId="632459DB"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p w14:paraId="04981109"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r w:rsidRPr="00AC516C">
              <w:rPr>
                <w:rFonts w:ascii="Times New Roman" w:hAnsi="Times New Roman" w:cs="Times New Roman"/>
                <w:color w:val="202124"/>
              </w:rPr>
              <w:t>Opis każdego kamienia milowego i każdej wartości docelowej: 80% gmin przygotowało i przyjęło ogólny plan zagospodarowania przestrzennego, zgodnie z wymogami nowego prawa określonego w kamieniu milowym A12G</w:t>
            </w:r>
          </w:p>
          <w:p w14:paraId="58D23E04"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tc>
        <w:tc>
          <w:tcPr>
            <w:tcW w:w="2020" w:type="pct"/>
          </w:tcPr>
          <w:p w14:paraId="14A1FEB1"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r w:rsidRPr="00AC516C">
              <w:rPr>
                <w:rFonts w:ascii="Times New Roman" w:hAnsi="Times New Roman" w:cs="Times New Roman"/>
                <w:color w:val="202124"/>
              </w:rPr>
              <w:t xml:space="preserve">A17G </w:t>
            </w:r>
            <w:r w:rsidRPr="00AC516C">
              <w:rPr>
                <w:rFonts w:ascii="Times New Roman" w:hAnsi="Times New Roman" w:cs="Times New Roman"/>
              </w:rPr>
              <w:t>O</w:t>
            </w:r>
            <w:r w:rsidRPr="00AC516C">
              <w:rPr>
                <w:rFonts w:ascii="Times New Roman" w:hAnsi="Times New Roman" w:cs="Times New Roman"/>
                <w:color w:val="202124"/>
              </w:rPr>
              <w:t xml:space="preserve">dsetek gmin, które </w:t>
            </w:r>
            <w:r w:rsidRPr="00AC516C">
              <w:rPr>
                <w:rFonts w:ascii="Times New Roman" w:hAnsi="Times New Roman" w:cs="Times New Roman"/>
                <w:color w:val="FF0000"/>
              </w:rPr>
              <w:t>przygotowały i opublikowały w Biuletynie Informacji Publicznej projekt ogólnego planu zagospodarowania przestrzennego</w:t>
            </w:r>
          </w:p>
          <w:p w14:paraId="25B47A9C"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202124"/>
              </w:rPr>
            </w:pPr>
          </w:p>
          <w:p w14:paraId="17D06FE4" w14:textId="77777777" w:rsidR="000C1193" w:rsidRPr="00AC516C" w:rsidRDefault="000C1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r w:rsidRPr="00AC516C">
              <w:rPr>
                <w:rFonts w:ascii="Times New Roman" w:hAnsi="Times New Roman" w:cs="Times New Roman"/>
                <w:color w:val="202124"/>
              </w:rPr>
              <w:t>Opis każdego kamienia milowego i każdej wartości docelowej: 80% gmin przygotowało i opublikowało w Biuletynie Informacji Publicznej projekt ogólnego planu zagospodarowania przestrzennego, zgodnie z wymogami nowego prawa określonego w kamieniu milowym A12G</w:t>
            </w:r>
          </w:p>
        </w:tc>
      </w:tr>
      <w:tr w:rsidR="000C1193" w:rsidRPr="000540E5" w14:paraId="2D74D4F4" w14:textId="77777777" w:rsidTr="00144E7D">
        <w:tc>
          <w:tcPr>
            <w:tcW w:w="1068" w:type="pct"/>
          </w:tcPr>
          <w:p w14:paraId="34BBD417"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t>Uzasadnienie</w:t>
            </w:r>
          </w:p>
        </w:tc>
        <w:tc>
          <w:tcPr>
            <w:tcW w:w="3932" w:type="pct"/>
            <w:gridSpan w:val="2"/>
          </w:tcPr>
          <w:p w14:paraId="1731C346" w14:textId="2583BA2B" w:rsidR="000C1193" w:rsidRPr="00A26E88" w:rsidRDefault="000C1193" w:rsidP="00C40440">
            <w:pPr>
              <w:pStyle w:val="Akapitzlist"/>
              <w:spacing w:after="120" w:line="240" w:lineRule="auto"/>
              <w:ind w:left="-24" w:firstLine="24"/>
              <w:rPr>
                <w:sz w:val="22"/>
                <w:szCs w:val="22"/>
              </w:rPr>
            </w:pPr>
            <w:r w:rsidRPr="00C40440">
              <w:rPr>
                <w:sz w:val="22"/>
                <w:szCs w:val="22"/>
              </w:rPr>
              <w:t>Proponowana zmiana wynika z realnej możliwości zrealizowania wskaźnika</w:t>
            </w:r>
            <w:r w:rsidR="00DE59E4" w:rsidRPr="00C40440">
              <w:rPr>
                <w:sz w:val="22"/>
                <w:szCs w:val="22"/>
              </w:rPr>
              <w:t xml:space="preserve"> do poł. 2026r</w:t>
            </w:r>
            <w:r w:rsidRPr="00C40440">
              <w:rPr>
                <w:sz w:val="22"/>
                <w:szCs w:val="22"/>
              </w:rPr>
              <w:t>. Gminy, jako podmioty faktycznie realizujące</w:t>
            </w:r>
            <w:r w:rsidRPr="000540E5">
              <w:t xml:space="preserve"> </w:t>
            </w:r>
            <w:r w:rsidRPr="00C40440">
              <w:rPr>
                <w:sz w:val="22"/>
                <w:szCs w:val="22"/>
              </w:rPr>
              <w:t xml:space="preserve">wskaźnik informują, </w:t>
            </w:r>
            <w:r w:rsidRPr="00C40440">
              <w:rPr>
                <w:sz w:val="22"/>
                <w:szCs w:val="22"/>
              </w:rPr>
              <w:lastRenderedPageBreak/>
              <w:t>że nie zdążą zakończyć pełnej procedury uchwalania planu ogólnego. Proponowany wskaźnik, tj. publikacja w Biuletynie Informacji Publicznej projektu planu ogólnego, dotyczy bardzo zaawansowanego etapu prac. Gmina do tego czasu podejmuje uchwałę o przystąpieniu do sporządzania planu ogólnego, tworzy zbiór danych przestrzennych dla planu ogólnego, zbiera wnioski od mieszkańców gminy dotyczące treści tego planu, sporządza prognozę oddziaływania na środowisko, prowadzi prace analityczne w zakresie, m.in. demografii</w:t>
            </w:r>
            <w:r w:rsidR="00F361BA" w:rsidRPr="00C40440">
              <w:rPr>
                <w:sz w:val="22"/>
                <w:szCs w:val="22"/>
              </w:rPr>
              <w:t>,</w:t>
            </w:r>
            <w:r w:rsidRPr="00C40440">
              <w:rPr>
                <w:sz w:val="22"/>
                <w:szCs w:val="22"/>
              </w:rPr>
              <w:t xml:space="preserve"> potrzeb transportowych oraz w zakresie zapewnienia odpowiedniej infrastruktury technicznej i społecznej oraz dokonuje oceny uwarunkowań takich jak ochrona przyrody, ochrona zabytków, tereny zalewowe, tereny osuwisk, obszary górnicze</w:t>
            </w:r>
            <w:r w:rsidR="00F361BA" w:rsidRPr="00C40440">
              <w:rPr>
                <w:sz w:val="22"/>
                <w:szCs w:val="22"/>
              </w:rPr>
              <w:t xml:space="preserve"> </w:t>
            </w:r>
            <w:r w:rsidRPr="00C40440">
              <w:rPr>
                <w:sz w:val="22"/>
                <w:szCs w:val="22"/>
              </w:rPr>
              <w:t>i wielu innych. Po zebraniu powyższych danych zostanie  przygotowywany projekt planu ogólnego, który następnie będzie opublikowany w Biuletynie Informacji Publicznej jednostki samorządowej.</w:t>
            </w:r>
          </w:p>
          <w:p w14:paraId="56320505" w14:textId="4989C063" w:rsidR="000C1193" w:rsidRPr="00C40440" w:rsidRDefault="000C1193" w:rsidP="00C40440">
            <w:pPr>
              <w:pStyle w:val="Akapitzlist"/>
              <w:spacing w:after="120" w:line="240" w:lineRule="auto"/>
              <w:ind w:left="0"/>
              <w:rPr>
                <w:rFonts w:eastAsia="Calibri"/>
                <w:color w:val="000000"/>
                <w:sz w:val="22"/>
                <w:szCs w:val="22"/>
                <w:lang w:eastAsia="en-GB"/>
              </w:rPr>
            </w:pPr>
            <w:r w:rsidRPr="00C40440">
              <w:rPr>
                <w:sz w:val="22"/>
                <w:szCs w:val="22"/>
              </w:rPr>
              <w:t>Po publikacji planu ogólnego w BIP a przed uchwaleniem planu ogólnego gminy należy jedynie zebrać stanowiska organów opiniujących, uzgadniających oraz społeczeństwa i ewentualnie wprowadzić je do projektu. Mimo, że ten etap zajmie ok. połowy czasu całej procedury planistycznej, to w tym etapie projekt będzie podlegał już nieznacznym zmianom.</w:t>
            </w:r>
          </w:p>
          <w:p w14:paraId="57F76290" w14:textId="77777777" w:rsidR="000C1193" w:rsidRPr="00A26E88" w:rsidRDefault="000C1193" w:rsidP="00C40440">
            <w:pPr>
              <w:pStyle w:val="TableParagraph"/>
              <w:spacing w:after="120"/>
              <w:jc w:val="both"/>
            </w:pPr>
            <w:r w:rsidRPr="00A26E88">
              <w:t>Samorządy gminne wielokrotnie wskazywały, że potrzebują więcej czasu na przygotowanie planów ogólnych. Takie postulaty były zgłaszane, m.in.:</w:t>
            </w:r>
          </w:p>
          <w:p w14:paraId="488D0EAC" w14:textId="77777777" w:rsidR="000C1193" w:rsidRPr="00A26E88" w:rsidRDefault="000C1193" w:rsidP="00C40440">
            <w:pPr>
              <w:pStyle w:val="TableParagraph"/>
              <w:numPr>
                <w:ilvl w:val="0"/>
                <w:numId w:val="22"/>
              </w:numPr>
              <w:ind w:left="401"/>
              <w:jc w:val="both"/>
            </w:pPr>
            <w:r w:rsidRPr="00A26E88">
              <w:t>w pismach samorządowców (np. pismo Zastępcy Prezydenta Miasta Stołecznego Warszawy z dnia 7 marca 2024 r., pismo Burmistrza Krotoszyna z dnia 22 stycznia 2024 r.);</w:t>
            </w:r>
          </w:p>
          <w:p w14:paraId="6678A696" w14:textId="77777777" w:rsidR="000C1193" w:rsidRPr="00C40440" w:rsidRDefault="000C1193" w:rsidP="00C40440">
            <w:pPr>
              <w:numPr>
                <w:ilvl w:val="0"/>
                <w:numId w:val="22"/>
              </w:numPr>
              <w:autoSpaceDE w:val="0"/>
              <w:autoSpaceDN w:val="0"/>
              <w:adjustRightInd w:val="0"/>
              <w:spacing w:after="0" w:line="240" w:lineRule="auto"/>
              <w:ind w:left="401"/>
              <w:rPr>
                <w:rFonts w:ascii="Times New Roman" w:hAnsi="Times New Roman" w:cs="Times New Roman"/>
              </w:rPr>
            </w:pPr>
            <w:r w:rsidRPr="00C40440">
              <w:rPr>
                <w:rFonts w:ascii="Times New Roman" w:hAnsi="Times New Roman" w:cs="Times New Roman"/>
              </w:rPr>
              <w:t xml:space="preserve">w interpelacji poseł Katarzyny </w:t>
            </w:r>
            <w:proofErr w:type="spellStart"/>
            <w:r w:rsidRPr="00C40440">
              <w:rPr>
                <w:rFonts w:ascii="Times New Roman" w:hAnsi="Times New Roman" w:cs="Times New Roman"/>
              </w:rPr>
              <w:t>Osos</w:t>
            </w:r>
            <w:proofErr w:type="spellEnd"/>
            <w:r w:rsidRPr="00C40440">
              <w:rPr>
                <w:rFonts w:ascii="Times New Roman" w:hAnsi="Times New Roman" w:cs="Times New Roman"/>
              </w:rPr>
              <w:t xml:space="preserve"> w sprawie przygotowywania projektu planu ogólnego przez gminy z dnia 13 lutego 2024 r.,  w której powołuje się na rozmowy z samorządowcami;</w:t>
            </w:r>
          </w:p>
          <w:p w14:paraId="3D9BBAFC" w14:textId="77777777" w:rsidR="000C1193" w:rsidRPr="00C40440" w:rsidRDefault="000C1193" w:rsidP="00C40440">
            <w:pPr>
              <w:numPr>
                <w:ilvl w:val="0"/>
                <w:numId w:val="22"/>
              </w:numPr>
              <w:autoSpaceDE w:val="0"/>
              <w:autoSpaceDN w:val="0"/>
              <w:adjustRightInd w:val="0"/>
              <w:spacing w:after="0" w:line="240" w:lineRule="auto"/>
              <w:ind w:left="401"/>
              <w:rPr>
                <w:rFonts w:ascii="Times New Roman" w:hAnsi="Times New Roman" w:cs="Times New Roman"/>
              </w:rPr>
            </w:pPr>
            <w:r w:rsidRPr="00C40440">
              <w:rPr>
                <w:rFonts w:ascii="Times New Roman" w:hAnsi="Times New Roman" w:cs="Times New Roman"/>
              </w:rPr>
              <w:t xml:space="preserve">na posiedzeniu Komisji Wspólnej Rządu i Samorządu Terytorialnego </w:t>
            </w:r>
            <w:r w:rsidRPr="00C40440">
              <w:rPr>
                <w:rFonts w:ascii="Times New Roman" w:hAnsi="Times New Roman" w:cs="Times New Roman"/>
              </w:rPr>
              <w:br/>
              <w:t>w dniu 20 lutego 2024 r.;</w:t>
            </w:r>
          </w:p>
          <w:p w14:paraId="1A611E01" w14:textId="77777777" w:rsidR="000C1193" w:rsidRPr="00C40440" w:rsidRDefault="000C1193" w:rsidP="00C40440">
            <w:pPr>
              <w:numPr>
                <w:ilvl w:val="0"/>
                <w:numId w:val="22"/>
              </w:numPr>
              <w:autoSpaceDE w:val="0"/>
              <w:autoSpaceDN w:val="0"/>
              <w:adjustRightInd w:val="0"/>
              <w:spacing w:after="0" w:line="240" w:lineRule="auto"/>
              <w:ind w:left="401"/>
              <w:rPr>
                <w:rFonts w:ascii="Times New Roman" w:hAnsi="Times New Roman" w:cs="Times New Roman"/>
              </w:rPr>
            </w:pPr>
            <w:r w:rsidRPr="00C40440">
              <w:rPr>
                <w:rFonts w:ascii="Times New Roman" w:hAnsi="Times New Roman" w:cs="Times New Roman"/>
              </w:rPr>
              <w:t xml:space="preserve">na posiedzeniu Zespołu do Spraw Infrastruktury Urbanistyki </w:t>
            </w:r>
            <w:r w:rsidRPr="00C40440">
              <w:rPr>
                <w:rFonts w:ascii="Times New Roman" w:hAnsi="Times New Roman" w:cs="Times New Roman"/>
              </w:rPr>
              <w:br/>
              <w:t>i Transportu Komisji Wspólnej Rządu i Samorządu Terytorialnego z dnia 14 lutego 2024 r. (w porządku posiedzenia omyłkowo wpisano rok 2023);</w:t>
            </w:r>
          </w:p>
          <w:p w14:paraId="1AC8D8A5" w14:textId="77777777" w:rsidR="000C1193" w:rsidRPr="00A26E88" w:rsidRDefault="000C1193" w:rsidP="00C40440">
            <w:pPr>
              <w:pStyle w:val="TableParagraph"/>
              <w:numPr>
                <w:ilvl w:val="0"/>
                <w:numId w:val="22"/>
              </w:numPr>
              <w:ind w:left="401"/>
              <w:jc w:val="both"/>
            </w:pPr>
            <w:r w:rsidRPr="00A26E88">
              <w:t>w piśmie Związku Miast Polskich do Senatu z dnia 16 czerwca 2023 r.</w:t>
            </w:r>
          </w:p>
          <w:p w14:paraId="262BE1F9" w14:textId="309C6F38" w:rsidR="000C1193" w:rsidRPr="00A26E88" w:rsidRDefault="000C1193" w:rsidP="00C40440">
            <w:pPr>
              <w:pStyle w:val="TableParagraph"/>
              <w:numPr>
                <w:ilvl w:val="0"/>
                <w:numId w:val="22"/>
              </w:numPr>
              <w:ind w:left="401"/>
              <w:jc w:val="both"/>
            </w:pPr>
            <w:r w:rsidRPr="00A26E88">
              <w:t xml:space="preserve">liczne wnioski gmin podczas trwających konsultacji publicznych projektu regulaminu naboru przedsięwzięć do objęcia wsparciem w ramach KPO </w:t>
            </w:r>
          </w:p>
          <w:p w14:paraId="40FC9B39" w14:textId="77777777" w:rsidR="00A26E88" w:rsidRPr="00A26E88" w:rsidRDefault="00A26E88">
            <w:pPr>
              <w:pStyle w:val="TableParagraph"/>
              <w:jc w:val="both"/>
            </w:pPr>
          </w:p>
          <w:p w14:paraId="7C88D17D" w14:textId="77777777" w:rsidR="000C1193" w:rsidRPr="000540E5" w:rsidRDefault="000C1193">
            <w:pPr>
              <w:pStyle w:val="TableParagraph"/>
              <w:spacing w:after="120"/>
              <w:jc w:val="both"/>
            </w:pPr>
            <w:r w:rsidRPr="000540E5">
              <w:t xml:space="preserve">Dotychczas zaledwie 131 gmin rozpoczęło formalnie procedurę sporządzania planu ogólnego.  </w:t>
            </w:r>
          </w:p>
          <w:p w14:paraId="27D9A5EB" w14:textId="77777777" w:rsidR="000C1193" w:rsidRPr="000540E5" w:rsidRDefault="000C1193">
            <w:pPr>
              <w:pStyle w:val="TableParagraph"/>
              <w:spacing w:after="120"/>
              <w:jc w:val="both"/>
            </w:pPr>
            <w:r w:rsidRPr="000540E5">
              <w:t>Dodatkową obiektywną okolicznością są opóźnione prace nad Rejestrem Urbanistycznym czyli internetową, darmową i powszechnie dostępną platformą informatyczną, która ułatwi m.in. przygotowanie planów ogólnych oraz przyspieszy procedurę planistyczną.</w:t>
            </w:r>
          </w:p>
          <w:p w14:paraId="63BEE570" w14:textId="77777777" w:rsidR="000C1193" w:rsidRPr="000540E5" w:rsidRDefault="000C1193" w:rsidP="00C40440">
            <w:pPr>
              <w:pStyle w:val="Akapitzlist"/>
              <w:spacing w:after="120" w:line="240" w:lineRule="auto"/>
              <w:ind w:left="0"/>
              <w:rPr>
                <w:sz w:val="22"/>
                <w:szCs w:val="22"/>
              </w:rPr>
            </w:pPr>
            <w:r w:rsidRPr="000540E5">
              <w:rPr>
                <w:sz w:val="22"/>
                <w:szCs w:val="22"/>
              </w:rPr>
              <w:t xml:space="preserve">Powyższe uzasadnia propozycję, by wskaźnikiem stał się ukończony projekt planu ogólnego, czego urzędowym potwierdzeniem będzie publikacja tego projektu w Biuletynie Informacji Publicznej zgodnie z dyspozycją przepisu art. 52 ust. 3 ustawy nowelizującej ustawę o planowaniu i zagospodarowaniu przestrzennym, a po 31 grudnia 2025 r.  - przepisu art. 13i ust. 3  pkt 4 ustawy o planowaniu i zagospodarowaniu przestrzennym. </w:t>
            </w:r>
          </w:p>
        </w:tc>
      </w:tr>
      <w:tr w:rsidR="000C1193" w:rsidRPr="000540E5" w14:paraId="69A5C916" w14:textId="77777777" w:rsidTr="00144E7D">
        <w:tc>
          <w:tcPr>
            <w:tcW w:w="1068" w:type="pct"/>
          </w:tcPr>
          <w:p w14:paraId="761A5141"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lastRenderedPageBreak/>
              <w:t>Szacowany koszt</w:t>
            </w:r>
          </w:p>
        </w:tc>
        <w:tc>
          <w:tcPr>
            <w:tcW w:w="3932" w:type="pct"/>
            <w:gridSpan w:val="2"/>
          </w:tcPr>
          <w:p w14:paraId="6AAC28CA" w14:textId="77777777" w:rsidR="000C1193" w:rsidRPr="000540E5" w:rsidRDefault="000C1193" w:rsidP="00144E7D">
            <w:pPr>
              <w:spacing w:after="120" w:line="240" w:lineRule="auto"/>
              <w:rPr>
                <w:rFonts w:ascii="Times New Roman" w:hAnsi="Times New Roman" w:cs="Times New Roman"/>
                <w:b/>
                <w:bCs/>
              </w:rPr>
            </w:pPr>
            <w:r w:rsidRPr="000540E5">
              <w:rPr>
                <w:rFonts w:ascii="Times New Roman" w:hAnsi="Times New Roman" w:cs="Times New Roman"/>
              </w:rPr>
              <w:t xml:space="preserve">Zmiana nie ma wpływu na szacowany koszt </w:t>
            </w:r>
          </w:p>
        </w:tc>
      </w:tr>
      <w:tr w:rsidR="000C1193" w:rsidRPr="000540E5" w14:paraId="23C6A35E" w14:textId="77777777" w:rsidTr="00144E7D">
        <w:tc>
          <w:tcPr>
            <w:tcW w:w="1068" w:type="pct"/>
          </w:tcPr>
          <w:p w14:paraId="18204CED"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lastRenderedPageBreak/>
              <w:t xml:space="preserve">Cyfrowy i klimatyczny </w:t>
            </w:r>
            <w:proofErr w:type="spellStart"/>
            <w:r w:rsidRPr="000540E5">
              <w:rPr>
                <w:rFonts w:ascii="Times New Roman" w:hAnsi="Times New Roman" w:cs="Times New Roman"/>
              </w:rPr>
              <w:t>tagging</w:t>
            </w:r>
            <w:proofErr w:type="spellEnd"/>
            <w:r w:rsidRPr="000540E5">
              <w:rPr>
                <w:rFonts w:ascii="Times New Roman" w:hAnsi="Times New Roman" w:cs="Times New Roman"/>
              </w:rPr>
              <w:t xml:space="preserve"> </w:t>
            </w:r>
          </w:p>
        </w:tc>
        <w:tc>
          <w:tcPr>
            <w:tcW w:w="3932" w:type="pct"/>
            <w:gridSpan w:val="2"/>
          </w:tcPr>
          <w:p w14:paraId="2A33E436"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t xml:space="preserve">Zmiana nie ma wpływu na </w:t>
            </w:r>
            <w:proofErr w:type="spellStart"/>
            <w:r w:rsidRPr="000540E5">
              <w:rPr>
                <w:rFonts w:ascii="Times New Roman" w:hAnsi="Times New Roman" w:cs="Times New Roman"/>
              </w:rPr>
              <w:t>tagging</w:t>
            </w:r>
            <w:proofErr w:type="spellEnd"/>
            <w:r w:rsidRPr="000540E5">
              <w:rPr>
                <w:rFonts w:ascii="Times New Roman" w:hAnsi="Times New Roman" w:cs="Times New Roman"/>
              </w:rPr>
              <w:t xml:space="preserve"> klimatyczny i cyfrowy</w:t>
            </w:r>
          </w:p>
        </w:tc>
      </w:tr>
      <w:tr w:rsidR="000C1193" w:rsidRPr="000540E5" w14:paraId="321EF2A1" w14:textId="77777777" w:rsidTr="00144E7D">
        <w:tc>
          <w:tcPr>
            <w:tcW w:w="1068" w:type="pct"/>
            <w:tcBorders>
              <w:bottom w:val="single" w:sz="4" w:space="0" w:color="auto"/>
            </w:tcBorders>
          </w:tcPr>
          <w:p w14:paraId="16760606"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t xml:space="preserve">Zasada DNSH </w:t>
            </w:r>
          </w:p>
        </w:tc>
        <w:tc>
          <w:tcPr>
            <w:tcW w:w="3932" w:type="pct"/>
            <w:gridSpan w:val="2"/>
            <w:tcBorders>
              <w:bottom w:val="single" w:sz="4" w:space="0" w:color="auto"/>
            </w:tcBorders>
          </w:tcPr>
          <w:p w14:paraId="48D1C27C"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t>Zmiana nie ma wpływu na DNSH</w:t>
            </w:r>
          </w:p>
        </w:tc>
      </w:tr>
      <w:tr w:rsidR="000C1193" w:rsidRPr="000540E5" w14:paraId="3A92DA65" w14:textId="77777777" w:rsidTr="00144E7D">
        <w:tc>
          <w:tcPr>
            <w:tcW w:w="1068" w:type="pct"/>
            <w:tcBorders>
              <w:bottom w:val="single" w:sz="4" w:space="0" w:color="auto"/>
            </w:tcBorders>
          </w:tcPr>
          <w:p w14:paraId="684ECD52"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t xml:space="preserve">Pomoc publiczna </w:t>
            </w:r>
          </w:p>
        </w:tc>
        <w:tc>
          <w:tcPr>
            <w:tcW w:w="3932" w:type="pct"/>
            <w:gridSpan w:val="2"/>
            <w:tcBorders>
              <w:bottom w:val="single" w:sz="4" w:space="0" w:color="auto"/>
            </w:tcBorders>
          </w:tcPr>
          <w:p w14:paraId="3227C3E4" w14:textId="77777777" w:rsidR="000C1193" w:rsidRPr="000540E5" w:rsidRDefault="000C1193" w:rsidP="00144E7D">
            <w:pPr>
              <w:spacing w:after="120" w:line="240" w:lineRule="auto"/>
              <w:rPr>
                <w:rFonts w:ascii="Times New Roman" w:hAnsi="Times New Roman" w:cs="Times New Roman"/>
              </w:rPr>
            </w:pPr>
            <w:r w:rsidRPr="000540E5">
              <w:rPr>
                <w:rFonts w:ascii="Times New Roman" w:hAnsi="Times New Roman" w:cs="Times New Roman"/>
              </w:rPr>
              <w:t>Zmiana nie ma wpływu na pomoc publiczną</w:t>
            </w:r>
          </w:p>
        </w:tc>
      </w:tr>
      <w:bookmarkEnd w:id="0"/>
      <w:bookmarkEnd w:id="1"/>
      <w:bookmarkEnd w:id="2"/>
    </w:tbl>
    <w:p w14:paraId="49750980" w14:textId="0316DD6A" w:rsidR="007B2370" w:rsidRPr="00C40440" w:rsidRDefault="007B2370" w:rsidP="00327F50">
      <w:pPr>
        <w:spacing w:after="120" w:line="240" w:lineRule="auto"/>
        <w:rPr>
          <w:rFonts w:ascii="Times New Roman" w:hAnsi="Times New Roman" w:cs="Times New Roman"/>
          <w:b/>
          <w:bCs/>
          <w:sz w:val="26"/>
          <w:szCs w:val="26"/>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3117"/>
        <w:gridCol w:w="3970"/>
      </w:tblGrid>
      <w:tr w:rsidR="00530C80" w:rsidRPr="000540E5" w14:paraId="070BBAAF" w14:textId="77777777" w:rsidTr="00530C80">
        <w:tc>
          <w:tcPr>
            <w:tcW w:w="1094" w:type="pct"/>
          </w:tcPr>
          <w:p w14:paraId="302B3FF2" w14:textId="77777777" w:rsidR="00530C80" w:rsidRPr="000540E5" w:rsidRDefault="00530C80" w:rsidP="00530C80">
            <w:pPr>
              <w:spacing w:after="120" w:line="240" w:lineRule="auto"/>
              <w:rPr>
                <w:rFonts w:ascii="Times New Roman" w:hAnsi="Times New Roman" w:cs="Times New Roman"/>
                <w:b/>
                <w:bCs/>
              </w:rPr>
            </w:pPr>
            <w:r w:rsidRPr="000540E5">
              <w:rPr>
                <w:rFonts w:ascii="Times New Roman" w:hAnsi="Times New Roman" w:cs="Times New Roman"/>
                <w:b/>
                <w:bCs/>
              </w:rPr>
              <w:t>Numer inwestycji</w:t>
            </w:r>
          </w:p>
        </w:tc>
        <w:tc>
          <w:tcPr>
            <w:tcW w:w="3906" w:type="pct"/>
            <w:gridSpan w:val="2"/>
          </w:tcPr>
          <w:p w14:paraId="0641028E" w14:textId="3E54C55A" w:rsidR="00530C80" w:rsidRPr="000540E5" w:rsidRDefault="00530C80" w:rsidP="00530C80">
            <w:pPr>
              <w:autoSpaceDE w:val="0"/>
              <w:autoSpaceDN w:val="0"/>
              <w:adjustRightInd w:val="0"/>
              <w:spacing w:after="120" w:line="240" w:lineRule="auto"/>
              <w:outlineLvl w:val="0"/>
              <w:rPr>
                <w:rFonts w:ascii="Times New Roman" w:eastAsia="Calibri" w:hAnsi="Times New Roman" w:cs="Times New Roman"/>
                <w:b/>
                <w:bCs/>
                <w:color w:val="000000"/>
                <w:lang w:val="en-GB" w:eastAsia="en-GB"/>
              </w:rPr>
            </w:pPr>
            <w:bookmarkStart w:id="3" w:name="_Toc159259642"/>
            <w:r w:rsidRPr="000540E5">
              <w:rPr>
                <w:rFonts w:ascii="Times New Roman" w:eastAsia="Calibri" w:hAnsi="Times New Roman" w:cs="Times New Roman"/>
                <w:b/>
                <w:bCs/>
                <w:color w:val="000000"/>
                <w:lang w:val="en-GB" w:eastAsia="en-GB"/>
              </w:rPr>
              <w:t>A1.4.1</w:t>
            </w:r>
            <w:bookmarkEnd w:id="3"/>
            <w:r w:rsidR="00DE59E4" w:rsidRPr="000540E5">
              <w:rPr>
                <w:rFonts w:ascii="Times New Roman" w:eastAsia="Calibri" w:hAnsi="Times New Roman" w:cs="Times New Roman"/>
                <w:b/>
                <w:bCs/>
                <w:color w:val="000000"/>
                <w:lang w:val="en-GB" w:eastAsia="en-GB"/>
              </w:rPr>
              <w:t>.</w:t>
            </w:r>
          </w:p>
        </w:tc>
      </w:tr>
      <w:tr w:rsidR="00530C80" w:rsidRPr="000540E5" w14:paraId="1267C420" w14:textId="77777777" w:rsidTr="00530C80">
        <w:tc>
          <w:tcPr>
            <w:tcW w:w="1094" w:type="pct"/>
          </w:tcPr>
          <w:p w14:paraId="68058EC8" w14:textId="77777777" w:rsidR="00530C80" w:rsidRPr="000540E5" w:rsidRDefault="00530C80" w:rsidP="00530C80">
            <w:pPr>
              <w:autoSpaceDE w:val="0"/>
              <w:autoSpaceDN w:val="0"/>
              <w:adjustRightInd w:val="0"/>
              <w:spacing w:after="120" w:line="240" w:lineRule="auto"/>
              <w:rPr>
                <w:rFonts w:ascii="Times New Roman" w:eastAsia="Calibri" w:hAnsi="Times New Roman" w:cs="Times New Roman"/>
                <w:b/>
                <w:bCs/>
                <w:color w:val="000000"/>
                <w:lang w:val="en-GB" w:eastAsia="en-GB"/>
              </w:rPr>
            </w:pPr>
            <w:proofErr w:type="spellStart"/>
            <w:r w:rsidRPr="000540E5">
              <w:rPr>
                <w:rFonts w:ascii="Times New Roman" w:eastAsia="Calibri" w:hAnsi="Times New Roman" w:cs="Times New Roman"/>
                <w:b/>
                <w:bCs/>
                <w:color w:val="000000"/>
                <w:lang w:val="en-GB" w:eastAsia="en-GB"/>
              </w:rPr>
              <w:t>Nazwa</w:t>
            </w:r>
            <w:proofErr w:type="spellEnd"/>
            <w:r w:rsidRPr="000540E5">
              <w:rPr>
                <w:rFonts w:ascii="Times New Roman" w:eastAsia="Calibri" w:hAnsi="Times New Roman" w:cs="Times New Roman"/>
                <w:b/>
                <w:bCs/>
                <w:color w:val="000000"/>
                <w:lang w:val="en-GB" w:eastAsia="en-GB"/>
              </w:rPr>
              <w:t xml:space="preserve"> </w:t>
            </w:r>
            <w:proofErr w:type="spellStart"/>
            <w:r w:rsidRPr="000540E5">
              <w:rPr>
                <w:rFonts w:ascii="Times New Roman" w:eastAsia="Calibri" w:hAnsi="Times New Roman" w:cs="Times New Roman"/>
                <w:b/>
                <w:bCs/>
                <w:color w:val="000000"/>
                <w:lang w:val="en-GB" w:eastAsia="en-GB"/>
              </w:rPr>
              <w:t>inwestycji</w:t>
            </w:r>
            <w:proofErr w:type="spellEnd"/>
            <w:r w:rsidRPr="000540E5">
              <w:rPr>
                <w:rFonts w:ascii="Times New Roman" w:eastAsia="Calibri" w:hAnsi="Times New Roman" w:cs="Times New Roman"/>
                <w:b/>
                <w:bCs/>
                <w:color w:val="000000"/>
                <w:lang w:val="en-GB" w:eastAsia="en-GB"/>
              </w:rPr>
              <w:t xml:space="preserve"> </w:t>
            </w:r>
          </w:p>
        </w:tc>
        <w:tc>
          <w:tcPr>
            <w:tcW w:w="3906" w:type="pct"/>
            <w:gridSpan w:val="2"/>
          </w:tcPr>
          <w:p w14:paraId="38438C3D" w14:textId="77777777" w:rsidR="00530C80" w:rsidRPr="000540E5" w:rsidRDefault="00530C80" w:rsidP="00530C80">
            <w:pPr>
              <w:autoSpaceDE w:val="0"/>
              <w:autoSpaceDN w:val="0"/>
              <w:adjustRightInd w:val="0"/>
              <w:spacing w:after="120" w:line="240" w:lineRule="auto"/>
              <w:rPr>
                <w:rFonts w:ascii="Times New Roman" w:eastAsia="Calibri" w:hAnsi="Times New Roman" w:cs="Times New Roman"/>
                <w:b/>
                <w:bCs/>
                <w:color w:val="000000"/>
                <w:lang w:eastAsia="en-GB"/>
              </w:rPr>
            </w:pPr>
            <w:r w:rsidRPr="000540E5">
              <w:rPr>
                <w:rFonts w:ascii="Times New Roman" w:eastAsia="Calibri" w:hAnsi="Times New Roman" w:cs="Times New Roman"/>
                <w:b/>
                <w:bCs/>
                <w:color w:val="000000"/>
                <w:lang w:eastAsia="en-GB"/>
              </w:rPr>
              <w:t>Inwestycje na rzecz dywersyfikacji i skracania łańcucha dostaw produktów rolnych i spożywczych oraz budowy odporności podmiotów uczestniczących w łańcuchu</w:t>
            </w:r>
          </w:p>
        </w:tc>
      </w:tr>
      <w:tr w:rsidR="00530C80" w:rsidRPr="000540E5" w14:paraId="3F790265" w14:textId="77777777" w:rsidTr="00530C80">
        <w:tc>
          <w:tcPr>
            <w:tcW w:w="1094" w:type="pct"/>
          </w:tcPr>
          <w:p w14:paraId="31DBA970" w14:textId="77777777" w:rsidR="00530C80" w:rsidRPr="000540E5" w:rsidRDefault="00530C80" w:rsidP="00530C80">
            <w:pPr>
              <w:autoSpaceDE w:val="0"/>
              <w:autoSpaceDN w:val="0"/>
              <w:adjustRightInd w:val="0"/>
              <w:spacing w:after="120" w:line="240" w:lineRule="auto"/>
              <w:rPr>
                <w:rFonts w:ascii="Times New Roman" w:eastAsia="Calibri" w:hAnsi="Times New Roman" w:cs="Times New Roman"/>
                <w:color w:val="000000"/>
                <w:lang w:eastAsia="en-GB"/>
              </w:rPr>
            </w:pPr>
            <w:r w:rsidRPr="000540E5">
              <w:rPr>
                <w:rFonts w:ascii="Times New Roman" w:eastAsia="Calibri" w:hAnsi="Times New Roman" w:cs="Times New Roman"/>
                <w:color w:val="000000"/>
                <w:lang w:eastAsia="en-GB"/>
              </w:rPr>
              <w:t>Rodzaj wprowadzonej zmiany w odniesieniu do CID</w:t>
            </w:r>
          </w:p>
        </w:tc>
        <w:tc>
          <w:tcPr>
            <w:tcW w:w="3906" w:type="pct"/>
            <w:gridSpan w:val="2"/>
          </w:tcPr>
          <w:p w14:paraId="6A071271" w14:textId="04DCCFAE" w:rsidR="00530C80" w:rsidRPr="000540E5" w:rsidRDefault="00DE59E4" w:rsidP="00530C80">
            <w:pPr>
              <w:autoSpaceDE w:val="0"/>
              <w:autoSpaceDN w:val="0"/>
              <w:adjustRightInd w:val="0"/>
              <w:spacing w:after="120" w:line="240" w:lineRule="auto"/>
              <w:rPr>
                <w:rFonts w:ascii="Times New Roman" w:eastAsia="Calibri" w:hAnsi="Times New Roman" w:cs="Times New Roman"/>
                <w:color w:val="000000"/>
                <w:lang w:eastAsia="en-GB"/>
              </w:rPr>
            </w:pPr>
            <w:r w:rsidRPr="000540E5">
              <w:rPr>
                <w:rFonts w:ascii="Times New Roman" w:eastAsia="Calibri" w:hAnsi="Times New Roman" w:cs="Times New Roman"/>
                <w:color w:val="000000"/>
                <w:lang w:eastAsia="en-GB"/>
              </w:rPr>
              <w:t>Przesunięcie</w:t>
            </w:r>
            <w:r w:rsidR="00530C80" w:rsidRPr="000540E5">
              <w:rPr>
                <w:rFonts w:ascii="Times New Roman" w:eastAsia="Calibri" w:hAnsi="Times New Roman" w:cs="Times New Roman"/>
                <w:color w:val="000000"/>
                <w:lang w:eastAsia="en-GB"/>
              </w:rPr>
              <w:t xml:space="preserve"> terminu realizacji inwestycji</w:t>
            </w:r>
            <w:r w:rsidR="00556DA4" w:rsidRPr="000540E5">
              <w:rPr>
                <w:rFonts w:ascii="Times New Roman" w:eastAsia="Calibri" w:hAnsi="Times New Roman" w:cs="Times New Roman"/>
                <w:color w:val="000000"/>
                <w:lang w:eastAsia="en-GB"/>
              </w:rPr>
              <w:t xml:space="preserve"> i wskaźników </w:t>
            </w:r>
            <w:r w:rsidR="002E233C" w:rsidRPr="000540E5">
              <w:rPr>
                <w:rFonts w:ascii="Times New Roman" w:eastAsia="Calibri" w:hAnsi="Times New Roman" w:cs="Times New Roman"/>
                <w:color w:val="000000"/>
                <w:lang w:eastAsia="en-GB"/>
              </w:rPr>
              <w:t>A21G, A23G, A24G, A26G</w:t>
            </w:r>
            <w:r w:rsidR="00530C80" w:rsidRPr="000540E5">
              <w:rPr>
                <w:rFonts w:ascii="Times New Roman" w:eastAsia="Calibri" w:hAnsi="Times New Roman" w:cs="Times New Roman"/>
                <w:color w:val="000000"/>
                <w:lang w:eastAsia="en-GB"/>
              </w:rPr>
              <w:t>, wprowadzenie nowego wskaźnika, wzrost wartości docelowych wskaźników</w:t>
            </w:r>
            <w:r w:rsidR="005C0592" w:rsidRPr="000540E5">
              <w:rPr>
                <w:rFonts w:ascii="Times New Roman" w:eastAsia="Calibri" w:hAnsi="Times New Roman" w:cs="Times New Roman"/>
                <w:color w:val="000000"/>
                <w:lang w:eastAsia="en-GB"/>
              </w:rPr>
              <w:t xml:space="preserve"> A21G, </w:t>
            </w:r>
            <w:r w:rsidR="00556DA4" w:rsidRPr="000540E5">
              <w:rPr>
                <w:rFonts w:ascii="Times New Roman" w:eastAsia="Calibri" w:hAnsi="Times New Roman" w:cs="Times New Roman"/>
                <w:color w:val="000000"/>
                <w:lang w:eastAsia="en-GB"/>
              </w:rPr>
              <w:t>A23G, A24G</w:t>
            </w:r>
            <w:r w:rsidR="002E233C" w:rsidRPr="000540E5">
              <w:rPr>
                <w:rFonts w:ascii="Times New Roman" w:eastAsia="Calibri" w:hAnsi="Times New Roman" w:cs="Times New Roman"/>
                <w:color w:val="000000"/>
                <w:lang w:eastAsia="en-GB"/>
              </w:rPr>
              <w:t>, A26G</w:t>
            </w:r>
          </w:p>
          <w:p w14:paraId="52FFEECD" w14:textId="5CFDADE2" w:rsidR="005C0592" w:rsidRPr="000540E5" w:rsidRDefault="005C0592" w:rsidP="00530C80">
            <w:pPr>
              <w:autoSpaceDE w:val="0"/>
              <w:autoSpaceDN w:val="0"/>
              <w:adjustRightInd w:val="0"/>
              <w:spacing w:after="120" w:line="240" w:lineRule="auto"/>
              <w:rPr>
                <w:rFonts w:ascii="Times New Roman" w:eastAsia="Calibri" w:hAnsi="Times New Roman" w:cs="Times New Roman"/>
                <w:color w:val="000000"/>
                <w:lang w:eastAsia="en-GB"/>
              </w:rPr>
            </w:pPr>
            <w:r w:rsidRPr="000540E5">
              <w:rPr>
                <w:rFonts w:ascii="Times New Roman" w:eastAsia="Calibri" w:hAnsi="Times New Roman" w:cs="Times New Roman"/>
                <w:color w:val="000000"/>
                <w:lang w:eastAsia="en-GB"/>
              </w:rPr>
              <w:t>Zwiększenie alokacji na inwestycję o 600 mln EUR</w:t>
            </w:r>
          </w:p>
        </w:tc>
      </w:tr>
      <w:tr w:rsidR="00530C80" w:rsidRPr="000540E5" w14:paraId="376C2525" w14:textId="77777777" w:rsidTr="00530C80">
        <w:tc>
          <w:tcPr>
            <w:tcW w:w="1094" w:type="pct"/>
            <w:shd w:val="clear" w:color="auto" w:fill="FFFFFF" w:themeFill="background1"/>
          </w:tcPr>
          <w:p w14:paraId="205DA0F4" w14:textId="77777777" w:rsidR="00530C80" w:rsidRPr="000540E5" w:rsidRDefault="00530C80" w:rsidP="00530C80">
            <w:pPr>
              <w:autoSpaceDE w:val="0"/>
              <w:autoSpaceDN w:val="0"/>
              <w:adjustRightInd w:val="0"/>
              <w:spacing w:after="120" w:line="240" w:lineRule="auto"/>
              <w:rPr>
                <w:rFonts w:ascii="Times New Roman" w:eastAsia="Calibri" w:hAnsi="Times New Roman" w:cs="Times New Roman"/>
                <w:color w:val="000000"/>
                <w:lang w:val="en-GB" w:eastAsia="en-GB"/>
              </w:rPr>
            </w:pPr>
            <w:proofErr w:type="spellStart"/>
            <w:r w:rsidRPr="000540E5">
              <w:rPr>
                <w:rFonts w:ascii="Times New Roman" w:eastAsia="Calibri" w:hAnsi="Times New Roman" w:cs="Times New Roman"/>
                <w:color w:val="000000"/>
                <w:lang w:val="en-GB" w:eastAsia="en-GB"/>
              </w:rPr>
              <w:t>Podstawa</w:t>
            </w:r>
            <w:proofErr w:type="spellEnd"/>
            <w:r w:rsidRPr="000540E5">
              <w:rPr>
                <w:rFonts w:ascii="Times New Roman" w:eastAsia="Calibri" w:hAnsi="Times New Roman" w:cs="Times New Roman"/>
                <w:color w:val="000000"/>
                <w:lang w:val="en-GB" w:eastAsia="en-GB"/>
              </w:rPr>
              <w:t xml:space="preserve"> </w:t>
            </w:r>
            <w:proofErr w:type="spellStart"/>
            <w:r w:rsidRPr="000540E5">
              <w:rPr>
                <w:rFonts w:ascii="Times New Roman" w:eastAsia="Calibri" w:hAnsi="Times New Roman" w:cs="Times New Roman"/>
                <w:color w:val="000000"/>
                <w:lang w:val="en-GB" w:eastAsia="en-GB"/>
              </w:rPr>
              <w:t>prawna</w:t>
            </w:r>
            <w:proofErr w:type="spellEnd"/>
            <w:r w:rsidRPr="000540E5">
              <w:rPr>
                <w:rFonts w:ascii="Times New Roman" w:eastAsia="Calibri" w:hAnsi="Times New Roman" w:cs="Times New Roman"/>
                <w:color w:val="000000"/>
                <w:lang w:val="en-GB" w:eastAsia="en-GB"/>
              </w:rPr>
              <w:t xml:space="preserve"> </w:t>
            </w:r>
            <w:proofErr w:type="spellStart"/>
            <w:r w:rsidRPr="000540E5">
              <w:rPr>
                <w:rFonts w:ascii="Times New Roman" w:eastAsia="Calibri" w:hAnsi="Times New Roman" w:cs="Times New Roman"/>
                <w:color w:val="000000"/>
                <w:lang w:val="en-GB" w:eastAsia="en-GB"/>
              </w:rPr>
              <w:t>zmiany</w:t>
            </w:r>
            <w:proofErr w:type="spellEnd"/>
          </w:p>
        </w:tc>
        <w:tc>
          <w:tcPr>
            <w:tcW w:w="3906" w:type="pct"/>
            <w:gridSpan w:val="2"/>
            <w:shd w:val="clear" w:color="auto" w:fill="FFFFFF" w:themeFill="background1"/>
          </w:tcPr>
          <w:p w14:paraId="42F47653" w14:textId="2617EA7A" w:rsidR="00530C80" w:rsidRPr="000540E5" w:rsidRDefault="00DE59E4" w:rsidP="00530C80">
            <w:pPr>
              <w:spacing w:after="120" w:line="240" w:lineRule="auto"/>
              <w:rPr>
                <w:rFonts w:ascii="Times New Roman" w:hAnsi="Times New Roman" w:cs="Times New Roman"/>
              </w:rPr>
            </w:pPr>
            <w:r w:rsidRPr="000540E5">
              <w:rPr>
                <w:rFonts w:ascii="Times New Roman" w:hAnsi="Times New Roman" w:cs="Times New Roman"/>
              </w:rPr>
              <w:t>a</w:t>
            </w:r>
            <w:r w:rsidR="00530C80" w:rsidRPr="000540E5">
              <w:rPr>
                <w:rFonts w:ascii="Times New Roman" w:hAnsi="Times New Roman" w:cs="Times New Roman"/>
              </w:rPr>
              <w:t>rt. 21 rozporządzenia Parlamentu Europejskiego i Rady (UE) 2021/241 z dnia 12 lutego 2021 r. ustanawiające Instrument na rzecz Odbudowy i Zwiększania Odporności (RRF)</w:t>
            </w:r>
          </w:p>
        </w:tc>
      </w:tr>
      <w:tr w:rsidR="00530C80" w:rsidRPr="00530C80" w14:paraId="36982F0B" w14:textId="77777777" w:rsidTr="00C40440">
        <w:tc>
          <w:tcPr>
            <w:tcW w:w="1094" w:type="pct"/>
            <w:shd w:val="clear" w:color="auto" w:fill="D0CECE" w:themeFill="background2" w:themeFillShade="E6"/>
          </w:tcPr>
          <w:p w14:paraId="4AD9D1DC"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highlight w:val="lightGray"/>
              </w:rPr>
              <w:t>Modyfikowany element</w:t>
            </w:r>
          </w:p>
        </w:tc>
        <w:tc>
          <w:tcPr>
            <w:tcW w:w="1718" w:type="pct"/>
            <w:shd w:val="clear" w:color="auto" w:fill="D0CECE" w:themeFill="background2" w:themeFillShade="E6"/>
          </w:tcPr>
          <w:p w14:paraId="2154C176"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highlight w:val="lightGray"/>
              </w:rPr>
              <w:t>Wersja aktualna</w:t>
            </w:r>
          </w:p>
        </w:tc>
        <w:tc>
          <w:tcPr>
            <w:tcW w:w="2188" w:type="pct"/>
            <w:shd w:val="clear" w:color="auto" w:fill="D0CECE" w:themeFill="background2" w:themeFillShade="E6"/>
          </w:tcPr>
          <w:p w14:paraId="4B8E8BDB"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highlight w:val="lightGray"/>
              </w:rPr>
              <w:t>Wersja zmieniona</w:t>
            </w:r>
          </w:p>
        </w:tc>
      </w:tr>
      <w:tr w:rsidR="00530C80" w:rsidRPr="00530C80" w14:paraId="16521EDA" w14:textId="77777777" w:rsidTr="00530C80">
        <w:tc>
          <w:tcPr>
            <w:tcW w:w="1094" w:type="pct"/>
            <w:shd w:val="clear" w:color="auto" w:fill="FFFFFF" w:themeFill="background1"/>
          </w:tcPr>
          <w:p w14:paraId="075194B6"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rPr>
              <w:t>Nazwa wskaźnika</w:t>
            </w:r>
          </w:p>
        </w:tc>
        <w:tc>
          <w:tcPr>
            <w:tcW w:w="1718" w:type="pct"/>
            <w:shd w:val="clear" w:color="auto" w:fill="FFFFFF" w:themeFill="background1"/>
          </w:tcPr>
          <w:p w14:paraId="5FC2CA2E"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rPr>
              <w:t>Brak</w:t>
            </w:r>
          </w:p>
        </w:tc>
        <w:tc>
          <w:tcPr>
            <w:tcW w:w="2188" w:type="pct"/>
            <w:shd w:val="clear" w:color="auto" w:fill="FFFFFF" w:themeFill="background1"/>
          </w:tcPr>
          <w:p w14:paraId="1A65FA3C" w14:textId="7A4B8824" w:rsidR="00556DA4" w:rsidRPr="00C40440" w:rsidRDefault="00556DA4" w:rsidP="00530C80">
            <w:pPr>
              <w:spacing w:after="120" w:line="240" w:lineRule="auto"/>
              <w:rPr>
                <w:rFonts w:ascii="Times New Roman" w:hAnsi="Times New Roman" w:cs="Times New Roman"/>
              </w:rPr>
            </w:pPr>
            <w:r w:rsidRPr="00C40440">
              <w:rPr>
                <w:rFonts w:ascii="Times New Roman" w:hAnsi="Times New Roman" w:cs="Times New Roman"/>
              </w:rPr>
              <w:t>Nowy wskaźnik:</w:t>
            </w:r>
          </w:p>
          <w:p w14:paraId="4ED32C2A" w14:textId="5697D8D3" w:rsidR="00530C80" w:rsidRPr="00530C80" w:rsidRDefault="00530C80" w:rsidP="00530C80">
            <w:pPr>
              <w:spacing w:after="120" w:line="240" w:lineRule="auto"/>
              <w:rPr>
                <w:rFonts w:ascii="Times New Roman" w:hAnsi="Times New Roman" w:cs="Times New Roman"/>
                <w:highlight w:val="lightGray"/>
              </w:rPr>
            </w:pPr>
            <w:r w:rsidRPr="00C40440">
              <w:rPr>
                <w:rFonts w:ascii="Times New Roman" w:hAnsi="Times New Roman" w:cs="Times New Roman"/>
                <w:color w:val="FF0000"/>
              </w:rPr>
              <w:t>Zrealizowane projekty dotyczące unowocześnienia bazy dydaktycznej i demonstracyjnej na potrzeby edukacji w zakresie rolnictwa 4.0.</w:t>
            </w:r>
          </w:p>
        </w:tc>
      </w:tr>
      <w:tr w:rsidR="00530C80" w:rsidRPr="00530C80" w14:paraId="4AB53EEF" w14:textId="77777777" w:rsidTr="00530C80">
        <w:tc>
          <w:tcPr>
            <w:tcW w:w="1094" w:type="pct"/>
            <w:shd w:val="clear" w:color="auto" w:fill="FFFFFF" w:themeFill="background1"/>
          </w:tcPr>
          <w:p w14:paraId="677651A2" w14:textId="77777777" w:rsidR="00530C80" w:rsidRPr="00530C80" w:rsidRDefault="00530C80" w:rsidP="00530C80">
            <w:pPr>
              <w:widowControl w:val="0"/>
              <w:spacing w:after="0" w:line="240" w:lineRule="auto"/>
              <w:rPr>
                <w:rFonts w:ascii="Times New Roman" w:eastAsia="Times New Roman" w:hAnsi="Times New Roman" w:cs="Times New Roman"/>
              </w:rPr>
            </w:pPr>
            <w:r w:rsidRPr="00530C80">
              <w:rPr>
                <w:rFonts w:ascii="Times New Roman" w:eastAsia="Times New Roman" w:hAnsi="Times New Roman" w:cs="Times New Roman"/>
              </w:rPr>
              <w:t>Wskaźniki</w:t>
            </w:r>
          </w:p>
          <w:p w14:paraId="412695C8"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rPr>
              <w:t>ilościowe</w:t>
            </w:r>
          </w:p>
        </w:tc>
        <w:tc>
          <w:tcPr>
            <w:tcW w:w="1718" w:type="pct"/>
            <w:shd w:val="clear" w:color="auto" w:fill="FFFFFF" w:themeFill="background1"/>
          </w:tcPr>
          <w:p w14:paraId="004D0302"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rPr>
              <w:t>Brak</w:t>
            </w:r>
          </w:p>
        </w:tc>
        <w:tc>
          <w:tcPr>
            <w:tcW w:w="2188" w:type="pct"/>
            <w:shd w:val="clear" w:color="auto" w:fill="FFFFFF" w:themeFill="background1"/>
          </w:tcPr>
          <w:p w14:paraId="2579260A" w14:textId="77777777" w:rsidR="00530C80" w:rsidRPr="00C40440" w:rsidRDefault="00530C80" w:rsidP="00530C80">
            <w:pPr>
              <w:widowControl w:val="0"/>
              <w:spacing w:after="0" w:line="240" w:lineRule="auto"/>
              <w:rPr>
                <w:rFonts w:ascii="Times New Roman" w:eastAsia="Times New Roman" w:hAnsi="Times New Roman" w:cs="Times New Roman"/>
                <w:color w:val="FF0000"/>
              </w:rPr>
            </w:pPr>
            <w:r w:rsidRPr="00C40440">
              <w:rPr>
                <w:rFonts w:ascii="Times New Roman" w:eastAsia="Times New Roman" w:hAnsi="Times New Roman" w:cs="Times New Roman"/>
                <w:color w:val="FF0000"/>
              </w:rPr>
              <w:t>Jednostka miary: liczba</w:t>
            </w:r>
          </w:p>
          <w:p w14:paraId="33B51DF5" w14:textId="77777777" w:rsidR="00530C80" w:rsidRPr="00C40440" w:rsidRDefault="00530C80" w:rsidP="00530C80">
            <w:pPr>
              <w:widowControl w:val="0"/>
              <w:spacing w:after="0" w:line="230" w:lineRule="auto"/>
              <w:rPr>
                <w:rFonts w:ascii="Times New Roman" w:eastAsia="Times New Roman" w:hAnsi="Times New Roman" w:cs="Times New Roman"/>
                <w:color w:val="FF0000"/>
              </w:rPr>
            </w:pPr>
            <w:r w:rsidRPr="00C40440">
              <w:rPr>
                <w:rFonts w:ascii="Times New Roman" w:eastAsia="Times New Roman" w:hAnsi="Times New Roman" w:cs="Times New Roman"/>
                <w:color w:val="FF0000"/>
              </w:rPr>
              <w:t>Poziom bazowy: 0</w:t>
            </w:r>
          </w:p>
          <w:p w14:paraId="464B1D70" w14:textId="5710B4A5" w:rsidR="00530C80" w:rsidRPr="00530C80" w:rsidRDefault="00530C80" w:rsidP="00530C80">
            <w:pPr>
              <w:spacing w:after="120" w:line="240" w:lineRule="auto"/>
              <w:rPr>
                <w:rFonts w:ascii="Times New Roman" w:hAnsi="Times New Roman" w:cs="Times New Roman"/>
                <w:highlight w:val="lightGray"/>
              </w:rPr>
            </w:pPr>
            <w:r w:rsidRPr="00C40440">
              <w:rPr>
                <w:rFonts w:ascii="Times New Roman" w:hAnsi="Times New Roman" w:cs="Times New Roman"/>
                <w:color w:val="FF0000"/>
              </w:rPr>
              <w:t>Cel: 50</w:t>
            </w:r>
            <w:r w:rsidR="005C0592" w:rsidRPr="00862093">
              <w:rPr>
                <w:rFonts w:ascii="Times New Roman" w:hAnsi="Times New Roman" w:cs="Times New Roman"/>
                <w:color w:val="FF0000"/>
              </w:rPr>
              <w:t xml:space="preserve"> </w:t>
            </w:r>
          </w:p>
        </w:tc>
      </w:tr>
      <w:tr w:rsidR="00530C80" w:rsidRPr="00530C80" w14:paraId="39E3ABC4" w14:textId="77777777" w:rsidTr="00530C80">
        <w:tc>
          <w:tcPr>
            <w:tcW w:w="1094" w:type="pct"/>
            <w:shd w:val="clear" w:color="auto" w:fill="FFFFFF" w:themeFill="background1"/>
          </w:tcPr>
          <w:p w14:paraId="263C2A39" w14:textId="77777777" w:rsidR="00530C80" w:rsidRPr="00530C80" w:rsidRDefault="00530C80" w:rsidP="00530C80">
            <w:pPr>
              <w:widowControl w:val="0"/>
              <w:spacing w:after="0" w:line="240" w:lineRule="auto"/>
              <w:rPr>
                <w:rFonts w:ascii="Times New Roman" w:eastAsia="Times New Roman" w:hAnsi="Times New Roman" w:cs="Times New Roman"/>
              </w:rPr>
            </w:pPr>
            <w:r w:rsidRPr="00530C80">
              <w:rPr>
                <w:rFonts w:ascii="Times New Roman" w:eastAsia="Times New Roman" w:hAnsi="Times New Roman" w:cs="Times New Roman"/>
              </w:rPr>
              <w:t>Orientacyjny</w:t>
            </w:r>
          </w:p>
          <w:p w14:paraId="6D2C868D" w14:textId="77777777" w:rsidR="00530C80" w:rsidRPr="00530C80" w:rsidRDefault="00530C80" w:rsidP="00530C80">
            <w:pPr>
              <w:widowControl w:val="0"/>
              <w:spacing w:after="0" w:line="240" w:lineRule="auto"/>
              <w:rPr>
                <w:rFonts w:ascii="Times New Roman" w:eastAsia="Times New Roman" w:hAnsi="Times New Roman" w:cs="Times New Roman"/>
              </w:rPr>
            </w:pPr>
            <w:r w:rsidRPr="00530C80">
              <w:rPr>
                <w:rFonts w:ascii="Times New Roman" w:eastAsia="Times New Roman" w:hAnsi="Times New Roman" w:cs="Times New Roman"/>
              </w:rPr>
              <w:t>harmonogram</w:t>
            </w:r>
          </w:p>
          <w:p w14:paraId="6032B1C0" w14:textId="77777777" w:rsidR="00530C80" w:rsidRPr="00530C80" w:rsidRDefault="00530C80" w:rsidP="00530C80">
            <w:pPr>
              <w:widowControl w:val="0"/>
              <w:spacing w:after="0" w:line="240" w:lineRule="auto"/>
              <w:rPr>
                <w:rFonts w:ascii="Times New Roman" w:eastAsia="Times New Roman" w:hAnsi="Times New Roman" w:cs="Times New Roman"/>
              </w:rPr>
            </w:pPr>
            <w:r w:rsidRPr="00530C80">
              <w:rPr>
                <w:rFonts w:ascii="Times New Roman" w:eastAsia="Times New Roman" w:hAnsi="Times New Roman" w:cs="Times New Roman"/>
              </w:rPr>
              <w:t>zakończenia</w:t>
            </w:r>
          </w:p>
          <w:p w14:paraId="13DA0D8F"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rPr>
              <w:t>działania</w:t>
            </w:r>
          </w:p>
        </w:tc>
        <w:tc>
          <w:tcPr>
            <w:tcW w:w="1718" w:type="pct"/>
            <w:shd w:val="clear" w:color="auto" w:fill="FFFFFF" w:themeFill="background1"/>
          </w:tcPr>
          <w:p w14:paraId="2F46F5A0"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rPr>
              <w:t>Brak</w:t>
            </w:r>
          </w:p>
        </w:tc>
        <w:tc>
          <w:tcPr>
            <w:tcW w:w="2188" w:type="pct"/>
            <w:shd w:val="clear" w:color="auto" w:fill="FFFFFF" w:themeFill="background1"/>
          </w:tcPr>
          <w:p w14:paraId="5049CA53" w14:textId="7E8B20DC" w:rsidR="00530C80" w:rsidRPr="00530C80" w:rsidRDefault="005C0592" w:rsidP="00530C80">
            <w:pPr>
              <w:spacing w:after="120" w:line="240" w:lineRule="auto"/>
              <w:rPr>
                <w:rFonts w:ascii="Times New Roman" w:hAnsi="Times New Roman" w:cs="Times New Roman"/>
                <w:highlight w:val="lightGray"/>
              </w:rPr>
            </w:pPr>
            <w:r w:rsidRPr="00862093">
              <w:rPr>
                <w:rFonts w:ascii="Times New Roman" w:hAnsi="Times New Roman" w:cs="Times New Roman"/>
                <w:color w:val="FF0000"/>
              </w:rPr>
              <w:t>II kwartał 2026 r.</w:t>
            </w:r>
          </w:p>
        </w:tc>
      </w:tr>
      <w:tr w:rsidR="00530C80" w:rsidRPr="00530C80" w14:paraId="115026FF" w14:textId="77777777" w:rsidTr="00530C80">
        <w:tc>
          <w:tcPr>
            <w:tcW w:w="1094" w:type="pct"/>
            <w:shd w:val="clear" w:color="auto" w:fill="FFFFFF" w:themeFill="background1"/>
          </w:tcPr>
          <w:p w14:paraId="6E416155" w14:textId="77777777" w:rsidR="00530C80" w:rsidRPr="00530C80" w:rsidRDefault="00530C80" w:rsidP="00530C80">
            <w:pPr>
              <w:widowControl w:val="0"/>
              <w:spacing w:after="0" w:line="240" w:lineRule="auto"/>
              <w:rPr>
                <w:rFonts w:ascii="Times New Roman" w:eastAsia="Times New Roman" w:hAnsi="Times New Roman" w:cs="Times New Roman"/>
              </w:rPr>
            </w:pPr>
            <w:r w:rsidRPr="00530C80">
              <w:rPr>
                <w:rFonts w:ascii="Times New Roman" w:eastAsia="Times New Roman" w:hAnsi="Times New Roman" w:cs="Times New Roman"/>
              </w:rPr>
              <w:t>Opis kamienia milowego lub</w:t>
            </w:r>
          </w:p>
          <w:p w14:paraId="5D3FDFA1"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wskaźnika.</w:t>
            </w:r>
          </w:p>
        </w:tc>
        <w:tc>
          <w:tcPr>
            <w:tcW w:w="1718" w:type="pct"/>
            <w:shd w:val="clear" w:color="auto" w:fill="FFFFFF" w:themeFill="background1"/>
          </w:tcPr>
          <w:p w14:paraId="7673171A" w14:textId="77777777" w:rsidR="00530C80" w:rsidRPr="00530C80" w:rsidRDefault="00530C80" w:rsidP="00530C80">
            <w:pPr>
              <w:spacing w:after="120" w:line="240" w:lineRule="auto"/>
              <w:rPr>
                <w:rFonts w:ascii="Times New Roman" w:hAnsi="Times New Roman" w:cs="Times New Roman"/>
                <w:highlight w:val="lightGray"/>
              </w:rPr>
            </w:pPr>
            <w:r w:rsidRPr="00530C80">
              <w:rPr>
                <w:rFonts w:ascii="Times New Roman" w:hAnsi="Times New Roman" w:cs="Times New Roman"/>
              </w:rPr>
              <w:t>Brak</w:t>
            </w:r>
          </w:p>
        </w:tc>
        <w:tc>
          <w:tcPr>
            <w:tcW w:w="2188" w:type="pct"/>
            <w:shd w:val="clear" w:color="auto" w:fill="FFFFFF" w:themeFill="background1"/>
          </w:tcPr>
          <w:p w14:paraId="384A24B3" w14:textId="77777777" w:rsidR="00530C80" w:rsidRPr="00C40440" w:rsidRDefault="00530C80" w:rsidP="00530C80">
            <w:pPr>
              <w:widowControl w:val="0"/>
              <w:spacing w:after="100" w:line="240" w:lineRule="auto"/>
              <w:rPr>
                <w:rFonts w:ascii="Times New Roman" w:eastAsia="Times New Roman" w:hAnsi="Times New Roman" w:cs="Times New Roman"/>
                <w:color w:val="FF0000"/>
              </w:rPr>
            </w:pPr>
            <w:r w:rsidRPr="00C40440">
              <w:rPr>
                <w:rFonts w:ascii="Times New Roman" w:eastAsia="Times New Roman" w:hAnsi="Times New Roman" w:cs="Times New Roman"/>
                <w:color w:val="FF0000"/>
              </w:rPr>
              <w:t>Projekty dotyczące unowocześnienia bazy dydaktycznej i demonstracyjnej na potrzeby edukacji w zakresie rolnictwa 4.0. zrealizowane przez jednostki doradztwa rolniczego i szkoły rolnicze.</w:t>
            </w:r>
          </w:p>
          <w:p w14:paraId="0F6EC25E" w14:textId="77777777" w:rsidR="00530C80" w:rsidRPr="00C40440" w:rsidRDefault="00530C80" w:rsidP="00530C80">
            <w:pPr>
              <w:widowControl w:val="0"/>
              <w:spacing w:after="100" w:line="240" w:lineRule="auto"/>
              <w:rPr>
                <w:rFonts w:ascii="Times New Roman" w:eastAsia="Times New Roman" w:hAnsi="Times New Roman" w:cs="Times New Roman"/>
                <w:color w:val="FF0000"/>
              </w:rPr>
            </w:pPr>
            <w:r w:rsidRPr="00C40440">
              <w:rPr>
                <w:rFonts w:ascii="Times New Roman" w:eastAsia="Times New Roman" w:hAnsi="Times New Roman" w:cs="Times New Roman"/>
                <w:color w:val="FF0000"/>
              </w:rPr>
              <w:t>Realizowane projekty ukierunkowane są na upowszechnianie i promowanie wśród producentów rolnych i mieszkańców wsi rozwiązań i praktyk w zakresie rolnictwa 4.0, służących zwiększeniu odporności gospodarstw rolnych na obecne i przyszłe kryzysy oraz wzmacnianiu wzorców zrównoważonej produkcji.</w:t>
            </w:r>
          </w:p>
          <w:p w14:paraId="272353BC" w14:textId="77777777" w:rsidR="00530C80" w:rsidRPr="00530C80" w:rsidRDefault="00530C80" w:rsidP="00530C80">
            <w:pPr>
              <w:spacing w:after="120" w:line="240" w:lineRule="auto"/>
              <w:rPr>
                <w:rFonts w:ascii="Times New Roman" w:hAnsi="Times New Roman" w:cs="Times New Roman"/>
                <w:highlight w:val="lightGray"/>
              </w:rPr>
            </w:pPr>
            <w:r w:rsidRPr="00C40440">
              <w:rPr>
                <w:rFonts w:ascii="Times New Roman" w:hAnsi="Times New Roman" w:cs="Times New Roman"/>
                <w:color w:val="FF0000"/>
              </w:rPr>
              <w:t xml:space="preserve">Inwestycje obejmują zakup, montaż i uruchomienie urządzeń, systemów informatycznych i rozwiązań cyfrowych w </w:t>
            </w:r>
            <w:r w:rsidRPr="00C40440">
              <w:rPr>
                <w:rFonts w:ascii="Times New Roman" w:hAnsi="Times New Roman" w:cs="Times New Roman"/>
                <w:color w:val="FF0000"/>
              </w:rPr>
              <w:lastRenderedPageBreak/>
              <w:t>zakresie rolnictwa 4.0, w celu prowadzenia działalności dydaktycznej, demonstracyjnej i upowszechnieniowej przez jednostki doradztwa rolniczego i szkoły rolnicze. Wsparcie obejmuje zakup maszyn, sprzętu i oprogramowania do tych celów, w tym czujników, sprzętu informatycznego i oprogramowania komputerowego.</w:t>
            </w:r>
          </w:p>
        </w:tc>
      </w:tr>
      <w:tr w:rsidR="00530C80" w:rsidRPr="00530C80" w14:paraId="31405879" w14:textId="77777777" w:rsidTr="00530C80">
        <w:tc>
          <w:tcPr>
            <w:tcW w:w="1094" w:type="pct"/>
          </w:tcPr>
          <w:p w14:paraId="4AF4B3FE"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lastRenderedPageBreak/>
              <w:t>Opis inwestycji</w:t>
            </w:r>
          </w:p>
          <w:p w14:paraId="1968C4A9" w14:textId="3E430307" w:rsidR="00530C80" w:rsidRPr="00530C80" w:rsidRDefault="00530C80" w:rsidP="00530C80">
            <w:pPr>
              <w:spacing w:after="120" w:line="240" w:lineRule="auto"/>
              <w:rPr>
                <w:rFonts w:ascii="Times New Roman" w:hAnsi="Times New Roman" w:cs="Times New Roman"/>
                <w:lang w:val="en-GB"/>
              </w:rPr>
            </w:pPr>
          </w:p>
        </w:tc>
        <w:tc>
          <w:tcPr>
            <w:tcW w:w="1718" w:type="pct"/>
          </w:tcPr>
          <w:p w14:paraId="6BDD53FF"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Realizacja inwestycji zostanie zakończona do dnia 31 grudnia 2025 r.</w:t>
            </w:r>
          </w:p>
        </w:tc>
        <w:tc>
          <w:tcPr>
            <w:tcW w:w="2188" w:type="pct"/>
          </w:tcPr>
          <w:p w14:paraId="56706786" w14:textId="4F684970" w:rsidR="00530C80" w:rsidRPr="00530C80" w:rsidRDefault="00530C80" w:rsidP="00530C80">
            <w:pPr>
              <w:spacing w:after="120" w:line="240" w:lineRule="auto"/>
              <w:rPr>
                <w:rFonts w:ascii="Times New Roman" w:hAnsi="Times New Roman" w:cs="Times New Roman"/>
                <w:b/>
              </w:rPr>
            </w:pPr>
            <w:r w:rsidRPr="00530C80">
              <w:rPr>
                <w:rFonts w:ascii="Times New Roman" w:hAnsi="Times New Roman" w:cs="Times New Roman"/>
              </w:rPr>
              <w:t xml:space="preserve">Realizacja inwestycji zostanie zakończona do dnia </w:t>
            </w:r>
            <w:r w:rsidRPr="00C40440">
              <w:rPr>
                <w:rFonts w:ascii="Times New Roman" w:hAnsi="Times New Roman" w:cs="Times New Roman"/>
                <w:color w:val="FF0000"/>
              </w:rPr>
              <w:t>30 czerwca 2026 r.</w:t>
            </w:r>
          </w:p>
        </w:tc>
      </w:tr>
      <w:tr w:rsidR="00530C80" w:rsidRPr="00530C80" w14:paraId="2B8BE1FE" w14:textId="77777777" w:rsidTr="00530C80">
        <w:tc>
          <w:tcPr>
            <w:tcW w:w="1094" w:type="pct"/>
          </w:tcPr>
          <w:p w14:paraId="0C8ED6CD"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Opis kamienia milowego lub wskaźnika.</w:t>
            </w:r>
          </w:p>
          <w:p w14:paraId="68D1805B" w14:textId="2C073191" w:rsidR="00530C80" w:rsidRPr="00C40440" w:rsidRDefault="00530C80" w:rsidP="00530C80">
            <w:pPr>
              <w:spacing w:after="120" w:line="240" w:lineRule="auto"/>
              <w:rPr>
                <w:rFonts w:ascii="Times New Roman" w:hAnsi="Times New Roman" w:cs="Times New Roman"/>
              </w:rPr>
            </w:pPr>
          </w:p>
        </w:tc>
        <w:tc>
          <w:tcPr>
            <w:tcW w:w="1718" w:type="pct"/>
          </w:tcPr>
          <w:p w14:paraId="1322D3F7" w14:textId="57AF1CF7"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t>A21G</w:t>
            </w:r>
            <w:r w:rsidRPr="00530C80">
              <w:rPr>
                <w:rFonts w:ascii="Times New Roman" w:hAnsi="Times New Roman" w:cs="Times New Roman"/>
              </w:rPr>
              <w:t xml:space="preserve"> Wybudowano lub zmodernizowano 77 centra dystrybucyjne i magazynowe oraz rynki hurtowe (w tym spółdzielnie). Celem jest stworzenie zestawu niezależnych centrów dystrybucji i przechowywania na poziomie lokalnym, aby zdywersyfikować i skrócić łańcuch dostaw żywności, a także zachęcić do bardziej zrównoważonych praktyk produkcyjnych w sektorze rolno-spożywczym, zwłaszcza poprzez zapobieganie marnotrawieniu żywności. (…)</w:t>
            </w:r>
          </w:p>
          <w:p w14:paraId="3A2A634D"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Inwestycja zapewni zrównoważoną realizację wszystkich rodzajów projektów opisanych w wartości docelowej, z uwzględnieniem zarówno szczególnych potrzeb beneficjentów, jak i celów rozporządzenia w sprawie RRF.</w:t>
            </w:r>
          </w:p>
          <w:p w14:paraId="07306023" w14:textId="729916E6"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Orientacyjny harmonogram zakończenia działania: IV kw. 2025</w:t>
            </w:r>
            <w:r w:rsidR="00AE37FF">
              <w:rPr>
                <w:rFonts w:ascii="Times New Roman" w:hAnsi="Times New Roman" w:cs="Times New Roman"/>
              </w:rPr>
              <w:t>r.</w:t>
            </w:r>
          </w:p>
        </w:tc>
        <w:tc>
          <w:tcPr>
            <w:tcW w:w="2188" w:type="pct"/>
          </w:tcPr>
          <w:p w14:paraId="3A263186" w14:textId="5FE5EA77"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t>A21G</w:t>
            </w:r>
            <w:r w:rsidRPr="00530C80">
              <w:rPr>
                <w:rFonts w:ascii="Times New Roman" w:hAnsi="Times New Roman" w:cs="Times New Roman"/>
                <w:b/>
              </w:rPr>
              <w:t xml:space="preserve"> </w:t>
            </w:r>
            <w:r w:rsidRPr="00530C80">
              <w:rPr>
                <w:rFonts w:ascii="Times New Roman" w:hAnsi="Times New Roman" w:cs="Times New Roman"/>
              </w:rPr>
              <w:t>Wybudowano lub zmodernizowano </w:t>
            </w:r>
            <w:r w:rsidRPr="00C40440">
              <w:rPr>
                <w:rFonts w:ascii="Times New Roman" w:hAnsi="Times New Roman" w:cs="Times New Roman"/>
                <w:bCs/>
                <w:iCs/>
                <w:color w:val="FF0000"/>
              </w:rPr>
              <w:t>166</w:t>
            </w:r>
            <w:r w:rsidRPr="00530C80">
              <w:rPr>
                <w:rFonts w:ascii="Times New Roman" w:hAnsi="Times New Roman" w:cs="Times New Roman"/>
              </w:rPr>
              <w:t xml:space="preserve"> centrów dystrybucyjnych i magazynowych oraz rynków hurtowych (w tym spółdzielni). Celem jest stworzenie zestawu niezależnych centrów dystrybucji i przechowywania na poziomie lokalnym, aby zdywersyfikować i skrócić łańcuch dostaw żywności, a także zachęcić do bardziej zrównoważonych praktyk produkcyjnych w sektorze rolno-spożywczym, zwłaszcza poprzez zapobieganie marnotrawieniu żywności.(…)</w:t>
            </w:r>
          </w:p>
          <w:p w14:paraId="2046865D" w14:textId="77777777" w:rsidR="005C0592" w:rsidRDefault="005C0592" w:rsidP="00530C80">
            <w:pPr>
              <w:spacing w:after="120" w:line="240" w:lineRule="auto"/>
              <w:rPr>
                <w:rFonts w:ascii="Times New Roman" w:hAnsi="Times New Roman" w:cs="Times New Roman"/>
              </w:rPr>
            </w:pPr>
          </w:p>
          <w:p w14:paraId="6646C602" w14:textId="21B462FF"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Inwestycja zapewni zrównoważoną realizację wszystkich rodzajów projektów opisanych w wartości docelowej, z uwzględnieniem zarówno szczególnych potrzeb beneficjentów, jak i celów rozporządzenia w sprawie RRF.</w:t>
            </w:r>
          </w:p>
          <w:p w14:paraId="2A93A819" w14:textId="7A6ACC08" w:rsidR="00A26E88" w:rsidRDefault="00A26E88" w:rsidP="00530C80">
            <w:pPr>
              <w:spacing w:after="120" w:line="240" w:lineRule="auto"/>
              <w:rPr>
                <w:rFonts w:ascii="Times New Roman" w:hAnsi="Times New Roman" w:cs="Times New Roman"/>
              </w:rPr>
            </w:pPr>
          </w:p>
          <w:p w14:paraId="6E223C73" w14:textId="77777777" w:rsidR="00AE37FF" w:rsidRDefault="00AE37FF" w:rsidP="00530C80">
            <w:pPr>
              <w:spacing w:after="120" w:line="240" w:lineRule="auto"/>
              <w:rPr>
                <w:rFonts w:ascii="Times New Roman" w:hAnsi="Times New Roman" w:cs="Times New Roman"/>
              </w:rPr>
            </w:pPr>
          </w:p>
          <w:p w14:paraId="44271CE2" w14:textId="256F8EF1"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 Orientacyjny harmonogram zakończenia działania: </w:t>
            </w:r>
            <w:r w:rsidRPr="00530C80">
              <w:rPr>
                <w:rFonts w:ascii="Times New Roman" w:hAnsi="Times New Roman" w:cs="Times New Roman"/>
                <w:color w:val="FF0000"/>
              </w:rPr>
              <w:t>II kw. 2026</w:t>
            </w:r>
            <w:r w:rsidR="005C0592">
              <w:rPr>
                <w:rFonts w:ascii="Times New Roman" w:hAnsi="Times New Roman" w:cs="Times New Roman"/>
                <w:color w:val="FF0000"/>
              </w:rPr>
              <w:t>r.</w:t>
            </w:r>
          </w:p>
        </w:tc>
      </w:tr>
      <w:tr w:rsidR="00530C80" w:rsidRPr="00530C80" w14:paraId="175A9E76" w14:textId="77777777" w:rsidTr="00530C80">
        <w:trPr>
          <w:trHeight w:val="558"/>
        </w:trPr>
        <w:tc>
          <w:tcPr>
            <w:tcW w:w="1094" w:type="pct"/>
          </w:tcPr>
          <w:p w14:paraId="2DAE2B8D"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Opis kamienia milowego lub wskaźnika</w:t>
            </w:r>
          </w:p>
          <w:p w14:paraId="09A9AF2E" w14:textId="40420D2D" w:rsidR="00530C80" w:rsidRPr="00530C80" w:rsidRDefault="00530C80" w:rsidP="00530C80">
            <w:pPr>
              <w:spacing w:after="120" w:line="240" w:lineRule="auto"/>
              <w:rPr>
                <w:rFonts w:ascii="Times New Roman" w:hAnsi="Times New Roman" w:cs="Times New Roman"/>
                <w:lang w:val="en-GB"/>
              </w:rPr>
            </w:pPr>
          </w:p>
        </w:tc>
        <w:tc>
          <w:tcPr>
            <w:tcW w:w="1718" w:type="pct"/>
          </w:tcPr>
          <w:p w14:paraId="746F0D02" w14:textId="77777777"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t>A23G</w:t>
            </w:r>
            <w:r w:rsidRPr="00530C80">
              <w:rPr>
                <w:rFonts w:ascii="Times New Roman" w:hAnsi="Times New Roman" w:cs="Times New Roman"/>
              </w:rPr>
              <w:t xml:space="preserve"> Co najmniej 800 MŚP w sektorze rolno-spożywczym i sektorze gospodarki rybnej ukończyło projekty ukierunkowane na modernizację infrastruktury i wyposażenia.  (...)</w:t>
            </w:r>
          </w:p>
          <w:p w14:paraId="6353081A"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Inwestycja zapewni zrównoważoną realizację wszystkich rodzajów projektów opisanych w wartości docelowej, z uwzględnieniem zarówno szczególnych potrzeb </w:t>
            </w:r>
            <w:r w:rsidRPr="00530C80">
              <w:rPr>
                <w:rFonts w:ascii="Times New Roman" w:hAnsi="Times New Roman" w:cs="Times New Roman"/>
              </w:rPr>
              <w:lastRenderedPageBreak/>
              <w:t>beneficjentów, jak i celów rozporządzenia w sprawie RRF.</w:t>
            </w:r>
          </w:p>
          <w:p w14:paraId="036AA963" w14:textId="726205BE"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Orientacyjny harmonogram zakończenia działania: IV kw. 2025</w:t>
            </w:r>
            <w:r w:rsidR="005C0592">
              <w:rPr>
                <w:rFonts w:ascii="Times New Roman" w:hAnsi="Times New Roman" w:cs="Times New Roman"/>
              </w:rPr>
              <w:t>r.</w:t>
            </w:r>
          </w:p>
        </w:tc>
        <w:tc>
          <w:tcPr>
            <w:tcW w:w="2188" w:type="pct"/>
          </w:tcPr>
          <w:p w14:paraId="01BFC0F9" w14:textId="5028A7C7"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lastRenderedPageBreak/>
              <w:t>A23G</w:t>
            </w:r>
            <w:r w:rsidRPr="00530C80">
              <w:rPr>
                <w:rFonts w:ascii="Times New Roman" w:hAnsi="Times New Roman" w:cs="Times New Roman"/>
              </w:rPr>
              <w:t xml:space="preserve"> Co najmniej </w:t>
            </w:r>
            <w:r w:rsidRPr="00C40440">
              <w:rPr>
                <w:rFonts w:ascii="Times New Roman" w:hAnsi="Times New Roman" w:cs="Times New Roman"/>
                <w:color w:val="FF0000"/>
              </w:rPr>
              <w:t>830</w:t>
            </w:r>
            <w:r w:rsidRPr="005C0592">
              <w:rPr>
                <w:rFonts w:ascii="Times New Roman" w:hAnsi="Times New Roman" w:cs="Times New Roman"/>
                <w:color w:val="FF0000"/>
              </w:rPr>
              <w:t xml:space="preserve"> </w:t>
            </w:r>
            <w:r w:rsidRPr="00530C80">
              <w:rPr>
                <w:rFonts w:ascii="Times New Roman" w:hAnsi="Times New Roman" w:cs="Times New Roman"/>
              </w:rPr>
              <w:t>MŚP w sektorze rolno-spożywczym i sektorze gospodarki rybnej ukończyło projekty ukierunkowane na modernizację infrastruktury i wyposażenia.  (...)</w:t>
            </w:r>
          </w:p>
          <w:p w14:paraId="55B88D9C" w14:textId="77777777" w:rsidR="005C0592" w:rsidRDefault="005C0592" w:rsidP="00530C80">
            <w:pPr>
              <w:spacing w:after="120" w:line="240" w:lineRule="auto"/>
              <w:rPr>
                <w:rFonts w:ascii="Times New Roman" w:hAnsi="Times New Roman" w:cs="Times New Roman"/>
              </w:rPr>
            </w:pPr>
          </w:p>
          <w:p w14:paraId="345AB2DA" w14:textId="5B689211"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Inwestycja zapewni zrównoważoną realizację wszystkich rodzajów projektów opisanych w wartości docelowej, z uwzględnieniem zarówno szczególnych potrzeb beneficjentów, jak i celów rozporządzenia w sprawie RRF.</w:t>
            </w:r>
          </w:p>
          <w:p w14:paraId="26037BA5" w14:textId="77777777" w:rsidR="00A26E88" w:rsidRDefault="00A26E88" w:rsidP="00530C80">
            <w:pPr>
              <w:spacing w:after="120" w:line="240" w:lineRule="auto"/>
              <w:rPr>
                <w:rFonts w:ascii="Times New Roman" w:hAnsi="Times New Roman" w:cs="Times New Roman"/>
              </w:rPr>
            </w:pPr>
          </w:p>
          <w:p w14:paraId="37C9AB63" w14:textId="77777777" w:rsidR="00A26E88" w:rsidRDefault="00A26E88" w:rsidP="00530C80">
            <w:pPr>
              <w:spacing w:after="120" w:line="240" w:lineRule="auto"/>
              <w:rPr>
                <w:rFonts w:ascii="Times New Roman" w:hAnsi="Times New Roman" w:cs="Times New Roman"/>
              </w:rPr>
            </w:pPr>
          </w:p>
          <w:p w14:paraId="168C16FD" w14:textId="5B5644C3"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Orientacyjny harmonogram zakończenia działania: </w:t>
            </w:r>
            <w:r w:rsidRPr="00530C80">
              <w:rPr>
                <w:rFonts w:ascii="Times New Roman" w:hAnsi="Times New Roman" w:cs="Times New Roman"/>
                <w:color w:val="FF0000"/>
              </w:rPr>
              <w:t>II kw. 2026</w:t>
            </w:r>
            <w:r w:rsidR="005C0592">
              <w:rPr>
                <w:rFonts w:ascii="Times New Roman" w:hAnsi="Times New Roman" w:cs="Times New Roman"/>
                <w:color w:val="FF0000"/>
              </w:rPr>
              <w:t>r.</w:t>
            </w:r>
          </w:p>
        </w:tc>
      </w:tr>
      <w:tr w:rsidR="00530C80" w:rsidRPr="00530C80" w14:paraId="3A026C03" w14:textId="77777777" w:rsidTr="00530C80">
        <w:trPr>
          <w:trHeight w:val="558"/>
        </w:trPr>
        <w:tc>
          <w:tcPr>
            <w:tcW w:w="1094" w:type="pct"/>
          </w:tcPr>
          <w:p w14:paraId="0A7DD157"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lastRenderedPageBreak/>
              <w:t xml:space="preserve">Opis kamienia milowego lub wskaźnika. </w:t>
            </w:r>
          </w:p>
          <w:p w14:paraId="522974D9" w14:textId="5F7D1FAB" w:rsidR="00530C80" w:rsidRPr="00C40440" w:rsidRDefault="00530C80" w:rsidP="00530C80">
            <w:pPr>
              <w:spacing w:after="120" w:line="240" w:lineRule="auto"/>
              <w:rPr>
                <w:rFonts w:ascii="Times New Roman" w:hAnsi="Times New Roman" w:cs="Times New Roman"/>
              </w:rPr>
            </w:pPr>
          </w:p>
        </w:tc>
        <w:tc>
          <w:tcPr>
            <w:tcW w:w="1718" w:type="pct"/>
          </w:tcPr>
          <w:p w14:paraId="7A6DD365" w14:textId="77777777"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t>A24G</w:t>
            </w:r>
            <w:r w:rsidRPr="00530C80">
              <w:rPr>
                <w:rFonts w:ascii="Times New Roman" w:hAnsi="Times New Roman" w:cs="Times New Roman"/>
              </w:rPr>
              <w:t xml:space="preserve"> Co najmniej 50 organizacji charytatywnych sektora spożywczego zakończyło realizację projektów ukierunkowanych na modernizację infrastruktury i wyposażenia w celu promowania wzorców bardziej zrównoważonego spożycia żywności, w szczególności poprzez zapobieganie marnotrawieniu żywności. (...)</w:t>
            </w:r>
          </w:p>
          <w:p w14:paraId="6253BB81"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Inwestycja zapewni zrównoważoną realizację wszystkich rodzajów projektów opisanych w wartości docelowej, z uwzględnieniem zarówno szczególnych potrzeb beneficjentów, jak i celów rozporządzenia w sprawie RRF.</w:t>
            </w:r>
          </w:p>
          <w:p w14:paraId="414D40C5" w14:textId="77777777" w:rsidR="00530C80" w:rsidRPr="00530C80" w:rsidRDefault="00530C80" w:rsidP="00530C80">
            <w:pPr>
              <w:spacing w:after="120" w:line="240" w:lineRule="auto"/>
              <w:rPr>
                <w:rFonts w:ascii="Times New Roman" w:hAnsi="Times New Roman" w:cs="Times New Roman"/>
                <w:b/>
              </w:rPr>
            </w:pPr>
            <w:r w:rsidRPr="00530C80">
              <w:rPr>
                <w:rFonts w:ascii="Times New Roman" w:hAnsi="Times New Roman" w:cs="Times New Roman"/>
              </w:rPr>
              <w:t>(…) Orientacyjny harmonogram zakończenia działania: IV kw. 2025</w:t>
            </w:r>
          </w:p>
        </w:tc>
        <w:tc>
          <w:tcPr>
            <w:tcW w:w="2188" w:type="pct"/>
          </w:tcPr>
          <w:p w14:paraId="32DAF4DC" w14:textId="4BE30772"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t>A24G</w:t>
            </w:r>
            <w:r w:rsidRPr="00530C80">
              <w:rPr>
                <w:rFonts w:ascii="Times New Roman" w:hAnsi="Times New Roman" w:cs="Times New Roman"/>
              </w:rPr>
              <w:t xml:space="preserve"> Co najmniej 50 organizacji charytatywnych sektora spożywczego zakończyło realizację projektów ukierunkowanych na modernizację infrastruktury i wyposażenia w celu promowania wzorców bardziej zrównoważonego spożycia żywności, w szczególności poprzez zapobieganie marnotrawieniu żywności. (...)</w:t>
            </w:r>
          </w:p>
          <w:p w14:paraId="14F0771D"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Inwestycja zapewni zrównoważoną realizację wszystkich rodzajów projektów opisanych w wartości docelowej, z uwzględnieniem zarówno szczególnych potrzeb beneficjentów, jak i celów rozporządzenia w sprawie RRF.</w:t>
            </w:r>
          </w:p>
          <w:p w14:paraId="6B8D0726" w14:textId="77777777" w:rsidR="002E233C" w:rsidRDefault="002E233C" w:rsidP="00530C80">
            <w:pPr>
              <w:spacing w:after="120" w:line="240" w:lineRule="auto"/>
              <w:rPr>
                <w:rFonts w:ascii="Times New Roman" w:hAnsi="Times New Roman" w:cs="Times New Roman"/>
              </w:rPr>
            </w:pPr>
          </w:p>
          <w:p w14:paraId="00574569" w14:textId="77777777" w:rsidR="002E233C" w:rsidRDefault="002E233C" w:rsidP="00530C80">
            <w:pPr>
              <w:spacing w:after="120" w:line="240" w:lineRule="auto"/>
              <w:rPr>
                <w:rFonts w:ascii="Times New Roman" w:hAnsi="Times New Roman" w:cs="Times New Roman"/>
              </w:rPr>
            </w:pPr>
          </w:p>
          <w:p w14:paraId="574169C6" w14:textId="77777777" w:rsidR="002E233C" w:rsidRDefault="002E233C" w:rsidP="00530C80">
            <w:pPr>
              <w:spacing w:after="120" w:line="240" w:lineRule="auto"/>
              <w:rPr>
                <w:rFonts w:ascii="Times New Roman" w:hAnsi="Times New Roman" w:cs="Times New Roman"/>
              </w:rPr>
            </w:pPr>
          </w:p>
          <w:p w14:paraId="7062D4E5" w14:textId="77777777" w:rsidR="002E233C" w:rsidRDefault="002E233C" w:rsidP="00530C80">
            <w:pPr>
              <w:spacing w:after="120" w:line="240" w:lineRule="auto"/>
              <w:rPr>
                <w:rFonts w:ascii="Times New Roman" w:hAnsi="Times New Roman" w:cs="Times New Roman"/>
              </w:rPr>
            </w:pPr>
          </w:p>
          <w:p w14:paraId="6816492F" w14:textId="27D8CCD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 Orientacyjny harmonogram zakończenia działania: </w:t>
            </w:r>
            <w:r w:rsidRPr="00530C80">
              <w:rPr>
                <w:rFonts w:ascii="Times New Roman" w:hAnsi="Times New Roman" w:cs="Times New Roman"/>
                <w:color w:val="FF0000"/>
              </w:rPr>
              <w:t>II kw. 2026</w:t>
            </w:r>
          </w:p>
        </w:tc>
      </w:tr>
      <w:tr w:rsidR="00530C80" w:rsidRPr="00530C80" w14:paraId="3ACCEB3A" w14:textId="77777777" w:rsidTr="00530C80">
        <w:trPr>
          <w:trHeight w:val="558"/>
        </w:trPr>
        <w:tc>
          <w:tcPr>
            <w:tcW w:w="1094" w:type="pct"/>
          </w:tcPr>
          <w:p w14:paraId="09F68410"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Opis kamienia milowego lub wskaźnika.</w:t>
            </w:r>
          </w:p>
          <w:p w14:paraId="7B2EE2D8" w14:textId="32BA3ED3" w:rsidR="00530C80" w:rsidRPr="00C40440" w:rsidRDefault="00530C80" w:rsidP="00530C80">
            <w:pPr>
              <w:spacing w:after="120" w:line="240" w:lineRule="auto"/>
              <w:rPr>
                <w:rFonts w:ascii="Times New Roman" w:hAnsi="Times New Roman" w:cs="Times New Roman"/>
              </w:rPr>
            </w:pPr>
          </w:p>
        </w:tc>
        <w:tc>
          <w:tcPr>
            <w:tcW w:w="1718" w:type="pct"/>
          </w:tcPr>
          <w:p w14:paraId="7968309C" w14:textId="77777777"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t>A26G</w:t>
            </w:r>
            <w:r w:rsidRPr="00530C80">
              <w:rPr>
                <w:rFonts w:ascii="Times New Roman" w:hAnsi="Times New Roman" w:cs="Times New Roman"/>
              </w:rPr>
              <w:t xml:space="preserve"> Co najmniej 11 527 rolników i rybaków zakończyło realizację projektów ukierunkowanych na modernizację infrastruktury i wyposażenia w celu zwiększenia ich odporności na przyszłe kryzysy i wzmocnienia wzorców zrównoważonej produkcji, skrócenia łańcuchów dostaw i wspierania technologii w zakresie rolnictwa 4.0. (...)</w:t>
            </w:r>
          </w:p>
          <w:p w14:paraId="2D1DD8E5"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Zakres wsparcia obejmuje również wymianę materiałów szkodliwych dla środowiska i zdrowia w budynkach wykorzystywanych do produkcji rolnej. (…)</w:t>
            </w:r>
          </w:p>
          <w:p w14:paraId="6D16855B"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Inwestycja zapewni zrównoważoną realizację wszystkich rodzajów projektów opisanych w wartości docelowej, z uwzględnieniem zarówno </w:t>
            </w:r>
            <w:r w:rsidRPr="00530C80">
              <w:rPr>
                <w:rFonts w:ascii="Times New Roman" w:hAnsi="Times New Roman" w:cs="Times New Roman"/>
              </w:rPr>
              <w:lastRenderedPageBreak/>
              <w:t>szczególnych potrzeb beneficjentów, jak i celów rozporządzenia w sprawie RRF.</w:t>
            </w:r>
          </w:p>
          <w:p w14:paraId="1406EECB" w14:textId="77777777" w:rsidR="00530C80" w:rsidRPr="00530C80" w:rsidRDefault="00530C80" w:rsidP="00530C80">
            <w:pPr>
              <w:spacing w:after="120" w:line="240" w:lineRule="auto"/>
              <w:rPr>
                <w:rFonts w:ascii="Times New Roman" w:hAnsi="Times New Roman" w:cs="Times New Roman"/>
                <w:b/>
              </w:rPr>
            </w:pPr>
            <w:r w:rsidRPr="00530C80">
              <w:rPr>
                <w:rFonts w:ascii="Times New Roman" w:hAnsi="Times New Roman" w:cs="Times New Roman"/>
              </w:rPr>
              <w:t>(…) Orientacyjny harmonogram zakończenia działania: IV kw. 2025</w:t>
            </w:r>
          </w:p>
        </w:tc>
        <w:tc>
          <w:tcPr>
            <w:tcW w:w="2188" w:type="pct"/>
          </w:tcPr>
          <w:p w14:paraId="09A80D54" w14:textId="7B7E5C49" w:rsidR="00530C80" w:rsidRPr="00530C80" w:rsidRDefault="00530C80" w:rsidP="00530C80">
            <w:pPr>
              <w:spacing w:after="120" w:line="240" w:lineRule="auto"/>
              <w:rPr>
                <w:rFonts w:ascii="Times New Roman" w:hAnsi="Times New Roman" w:cs="Times New Roman"/>
              </w:rPr>
            </w:pPr>
            <w:r w:rsidRPr="00C40440">
              <w:rPr>
                <w:rFonts w:ascii="Times New Roman" w:hAnsi="Times New Roman" w:cs="Times New Roman"/>
                <w:bCs/>
              </w:rPr>
              <w:lastRenderedPageBreak/>
              <w:t>A26G</w:t>
            </w:r>
            <w:r w:rsidRPr="00530C80">
              <w:rPr>
                <w:rFonts w:ascii="Times New Roman" w:hAnsi="Times New Roman" w:cs="Times New Roman"/>
              </w:rPr>
              <w:t xml:space="preserve"> Co najmniej </w:t>
            </w:r>
            <w:r w:rsidRPr="00C40440">
              <w:rPr>
                <w:rFonts w:ascii="Times New Roman" w:hAnsi="Times New Roman" w:cs="Times New Roman"/>
                <w:color w:val="FF0000"/>
              </w:rPr>
              <w:t>16 897</w:t>
            </w:r>
            <w:r w:rsidRPr="00530C80">
              <w:rPr>
                <w:rFonts w:ascii="Times New Roman" w:hAnsi="Times New Roman" w:cs="Times New Roman"/>
                <w:b/>
                <w:bCs/>
                <w:color w:val="FF0000"/>
              </w:rPr>
              <w:t xml:space="preserve"> </w:t>
            </w:r>
            <w:r w:rsidRPr="00530C80">
              <w:rPr>
                <w:rFonts w:ascii="Times New Roman" w:hAnsi="Times New Roman" w:cs="Times New Roman"/>
              </w:rPr>
              <w:t>rolników i rybaków zakończyło realizację projektów ukierunkowanych na modernizację infrastruktury i wyposażenia w celu zwiększenia ich odporności na przyszłe kryzysy i wzmocnienia wzorców zrównoważonej produkcji, skrócenia łańcuchów dostaw i wspierania technologii w zakresie rolnictwa 4.0. (...)</w:t>
            </w:r>
          </w:p>
          <w:p w14:paraId="0F1414FA" w14:textId="57B6FD9D"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Zakres wsparcia obejmuje również wymianę materiałów szkodliwych dla środowiska i zdrowia w budynkach wykorzystywanych do produkcji rolnej (…)</w:t>
            </w:r>
          </w:p>
          <w:p w14:paraId="10757CE9"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Inwestycja zapewni zrównoważoną realizację wszystkich rodzajów projektów opisanych w wartości docelowej, z uwzględnieniem zarówno szczególnych potrzeb beneficjentów, jak i celów rozporządzenia w sprawie RRF.</w:t>
            </w:r>
          </w:p>
          <w:p w14:paraId="447DCDE3" w14:textId="77777777" w:rsidR="002E233C" w:rsidRDefault="002E233C" w:rsidP="00530C80">
            <w:pPr>
              <w:spacing w:after="120" w:line="240" w:lineRule="auto"/>
              <w:rPr>
                <w:rFonts w:ascii="Times New Roman" w:hAnsi="Times New Roman" w:cs="Times New Roman"/>
              </w:rPr>
            </w:pPr>
          </w:p>
          <w:p w14:paraId="0874910F" w14:textId="77777777" w:rsidR="002E233C" w:rsidRDefault="002E233C" w:rsidP="00530C80">
            <w:pPr>
              <w:spacing w:after="120" w:line="240" w:lineRule="auto"/>
              <w:rPr>
                <w:rFonts w:ascii="Times New Roman" w:hAnsi="Times New Roman" w:cs="Times New Roman"/>
              </w:rPr>
            </w:pPr>
          </w:p>
          <w:p w14:paraId="070950B3" w14:textId="77777777" w:rsidR="002E233C" w:rsidRDefault="002E233C" w:rsidP="00530C80">
            <w:pPr>
              <w:spacing w:after="120" w:line="240" w:lineRule="auto"/>
              <w:rPr>
                <w:rFonts w:ascii="Times New Roman" w:hAnsi="Times New Roman" w:cs="Times New Roman"/>
              </w:rPr>
            </w:pPr>
          </w:p>
          <w:p w14:paraId="6BF66D96" w14:textId="77777777" w:rsidR="002E233C" w:rsidRDefault="002E233C" w:rsidP="00530C80">
            <w:pPr>
              <w:spacing w:after="120" w:line="240" w:lineRule="auto"/>
              <w:rPr>
                <w:rFonts w:ascii="Times New Roman" w:hAnsi="Times New Roman" w:cs="Times New Roman"/>
              </w:rPr>
            </w:pPr>
          </w:p>
          <w:p w14:paraId="3E470600" w14:textId="77777777" w:rsidR="002E233C" w:rsidRDefault="002E233C" w:rsidP="00530C80">
            <w:pPr>
              <w:spacing w:after="120" w:line="240" w:lineRule="auto"/>
              <w:rPr>
                <w:rFonts w:ascii="Times New Roman" w:hAnsi="Times New Roman" w:cs="Times New Roman"/>
              </w:rPr>
            </w:pPr>
          </w:p>
          <w:p w14:paraId="0645B211" w14:textId="1746319F"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Orientacyjny harmonogram zakończenia działania:</w:t>
            </w:r>
            <w:r w:rsidRPr="00530C80">
              <w:rPr>
                <w:rFonts w:ascii="Times New Roman" w:hAnsi="Times New Roman" w:cs="Times New Roman"/>
                <w:color w:val="FF0000"/>
              </w:rPr>
              <w:t xml:space="preserve"> II kw. 2026</w:t>
            </w:r>
          </w:p>
        </w:tc>
      </w:tr>
      <w:tr w:rsidR="00530C80" w:rsidRPr="00530C80" w14:paraId="655B9850" w14:textId="77777777" w:rsidTr="00530C80">
        <w:tc>
          <w:tcPr>
            <w:tcW w:w="1094" w:type="pct"/>
          </w:tcPr>
          <w:p w14:paraId="6268DA9F"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lastRenderedPageBreak/>
              <w:t>Uzasadnienie</w:t>
            </w:r>
          </w:p>
        </w:tc>
        <w:tc>
          <w:tcPr>
            <w:tcW w:w="3906" w:type="pct"/>
            <w:gridSpan w:val="2"/>
          </w:tcPr>
          <w:p w14:paraId="6B97FBB2" w14:textId="77777777" w:rsidR="00530C80" w:rsidRPr="00530C80" w:rsidRDefault="00530C80" w:rsidP="00530C80">
            <w:pPr>
              <w:spacing w:after="120" w:line="240" w:lineRule="auto"/>
              <w:rPr>
                <w:rFonts w:ascii="Times New Roman" w:eastAsia="Times New Roman" w:hAnsi="Times New Roman" w:cs="Times New Roman"/>
              </w:rPr>
            </w:pPr>
            <w:r w:rsidRPr="00530C80">
              <w:rPr>
                <w:rFonts w:ascii="Times New Roman" w:eastAsia="Times New Roman" w:hAnsi="Times New Roman" w:cs="Times New Roman"/>
              </w:rPr>
              <w:t xml:space="preserve">Zmiany sytuacji na rynkach rolnych, które wystąpiły po I rewizji KPO wymagają zabezpieczenia interesu polskich rolników, w tym m.in. poprzez wsparcie rozwoju infrastruktury </w:t>
            </w:r>
            <w:proofErr w:type="spellStart"/>
            <w:r w:rsidRPr="00530C80">
              <w:rPr>
                <w:rFonts w:ascii="Times New Roman" w:eastAsia="Times New Roman" w:hAnsi="Times New Roman" w:cs="Times New Roman"/>
              </w:rPr>
              <w:t>magazynowo-dystrybucyjnej</w:t>
            </w:r>
            <w:proofErr w:type="spellEnd"/>
            <w:r w:rsidRPr="00530C80">
              <w:rPr>
                <w:rFonts w:ascii="Times New Roman" w:eastAsia="Times New Roman" w:hAnsi="Times New Roman" w:cs="Times New Roman"/>
              </w:rPr>
              <w:t xml:space="preserve">, przetwórstwa rolno-spożywczego oraz infrastruktury gospodarstw rolnych, jako kluczowych dla zapewnienia bezpieczeństwa żywnościowego oraz pełniących ważną funkcję społeczną, gospodarczą i środowiskową. </w:t>
            </w:r>
          </w:p>
          <w:p w14:paraId="409FD81F" w14:textId="77777777" w:rsidR="00530C80" w:rsidRPr="00530C80" w:rsidRDefault="00530C80" w:rsidP="00530C80">
            <w:pPr>
              <w:spacing w:after="120" w:line="240" w:lineRule="auto"/>
              <w:rPr>
                <w:rFonts w:ascii="Times New Roman" w:eastAsia="Times New Roman" w:hAnsi="Times New Roman" w:cs="Times New Roman"/>
              </w:rPr>
            </w:pPr>
            <w:r w:rsidRPr="00530C80">
              <w:rPr>
                <w:rFonts w:ascii="Times New Roman" w:eastAsia="Times New Roman" w:hAnsi="Times New Roman" w:cs="Times New Roman"/>
              </w:rPr>
              <w:t xml:space="preserve">Obiektywne okoliczności związane z dynamicznie zmieniającą się sytuacją geopolityczną w związku z wojną w Ukrainie i jej skutkami dla poszczególnych rynków rolnych, w tym wysokimi cenami środków do produkcji rolniczej i działalności przetwórczej ujawniły dodatkowe potrzeby inwestycyjne w sektorze rolno-spożywczym, w szczególności te związane z zapewnieniem bezpieczeństwa żywnościowego i zwiększeniem odporności na kryzysy na rynkach rolnych wywoływane przez inflację i zaburzenia łańcuchów dostaw. </w:t>
            </w:r>
          </w:p>
          <w:p w14:paraId="4F32EBDC" w14:textId="77777777" w:rsidR="00530C80" w:rsidRPr="00530C80" w:rsidRDefault="00530C80" w:rsidP="00530C80">
            <w:pPr>
              <w:spacing w:after="120" w:line="240" w:lineRule="auto"/>
              <w:rPr>
                <w:rFonts w:ascii="Times New Roman" w:eastAsia="Times New Roman" w:hAnsi="Times New Roman" w:cs="Times New Roman"/>
              </w:rPr>
            </w:pPr>
            <w:r w:rsidRPr="00530C80">
              <w:rPr>
                <w:rFonts w:ascii="Times New Roman" w:eastAsia="Times New Roman" w:hAnsi="Times New Roman" w:cs="Times New Roman"/>
              </w:rPr>
              <w:t>Koniunktura w polskim rolnictwie w I kwartale 2024 r. uległa dalszemu pogorszeniu. Wartość wskaźnika koniunktury (IRGAGR SGH) obniżyła się w porównaniu z IV kwartałem 2023 r. o 1,7 pkt, do wysokości -24 pkt.</w:t>
            </w:r>
          </w:p>
          <w:p w14:paraId="6F8F4583" w14:textId="77777777" w:rsidR="00530C80" w:rsidRPr="00530C80" w:rsidRDefault="00530C80" w:rsidP="00530C80">
            <w:pPr>
              <w:spacing w:after="120" w:line="240" w:lineRule="auto"/>
              <w:rPr>
                <w:rFonts w:ascii="Times New Roman" w:eastAsia="Times New Roman" w:hAnsi="Times New Roman" w:cs="Times New Roman"/>
              </w:rPr>
            </w:pPr>
            <w:r w:rsidRPr="00530C80">
              <w:rPr>
                <w:rFonts w:ascii="Times New Roman" w:eastAsia="Times New Roman" w:hAnsi="Times New Roman" w:cs="Times New Roman"/>
              </w:rPr>
              <w:t>Polska branża rolno - spożywcza została już wcześniej dotknięta zakłóceniami rynkowymi w okresie pandemii przejawiającymi się m.in. utrudnieniami w obrocie, w tym w dostępie do rynków zbytu. Sektor rolno-spożywczy jest w sposób ciągły dotykany „kryzysami zbożowymi” i innymi związanymi z trudnościami w imporcie produktów rolnych z Ukrainy. Rosja nadal używa żywności jako broni w swojej wojnie przeciwko Ukrainie. Nadpodaż produktów rolnych z Rosji negatywnie wpływa na sytuację popytowo-podażową na europejskich rynkach rolnych. „Kryzysy żywnościowe” związane z trudnościami w imporcie i tranzycie produktów rolnych z Ukrainy skutkują spadkiem cen zakupu tych produktów w kraju i w UE. Prowadzi to również do wzrostu kosztów  budowy lub zakupu magazynów i silosów zbożowych, niezbędnych dla zwiększenia powierzchni magazynowej, oraz wzrostu nadwyżek produktów koniecznych do przechowywania i dystrybucji. Powyższe okoliczności spowodowały zakłócenia na krajowym rynku rolno-spożywczym, gwałtowny wzrost cen surowców energetycznych, problemy z zapewnieniem ciągłości dostaw, co przyczyniło się do „rozlewu” niezadowolenia wśród producentów rolnych. Z drugiej strony, występuje bardzo duże zainteresowanie realizacją inwestycji po stronie wnioskodawców, dla których według stanu obecnego, brak jest środków pomocowych w ramach inwestycji A.1.4.1.</w:t>
            </w:r>
          </w:p>
          <w:p w14:paraId="666AB6B0" w14:textId="77777777" w:rsidR="00530C80" w:rsidRPr="00530C80" w:rsidRDefault="00530C80" w:rsidP="00530C80">
            <w:pPr>
              <w:spacing w:after="120" w:line="240" w:lineRule="auto"/>
              <w:rPr>
                <w:rFonts w:ascii="Times New Roman" w:eastAsia="Times New Roman" w:hAnsi="Times New Roman" w:cs="Times New Roman"/>
              </w:rPr>
            </w:pPr>
            <w:r w:rsidRPr="00530C80">
              <w:rPr>
                <w:rFonts w:ascii="Times New Roman" w:eastAsia="Times New Roman" w:hAnsi="Times New Roman" w:cs="Times New Roman"/>
              </w:rPr>
              <w:t xml:space="preserve">W związku z nowymi wyzwaniami stojącymi przed europejskim i polskim rolnictwem, w tym wynikającymi z Europejskiego Zielonego Ładu i Planu Strategicznego WPR, konieczne jest wprowadzanie w gospodarstwach nowych i nowoczesnych rozwiązań, które docelowo pozwolą m.in. na zmniejszenie kosztów produkcji przy jednoczesnym zapewnieniu optymalnego poziomu ochrony środowiska naturalnego. Drugim aspektem jest stale postępujący rozwój nowoczesnych technologii, w tym wzrost znaczenia rolnictwa precyzyjnego, wykorzystującego autonomiczne maszyny i </w:t>
            </w:r>
            <w:r w:rsidRPr="00530C80">
              <w:rPr>
                <w:rFonts w:ascii="Times New Roman" w:eastAsia="Times New Roman" w:hAnsi="Times New Roman" w:cs="Times New Roman"/>
              </w:rPr>
              <w:lastRenderedPageBreak/>
              <w:t>urządzenia oraz zaawansowane systemy informatyczne wspomagające procesy podejmowania decyzji.</w:t>
            </w:r>
          </w:p>
          <w:p w14:paraId="26EF60C5" w14:textId="77777777" w:rsidR="00530C80" w:rsidRPr="00530C80" w:rsidRDefault="00530C80" w:rsidP="00530C80">
            <w:pPr>
              <w:spacing w:after="120" w:line="240" w:lineRule="auto"/>
              <w:rPr>
                <w:rFonts w:ascii="Times New Roman" w:eastAsia="Times New Roman" w:hAnsi="Times New Roman" w:cs="Times New Roman"/>
              </w:rPr>
            </w:pPr>
            <w:r w:rsidRPr="00530C80">
              <w:rPr>
                <w:rFonts w:ascii="Times New Roman" w:eastAsia="Times New Roman" w:hAnsi="Times New Roman" w:cs="Times New Roman"/>
              </w:rPr>
              <w:t>W związku z tym, potrzeby rozwoju infrastruktury rynkowej w szczególności w zakresie przechowywania, logistyki i dystrybucji produktów rolnych i przetworzonych, nabierają szczególnego znaczenia.  Inwestycje w zakresie infrastruktury przechowalniczej będą działaby, jako bufory magazynowe w okresach nadwyżek produktów rolnych.</w:t>
            </w:r>
          </w:p>
          <w:p w14:paraId="48602F72" w14:textId="77777777" w:rsidR="00530C80" w:rsidRPr="00530C80" w:rsidRDefault="00530C80" w:rsidP="00530C80">
            <w:pPr>
              <w:spacing w:after="120" w:line="240" w:lineRule="auto"/>
              <w:rPr>
                <w:rFonts w:ascii="Times New Roman" w:eastAsia="Times New Roman" w:hAnsi="Times New Roman" w:cs="Times New Roman"/>
              </w:rPr>
            </w:pPr>
            <w:r w:rsidRPr="00530C80">
              <w:rPr>
                <w:rFonts w:ascii="Times New Roman" w:eastAsia="Times New Roman" w:hAnsi="Times New Roman" w:cs="Times New Roman"/>
              </w:rPr>
              <w:t xml:space="preserve">To wszystko spowodowało zwiększenie zainteresowania przedsiębiorców inwestycjami, o czym świadczy duża liczba wniosków złożonych w ramach naborów w inwestycji A1.4.1 sprzed i po I rewizji KPO. Przykładowo w naborze rozpoczętym 15 listopada 2023 r. (i planowanym do zakończenia w dn. 15 grudnia 2023 r.) na wsparcie dla rolników w zakresie rolnictwa 4.0 już po 3 dniach konieczne było zamknięcie naboru w związku z olbrzymim zainteresowaniem. W naborze tym do 17 listopada 2023 r. rolnicy złożyli łącznie 10351 wniosków na kwotę 1,62 mld zł. A w ramach naboru realizowanego dla rolników i rybaków na tzw. „małe przetwórstwo” w okresie od 3 stycznia 2024 r. do 5 lutego 2024 r. złożono łącznie 4 300 wniosków na łączną kwotę 1,55 mld zł. Natomiast w naborze wniosków na wymianę pokryć dachowych z azbestu przeprowadzonym w okresie 15 grudnia 2023 – 12 stycznia 2024 r. złożono 45 422 wniosków o objęcie wsparciem na kwotę ok. 553,67 mln zł. Również I rewizja KPO podwyższająca budżet na tworzenie centrów </w:t>
            </w:r>
            <w:proofErr w:type="spellStart"/>
            <w:r w:rsidRPr="00530C80">
              <w:rPr>
                <w:rFonts w:ascii="Times New Roman" w:eastAsia="Times New Roman" w:hAnsi="Times New Roman" w:cs="Times New Roman"/>
              </w:rPr>
              <w:t>dystrybucyjno</w:t>
            </w:r>
            <w:proofErr w:type="spellEnd"/>
            <w:r w:rsidRPr="00530C80">
              <w:rPr>
                <w:rFonts w:ascii="Times New Roman" w:eastAsia="Times New Roman" w:hAnsi="Times New Roman" w:cs="Times New Roman"/>
              </w:rPr>
              <w:t>–magazynowych w wysokości ok. 115 mln euro nie jest wystarczająca na zaspokojenie potrzeb inwestycyjnych wnioskodawców spełniających zasady przyznawania wsparcia.</w:t>
            </w:r>
          </w:p>
          <w:p w14:paraId="2D090600" w14:textId="45BE110E" w:rsidR="00530C80" w:rsidRPr="00530C80" w:rsidRDefault="00530C80" w:rsidP="00530C80">
            <w:pPr>
              <w:widowControl w:val="0"/>
              <w:spacing w:after="100" w:line="240" w:lineRule="auto"/>
              <w:rPr>
                <w:rFonts w:ascii="Times New Roman" w:eastAsia="Times New Roman" w:hAnsi="Times New Roman" w:cs="Times New Roman"/>
              </w:rPr>
            </w:pPr>
            <w:r w:rsidRPr="00530C80">
              <w:rPr>
                <w:rFonts w:ascii="Times New Roman" w:eastAsia="Times New Roman" w:hAnsi="Times New Roman" w:cs="Times New Roman"/>
              </w:rPr>
              <w:t>W związku z protestami rolników, w trakcie których podnoszone są m.in. kwestie zobowiązań wynikających z Europejskiego Zielonego Ładu, powstała potrzeba szerszych działań ukierunkowanych na podnoszenie wiedzy i umiejętności rolników i mieszkańców wsi w zakresie wykorzystania nowoczesnych technologii, w szczególności rozwiązań rolnictwa 4.0, w sprostaniu nowym wyzwaniom.</w:t>
            </w:r>
            <w:r w:rsidR="002E233C">
              <w:rPr>
                <w:rFonts w:ascii="Times New Roman" w:eastAsia="Times New Roman" w:hAnsi="Times New Roman" w:cs="Times New Roman"/>
              </w:rPr>
              <w:t xml:space="preserve"> </w:t>
            </w:r>
            <w:r w:rsidRPr="00530C80">
              <w:rPr>
                <w:rFonts w:ascii="Times New Roman" w:eastAsia="Times New Roman" w:hAnsi="Times New Roman" w:cs="Times New Roman"/>
              </w:rPr>
              <w:t>W związku z nowymi wyzwaniami stojącymi przez europejskim i polskim rolnictwem, w tym wynikającymi z Europejskiego Zielonego Ładu i Planu Strategicznego WPR, konieczne jest wprowadzanie w gospodarstwach nowych i nowoczesnych rozwiązań, które docelowo pozwolą m.in. na zmniejszenie kosztów produkcji przy jednoczesnym zapewnieniu optymalnego poziomu ochrony środowiska naturalnego. Drugim aspektem jest stale postępujący rozwój nowoczesnych technologii, w tym wzrost znaczenia rolnictwa precyzyjnego, wykorzystującego autonomiczne maszyny i urządzenia oraz zaawansowane systemy informatyczne wspomagające procesy zarządzania gospodarstwem i podejmowania decyzji.</w:t>
            </w:r>
          </w:p>
          <w:p w14:paraId="4E3802D1" w14:textId="77777777" w:rsidR="00530C80" w:rsidRPr="00530C80" w:rsidRDefault="00530C80" w:rsidP="00530C80">
            <w:pPr>
              <w:widowControl w:val="0"/>
              <w:spacing w:after="100" w:line="240" w:lineRule="auto"/>
              <w:rPr>
                <w:rFonts w:ascii="Times New Roman" w:eastAsia="Times New Roman" w:hAnsi="Times New Roman" w:cs="Times New Roman"/>
              </w:rPr>
            </w:pPr>
            <w:r w:rsidRPr="00530C80">
              <w:rPr>
                <w:rFonts w:ascii="Times New Roman" w:eastAsia="Times New Roman" w:hAnsi="Times New Roman" w:cs="Times New Roman"/>
              </w:rPr>
              <w:t>W celu prowadzenia działań edukacyjnych w powyższym zakresie, niezbędne jest unowocześnienie bazy dydaktyczno-demonstracyjnej jednostek doradztwa rolniczego i szkół rolniczych.</w:t>
            </w:r>
          </w:p>
          <w:p w14:paraId="55D0FD71" w14:textId="77777777" w:rsidR="00530C80" w:rsidRPr="00530C80" w:rsidRDefault="00530C80" w:rsidP="00530C80">
            <w:pPr>
              <w:widowControl w:val="0"/>
              <w:spacing w:after="0" w:line="240" w:lineRule="auto"/>
              <w:rPr>
                <w:rFonts w:ascii="Times New Roman" w:eastAsia="Times New Roman" w:hAnsi="Times New Roman" w:cs="Times New Roman"/>
              </w:rPr>
            </w:pPr>
            <w:r w:rsidRPr="00530C80">
              <w:rPr>
                <w:rFonts w:ascii="Times New Roman" w:eastAsia="Times New Roman" w:hAnsi="Times New Roman" w:cs="Times New Roman"/>
              </w:rPr>
              <w:t>Jednostki doradztwa rolniczego są państwowymi jednostkami organizacyjnymi posiadającymi osobowość prawną, których główne zadania ustawowe to prowadzenie doradztwa rolniczego oraz podnoszenie poziomu kwalifikacji zawodowych rolników i innych mieszkańców obszarów wiejskich. Jednostki te wspierają postęp w rolnictwie, dostarczając rolnikom i mieszkańcom obszarów wiejskich niezbędnej wiedzy i umiejętności w zakresie rolnictwa i jego otoczenia. Aby zapewnić rolnikom możliwość praktycznego zapoznania się z nowoczesnymi i innowacyjnymi rozwiązaniami</w:t>
            </w:r>
          </w:p>
          <w:p w14:paraId="4D97B902" w14:textId="77777777" w:rsidR="00530C80" w:rsidRPr="00530C80" w:rsidRDefault="00530C80" w:rsidP="00530C80">
            <w:pPr>
              <w:widowControl w:val="0"/>
              <w:spacing w:after="0" w:line="240" w:lineRule="auto"/>
              <w:rPr>
                <w:rFonts w:ascii="Times New Roman" w:eastAsia="Times New Roman" w:hAnsi="Times New Roman" w:cs="Times New Roman"/>
              </w:rPr>
            </w:pPr>
            <w:r w:rsidRPr="00530C80">
              <w:rPr>
                <w:rFonts w:ascii="Times New Roman" w:eastAsia="Times New Roman" w:hAnsi="Times New Roman" w:cs="Times New Roman"/>
              </w:rPr>
              <w:t>w produkcji rolnej, niezbędna jest odpowiednia baza dydaktyczna do</w:t>
            </w:r>
          </w:p>
          <w:p w14:paraId="50A15D37" w14:textId="77777777" w:rsidR="00530C80" w:rsidRPr="00530C80" w:rsidRDefault="00530C80" w:rsidP="00530C80">
            <w:pPr>
              <w:widowControl w:val="0"/>
              <w:spacing w:after="100" w:line="240" w:lineRule="auto"/>
              <w:rPr>
                <w:rFonts w:ascii="Times New Roman" w:eastAsia="Times New Roman" w:hAnsi="Times New Roman" w:cs="Times New Roman"/>
              </w:rPr>
            </w:pPr>
            <w:r w:rsidRPr="00530C80">
              <w:rPr>
                <w:rFonts w:ascii="Times New Roman" w:eastAsia="Times New Roman" w:hAnsi="Times New Roman" w:cs="Times New Roman"/>
              </w:rPr>
              <w:t xml:space="preserve">prowadzenia praktycznych szkoleń, demonstracji, pokazów, a tym samym - </w:t>
            </w:r>
            <w:r w:rsidRPr="00530C80">
              <w:rPr>
                <w:rFonts w:ascii="Times New Roman" w:eastAsia="Times New Roman" w:hAnsi="Times New Roman" w:cs="Times New Roman"/>
              </w:rPr>
              <w:lastRenderedPageBreak/>
              <w:t>promocji wdrażania innowacyjnych rozwiązań w gospodarstwach rolnych.</w:t>
            </w:r>
          </w:p>
          <w:p w14:paraId="5981D880"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Szkoły rolnicze są instytucjami publicznymi działającymi w obszarze oświaty i wychowania, których działalnością statutową jest edukacja, wychowanie i opieka ale jednocześnie są placówkami posiadającymi i prowadzącymi gospodarstwa rolnicze. Zapewniają nowoczesne kształcenie wspierając postęp w rolnictwie, dostarczając uczniom niezbędnej wiedzy i umiejętności w zakresie rolnictwa i jego otoczenia. Przygotowują wykwalifikowaną kadrę, odznaczającą wysokim poziomem wiedzy merytorycznej i zawodowej do wejścia na lokalny rynek pracy, w tym do prowadzenia produkcji rolniczej we własnym gospodarstwie. Aby spełnić swoją rolę i tym samym zapewnić uczniom możliwość praktycznego zapoznania się z nowoczesnymi i innowacyjnymi rozwiązaniami w produkcji rolnej, niezbędna jest odpowiednia baza dydaktyczna do prowadzenia praktycznej nauki zawodu, gdzie uczeń zdobędzie wiedzę, umiejętności i praktykę poprzez obserwację, naukę a przede wszystkim doświadczenie i działanie.</w:t>
            </w:r>
          </w:p>
        </w:tc>
      </w:tr>
      <w:tr w:rsidR="00530C80" w:rsidRPr="00530C80" w14:paraId="452C722B" w14:textId="77777777" w:rsidTr="00530C80">
        <w:tc>
          <w:tcPr>
            <w:tcW w:w="1094" w:type="pct"/>
          </w:tcPr>
          <w:p w14:paraId="05EF31E6"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lastRenderedPageBreak/>
              <w:t>Szacowany koszt</w:t>
            </w:r>
          </w:p>
        </w:tc>
        <w:tc>
          <w:tcPr>
            <w:tcW w:w="3906" w:type="pct"/>
            <w:gridSpan w:val="2"/>
          </w:tcPr>
          <w:p w14:paraId="4459E932" w14:textId="77777777" w:rsidR="00530C80" w:rsidRPr="00C83756" w:rsidRDefault="00530C80" w:rsidP="00530C80">
            <w:pPr>
              <w:spacing w:after="120" w:line="240" w:lineRule="auto"/>
              <w:rPr>
                <w:rFonts w:ascii="Times New Roman" w:hAnsi="Times New Roman" w:cs="Times New Roman"/>
                <w:color w:val="FF0000"/>
              </w:rPr>
            </w:pPr>
            <w:r w:rsidRPr="00C83756">
              <w:rPr>
                <w:rFonts w:ascii="Times New Roman" w:hAnsi="Times New Roman" w:cs="Times New Roman"/>
                <w:color w:val="FF0000"/>
              </w:rPr>
              <w:t xml:space="preserve">Zwiększenie budżetu inwestycji A1.4.1 </w:t>
            </w:r>
            <w:r w:rsidRPr="00C40440">
              <w:rPr>
                <w:rFonts w:ascii="Times New Roman" w:hAnsi="Times New Roman" w:cs="Times New Roman"/>
                <w:i/>
                <w:color w:val="FF0000"/>
              </w:rPr>
              <w:t>Inwestycje na rzecz dywersyfikacji i skracania łańcucha dostaw produktów rolnych i spożywczych oraz budowy odporności podmiotów uczestniczących w łańcuchu</w:t>
            </w:r>
            <w:r w:rsidRPr="00C40440">
              <w:rPr>
                <w:rFonts w:ascii="Times New Roman" w:hAnsi="Times New Roman" w:cs="Times New Roman"/>
                <w:color w:val="FF0000"/>
              </w:rPr>
              <w:t xml:space="preserve"> </w:t>
            </w:r>
            <w:r w:rsidRPr="00C83756">
              <w:rPr>
                <w:rFonts w:ascii="Times New Roman" w:hAnsi="Times New Roman" w:cs="Times New Roman"/>
                <w:color w:val="FF0000"/>
              </w:rPr>
              <w:t>o 600 000 000,00 EUR. Kwota ta obejmuje:</w:t>
            </w:r>
          </w:p>
          <w:p w14:paraId="4853F62F" w14:textId="77777777" w:rsidR="00530C80" w:rsidRPr="00C83756" w:rsidRDefault="00530C80" w:rsidP="00C40440">
            <w:pPr>
              <w:numPr>
                <w:ilvl w:val="0"/>
                <w:numId w:val="21"/>
              </w:numPr>
              <w:spacing w:after="120" w:line="240" w:lineRule="auto"/>
              <w:ind w:left="498"/>
              <w:contextualSpacing/>
              <w:rPr>
                <w:rFonts w:ascii="Times New Roman" w:eastAsia="Times New Roman" w:hAnsi="Times New Roman" w:cs="Times New Roman"/>
                <w:color w:val="FF0000"/>
              </w:rPr>
            </w:pPr>
            <w:r w:rsidRPr="00C83756">
              <w:rPr>
                <w:rFonts w:ascii="Times New Roman" w:eastAsia="Times New Roman" w:hAnsi="Times New Roman" w:cs="Times New Roman"/>
                <w:color w:val="FF0000"/>
              </w:rPr>
              <w:t xml:space="preserve">Zwiększenie </w:t>
            </w:r>
            <w:proofErr w:type="spellStart"/>
            <w:r w:rsidRPr="00C83756">
              <w:rPr>
                <w:rFonts w:ascii="Times New Roman" w:eastAsia="Times New Roman" w:hAnsi="Times New Roman" w:cs="Times New Roman"/>
                <w:color w:val="FF0000"/>
              </w:rPr>
              <w:t>subbudżetu</w:t>
            </w:r>
            <w:proofErr w:type="spellEnd"/>
            <w:r w:rsidRPr="00C83756">
              <w:rPr>
                <w:rFonts w:ascii="Times New Roman" w:eastAsia="Times New Roman" w:hAnsi="Times New Roman" w:cs="Times New Roman"/>
                <w:color w:val="FF0000"/>
              </w:rPr>
              <w:t xml:space="preserve"> A1.4.1.1 do wartości 1 705 674 444,29  EUR (wzrost o 434 112 121,00 EUR)</w:t>
            </w:r>
          </w:p>
          <w:p w14:paraId="58184CCD" w14:textId="77777777" w:rsidR="00530C80" w:rsidRPr="00C83756" w:rsidRDefault="00530C80" w:rsidP="00C40440">
            <w:pPr>
              <w:numPr>
                <w:ilvl w:val="0"/>
                <w:numId w:val="21"/>
              </w:numPr>
              <w:spacing w:after="120" w:line="240" w:lineRule="auto"/>
              <w:ind w:left="498"/>
              <w:contextualSpacing/>
              <w:rPr>
                <w:rFonts w:ascii="Times New Roman" w:eastAsia="Times New Roman" w:hAnsi="Times New Roman" w:cs="Times New Roman"/>
                <w:color w:val="FF0000"/>
              </w:rPr>
            </w:pPr>
            <w:r w:rsidRPr="00C83756">
              <w:rPr>
                <w:rFonts w:ascii="Times New Roman" w:eastAsia="Times New Roman" w:hAnsi="Times New Roman" w:cs="Times New Roman"/>
                <w:color w:val="FF0000"/>
              </w:rPr>
              <w:t xml:space="preserve">Zwiększenie </w:t>
            </w:r>
            <w:proofErr w:type="spellStart"/>
            <w:r w:rsidRPr="00C83756">
              <w:rPr>
                <w:rFonts w:ascii="Times New Roman" w:eastAsia="Times New Roman" w:hAnsi="Times New Roman" w:cs="Times New Roman"/>
                <w:color w:val="FF0000"/>
              </w:rPr>
              <w:t>subbudżetu</w:t>
            </w:r>
            <w:proofErr w:type="spellEnd"/>
            <w:r w:rsidRPr="00C83756">
              <w:rPr>
                <w:rFonts w:ascii="Times New Roman" w:eastAsia="Times New Roman" w:hAnsi="Times New Roman" w:cs="Times New Roman"/>
                <w:color w:val="FF0000"/>
              </w:rPr>
              <w:t xml:space="preserve"> A1.4.1.2 rolnictwo 4.0 do wartości 253 167 879,00 EUR (wzrost o 143 387 879,00 EUR)</w:t>
            </w:r>
          </w:p>
          <w:p w14:paraId="37474B9C" w14:textId="77777777" w:rsidR="00530C80" w:rsidRPr="00C83756" w:rsidRDefault="00530C80" w:rsidP="00C40440">
            <w:pPr>
              <w:numPr>
                <w:ilvl w:val="0"/>
                <w:numId w:val="21"/>
              </w:numPr>
              <w:spacing w:after="120" w:line="240" w:lineRule="auto"/>
              <w:ind w:left="498"/>
              <w:contextualSpacing/>
              <w:rPr>
                <w:rFonts w:ascii="Times New Roman" w:eastAsia="Times New Roman" w:hAnsi="Times New Roman" w:cs="Times New Roman"/>
                <w:color w:val="FF0000"/>
              </w:rPr>
            </w:pPr>
            <w:r w:rsidRPr="00C83756">
              <w:rPr>
                <w:rFonts w:ascii="Times New Roman" w:eastAsia="Times New Roman" w:hAnsi="Times New Roman" w:cs="Times New Roman"/>
                <w:color w:val="FF0000"/>
              </w:rPr>
              <w:t xml:space="preserve">Dodanie nowego </w:t>
            </w:r>
            <w:proofErr w:type="spellStart"/>
            <w:r w:rsidRPr="00C83756">
              <w:rPr>
                <w:rFonts w:ascii="Times New Roman" w:eastAsia="Times New Roman" w:hAnsi="Times New Roman" w:cs="Times New Roman"/>
                <w:color w:val="FF0000"/>
              </w:rPr>
              <w:t>subbudżetu</w:t>
            </w:r>
            <w:proofErr w:type="spellEnd"/>
            <w:r w:rsidRPr="00C83756">
              <w:rPr>
                <w:rFonts w:ascii="Times New Roman" w:eastAsia="Times New Roman" w:hAnsi="Times New Roman" w:cs="Times New Roman"/>
                <w:color w:val="FF0000"/>
              </w:rPr>
              <w:t xml:space="preserve"> dla nowej </w:t>
            </w:r>
            <w:proofErr w:type="spellStart"/>
            <w:r w:rsidRPr="00C83756">
              <w:rPr>
                <w:rFonts w:ascii="Times New Roman" w:eastAsia="Times New Roman" w:hAnsi="Times New Roman" w:cs="Times New Roman"/>
                <w:color w:val="FF0000"/>
              </w:rPr>
              <w:t>subinwestycji</w:t>
            </w:r>
            <w:proofErr w:type="spellEnd"/>
            <w:r w:rsidRPr="00C83756">
              <w:rPr>
                <w:rFonts w:ascii="Times New Roman" w:eastAsia="Times New Roman" w:hAnsi="Times New Roman" w:cs="Times New Roman"/>
                <w:color w:val="FF0000"/>
              </w:rPr>
              <w:t xml:space="preserve"> A1.4.1.3 </w:t>
            </w:r>
            <w:r w:rsidRPr="00C83756">
              <w:rPr>
                <w:rFonts w:ascii="Times New Roman" w:eastAsia="Times New Roman" w:hAnsi="Times New Roman" w:cs="Times New Roman"/>
                <w:i/>
                <w:color w:val="FF0000"/>
              </w:rPr>
              <w:t>Unowocześnienie bazy dydaktycznej i demonstracyjnej na potrzeby edukacji w zakresie rolnictwa 4.0</w:t>
            </w:r>
            <w:r w:rsidRPr="00C83756">
              <w:rPr>
                <w:rFonts w:ascii="Times New Roman" w:eastAsia="Times New Roman" w:hAnsi="Times New Roman" w:cs="Times New Roman"/>
                <w:color w:val="FF0000"/>
              </w:rPr>
              <w:t xml:space="preserve"> o wartości 22,5 mln EUR </w:t>
            </w:r>
          </w:p>
        </w:tc>
      </w:tr>
      <w:tr w:rsidR="00530C80" w:rsidRPr="00530C80" w14:paraId="33AECA45" w14:textId="77777777" w:rsidTr="00530C80">
        <w:tc>
          <w:tcPr>
            <w:tcW w:w="1094" w:type="pct"/>
          </w:tcPr>
          <w:p w14:paraId="5524B4EF"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Cyfrowy i klimatyczny </w:t>
            </w:r>
            <w:proofErr w:type="spellStart"/>
            <w:r w:rsidRPr="00530C80">
              <w:rPr>
                <w:rFonts w:ascii="Times New Roman" w:hAnsi="Times New Roman" w:cs="Times New Roman"/>
              </w:rPr>
              <w:t>tagging</w:t>
            </w:r>
            <w:proofErr w:type="spellEnd"/>
            <w:r w:rsidRPr="00530C80">
              <w:rPr>
                <w:rFonts w:ascii="Times New Roman" w:hAnsi="Times New Roman" w:cs="Times New Roman"/>
              </w:rPr>
              <w:t xml:space="preserve"> </w:t>
            </w:r>
          </w:p>
        </w:tc>
        <w:tc>
          <w:tcPr>
            <w:tcW w:w="3906" w:type="pct"/>
            <w:gridSpan w:val="2"/>
          </w:tcPr>
          <w:p w14:paraId="7C3E2271" w14:textId="7AEA51D6" w:rsidR="00530C80" w:rsidRPr="00530C80" w:rsidRDefault="00530C80" w:rsidP="00530C80">
            <w:pPr>
              <w:widowControl w:val="0"/>
              <w:spacing w:after="100" w:line="240" w:lineRule="auto"/>
              <w:rPr>
                <w:rFonts w:ascii="Times New Roman" w:eastAsia="Times New Roman" w:hAnsi="Times New Roman" w:cs="Times New Roman"/>
                <w:color w:val="000000"/>
                <w:lang w:eastAsia="pl-PL" w:bidi="pl-PL"/>
              </w:rPr>
            </w:pPr>
            <w:r w:rsidRPr="00530C80">
              <w:rPr>
                <w:rFonts w:ascii="Times New Roman" w:eastAsia="Times New Roman" w:hAnsi="Times New Roman" w:cs="Times New Roman"/>
                <w:color w:val="000000"/>
                <w:lang w:eastAsia="pl-PL" w:bidi="pl-PL"/>
              </w:rPr>
              <w:t xml:space="preserve">Zmiana ma pozytywny wpływ na </w:t>
            </w:r>
            <w:proofErr w:type="spellStart"/>
            <w:r w:rsidRPr="00530C80">
              <w:rPr>
                <w:rFonts w:ascii="Times New Roman" w:eastAsia="Times New Roman" w:hAnsi="Times New Roman" w:cs="Times New Roman"/>
                <w:color w:val="000000"/>
                <w:lang w:eastAsia="pl-PL" w:bidi="pl-PL"/>
              </w:rPr>
              <w:t>tagging</w:t>
            </w:r>
            <w:proofErr w:type="spellEnd"/>
            <w:r w:rsidRPr="00530C80">
              <w:rPr>
                <w:rFonts w:ascii="Times New Roman" w:eastAsia="Times New Roman" w:hAnsi="Times New Roman" w:cs="Times New Roman"/>
                <w:color w:val="000000"/>
                <w:lang w:eastAsia="pl-PL" w:bidi="pl-PL"/>
              </w:rPr>
              <w:t xml:space="preserve"> cyfrowy.</w:t>
            </w:r>
          </w:p>
          <w:p w14:paraId="76BC3F49" w14:textId="0A527DF9" w:rsidR="00530C80" w:rsidRPr="00530C80" w:rsidRDefault="00530C80" w:rsidP="00530C80">
            <w:pPr>
              <w:widowControl w:val="0"/>
              <w:spacing w:after="100" w:line="240" w:lineRule="auto"/>
              <w:rPr>
                <w:rFonts w:ascii="Times New Roman" w:eastAsia="Times New Roman" w:hAnsi="Times New Roman" w:cs="Times New Roman"/>
              </w:rPr>
            </w:pPr>
            <w:r w:rsidRPr="00530C80">
              <w:rPr>
                <w:rFonts w:ascii="Times New Roman" w:eastAsia="Times New Roman" w:hAnsi="Times New Roman" w:cs="Times New Roman"/>
              </w:rPr>
              <w:t xml:space="preserve">Zwiększany jest budżet na </w:t>
            </w:r>
            <w:proofErr w:type="spellStart"/>
            <w:r w:rsidRPr="00530C80">
              <w:rPr>
                <w:rFonts w:ascii="Times New Roman" w:eastAsia="Times New Roman" w:hAnsi="Times New Roman" w:cs="Times New Roman"/>
              </w:rPr>
              <w:t>subinwestycję</w:t>
            </w:r>
            <w:proofErr w:type="spellEnd"/>
            <w:r w:rsidR="002E233C">
              <w:rPr>
                <w:rFonts w:ascii="Times New Roman" w:eastAsia="Times New Roman" w:hAnsi="Times New Roman" w:cs="Times New Roman"/>
              </w:rPr>
              <w:t xml:space="preserve"> </w:t>
            </w:r>
            <w:r w:rsidR="002E233C" w:rsidRPr="003B4E6E">
              <w:rPr>
                <w:rFonts w:ascii="Times New Roman" w:eastAsia="Times New Roman" w:hAnsi="Times New Roman" w:cs="Times New Roman"/>
              </w:rPr>
              <w:t>A1.4.1.2</w:t>
            </w:r>
            <w:r w:rsidRPr="00530C80">
              <w:rPr>
                <w:rFonts w:ascii="Times New Roman" w:eastAsia="Times New Roman" w:hAnsi="Times New Roman" w:cs="Times New Roman"/>
              </w:rPr>
              <w:t>, w ramach której wszystkie wspierane przedsięwzięcia związane będą z wprowadzeniem rozwiązań cyfrowych</w:t>
            </w:r>
            <w:r w:rsidR="002E233C">
              <w:rPr>
                <w:rFonts w:ascii="Times New Roman" w:eastAsia="Times New Roman" w:hAnsi="Times New Roman" w:cs="Times New Roman"/>
              </w:rPr>
              <w:t xml:space="preserve"> (</w:t>
            </w:r>
            <w:r w:rsidR="002E233C" w:rsidRPr="003B4E6E">
              <w:rPr>
                <w:rFonts w:ascii="Times New Roman" w:eastAsia="Times New Roman" w:hAnsi="Times New Roman" w:cs="Times New Roman"/>
              </w:rPr>
              <w:t>wzrost o 143 387 879,00 EUR</w:t>
            </w:r>
            <w:r w:rsidR="002E233C">
              <w:rPr>
                <w:rFonts w:ascii="Times New Roman" w:eastAsia="Times New Roman" w:hAnsi="Times New Roman" w:cs="Times New Roman"/>
              </w:rPr>
              <w:t>)</w:t>
            </w:r>
          </w:p>
          <w:p w14:paraId="2ED4C5A3" w14:textId="5D74A8CF"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Unowocześnienie bazy dydaktycznej i demonstracyjnej jednostek prowadzących działania edukacyjne dla rolników i mieszkańców obszarów wiejskich będzie miało pozytywny wpływ na realizację celów klimatycznych</w:t>
            </w:r>
            <w:r w:rsidR="00372527">
              <w:rPr>
                <w:rFonts w:ascii="Times New Roman" w:hAnsi="Times New Roman" w:cs="Times New Roman"/>
              </w:rPr>
              <w:t>.</w:t>
            </w:r>
          </w:p>
        </w:tc>
      </w:tr>
      <w:tr w:rsidR="00530C80" w:rsidRPr="00530C80" w14:paraId="4E12BE90" w14:textId="77777777" w:rsidTr="00530C80">
        <w:tc>
          <w:tcPr>
            <w:tcW w:w="1094" w:type="pct"/>
            <w:tcBorders>
              <w:bottom w:val="single" w:sz="4" w:space="0" w:color="auto"/>
            </w:tcBorders>
          </w:tcPr>
          <w:p w14:paraId="53927A8E"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Zasada DNSH </w:t>
            </w:r>
          </w:p>
        </w:tc>
        <w:tc>
          <w:tcPr>
            <w:tcW w:w="3906" w:type="pct"/>
            <w:gridSpan w:val="2"/>
            <w:tcBorders>
              <w:bottom w:val="single" w:sz="4" w:space="0" w:color="auto"/>
            </w:tcBorders>
          </w:tcPr>
          <w:p w14:paraId="357469FC" w14:textId="19B77D6B" w:rsidR="00530C80" w:rsidRPr="00530C80" w:rsidRDefault="00372527" w:rsidP="00530C80">
            <w:pPr>
              <w:spacing w:after="120" w:line="240" w:lineRule="auto"/>
              <w:rPr>
                <w:rFonts w:ascii="Times New Roman" w:hAnsi="Times New Roman" w:cs="Times New Roman"/>
              </w:rPr>
            </w:pPr>
            <w:r w:rsidRPr="00AC516C">
              <w:rPr>
                <w:rFonts w:ascii="Times New Roman" w:hAnsi="Times New Roman" w:cs="Times New Roman"/>
              </w:rPr>
              <w:t>Zmiana nie ma wpływu na DNSH</w:t>
            </w:r>
            <w:r w:rsidRPr="00530C80" w:rsidDel="00372527">
              <w:rPr>
                <w:rFonts w:ascii="Times New Roman" w:hAnsi="Times New Roman" w:cs="Times New Roman"/>
              </w:rPr>
              <w:t xml:space="preserve"> </w:t>
            </w:r>
          </w:p>
        </w:tc>
      </w:tr>
      <w:tr w:rsidR="00530C80" w:rsidRPr="00530C80" w14:paraId="37CD6532" w14:textId="77777777" w:rsidTr="00530C80">
        <w:tc>
          <w:tcPr>
            <w:tcW w:w="1094" w:type="pct"/>
            <w:tcBorders>
              <w:bottom w:val="single" w:sz="4" w:space="0" w:color="auto"/>
            </w:tcBorders>
          </w:tcPr>
          <w:p w14:paraId="4025883C" w14:textId="77777777" w:rsidR="00530C80" w:rsidRPr="00530C80" w:rsidRDefault="00530C80" w:rsidP="00530C80">
            <w:pPr>
              <w:spacing w:after="120" w:line="240" w:lineRule="auto"/>
              <w:rPr>
                <w:rFonts w:ascii="Times New Roman" w:hAnsi="Times New Roman" w:cs="Times New Roman"/>
              </w:rPr>
            </w:pPr>
            <w:r w:rsidRPr="00530C80">
              <w:rPr>
                <w:rFonts w:ascii="Times New Roman" w:hAnsi="Times New Roman" w:cs="Times New Roman"/>
              </w:rPr>
              <w:t xml:space="preserve">Pomoc publiczna </w:t>
            </w:r>
          </w:p>
        </w:tc>
        <w:tc>
          <w:tcPr>
            <w:tcW w:w="3906" w:type="pct"/>
            <w:gridSpan w:val="2"/>
            <w:tcBorders>
              <w:bottom w:val="single" w:sz="4" w:space="0" w:color="auto"/>
            </w:tcBorders>
          </w:tcPr>
          <w:p w14:paraId="7AE82B2D" w14:textId="2F53420C" w:rsidR="00530C80" w:rsidRPr="00530C80" w:rsidRDefault="00372527" w:rsidP="00530C80">
            <w:pPr>
              <w:spacing w:after="120" w:line="240" w:lineRule="auto"/>
              <w:rPr>
                <w:rFonts w:ascii="Times New Roman" w:hAnsi="Times New Roman" w:cs="Times New Roman"/>
              </w:rPr>
            </w:pPr>
            <w:r>
              <w:rPr>
                <w:rFonts w:ascii="Times New Roman" w:hAnsi="Times New Roman" w:cs="Times New Roman"/>
              </w:rPr>
              <w:t xml:space="preserve">Zmiana ma wpływ na pomoc publiczną. </w:t>
            </w:r>
            <w:r w:rsidR="00530C80" w:rsidRPr="00530C80">
              <w:rPr>
                <w:rFonts w:ascii="Times New Roman" w:hAnsi="Times New Roman" w:cs="Times New Roman"/>
              </w:rPr>
              <w:t>W przypadku podwyższenia kwoty zmodyfikowane programy pomocowe zostaną ponownie przekazane do KE.</w:t>
            </w:r>
          </w:p>
        </w:tc>
      </w:tr>
    </w:tbl>
    <w:p w14:paraId="2263FF1F" w14:textId="0609D221" w:rsidR="00A55933" w:rsidRDefault="00A55933" w:rsidP="00327F50">
      <w:pPr>
        <w:spacing w:after="120" w:line="240" w:lineRule="auto"/>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6"/>
        <w:gridCol w:w="3465"/>
        <w:gridCol w:w="3661"/>
      </w:tblGrid>
      <w:tr w:rsidR="00CA54E4" w:rsidRPr="00CA54E4" w14:paraId="108AA178"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4E0A2D10" w14:textId="77777777" w:rsidR="00CA54E4" w:rsidRPr="00C40440" w:rsidRDefault="00CA54E4">
            <w:pPr>
              <w:spacing w:after="120" w:line="240" w:lineRule="auto"/>
              <w:rPr>
                <w:rFonts w:ascii="Times New Roman" w:hAnsi="Times New Roman" w:cs="Times New Roman"/>
                <w:b/>
                <w:bCs/>
                <w:lang w:val="en-US"/>
              </w:rPr>
            </w:pPr>
            <w:proofErr w:type="spellStart"/>
            <w:r w:rsidRPr="00C40440">
              <w:rPr>
                <w:rFonts w:ascii="Times New Roman" w:hAnsi="Times New Roman" w:cs="Times New Roman"/>
                <w:b/>
                <w:bCs/>
                <w:lang w:val="en-US"/>
              </w:rPr>
              <w:t>Numer</w:t>
            </w:r>
            <w:proofErr w:type="spellEnd"/>
            <w:r w:rsidRPr="00C40440">
              <w:rPr>
                <w:rFonts w:ascii="Times New Roman" w:hAnsi="Times New Roman" w:cs="Times New Roman"/>
                <w:b/>
                <w:bCs/>
                <w:lang w:val="en-US"/>
              </w:rPr>
              <w:t xml:space="preserve"> </w:t>
            </w:r>
            <w:proofErr w:type="spellStart"/>
            <w:r w:rsidRPr="00C40440">
              <w:rPr>
                <w:rFonts w:ascii="Times New Roman" w:hAnsi="Times New Roman" w:cs="Times New Roman"/>
                <w:b/>
                <w:bCs/>
                <w:lang w:val="en-US"/>
              </w:rPr>
              <w:t>inwestycji</w:t>
            </w:r>
            <w:proofErr w:type="spellEnd"/>
          </w:p>
        </w:tc>
        <w:tc>
          <w:tcPr>
            <w:tcW w:w="3932" w:type="pct"/>
            <w:gridSpan w:val="2"/>
            <w:tcBorders>
              <w:top w:val="single" w:sz="4" w:space="0" w:color="auto"/>
              <w:left w:val="single" w:sz="4" w:space="0" w:color="auto"/>
              <w:bottom w:val="single" w:sz="4" w:space="0" w:color="auto"/>
              <w:right w:val="single" w:sz="4" w:space="0" w:color="auto"/>
            </w:tcBorders>
            <w:hideMark/>
          </w:tcPr>
          <w:p w14:paraId="776FA144" w14:textId="722CF00F" w:rsidR="00CA54E4" w:rsidRPr="00C40440" w:rsidRDefault="00CA54E4" w:rsidP="00C40440">
            <w:pPr>
              <w:pStyle w:val="Akapitzlist"/>
              <w:spacing w:after="120" w:line="256" w:lineRule="auto"/>
              <w:ind w:left="34"/>
              <w:rPr>
                <w:b/>
                <w:bCs/>
                <w:sz w:val="22"/>
                <w:szCs w:val="22"/>
              </w:rPr>
            </w:pPr>
            <w:r w:rsidRPr="00C40440">
              <w:rPr>
                <w:b/>
                <w:bCs/>
                <w:sz w:val="22"/>
                <w:szCs w:val="22"/>
              </w:rPr>
              <w:t>A2.4.1</w:t>
            </w:r>
            <w:r>
              <w:rPr>
                <w:b/>
                <w:bCs/>
                <w:sz w:val="22"/>
                <w:szCs w:val="22"/>
              </w:rPr>
              <w:t>.</w:t>
            </w:r>
          </w:p>
        </w:tc>
      </w:tr>
      <w:tr w:rsidR="00CA54E4" w:rsidRPr="00CA54E4" w14:paraId="01C2495E"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3161447F" w14:textId="77777777" w:rsidR="00CA54E4" w:rsidRPr="00C40440" w:rsidRDefault="00CA54E4" w:rsidP="00C40440">
            <w:pPr>
              <w:pStyle w:val="Akapitzlist"/>
              <w:spacing w:after="120" w:line="256" w:lineRule="auto"/>
              <w:ind w:left="0"/>
              <w:rPr>
                <w:b/>
                <w:bCs/>
                <w:sz w:val="22"/>
                <w:szCs w:val="22"/>
              </w:rPr>
            </w:pPr>
            <w:r w:rsidRPr="00C40440">
              <w:rPr>
                <w:b/>
                <w:bCs/>
                <w:sz w:val="22"/>
                <w:szCs w:val="22"/>
              </w:rPr>
              <w:t xml:space="preserve">Nazwa inwestycji </w:t>
            </w:r>
          </w:p>
        </w:tc>
        <w:tc>
          <w:tcPr>
            <w:tcW w:w="3932" w:type="pct"/>
            <w:gridSpan w:val="2"/>
            <w:tcBorders>
              <w:top w:val="single" w:sz="4" w:space="0" w:color="auto"/>
              <w:left w:val="single" w:sz="4" w:space="0" w:color="auto"/>
              <w:bottom w:val="single" w:sz="4" w:space="0" w:color="auto"/>
              <w:right w:val="single" w:sz="4" w:space="0" w:color="auto"/>
            </w:tcBorders>
            <w:hideMark/>
          </w:tcPr>
          <w:p w14:paraId="7B8D960C" w14:textId="77777777" w:rsidR="00CA54E4" w:rsidRPr="00C40440" w:rsidRDefault="00CA54E4" w:rsidP="00C40440">
            <w:pPr>
              <w:pStyle w:val="Akapitzlist"/>
              <w:spacing w:after="120" w:line="256" w:lineRule="auto"/>
              <w:ind w:left="0"/>
              <w:rPr>
                <w:b/>
                <w:bCs/>
                <w:sz w:val="22"/>
                <w:szCs w:val="22"/>
              </w:rPr>
            </w:pPr>
            <w:r w:rsidRPr="00C40440">
              <w:rPr>
                <w:b/>
                <w:bCs/>
                <w:sz w:val="22"/>
                <w:szCs w:val="22"/>
              </w:rPr>
              <w:t>Inwestycje w rozbudowę potencjału badawczego</w:t>
            </w:r>
          </w:p>
        </w:tc>
      </w:tr>
      <w:tr w:rsidR="00CA54E4" w:rsidRPr="00CA54E4" w14:paraId="176AAE11"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15854A22" w14:textId="77777777" w:rsidR="00CA54E4" w:rsidRPr="00C40440" w:rsidRDefault="00CA54E4" w:rsidP="00C40440">
            <w:pPr>
              <w:pStyle w:val="Akapitzlist"/>
              <w:spacing w:after="120" w:line="256" w:lineRule="auto"/>
              <w:ind w:left="67"/>
              <w:rPr>
                <w:sz w:val="22"/>
                <w:szCs w:val="22"/>
              </w:rPr>
            </w:pPr>
            <w:r w:rsidRPr="00C40440">
              <w:rPr>
                <w:sz w:val="22"/>
                <w:szCs w:val="22"/>
              </w:rPr>
              <w:t>Rodzaj wprowadzonej zmiany w odniesieniu do CID</w:t>
            </w:r>
          </w:p>
        </w:tc>
        <w:tc>
          <w:tcPr>
            <w:tcW w:w="3932" w:type="pct"/>
            <w:gridSpan w:val="2"/>
            <w:tcBorders>
              <w:top w:val="single" w:sz="4" w:space="0" w:color="auto"/>
              <w:left w:val="single" w:sz="4" w:space="0" w:color="auto"/>
              <w:bottom w:val="single" w:sz="4" w:space="0" w:color="auto"/>
              <w:right w:val="single" w:sz="4" w:space="0" w:color="auto"/>
            </w:tcBorders>
            <w:hideMark/>
          </w:tcPr>
          <w:p w14:paraId="3579A98F" w14:textId="36FB82BD" w:rsidR="00CA54E4" w:rsidRPr="00C40440" w:rsidRDefault="00CA54E4" w:rsidP="00C40440">
            <w:pPr>
              <w:pStyle w:val="Akapitzlist"/>
              <w:spacing w:after="120" w:line="256" w:lineRule="auto"/>
              <w:ind w:left="0"/>
              <w:rPr>
                <w:sz w:val="22"/>
                <w:szCs w:val="22"/>
              </w:rPr>
            </w:pPr>
            <w:r w:rsidRPr="00C40440">
              <w:rPr>
                <w:sz w:val="22"/>
                <w:szCs w:val="22"/>
              </w:rPr>
              <w:t>Modyfikacja</w:t>
            </w:r>
            <w:r>
              <w:rPr>
                <w:sz w:val="22"/>
                <w:szCs w:val="22"/>
              </w:rPr>
              <w:t xml:space="preserve"> opisu i przesunięcie terminu realizacji wskaźnika A40G</w:t>
            </w:r>
          </w:p>
        </w:tc>
      </w:tr>
      <w:tr w:rsidR="00CA54E4" w:rsidRPr="00CA54E4" w14:paraId="3CCFBF25" w14:textId="77777777" w:rsidTr="00CA54E4">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A470DA" w14:textId="77777777" w:rsidR="00CA54E4" w:rsidRPr="00C40440" w:rsidRDefault="00CA54E4" w:rsidP="00C40440">
            <w:pPr>
              <w:pStyle w:val="Akapitzlist"/>
              <w:spacing w:after="120" w:line="256" w:lineRule="auto"/>
              <w:ind w:left="67"/>
              <w:rPr>
                <w:sz w:val="22"/>
                <w:szCs w:val="22"/>
              </w:rPr>
            </w:pPr>
            <w:r w:rsidRPr="00C40440">
              <w:rPr>
                <w:sz w:val="22"/>
                <w:szCs w:val="22"/>
              </w:rPr>
              <w:t>Podstawa prawna zmiany</w:t>
            </w:r>
          </w:p>
        </w:tc>
        <w:tc>
          <w:tcPr>
            <w:tcW w:w="393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A619E"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 xml:space="preserve">Artykuł 21 rozporządzenia RRF – zmiana wynikająca z obiektywnych okoliczności </w:t>
            </w:r>
          </w:p>
        </w:tc>
      </w:tr>
      <w:tr w:rsidR="00CA54E4" w:rsidRPr="00CA54E4" w14:paraId="794EDA67" w14:textId="77777777" w:rsidTr="00CA54E4">
        <w:tc>
          <w:tcPr>
            <w:tcW w:w="10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4B2A1" w14:textId="77777777" w:rsidR="00CA54E4" w:rsidRPr="00C40440" w:rsidRDefault="00CA54E4">
            <w:pPr>
              <w:spacing w:after="120" w:line="240" w:lineRule="auto"/>
              <w:rPr>
                <w:rFonts w:ascii="Times New Roman" w:hAnsi="Times New Roman" w:cs="Times New Roman"/>
                <w:highlight w:val="lightGray"/>
                <w:lang w:val="en-US"/>
              </w:rPr>
            </w:pPr>
            <w:proofErr w:type="spellStart"/>
            <w:r w:rsidRPr="00C40440">
              <w:rPr>
                <w:rFonts w:ascii="Times New Roman" w:hAnsi="Times New Roman" w:cs="Times New Roman"/>
                <w:highlight w:val="lightGray"/>
                <w:lang w:val="en-US"/>
              </w:rPr>
              <w:t>Modyfikowany</w:t>
            </w:r>
            <w:proofErr w:type="spellEnd"/>
            <w:r w:rsidRPr="00C40440">
              <w:rPr>
                <w:rFonts w:ascii="Times New Roman" w:hAnsi="Times New Roman" w:cs="Times New Roman"/>
                <w:highlight w:val="lightGray"/>
                <w:lang w:val="en-US"/>
              </w:rPr>
              <w:t xml:space="preserve"> element</w:t>
            </w:r>
          </w:p>
        </w:tc>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58934" w14:textId="77777777" w:rsidR="00CA54E4" w:rsidRPr="00C40440" w:rsidRDefault="00CA54E4">
            <w:pPr>
              <w:spacing w:after="120" w:line="240" w:lineRule="auto"/>
              <w:jc w:val="center"/>
              <w:rPr>
                <w:rFonts w:ascii="Times New Roman" w:hAnsi="Times New Roman" w:cs="Times New Roman"/>
                <w:highlight w:val="lightGray"/>
                <w:lang w:val="en-US"/>
              </w:rPr>
            </w:pPr>
            <w:proofErr w:type="spellStart"/>
            <w:r w:rsidRPr="00C40440">
              <w:rPr>
                <w:rFonts w:ascii="Times New Roman" w:hAnsi="Times New Roman" w:cs="Times New Roman"/>
                <w:highlight w:val="lightGray"/>
                <w:lang w:val="en-US"/>
              </w:rPr>
              <w:t>Wersja</w:t>
            </w:r>
            <w:proofErr w:type="spellEnd"/>
            <w:r w:rsidRPr="00C40440">
              <w:rPr>
                <w:rFonts w:ascii="Times New Roman" w:hAnsi="Times New Roman" w:cs="Times New Roman"/>
                <w:highlight w:val="lightGray"/>
                <w:lang w:val="en-US"/>
              </w:rPr>
              <w:t xml:space="preserve"> </w:t>
            </w:r>
            <w:proofErr w:type="spellStart"/>
            <w:r w:rsidRPr="00C40440">
              <w:rPr>
                <w:rFonts w:ascii="Times New Roman" w:hAnsi="Times New Roman" w:cs="Times New Roman"/>
                <w:highlight w:val="lightGray"/>
                <w:lang w:val="en-US"/>
              </w:rPr>
              <w:t>aktualna</w:t>
            </w:r>
            <w:proofErr w:type="spellEnd"/>
          </w:p>
        </w:tc>
        <w:tc>
          <w:tcPr>
            <w:tcW w:w="20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8D6B02" w14:textId="77777777" w:rsidR="00CA54E4" w:rsidRPr="00C40440" w:rsidRDefault="00CA54E4">
            <w:pPr>
              <w:spacing w:after="120" w:line="240" w:lineRule="auto"/>
              <w:jc w:val="center"/>
              <w:rPr>
                <w:rFonts w:ascii="Times New Roman" w:hAnsi="Times New Roman" w:cs="Times New Roman"/>
                <w:highlight w:val="lightGray"/>
                <w:lang w:val="en-US"/>
              </w:rPr>
            </w:pPr>
            <w:proofErr w:type="spellStart"/>
            <w:r w:rsidRPr="00C40440">
              <w:rPr>
                <w:rFonts w:ascii="Times New Roman" w:hAnsi="Times New Roman" w:cs="Times New Roman"/>
                <w:highlight w:val="lightGray"/>
                <w:lang w:val="en-US"/>
              </w:rPr>
              <w:t>Wersja</w:t>
            </w:r>
            <w:proofErr w:type="spellEnd"/>
            <w:r w:rsidRPr="00C40440">
              <w:rPr>
                <w:rFonts w:ascii="Times New Roman" w:hAnsi="Times New Roman" w:cs="Times New Roman"/>
                <w:highlight w:val="lightGray"/>
                <w:lang w:val="en-US"/>
              </w:rPr>
              <w:t xml:space="preserve"> </w:t>
            </w:r>
            <w:proofErr w:type="spellStart"/>
            <w:r w:rsidRPr="00C40440">
              <w:rPr>
                <w:rFonts w:ascii="Times New Roman" w:hAnsi="Times New Roman" w:cs="Times New Roman"/>
                <w:highlight w:val="lightGray"/>
                <w:lang w:val="en-US"/>
              </w:rPr>
              <w:t>zmieniona</w:t>
            </w:r>
            <w:proofErr w:type="spellEnd"/>
          </w:p>
        </w:tc>
      </w:tr>
      <w:tr w:rsidR="00CA54E4" w:rsidRPr="00CA54E4" w14:paraId="7A771F0E"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611DA7D6"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lastRenderedPageBreak/>
              <w:t>Opis kamienia milowego lub wskaźnika.</w:t>
            </w:r>
          </w:p>
        </w:tc>
        <w:tc>
          <w:tcPr>
            <w:tcW w:w="1912" w:type="pct"/>
            <w:tcBorders>
              <w:top w:val="single" w:sz="4" w:space="0" w:color="auto"/>
              <w:left w:val="single" w:sz="4" w:space="0" w:color="auto"/>
              <w:bottom w:val="single" w:sz="4" w:space="0" w:color="auto"/>
              <w:right w:val="single" w:sz="4" w:space="0" w:color="auto"/>
            </w:tcBorders>
            <w:hideMark/>
          </w:tcPr>
          <w:p w14:paraId="67E5EA61" w14:textId="46B1F098" w:rsidR="00CA54E4" w:rsidRPr="00C40440" w:rsidRDefault="00CA54E4" w:rsidP="00C40440">
            <w:pPr>
              <w:pStyle w:val="Akapitzlist"/>
              <w:spacing w:after="120" w:line="256" w:lineRule="auto"/>
              <w:ind w:left="0"/>
              <w:rPr>
                <w:sz w:val="22"/>
                <w:szCs w:val="22"/>
              </w:rPr>
            </w:pPr>
            <w:r w:rsidRPr="00C40440">
              <w:rPr>
                <w:sz w:val="22"/>
                <w:szCs w:val="22"/>
              </w:rPr>
              <w:t>Wskaźnik A40G</w:t>
            </w:r>
          </w:p>
          <w:p w14:paraId="7A5D7050" w14:textId="77777777" w:rsidR="00CA54E4" w:rsidRPr="00C40440" w:rsidRDefault="00CA54E4" w:rsidP="00C40440">
            <w:pPr>
              <w:pStyle w:val="Akapitzlist"/>
              <w:spacing w:after="120" w:line="256" w:lineRule="auto"/>
              <w:ind w:left="0"/>
              <w:rPr>
                <w:sz w:val="22"/>
                <w:szCs w:val="22"/>
              </w:rPr>
            </w:pPr>
            <w:r w:rsidRPr="00C40440">
              <w:rPr>
                <w:sz w:val="22"/>
                <w:szCs w:val="22"/>
              </w:rPr>
              <w:t xml:space="preserve">Nazwa: Laboratoria z nowoczesną infrastrukturą badawczą i analityczną w instytucjach podległych i/lub nadzorowanych przez Ministerstwo Edukacji i Nauki oraz Ministerstwo Rolnictwa i Rozwoju Wsi  </w:t>
            </w:r>
          </w:p>
          <w:p w14:paraId="3E4DEFB3" w14:textId="77777777" w:rsidR="000540E5" w:rsidRDefault="000540E5" w:rsidP="000540E5">
            <w:pPr>
              <w:pStyle w:val="Akapitzlist"/>
              <w:spacing w:after="120" w:line="256" w:lineRule="auto"/>
              <w:ind w:left="0"/>
              <w:rPr>
                <w:sz w:val="22"/>
                <w:szCs w:val="22"/>
              </w:rPr>
            </w:pPr>
          </w:p>
          <w:p w14:paraId="6DAAAE89" w14:textId="31199AA1" w:rsidR="00CA54E4" w:rsidRPr="00C40440" w:rsidRDefault="00CA54E4" w:rsidP="00C40440">
            <w:pPr>
              <w:pStyle w:val="Akapitzlist"/>
              <w:spacing w:after="120" w:line="256" w:lineRule="auto"/>
              <w:ind w:left="0"/>
              <w:rPr>
                <w:sz w:val="22"/>
                <w:szCs w:val="22"/>
              </w:rPr>
            </w:pPr>
            <w:r w:rsidRPr="00C40440">
              <w:rPr>
                <w:sz w:val="22"/>
                <w:szCs w:val="22"/>
              </w:rPr>
              <w:t>Opis: Budowa i modernizacja laboratoriów instytutów nadzorowanych przez Ministerstwo Edukacji i Nauki oraz Ministerstwo Rolnictwa i Rozwoju Wsi i Główny Inspektorat Jakości Handlowej Artykułów Rolno-Spożywczych lub im podlegających związana z realizacją celów.</w:t>
            </w:r>
          </w:p>
          <w:p w14:paraId="47F6B92D" w14:textId="77777777" w:rsidR="00CA54E4" w:rsidRPr="00C40440" w:rsidRDefault="00CA54E4" w:rsidP="00C40440">
            <w:pPr>
              <w:pStyle w:val="Akapitzlist"/>
              <w:spacing w:after="120" w:line="256" w:lineRule="auto"/>
              <w:ind w:left="0"/>
              <w:rPr>
                <w:sz w:val="22"/>
                <w:szCs w:val="22"/>
              </w:rPr>
            </w:pPr>
            <w:r w:rsidRPr="00C40440">
              <w:rPr>
                <w:sz w:val="22"/>
                <w:szCs w:val="22"/>
              </w:rPr>
              <w:t>IV kw. 2025 r.</w:t>
            </w:r>
          </w:p>
        </w:tc>
        <w:tc>
          <w:tcPr>
            <w:tcW w:w="2020" w:type="pct"/>
            <w:tcBorders>
              <w:top w:val="single" w:sz="4" w:space="0" w:color="auto"/>
              <w:left w:val="single" w:sz="4" w:space="0" w:color="auto"/>
              <w:bottom w:val="single" w:sz="4" w:space="0" w:color="auto"/>
              <w:right w:val="single" w:sz="4" w:space="0" w:color="auto"/>
            </w:tcBorders>
          </w:tcPr>
          <w:p w14:paraId="5DD6D660"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Wskaźnik A40G</w:t>
            </w:r>
          </w:p>
          <w:p w14:paraId="15EB0E93"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 xml:space="preserve">Nazwa: Laboratoria z nowoczesną infrastrukturą badawczą i analityczną w instytucjach podległych i/lub nadzorowanych przez Ministerstwo Nauki i Szkolnictwa Wyższego oraz Ministerstwo Rolnictwa i Rozwoju Wsi </w:t>
            </w:r>
          </w:p>
          <w:p w14:paraId="759ACDE1"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 xml:space="preserve">Opis: Budowa i modernizacja laboratoriów </w:t>
            </w:r>
            <w:r w:rsidRPr="00C40440">
              <w:rPr>
                <w:rFonts w:ascii="Times New Roman" w:hAnsi="Times New Roman" w:cs="Times New Roman"/>
                <w:color w:val="FF0000"/>
              </w:rPr>
              <w:t xml:space="preserve">oraz zakup laboratoriów mobilnych przez instytucje nadzorowane </w:t>
            </w:r>
            <w:r w:rsidRPr="00C40440">
              <w:rPr>
                <w:rFonts w:ascii="Times New Roman" w:hAnsi="Times New Roman" w:cs="Times New Roman"/>
              </w:rPr>
              <w:t>przez Ministerstwo Nauki i Szkolnictwa Wyższego oraz Ministerstwo Rolnictwa i Rozwoju Wsi i Główny Inspektorat Jakości Handlowej Artykułów Rolno-Spożywczych lub im podlegające, związane z realizacją celów.</w:t>
            </w:r>
          </w:p>
          <w:p w14:paraId="4ED91E95" w14:textId="77777777" w:rsidR="00CA54E4" w:rsidRPr="00C40440" w:rsidRDefault="00CA54E4">
            <w:pPr>
              <w:spacing w:after="120" w:line="240" w:lineRule="auto"/>
              <w:rPr>
                <w:rFonts w:ascii="Times New Roman" w:hAnsi="Times New Roman" w:cs="Times New Roman"/>
                <w:lang w:val="en-US"/>
              </w:rPr>
            </w:pPr>
            <w:r w:rsidRPr="00C40440">
              <w:rPr>
                <w:rFonts w:ascii="Times New Roman" w:hAnsi="Times New Roman" w:cs="Times New Roman"/>
                <w:color w:val="FF0000"/>
                <w:lang w:val="en-US"/>
              </w:rPr>
              <w:t>II kw. 2026 r.</w:t>
            </w:r>
          </w:p>
        </w:tc>
      </w:tr>
      <w:tr w:rsidR="00CA54E4" w:rsidRPr="00CA54E4" w14:paraId="0CF7E4FB"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46EF4FA0" w14:textId="77777777" w:rsidR="00CA54E4" w:rsidRPr="00C40440" w:rsidRDefault="00CA54E4">
            <w:pPr>
              <w:spacing w:after="120" w:line="240" w:lineRule="auto"/>
              <w:rPr>
                <w:rFonts w:ascii="Times New Roman" w:hAnsi="Times New Roman" w:cs="Times New Roman"/>
                <w:lang w:val="en-US"/>
              </w:rPr>
            </w:pPr>
            <w:proofErr w:type="spellStart"/>
            <w:r w:rsidRPr="00C40440">
              <w:rPr>
                <w:rFonts w:ascii="Times New Roman" w:hAnsi="Times New Roman" w:cs="Times New Roman"/>
                <w:lang w:val="en-US"/>
              </w:rPr>
              <w:t>Uzasadnienie</w:t>
            </w:r>
            <w:proofErr w:type="spellEnd"/>
          </w:p>
        </w:tc>
        <w:tc>
          <w:tcPr>
            <w:tcW w:w="3932" w:type="pct"/>
            <w:gridSpan w:val="2"/>
            <w:tcBorders>
              <w:top w:val="single" w:sz="4" w:space="0" w:color="auto"/>
              <w:left w:val="single" w:sz="4" w:space="0" w:color="auto"/>
              <w:bottom w:val="single" w:sz="4" w:space="0" w:color="auto"/>
              <w:right w:val="single" w:sz="4" w:space="0" w:color="auto"/>
            </w:tcBorders>
            <w:hideMark/>
          </w:tcPr>
          <w:p w14:paraId="65CE8A8F"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 xml:space="preserve">W związku z zapotrzebowaniem na badania prowadzone w gospodarstwach rolnych </w:t>
            </w:r>
            <w:r w:rsidRPr="00C40440">
              <w:rPr>
                <w:rFonts w:ascii="Times New Roman" w:hAnsi="Times New Roman" w:cs="Times New Roman"/>
                <w:color w:val="000000" w:themeColor="text1"/>
              </w:rPr>
              <w:t xml:space="preserve">proponuje się uwzględnić wsparcie rozwoju potencjału analityczno-laboratoryjnego jednostek doradztwa rolniczego i stacji chemiczno-rolniczych, poprzez doposażenie </w:t>
            </w:r>
            <w:r w:rsidRPr="00C40440">
              <w:rPr>
                <w:rFonts w:ascii="Times New Roman" w:hAnsi="Times New Roman" w:cs="Times New Roman"/>
              </w:rPr>
              <w:t>ich w infrastrukturę laboratoryjną, laboratoria mobilne i sprzęt do pobierania prób.</w:t>
            </w:r>
          </w:p>
          <w:p w14:paraId="3FA67D32"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Proponowana zmiana wiąże się z:</w:t>
            </w:r>
          </w:p>
          <w:p w14:paraId="711DBA8E" w14:textId="77777777" w:rsidR="00CA54E4" w:rsidRPr="00C40440" w:rsidRDefault="00CA54E4" w:rsidP="00C40440">
            <w:pPr>
              <w:numPr>
                <w:ilvl w:val="0"/>
                <w:numId w:val="25"/>
              </w:numPr>
              <w:spacing w:after="120" w:line="240" w:lineRule="auto"/>
              <w:ind w:left="401"/>
              <w:rPr>
                <w:rFonts w:ascii="Times New Roman" w:hAnsi="Times New Roman"/>
              </w:rPr>
            </w:pPr>
            <w:r w:rsidRPr="00C40440">
              <w:rPr>
                <w:rFonts w:ascii="Times New Roman" w:hAnsi="Times New Roman"/>
              </w:rPr>
              <w:t>rozszerzeniem grupy ostatecznych odbiorców wsparcia o jednostki doradztwa rolniczego oraz stacje chemiczno-rolnicze;</w:t>
            </w:r>
          </w:p>
          <w:p w14:paraId="1C8AE029" w14:textId="77777777" w:rsidR="00CA54E4" w:rsidRPr="00C40440" w:rsidRDefault="00CA54E4" w:rsidP="00C40440">
            <w:pPr>
              <w:numPr>
                <w:ilvl w:val="0"/>
                <w:numId w:val="25"/>
              </w:numPr>
              <w:spacing w:after="120" w:line="240" w:lineRule="auto"/>
              <w:ind w:left="401"/>
              <w:rPr>
                <w:rFonts w:ascii="Times New Roman" w:hAnsi="Times New Roman"/>
              </w:rPr>
            </w:pPr>
            <w:r w:rsidRPr="00C40440">
              <w:rPr>
                <w:rFonts w:ascii="Times New Roman" w:hAnsi="Times New Roman"/>
              </w:rPr>
              <w:t xml:space="preserve">rozszerzeniem zakresu wsparcia o zakup laboratoriów mobilnych i sprzętu do pobierania prób. </w:t>
            </w:r>
          </w:p>
          <w:p w14:paraId="16C64111"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Proponowane rozwiązanie stanowi przede wszystkim odpowiedź na wyzwania stojące przed polskim rolnictwem, w tym wynikające z Europejskiego Zielonego Ładu i Planu Strategicznego WPR. W związku z protestami rolników, w trakcie których podnoszone są m.in. kwestie zobowiązań wynikających z Europejskiego Zielonego Ładu, istnieje potrzeba upowszechnienia rozwiązań wspierających zarządzanie gospodarstwem, w tym zwiększenia dostępności badań gleby jako podstawowego elementu planowania racjonalnego nawożenia gleby. Poprawa infrastruktury laboratoryjnej przyczyni się do automatyzacji procesów analitycznych, skracając czas oczekiwania na wyniki badań oraz poszerzając ich zakres. Zakup mobilnych laboratoriów i ich wykorzystanie przyczyni się do szerszego wykorzystania badań gleby w procesie planowania nawożenia składnikami odżywczymi (posiadanie danych nt. zasobności gleb w składniki pokarmowe daje możliwości bardziej precyzyjnego doboru dawek/ilości nawozów), a w konsekwencji do zmniejszenia kosztów produkcji w gospodarstwie przy jednoczesnym zapewnieniu optymalnego poziomu ochrony środowiska naturalnego.</w:t>
            </w:r>
          </w:p>
          <w:p w14:paraId="4EBAD72E"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 xml:space="preserve">Drugim aspektem jest stale postępujący rozwój nowoczesnych technologii, w tym wzrost znaczenia rolnictwa precyzyjnego, wykorzystującego autonomiczne maszyny i urządzenia oraz zaawansowane systemy informatyczne wspomagające procesy zarządzania gospodarstwem i </w:t>
            </w:r>
            <w:r w:rsidRPr="00C40440">
              <w:rPr>
                <w:rFonts w:ascii="Times New Roman" w:hAnsi="Times New Roman" w:cs="Times New Roman"/>
              </w:rPr>
              <w:lastRenderedPageBreak/>
              <w:t>podejmowania decyzji. Elementem istotnym w tym zakresie jest posiadanie przez rolników aktualnych informacji o zasobności gleby.</w:t>
            </w:r>
          </w:p>
          <w:p w14:paraId="70DDEDC7"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Biorąc pod uwagę termin możliwego uruchomienia kolejnych naborów konieczne jest przedłużenie terminu realizacji ww. inwestycji do końca II kwartału 2026 r.</w:t>
            </w:r>
          </w:p>
        </w:tc>
      </w:tr>
      <w:tr w:rsidR="00CA54E4" w:rsidRPr="00CA54E4" w14:paraId="35BDCB71"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1D182410" w14:textId="77777777" w:rsidR="00CA54E4" w:rsidRPr="00C40440" w:rsidRDefault="00CA54E4">
            <w:pPr>
              <w:spacing w:after="120" w:line="240" w:lineRule="auto"/>
              <w:rPr>
                <w:rFonts w:ascii="Times New Roman" w:hAnsi="Times New Roman" w:cs="Times New Roman"/>
                <w:lang w:val="en-US"/>
              </w:rPr>
            </w:pPr>
            <w:proofErr w:type="spellStart"/>
            <w:r w:rsidRPr="00C40440">
              <w:rPr>
                <w:rFonts w:ascii="Times New Roman" w:hAnsi="Times New Roman" w:cs="Times New Roman"/>
                <w:lang w:val="en-US"/>
              </w:rPr>
              <w:lastRenderedPageBreak/>
              <w:t>Szacowany</w:t>
            </w:r>
            <w:proofErr w:type="spellEnd"/>
            <w:r w:rsidRPr="00C40440">
              <w:rPr>
                <w:rFonts w:ascii="Times New Roman" w:hAnsi="Times New Roman" w:cs="Times New Roman"/>
                <w:lang w:val="en-US"/>
              </w:rPr>
              <w:t xml:space="preserve"> </w:t>
            </w:r>
            <w:proofErr w:type="spellStart"/>
            <w:r w:rsidRPr="00C40440">
              <w:rPr>
                <w:rFonts w:ascii="Times New Roman" w:hAnsi="Times New Roman" w:cs="Times New Roman"/>
                <w:lang w:val="en-US"/>
              </w:rPr>
              <w:t>koszt</w:t>
            </w:r>
            <w:proofErr w:type="spellEnd"/>
          </w:p>
        </w:tc>
        <w:tc>
          <w:tcPr>
            <w:tcW w:w="3932" w:type="pct"/>
            <w:gridSpan w:val="2"/>
            <w:tcBorders>
              <w:top w:val="single" w:sz="4" w:space="0" w:color="auto"/>
              <w:left w:val="single" w:sz="4" w:space="0" w:color="auto"/>
              <w:bottom w:val="single" w:sz="4" w:space="0" w:color="auto"/>
              <w:right w:val="single" w:sz="4" w:space="0" w:color="auto"/>
            </w:tcBorders>
            <w:hideMark/>
          </w:tcPr>
          <w:p w14:paraId="422C3A1A" w14:textId="6F141212" w:rsidR="00CA54E4" w:rsidRPr="00C40440" w:rsidRDefault="00CA54E4">
            <w:pPr>
              <w:spacing w:after="120" w:line="240" w:lineRule="auto"/>
              <w:rPr>
                <w:rFonts w:ascii="Times New Roman" w:hAnsi="Times New Roman" w:cs="Times New Roman"/>
              </w:rPr>
            </w:pPr>
            <w:r w:rsidRPr="00AC516C">
              <w:rPr>
                <w:rFonts w:ascii="Times New Roman" w:hAnsi="Times New Roman" w:cs="Times New Roman"/>
              </w:rPr>
              <w:t>Zmiana nie ma wpływu na szacowany koszt</w:t>
            </w:r>
          </w:p>
        </w:tc>
      </w:tr>
      <w:tr w:rsidR="00CA54E4" w:rsidRPr="00CA54E4" w14:paraId="184DEA36"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4D327947" w14:textId="77777777" w:rsidR="00CA54E4" w:rsidRPr="00C40440" w:rsidRDefault="00CA54E4">
            <w:pPr>
              <w:spacing w:after="120" w:line="240" w:lineRule="auto"/>
              <w:rPr>
                <w:rFonts w:ascii="Times New Roman" w:hAnsi="Times New Roman" w:cs="Times New Roman"/>
                <w:lang w:val="en-US"/>
              </w:rPr>
            </w:pPr>
            <w:proofErr w:type="spellStart"/>
            <w:r w:rsidRPr="00C40440">
              <w:rPr>
                <w:rFonts w:ascii="Times New Roman" w:hAnsi="Times New Roman" w:cs="Times New Roman"/>
                <w:lang w:val="en-US"/>
              </w:rPr>
              <w:t>Cyfrowy</w:t>
            </w:r>
            <w:proofErr w:type="spellEnd"/>
            <w:r w:rsidRPr="00C40440">
              <w:rPr>
                <w:rFonts w:ascii="Times New Roman" w:hAnsi="Times New Roman" w:cs="Times New Roman"/>
                <w:lang w:val="en-US"/>
              </w:rPr>
              <w:t xml:space="preserve"> i </w:t>
            </w:r>
            <w:proofErr w:type="spellStart"/>
            <w:r w:rsidRPr="00C40440">
              <w:rPr>
                <w:rFonts w:ascii="Times New Roman" w:hAnsi="Times New Roman" w:cs="Times New Roman"/>
                <w:lang w:val="en-US"/>
              </w:rPr>
              <w:t>klimatyczny</w:t>
            </w:r>
            <w:proofErr w:type="spellEnd"/>
            <w:r w:rsidRPr="00C40440">
              <w:rPr>
                <w:rFonts w:ascii="Times New Roman" w:hAnsi="Times New Roman" w:cs="Times New Roman"/>
                <w:lang w:val="en-US"/>
              </w:rPr>
              <w:t xml:space="preserve"> tagging </w:t>
            </w:r>
          </w:p>
        </w:tc>
        <w:tc>
          <w:tcPr>
            <w:tcW w:w="3932" w:type="pct"/>
            <w:gridSpan w:val="2"/>
            <w:tcBorders>
              <w:top w:val="single" w:sz="4" w:space="0" w:color="auto"/>
              <w:left w:val="single" w:sz="4" w:space="0" w:color="auto"/>
              <w:bottom w:val="single" w:sz="4" w:space="0" w:color="auto"/>
              <w:right w:val="single" w:sz="4" w:space="0" w:color="auto"/>
            </w:tcBorders>
            <w:hideMark/>
          </w:tcPr>
          <w:p w14:paraId="246380B8"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 xml:space="preserve">Zmiana nie ma wpływu na </w:t>
            </w:r>
            <w:proofErr w:type="spellStart"/>
            <w:r w:rsidRPr="00C40440">
              <w:rPr>
                <w:rFonts w:ascii="Times New Roman" w:hAnsi="Times New Roman" w:cs="Times New Roman"/>
              </w:rPr>
              <w:t>tagging</w:t>
            </w:r>
            <w:proofErr w:type="spellEnd"/>
            <w:r w:rsidRPr="00C40440">
              <w:rPr>
                <w:rFonts w:ascii="Times New Roman" w:hAnsi="Times New Roman" w:cs="Times New Roman"/>
              </w:rPr>
              <w:t xml:space="preserve"> klimatyczny i cyfrowy.</w:t>
            </w:r>
          </w:p>
        </w:tc>
      </w:tr>
      <w:tr w:rsidR="00CA54E4" w:rsidRPr="00CA54E4" w14:paraId="0C023C55"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001EEB85" w14:textId="77777777" w:rsidR="00CA54E4" w:rsidRPr="00C40440" w:rsidRDefault="00CA54E4">
            <w:pPr>
              <w:spacing w:after="120" w:line="240" w:lineRule="auto"/>
              <w:rPr>
                <w:rFonts w:ascii="Times New Roman" w:hAnsi="Times New Roman" w:cs="Times New Roman"/>
                <w:lang w:val="en-US"/>
              </w:rPr>
            </w:pPr>
            <w:proofErr w:type="spellStart"/>
            <w:r w:rsidRPr="00C40440">
              <w:rPr>
                <w:rFonts w:ascii="Times New Roman" w:hAnsi="Times New Roman" w:cs="Times New Roman"/>
                <w:lang w:val="en-US"/>
              </w:rPr>
              <w:t>Zasada</w:t>
            </w:r>
            <w:proofErr w:type="spellEnd"/>
            <w:r w:rsidRPr="00C40440">
              <w:rPr>
                <w:rFonts w:ascii="Times New Roman" w:hAnsi="Times New Roman" w:cs="Times New Roman"/>
                <w:lang w:val="en-US"/>
              </w:rPr>
              <w:t xml:space="preserve"> DNSH </w:t>
            </w:r>
          </w:p>
        </w:tc>
        <w:tc>
          <w:tcPr>
            <w:tcW w:w="3932" w:type="pct"/>
            <w:gridSpan w:val="2"/>
            <w:tcBorders>
              <w:top w:val="single" w:sz="4" w:space="0" w:color="auto"/>
              <w:left w:val="single" w:sz="4" w:space="0" w:color="auto"/>
              <w:bottom w:val="single" w:sz="4" w:space="0" w:color="auto"/>
              <w:right w:val="single" w:sz="4" w:space="0" w:color="auto"/>
            </w:tcBorders>
            <w:hideMark/>
          </w:tcPr>
          <w:p w14:paraId="3D3DEEE3" w14:textId="77777777" w:rsidR="00CA54E4" w:rsidRPr="00C40440" w:rsidRDefault="00CA54E4">
            <w:pPr>
              <w:spacing w:after="120" w:line="240" w:lineRule="auto"/>
              <w:rPr>
                <w:rFonts w:ascii="Times New Roman" w:hAnsi="Times New Roman" w:cs="Times New Roman"/>
              </w:rPr>
            </w:pPr>
            <w:r w:rsidRPr="00C40440">
              <w:rPr>
                <w:rFonts w:ascii="Times New Roman" w:hAnsi="Times New Roman" w:cs="Times New Roman"/>
              </w:rPr>
              <w:t>Zmiana nie ma wpływu na DNSH.</w:t>
            </w:r>
          </w:p>
        </w:tc>
      </w:tr>
      <w:tr w:rsidR="00CA54E4" w:rsidRPr="00CA54E4" w14:paraId="1DCAFB40" w14:textId="77777777" w:rsidTr="00CA54E4">
        <w:tc>
          <w:tcPr>
            <w:tcW w:w="1068" w:type="pct"/>
            <w:tcBorders>
              <w:top w:val="single" w:sz="4" w:space="0" w:color="auto"/>
              <w:left w:val="single" w:sz="4" w:space="0" w:color="auto"/>
              <w:bottom w:val="single" w:sz="4" w:space="0" w:color="auto"/>
              <w:right w:val="single" w:sz="4" w:space="0" w:color="auto"/>
            </w:tcBorders>
            <w:hideMark/>
          </w:tcPr>
          <w:p w14:paraId="4CD13DC7" w14:textId="77777777" w:rsidR="00CA54E4" w:rsidRPr="00C40440" w:rsidRDefault="00CA54E4">
            <w:pPr>
              <w:spacing w:after="120" w:line="240" w:lineRule="auto"/>
              <w:rPr>
                <w:rFonts w:ascii="Times New Roman" w:hAnsi="Times New Roman" w:cs="Times New Roman"/>
                <w:lang w:val="en-US"/>
              </w:rPr>
            </w:pPr>
            <w:proofErr w:type="spellStart"/>
            <w:r w:rsidRPr="00C40440">
              <w:rPr>
                <w:rFonts w:ascii="Times New Roman" w:hAnsi="Times New Roman" w:cs="Times New Roman"/>
                <w:lang w:val="en-US"/>
              </w:rPr>
              <w:t>Pomoc</w:t>
            </w:r>
            <w:proofErr w:type="spellEnd"/>
            <w:r w:rsidRPr="00C40440">
              <w:rPr>
                <w:rFonts w:ascii="Times New Roman" w:hAnsi="Times New Roman" w:cs="Times New Roman"/>
                <w:lang w:val="en-US"/>
              </w:rPr>
              <w:t xml:space="preserve"> </w:t>
            </w:r>
            <w:proofErr w:type="spellStart"/>
            <w:r w:rsidRPr="00C40440">
              <w:rPr>
                <w:rFonts w:ascii="Times New Roman" w:hAnsi="Times New Roman" w:cs="Times New Roman"/>
                <w:lang w:val="en-US"/>
              </w:rPr>
              <w:t>publiczna</w:t>
            </w:r>
            <w:proofErr w:type="spellEnd"/>
            <w:r w:rsidRPr="00C40440">
              <w:rPr>
                <w:rFonts w:ascii="Times New Roman" w:hAnsi="Times New Roman" w:cs="Times New Roman"/>
                <w:lang w:val="en-US"/>
              </w:rPr>
              <w:t xml:space="preserve"> </w:t>
            </w:r>
          </w:p>
        </w:tc>
        <w:tc>
          <w:tcPr>
            <w:tcW w:w="3932" w:type="pct"/>
            <w:gridSpan w:val="2"/>
            <w:tcBorders>
              <w:top w:val="single" w:sz="4" w:space="0" w:color="auto"/>
              <w:left w:val="single" w:sz="4" w:space="0" w:color="auto"/>
              <w:bottom w:val="single" w:sz="4" w:space="0" w:color="auto"/>
              <w:right w:val="single" w:sz="4" w:space="0" w:color="auto"/>
            </w:tcBorders>
            <w:hideMark/>
          </w:tcPr>
          <w:p w14:paraId="123BDE47" w14:textId="77777777" w:rsidR="00CA54E4" w:rsidRPr="00C40440" w:rsidRDefault="00CA54E4">
            <w:pPr>
              <w:spacing w:after="120" w:line="240" w:lineRule="auto"/>
              <w:rPr>
                <w:rFonts w:ascii="Times New Roman" w:hAnsi="Times New Roman" w:cs="Times New Roman"/>
                <w:lang w:val="en-US"/>
              </w:rPr>
            </w:pPr>
            <w:proofErr w:type="spellStart"/>
            <w:r w:rsidRPr="00C40440">
              <w:rPr>
                <w:rFonts w:ascii="Times New Roman" w:hAnsi="Times New Roman" w:cs="Times New Roman"/>
                <w:lang w:val="en-US"/>
              </w:rPr>
              <w:t>Może</w:t>
            </w:r>
            <w:proofErr w:type="spellEnd"/>
            <w:r w:rsidRPr="00C40440">
              <w:rPr>
                <w:rFonts w:ascii="Times New Roman" w:hAnsi="Times New Roman" w:cs="Times New Roman"/>
                <w:lang w:val="en-US"/>
              </w:rPr>
              <w:t xml:space="preserve"> </w:t>
            </w:r>
            <w:proofErr w:type="spellStart"/>
            <w:r w:rsidRPr="00C40440">
              <w:rPr>
                <w:rFonts w:ascii="Times New Roman" w:hAnsi="Times New Roman" w:cs="Times New Roman"/>
                <w:lang w:val="en-US"/>
              </w:rPr>
              <w:t>występować</w:t>
            </w:r>
            <w:proofErr w:type="spellEnd"/>
            <w:r w:rsidRPr="00C40440">
              <w:rPr>
                <w:rFonts w:ascii="Times New Roman" w:hAnsi="Times New Roman" w:cs="Times New Roman"/>
                <w:lang w:val="en-US"/>
              </w:rPr>
              <w:t xml:space="preserve"> </w:t>
            </w:r>
            <w:proofErr w:type="spellStart"/>
            <w:r w:rsidRPr="00C40440">
              <w:rPr>
                <w:rFonts w:ascii="Times New Roman" w:hAnsi="Times New Roman" w:cs="Times New Roman"/>
                <w:lang w:val="en-US"/>
              </w:rPr>
              <w:t>pomoc</w:t>
            </w:r>
            <w:proofErr w:type="spellEnd"/>
            <w:r w:rsidRPr="00C40440">
              <w:rPr>
                <w:rFonts w:ascii="Times New Roman" w:hAnsi="Times New Roman" w:cs="Times New Roman"/>
                <w:lang w:val="en-US"/>
              </w:rPr>
              <w:t xml:space="preserve"> </w:t>
            </w:r>
            <w:proofErr w:type="spellStart"/>
            <w:r w:rsidRPr="00C40440">
              <w:rPr>
                <w:rFonts w:ascii="Times New Roman" w:hAnsi="Times New Roman" w:cs="Times New Roman"/>
                <w:lang w:val="en-US"/>
              </w:rPr>
              <w:t>publiczna</w:t>
            </w:r>
            <w:proofErr w:type="spellEnd"/>
          </w:p>
        </w:tc>
      </w:tr>
    </w:tbl>
    <w:p w14:paraId="41CEFE4D" w14:textId="77777777" w:rsidR="00CA54E4" w:rsidRPr="00710FBE" w:rsidRDefault="00CA54E4" w:rsidP="00327F50">
      <w:pPr>
        <w:spacing w:after="120" w:line="240" w:lineRule="auto"/>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3453"/>
        <w:gridCol w:w="3648"/>
      </w:tblGrid>
      <w:tr w:rsidR="00EF63DD" w:rsidRPr="00EF63DD" w14:paraId="72DD5131" w14:textId="77777777" w:rsidTr="006B6278">
        <w:tc>
          <w:tcPr>
            <w:tcW w:w="1082" w:type="pct"/>
          </w:tcPr>
          <w:p w14:paraId="6BCB9D9C" w14:textId="77777777" w:rsidR="00EF63DD" w:rsidRPr="00EF63DD" w:rsidRDefault="00EF63DD" w:rsidP="00EF63DD">
            <w:pPr>
              <w:spacing w:after="120" w:line="240" w:lineRule="auto"/>
              <w:jc w:val="both"/>
              <w:rPr>
                <w:rFonts w:ascii="Times New Roman" w:eastAsia="Times New Roman" w:hAnsi="Times New Roman" w:cs="Times New Roman"/>
                <w:b/>
                <w:bCs/>
              </w:rPr>
            </w:pPr>
            <w:r w:rsidRPr="00EF63DD">
              <w:rPr>
                <w:rFonts w:ascii="Times New Roman" w:eastAsia="Times New Roman" w:hAnsi="Times New Roman" w:cs="Times New Roman"/>
                <w:b/>
                <w:bCs/>
              </w:rPr>
              <w:t>Numer inwestycji</w:t>
            </w:r>
          </w:p>
        </w:tc>
        <w:tc>
          <w:tcPr>
            <w:tcW w:w="3918" w:type="pct"/>
            <w:gridSpan w:val="2"/>
          </w:tcPr>
          <w:p w14:paraId="7D6A521E" w14:textId="28198779" w:rsidR="00EF63DD" w:rsidRPr="00EF63DD" w:rsidRDefault="00EF63DD" w:rsidP="00EF63DD">
            <w:pPr>
              <w:autoSpaceDE w:val="0"/>
              <w:autoSpaceDN w:val="0"/>
              <w:adjustRightInd w:val="0"/>
              <w:spacing w:after="120" w:line="240" w:lineRule="auto"/>
              <w:rPr>
                <w:rFonts w:ascii="Times New Roman" w:eastAsia="Calibri" w:hAnsi="Times New Roman" w:cs="Times New Roman"/>
                <w:b/>
                <w:bCs/>
                <w:color w:val="000000"/>
                <w:lang w:val="en-GB" w:eastAsia="en-GB"/>
              </w:rPr>
            </w:pPr>
            <w:r w:rsidRPr="00EF63DD">
              <w:rPr>
                <w:rFonts w:ascii="Times New Roman" w:eastAsia="Calibri" w:hAnsi="Times New Roman" w:cs="Times New Roman"/>
                <w:b/>
                <w:bCs/>
                <w:color w:val="000000"/>
                <w:lang w:val="en-GB" w:eastAsia="en-GB"/>
              </w:rPr>
              <w:t>A4.1.1</w:t>
            </w:r>
            <w:r w:rsidR="00372527">
              <w:rPr>
                <w:rFonts w:ascii="Times New Roman" w:eastAsia="Calibri" w:hAnsi="Times New Roman" w:cs="Times New Roman"/>
                <w:b/>
                <w:bCs/>
                <w:color w:val="000000"/>
                <w:lang w:val="en-GB" w:eastAsia="en-GB"/>
              </w:rPr>
              <w:t>.</w:t>
            </w:r>
          </w:p>
        </w:tc>
      </w:tr>
      <w:tr w:rsidR="00EF63DD" w:rsidRPr="00EF63DD" w14:paraId="408518C5" w14:textId="77777777" w:rsidTr="006B6278">
        <w:tc>
          <w:tcPr>
            <w:tcW w:w="1082" w:type="pct"/>
          </w:tcPr>
          <w:p w14:paraId="2F80AE3A" w14:textId="77777777" w:rsidR="00EF63DD" w:rsidRPr="00EF63DD" w:rsidRDefault="00EF63DD" w:rsidP="00EF63DD">
            <w:pPr>
              <w:autoSpaceDE w:val="0"/>
              <w:autoSpaceDN w:val="0"/>
              <w:adjustRightInd w:val="0"/>
              <w:spacing w:after="120" w:line="240" w:lineRule="auto"/>
              <w:rPr>
                <w:rFonts w:ascii="Times New Roman" w:eastAsia="Calibri" w:hAnsi="Times New Roman" w:cs="Times New Roman"/>
                <w:b/>
                <w:bCs/>
                <w:color w:val="000000"/>
                <w:lang w:val="en-GB" w:eastAsia="en-GB"/>
              </w:rPr>
            </w:pPr>
            <w:proofErr w:type="spellStart"/>
            <w:r w:rsidRPr="00EF63DD">
              <w:rPr>
                <w:rFonts w:ascii="Times New Roman" w:eastAsia="Calibri" w:hAnsi="Times New Roman" w:cs="Times New Roman"/>
                <w:b/>
                <w:bCs/>
                <w:color w:val="000000"/>
                <w:lang w:val="en-GB" w:eastAsia="en-GB"/>
              </w:rPr>
              <w:t>Nazwa</w:t>
            </w:r>
            <w:proofErr w:type="spellEnd"/>
            <w:r w:rsidRPr="00EF63DD">
              <w:rPr>
                <w:rFonts w:ascii="Times New Roman" w:eastAsia="Calibri" w:hAnsi="Times New Roman" w:cs="Times New Roman"/>
                <w:b/>
                <w:bCs/>
                <w:color w:val="000000"/>
                <w:lang w:val="en-GB" w:eastAsia="en-GB"/>
              </w:rPr>
              <w:t xml:space="preserve"> </w:t>
            </w:r>
            <w:proofErr w:type="spellStart"/>
            <w:r w:rsidRPr="00EF63DD">
              <w:rPr>
                <w:rFonts w:ascii="Times New Roman" w:eastAsia="Calibri" w:hAnsi="Times New Roman" w:cs="Times New Roman"/>
                <w:b/>
                <w:bCs/>
                <w:color w:val="000000"/>
                <w:lang w:val="en-GB" w:eastAsia="en-GB"/>
              </w:rPr>
              <w:t>inwestycji</w:t>
            </w:r>
            <w:proofErr w:type="spellEnd"/>
            <w:r w:rsidRPr="00EF63DD">
              <w:rPr>
                <w:rFonts w:ascii="Times New Roman" w:eastAsia="Calibri" w:hAnsi="Times New Roman" w:cs="Times New Roman"/>
                <w:b/>
                <w:bCs/>
                <w:color w:val="000000"/>
                <w:lang w:val="en-GB" w:eastAsia="en-GB"/>
              </w:rPr>
              <w:t xml:space="preserve"> </w:t>
            </w:r>
          </w:p>
        </w:tc>
        <w:tc>
          <w:tcPr>
            <w:tcW w:w="3918" w:type="pct"/>
            <w:gridSpan w:val="2"/>
          </w:tcPr>
          <w:p w14:paraId="76A8B06C" w14:textId="77777777" w:rsidR="00EF63DD" w:rsidRPr="00EF63DD" w:rsidRDefault="00EF63DD" w:rsidP="00EF63DD">
            <w:pPr>
              <w:autoSpaceDE w:val="0"/>
              <w:autoSpaceDN w:val="0"/>
              <w:adjustRightInd w:val="0"/>
              <w:spacing w:after="120" w:line="240" w:lineRule="auto"/>
              <w:rPr>
                <w:rFonts w:ascii="Times New Roman" w:eastAsia="Calibri" w:hAnsi="Times New Roman" w:cs="Times New Roman"/>
                <w:b/>
                <w:bCs/>
                <w:color w:val="000000"/>
                <w:lang w:eastAsia="en-GB"/>
              </w:rPr>
            </w:pPr>
            <w:r w:rsidRPr="00EF63DD">
              <w:rPr>
                <w:rFonts w:ascii="Times New Roman" w:eastAsia="Calibri" w:hAnsi="Times New Roman" w:cs="Times New Roman"/>
                <w:b/>
                <w:bCs/>
                <w:color w:val="000000"/>
                <w:lang w:eastAsia="en-GB"/>
              </w:rPr>
              <w:t>Inwestycje wspierające reformę instytucji rynku pracy</w:t>
            </w:r>
          </w:p>
        </w:tc>
      </w:tr>
      <w:tr w:rsidR="00EF63DD" w:rsidRPr="00EF63DD" w14:paraId="3B56C9B3" w14:textId="77777777" w:rsidTr="006B6278">
        <w:tc>
          <w:tcPr>
            <w:tcW w:w="1082" w:type="pct"/>
          </w:tcPr>
          <w:p w14:paraId="4D140905" w14:textId="77777777" w:rsidR="00EF63DD" w:rsidRPr="00EF63DD" w:rsidRDefault="00EF63DD" w:rsidP="00EF63DD">
            <w:pPr>
              <w:autoSpaceDE w:val="0"/>
              <w:autoSpaceDN w:val="0"/>
              <w:adjustRightInd w:val="0"/>
              <w:spacing w:after="120" w:line="240" w:lineRule="auto"/>
              <w:rPr>
                <w:rFonts w:ascii="Times New Roman" w:eastAsia="Calibri" w:hAnsi="Times New Roman" w:cs="Times New Roman"/>
                <w:color w:val="000000"/>
                <w:lang w:eastAsia="en-GB"/>
              </w:rPr>
            </w:pPr>
            <w:r w:rsidRPr="00EF63DD">
              <w:rPr>
                <w:rFonts w:ascii="Times New Roman" w:eastAsia="Calibri" w:hAnsi="Times New Roman" w:cs="Times New Roman"/>
                <w:color w:val="000000"/>
                <w:lang w:eastAsia="en-GB"/>
              </w:rPr>
              <w:t>Rodzaj wprowadzonej zmiany w odniesieniu do CID</w:t>
            </w:r>
          </w:p>
        </w:tc>
        <w:tc>
          <w:tcPr>
            <w:tcW w:w="3918" w:type="pct"/>
            <w:gridSpan w:val="2"/>
          </w:tcPr>
          <w:p w14:paraId="6DD3DE3D" w14:textId="766F00E0" w:rsidR="006B6278" w:rsidRDefault="00372527" w:rsidP="006B6278">
            <w:pPr>
              <w:autoSpaceDE w:val="0"/>
              <w:autoSpaceDN w:val="0"/>
              <w:adjustRightInd w:val="0"/>
              <w:spacing w:after="120" w:line="240" w:lineRule="auto"/>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Przesunięcie</w:t>
            </w:r>
            <w:r w:rsidR="00EF63DD" w:rsidRPr="00EF63DD">
              <w:rPr>
                <w:rFonts w:ascii="Times New Roman" w:eastAsia="Calibri" w:hAnsi="Times New Roman" w:cs="Times New Roman"/>
                <w:color w:val="000000"/>
                <w:lang w:eastAsia="en-GB"/>
              </w:rPr>
              <w:t xml:space="preserve"> terminu realizacji inwestycji</w:t>
            </w:r>
            <w:r w:rsidR="006B6278">
              <w:rPr>
                <w:rFonts w:ascii="Times New Roman" w:eastAsia="Calibri" w:hAnsi="Times New Roman" w:cs="Times New Roman"/>
                <w:color w:val="000000"/>
                <w:lang w:eastAsia="en-GB"/>
              </w:rPr>
              <w:t>.</w:t>
            </w:r>
          </w:p>
          <w:p w14:paraId="79AB4A85" w14:textId="312852EA" w:rsidR="00EF63DD" w:rsidRPr="00EF63DD" w:rsidRDefault="00EF63DD" w:rsidP="006B6278">
            <w:pPr>
              <w:autoSpaceDE w:val="0"/>
              <w:autoSpaceDN w:val="0"/>
              <w:adjustRightInd w:val="0"/>
              <w:spacing w:after="120" w:line="240" w:lineRule="auto"/>
              <w:rPr>
                <w:rFonts w:ascii="Times New Roman" w:eastAsia="Calibri" w:hAnsi="Times New Roman" w:cs="Times New Roman"/>
                <w:color w:val="000000"/>
                <w:lang w:eastAsia="en-GB"/>
              </w:rPr>
            </w:pPr>
          </w:p>
        </w:tc>
      </w:tr>
      <w:tr w:rsidR="00EF63DD" w:rsidRPr="00EF63DD" w14:paraId="3F45B3BF" w14:textId="77777777" w:rsidTr="006B6278">
        <w:tc>
          <w:tcPr>
            <w:tcW w:w="1082" w:type="pct"/>
            <w:shd w:val="clear" w:color="auto" w:fill="FFFFFF"/>
          </w:tcPr>
          <w:p w14:paraId="0B84BBC3" w14:textId="77777777" w:rsidR="00EF63DD" w:rsidRPr="00EF63DD" w:rsidRDefault="00EF63DD" w:rsidP="00EF63DD">
            <w:pPr>
              <w:autoSpaceDE w:val="0"/>
              <w:autoSpaceDN w:val="0"/>
              <w:adjustRightInd w:val="0"/>
              <w:spacing w:after="120" w:line="240" w:lineRule="auto"/>
              <w:rPr>
                <w:rFonts w:ascii="Times New Roman" w:eastAsia="Calibri" w:hAnsi="Times New Roman" w:cs="Times New Roman"/>
                <w:color w:val="000000"/>
                <w:lang w:val="en-GB" w:eastAsia="en-GB"/>
              </w:rPr>
            </w:pPr>
            <w:proofErr w:type="spellStart"/>
            <w:r w:rsidRPr="00EF63DD">
              <w:rPr>
                <w:rFonts w:ascii="Times New Roman" w:eastAsia="Calibri" w:hAnsi="Times New Roman" w:cs="Times New Roman"/>
                <w:color w:val="000000"/>
                <w:lang w:val="en-GB" w:eastAsia="en-GB"/>
              </w:rPr>
              <w:t>Podstawa</w:t>
            </w:r>
            <w:proofErr w:type="spellEnd"/>
            <w:r w:rsidRPr="00EF63DD">
              <w:rPr>
                <w:rFonts w:ascii="Times New Roman" w:eastAsia="Calibri" w:hAnsi="Times New Roman" w:cs="Times New Roman"/>
                <w:color w:val="000000"/>
                <w:lang w:val="en-GB" w:eastAsia="en-GB"/>
              </w:rPr>
              <w:t xml:space="preserve"> </w:t>
            </w:r>
            <w:proofErr w:type="spellStart"/>
            <w:r w:rsidRPr="00EF63DD">
              <w:rPr>
                <w:rFonts w:ascii="Times New Roman" w:eastAsia="Calibri" w:hAnsi="Times New Roman" w:cs="Times New Roman"/>
                <w:color w:val="000000"/>
                <w:lang w:val="en-GB" w:eastAsia="en-GB"/>
              </w:rPr>
              <w:t>prawna</w:t>
            </w:r>
            <w:proofErr w:type="spellEnd"/>
            <w:r w:rsidRPr="00EF63DD">
              <w:rPr>
                <w:rFonts w:ascii="Times New Roman" w:eastAsia="Calibri" w:hAnsi="Times New Roman" w:cs="Times New Roman"/>
                <w:color w:val="000000"/>
                <w:lang w:val="en-GB" w:eastAsia="en-GB"/>
              </w:rPr>
              <w:t xml:space="preserve"> </w:t>
            </w:r>
            <w:proofErr w:type="spellStart"/>
            <w:r w:rsidRPr="00EF63DD">
              <w:rPr>
                <w:rFonts w:ascii="Times New Roman" w:eastAsia="Calibri" w:hAnsi="Times New Roman" w:cs="Times New Roman"/>
                <w:color w:val="000000"/>
                <w:lang w:val="en-GB" w:eastAsia="en-GB"/>
              </w:rPr>
              <w:t>zmiany</w:t>
            </w:r>
            <w:proofErr w:type="spellEnd"/>
          </w:p>
        </w:tc>
        <w:tc>
          <w:tcPr>
            <w:tcW w:w="3918" w:type="pct"/>
            <w:gridSpan w:val="2"/>
            <w:shd w:val="clear" w:color="auto" w:fill="FFFFFF"/>
          </w:tcPr>
          <w:p w14:paraId="7E23D23F" w14:textId="77777777" w:rsidR="00EF63DD" w:rsidRPr="00EF63DD" w:rsidRDefault="00EF63DD" w:rsidP="00EF63DD">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art. 21 rozporządzenia Parlamentu Europejskiego i Rady (UE) 2021/241 z dnia 12 lutego 2021 r. ustanawiające Instrument na rzecz Odbudowy i Zwiększania Odporności</w:t>
            </w:r>
          </w:p>
        </w:tc>
      </w:tr>
      <w:tr w:rsidR="00EF63DD" w:rsidRPr="00EF63DD" w14:paraId="66A22B84" w14:textId="77777777" w:rsidTr="006B6278">
        <w:tc>
          <w:tcPr>
            <w:tcW w:w="1082" w:type="pct"/>
            <w:shd w:val="clear" w:color="auto" w:fill="D9D9D9"/>
          </w:tcPr>
          <w:p w14:paraId="700D7FC6" w14:textId="77777777" w:rsidR="00EF63DD" w:rsidRPr="006B6278" w:rsidRDefault="00EF63DD" w:rsidP="00EF63DD">
            <w:pPr>
              <w:spacing w:after="120" w:line="240" w:lineRule="auto"/>
              <w:jc w:val="both"/>
              <w:rPr>
                <w:rFonts w:ascii="Times New Roman" w:eastAsia="Times New Roman" w:hAnsi="Times New Roman" w:cs="Times New Roman"/>
              </w:rPr>
            </w:pPr>
            <w:r w:rsidRPr="006B6278">
              <w:rPr>
                <w:rFonts w:ascii="Times New Roman" w:eastAsia="Times New Roman" w:hAnsi="Times New Roman" w:cs="Times New Roman"/>
              </w:rPr>
              <w:t>Modyfikowany element</w:t>
            </w:r>
          </w:p>
        </w:tc>
        <w:tc>
          <w:tcPr>
            <w:tcW w:w="1905" w:type="pct"/>
            <w:shd w:val="clear" w:color="auto" w:fill="D9D9D9"/>
          </w:tcPr>
          <w:p w14:paraId="50EBC384" w14:textId="77777777" w:rsidR="00EF63DD" w:rsidRPr="006B6278" w:rsidRDefault="00EF63DD" w:rsidP="00EF63DD">
            <w:pPr>
              <w:spacing w:after="120" w:line="240" w:lineRule="auto"/>
              <w:jc w:val="center"/>
              <w:rPr>
                <w:rFonts w:ascii="Times New Roman" w:eastAsia="Times New Roman" w:hAnsi="Times New Roman" w:cs="Times New Roman"/>
              </w:rPr>
            </w:pPr>
            <w:r w:rsidRPr="006B6278">
              <w:rPr>
                <w:rFonts w:ascii="Times New Roman" w:eastAsia="Times New Roman" w:hAnsi="Times New Roman" w:cs="Times New Roman"/>
              </w:rPr>
              <w:t>Wersja aktualna</w:t>
            </w:r>
          </w:p>
        </w:tc>
        <w:tc>
          <w:tcPr>
            <w:tcW w:w="2013" w:type="pct"/>
            <w:shd w:val="clear" w:color="auto" w:fill="D9D9D9"/>
          </w:tcPr>
          <w:p w14:paraId="7FB89111" w14:textId="77777777" w:rsidR="00EF63DD" w:rsidRPr="006B6278" w:rsidRDefault="00EF63DD" w:rsidP="00EF63DD">
            <w:pPr>
              <w:spacing w:after="120" w:line="240" w:lineRule="auto"/>
              <w:jc w:val="center"/>
              <w:rPr>
                <w:rFonts w:ascii="Times New Roman" w:eastAsia="Times New Roman" w:hAnsi="Times New Roman" w:cs="Times New Roman"/>
              </w:rPr>
            </w:pPr>
            <w:r w:rsidRPr="006B6278">
              <w:rPr>
                <w:rFonts w:ascii="Times New Roman" w:eastAsia="Times New Roman" w:hAnsi="Times New Roman" w:cs="Times New Roman"/>
              </w:rPr>
              <w:t>Wersja zmieniona</w:t>
            </w:r>
          </w:p>
        </w:tc>
      </w:tr>
      <w:tr w:rsidR="00F43EE0" w:rsidRPr="00EF63DD" w14:paraId="34DA900E" w14:textId="77777777" w:rsidTr="006B6278">
        <w:tc>
          <w:tcPr>
            <w:tcW w:w="1082" w:type="pct"/>
          </w:tcPr>
          <w:p w14:paraId="19821AB1" w14:textId="7B5D5BBF" w:rsidR="00F43EE0" w:rsidRPr="00EF63DD" w:rsidRDefault="00F43EE0" w:rsidP="00EF63DD">
            <w:pPr>
              <w:spacing w:after="120" w:line="240" w:lineRule="auto"/>
              <w:jc w:val="both"/>
              <w:rPr>
                <w:rFonts w:ascii="Times New Roman" w:eastAsia="Times New Roman" w:hAnsi="Times New Roman" w:cs="Times New Roman"/>
              </w:rPr>
            </w:pPr>
            <w:r w:rsidRPr="006B6278">
              <w:rPr>
                <w:rFonts w:ascii="Times New Roman" w:eastAsia="Times New Roman" w:hAnsi="Times New Roman" w:cs="Times New Roman"/>
              </w:rPr>
              <w:t>Opis komponentu oraz/lub działania (inwestycji/reformy)</w:t>
            </w:r>
          </w:p>
        </w:tc>
        <w:tc>
          <w:tcPr>
            <w:tcW w:w="1905" w:type="pct"/>
          </w:tcPr>
          <w:p w14:paraId="2F46C52E" w14:textId="731DAD79" w:rsidR="00F43EE0" w:rsidRPr="00EF63DD" w:rsidRDefault="00F43EE0" w:rsidP="006B6278">
            <w:pPr>
              <w:autoSpaceDE w:val="0"/>
              <w:autoSpaceDN w:val="0"/>
              <w:adjustRightInd w:val="0"/>
              <w:spacing w:after="0" w:line="240" w:lineRule="auto"/>
              <w:rPr>
                <w:rFonts w:ascii="Times New Roman" w:eastAsia="Calibri" w:hAnsi="Times New Roman" w:cs="Times New Roman"/>
                <w:color w:val="000000"/>
                <w:lang w:eastAsia="en-GB"/>
              </w:rPr>
            </w:pPr>
            <w:r w:rsidRPr="00EF63DD">
              <w:rPr>
                <w:rFonts w:ascii="Times New Roman" w:eastAsia="Calibri" w:hAnsi="Times New Roman" w:cs="Times New Roman"/>
                <w:color w:val="000000"/>
                <w:lang w:eastAsia="en-GB"/>
              </w:rPr>
              <w:t>Realizacja inwestycji zostanie</w:t>
            </w:r>
            <w:r>
              <w:rPr>
                <w:rFonts w:ascii="Times New Roman" w:eastAsia="Calibri" w:hAnsi="Times New Roman" w:cs="Times New Roman"/>
                <w:color w:val="000000"/>
                <w:lang w:eastAsia="en-GB"/>
              </w:rPr>
              <w:t xml:space="preserve"> </w:t>
            </w:r>
            <w:r w:rsidRPr="00EF63DD">
              <w:rPr>
                <w:rFonts w:ascii="Times New Roman" w:eastAsia="Calibri" w:hAnsi="Times New Roman" w:cs="Times New Roman"/>
                <w:color w:val="000000"/>
                <w:lang w:eastAsia="en-GB"/>
              </w:rPr>
              <w:t xml:space="preserve">zakończona do dnia </w:t>
            </w:r>
            <w:r w:rsidRPr="006B6278">
              <w:rPr>
                <w:rFonts w:ascii="Times New Roman" w:eastAsia="Calibri" w:hAnsi="Times New Roman" w:cs="Times New Roman"/>
                <w:color w:val="000000"/>
                <w:lang w:eastAsia="en-GB"/>
              </w:rPr>
              <w:t>30 czerwca</w:t>
            </w:r>
            <w:r>
              <w:rPr>
                <w:rFonts w:ascii="Times New Roman" w:eastAsia="Calibri" w:hAnsi="Times New Roman" w:cs="Times New Roman"/>
                <w:color w:val="000000"/>
                <w:lang w:eastAsia="en-GB"/>
              </w:rPr>
              <w:t xml:space="preserve"> </w:t>
            </w:r>
            <w:r w:rsidRPr="006B6278">
              <w:rPr>
                <w:rFonts w:ascii="Times New Roman" w:eastAsia="Calibri" w:hAnsi="Times New Roman" w:cs="Times New Roman"/>
                <w:color w:val="000000"/>
                <w:lang w:eastAsia="en-GB"/>
              </w:rPr>
              <w:t>2025 r.</w:t>
            </w:r>
          </w:p>
        </w:tc>
        <w:tc>
          <w:tcPr>
            <w:tcW w:w="2013" w:type="pct"/>
          </w:tcPr>
          <w:p w14:paraId="331820A4" w14:textId="4C50FD49" w:rsidR="00F43EE0" w:rsidRPr="006B6278" w:rsidRDefault="00F43EE0" w:rsidP="006B6278">
            <w:pPr>
              <w:spacing w:after="0" w:line="240" w:lineRule="auto"/>
              <w:jc w:val="both"/>
              <w:rPr>
                <w:rFonts w:ascii="Times New Roman" w:eastAsia="Times New Roman" w:hAnsi="Times New Roman" w:cs="Times New Roman"/>
                <w:color w:val="FF0000"/>
              </w:rPr>
            </w:pPr>
            <w:r w:rsidRPr="00EF63DD">
              <w:rPr>
                <w:rFonts w:ascii="Times New Roman" w:eastAsia="Times New Roman" w:hAnsi="Times New Roman" w:cs="Times New Roman"/>
              </w:rPr>
              <w:t>Realizacja inwestycji zostanie</w:t>
            </w:r>
            <w:r>
              <w:rPr>
                <w:rFonts w:ascii="Times New Roman" w:eastAsia="Times New Roman" w:hAnsi="Times New Roman" w:cs="Times New Roman"/>
              </w:rPr>
              <w:t xml:space="preserve"> </w:t>
            </w:r>
            <w:r w:rsidRPr="00EF63DD">
              <w:rPr>
                <w:rFonts w:ascii="Times New Roman" w:eastAsia="Times New Roman" w:hAnsi="Times New Roman" w:cs="Times New Roman"/>
              </w:rPr>
              <w:t xml:space="preserve">zakończona do dnia </w:t>
            </w:r>
            <w:r w:rsidRPr="006B6278">
              <w:rPr>
                <w:rFonts w:ascii="Times New Roman" w:eastAsia="Times New Roman" w:hAnsi="Times New Roman" w:cs="Times New Roman"/>
                <w:color w:val="FF0000"/>
              </w:rPr>
              <w:t>30 czerwca</w:t>
            </w:r>
          </w:p>
          <w:p w14:paraId="49073720" w14:textId="3FA902A1" w:rsidR="00F43EE0" w:rsidRPr="00EF63DD" w:rsidRDefault="00F43EE0" w:rsidP="006B6278">
            <w:pPr>
              <w:spacing w:after="0" w:line="240" w:lineRule="auto"/>
              <w:jc w:val="both"/>
              <w:rPr>
                <w:rFonts w:ascii="Times New Roman" w:eastAsia="Times New Roman" w:hAnsi="Times New Roman" w:cs="Times New Roman"/>
              </w:rPr>
            </w:pPr>
            <w:r w:rsidRPr="006B6278">
              <w:rPr>
                <w:rFonts w:ascii="Times New Roman" w:eastAsia="Times New Roman" w:hAnsi="Times New Roman" w:cs="Times New Roman"/>
                <w:color w:val="FF0000"/>
              </w:rPr>
              <w:t>2026 r.</w:t>
            </w:r>
          </w:p>
        </w:tc>
      </w:tr>
      <w:tr w:rsidR="00C83756" w:rsidRPr="00EF63DD" w14:paraId="63F78748" w14:textId="77777777" w:rsidTr="009830F6">
        <w:trPr>
          <w:trHeight w:val="1504"/>
        </w:trPr>
        <w:tc>
          <w:tcPr>
            <w:tcW w:w="1082" w:type="pct"/>
            <w:vMerge w:val="restart"/>
          </w:tcPr>
          <w:p w14:paraId="766C47FB" w14:textId="77777777" w:rsidR="00C83756" w:rsidRPr="00EF63DD" w:rsidRDefault="00C83756" w:rsidP="00EF63DD">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Opis kamienia milowego lub wskaźnika.</w:t>
            </w:r>
          </w:p>
        </w:tc>
        <w:tc>
          <w:tcPr>
            <w:tcW w:w="1905" w:type="pct"/>
          </w:tcPr>
          <w:p w14:paraId="686D8981" w14:textId="2952968F" w:rsidR="00C83756" w:rsidRPr="00EF63DD" w:rsidRDefault="00C83756" w:rsidP="00EF63DD">
            <w:pPr>
              <w:spacing w:after="120" w:line="240" w:lineRule="auto"/>
              <w:rPr>
                <w:rFonts w:ascii="Times New Roman" w:eastAsia="Times New Roman" w:hAnsi="Times New Roman" w:cs="Times New Roman"/>
              </w:rPr>
            </w:pPr>
            <w:r w:rsidRPr="00EF63DD">
              <w:rPr>
                <w:rFonts w:ascii="Times New Roman" w:eastAsia="Times New Roman" w:hAnsi="Times New Roman" w:cs="Times New Roman"/>
              </w:rPr>
              <w:t>A55G Publiczne służby zatrudnienia, w których zostaną wdrożone zmodernizowane systemy informatyczne</w:t>
            </w:r>
          </w:p>
          <w:p w14:paraId="3C8478A2" w14:textId="3ED8E2FC" w:rsidR="00C83756" w:rsidRPr="006B6278" w:rsidRDefault="00C83756" w:rsidP="00EF63DD">
            <w:pPr>
              <w:spacing w:after="0" w:line="240" w:lineRule="auto"/>
              <w:rPr>
                <w:rFonts w:ascii="Times New Roman" w:eastAsia="Calibri" w:hAnsi="Times New Roman" w:cs="Times New Roman"/>
                <w:color w:val="000000"/>
                <w:lang w:eastAsia="en-GB"/>
              </w:rPr>
            </w:pPr>
            <w:r>
              <w:rPr>
                <w:rFonts w:ascii="Times New Roman" w:eastAsia="Times New Roman" w:hAnsi="Times New Roman" w:cs="Times New Roman"/>
              </w:rPr>
              <w:t>Termin realizacji</w:t>
            </w:r>
            <w:r w:rsidRPr="00EF63DD">
              <w:rPr>
                <w:rFonts w:ascii="Times New Roman" w:eastAsia="Times New Roman" w:hAnsi="Times New Roman" w:cs="Times New Roman"/>
              </w:rPr>
              <w:t>:</w:t>
            </w:r>
            <w:r>
              <w:rPr>
                <w:rFonts w:ascii="Times New Roman" w:eastAsia="Times New Roman" w:hAnsi="Times New Roman" w:cs="Times New Roman"/>
              </w:rPr>
              <w:t xml:space="preserve"> </w:t>
            </w:r>
            <w:r w:rsidRPr="006B6278">
              <w:rPr>
                <w:rFonts w:ascii="Times New Roman" w:eastAsia="Times New Roman" w:hAnsi="Times New Roman" w:cs="Times New Roman"/>
              </w:rPr>
              <w:t>II kw. 2025</w:t>
            </w:r>
            <w:r>
              <w:rPr>
                <w:rFonts w:ascii="Times New Roman" w:eastAsia="Times New Roman" w:hAnsi="Times New Roman" w:cs="Times New Roman"/>
              </w:rPr>
              <w:t>r.</w:t>
            </w:r>
          </w:p>
        </w:tc>
        <w:tc>
          <w:tcPr>
            <w:tcW w:w="2013" w:type="pct"/>
          </w:tcPr>
          <w:p w14:paraId="17F1EBD7" w14:textId="4E94461D" w:rsidR="00C83756" w:rsidRPr="00EF63DD" w:rsidRDefault="00C83756" w:rsidP="00EF63DD">
            <w:pPr>
              <w:spacing w:after="120" w:line="240" w:lineRule="auto"/>
              <w:rPr>
                <w:rFonts w:ascii="Times New Roman" w:eastAsia="Times New Roman" w:hAnsi="Times New Roman" w:cs="Times New Roman"/>
              </w:rPr>
            </w:pPr>
            <w:r w:rsidRPr="00EF63DD">
              <w:rPr>
                <w:rFonts w:ascii="Times New Roman" w:eastAsia="Times New Roman" w:hAnsi="Times New Roman" w:cs="Times New Roman"/>
              </w:rPr>
              <w:t>A55G Publiczne służby zatrudnienia, w których zostaną wdrożone zmodernizowane systemy informatyczne</w:t>
            </w:r>
          </w:p>
          <w:p w14:paraId="735D78FD" w14:textId="1EF000D9" w:rsidR="00C83756" w:rsidRPr="006B6278" w:rsidRDefault="00C83756" w:rsidP="00EF63D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Termin realizacji</w:t>
            </w:r>
            <w:r w:rsidRPr="00EF63DD">
              <w:rPr>
                <w:rFonts w:ascii="Times New Roman" w:eastAsia="Times New Roman" w:hAnsi="Times New Roman" w:cs="Times New Roman"/>
              </w:rPr>
              <w:t>:</w:t>
            </w:r>
            <w:r>
              <w:rPr>
                <w:rFonts w:ascii="Times New Roman" w:eastAsia="Times New Roman" w:hAnsi="Times New Roman" w:cs="Times New Roman"/>
              </w:rPr>
              <w:t xml:space="preserve"> </w:t>
            </w:r>
            <w:r w:rsidRPr="006B6278">
              <w:rPr>
                <w:rFonts w:ascii="Times New Roman" w:eastAsia="Times New Roman" w:hAnsi="Times New Roman" w:cs="Times New Roman"/>
                <w:color w:val="FF0000"/>
              </w:rPr>
              <w:t>II kw. 2026</w:t>
            </w:r>
            <w:r>
              <w:rPr>
                <w:rFonts w:ascii="Times New Roman" w:eastAsia="Times New Roman" w:hAnsi="Times New Roman" w:cs="Times New Roman"/>
                <w:color w:val="FF0000"/>
              </w:rPr>
              <w:t>r.</w:t>
            </w:r>
          </w:p>
        </w:tc>
      </w:tr>
      <w:tr w:rsidR="00C83756" w:rsidRPr="00EF63DD" w14:paraId="48BF882C" w14:textId="77777777" w:rsidTr="006B6278">
        <w:tc>
          <w:tcPr>
            <w:tcW w:w="1082" w:type="pct"/>
            <w:vMerge/>
          </w:tcPr>
          <w:p w14:paraId="385C87AC" w14:textId="77777777" w:rsidR="00C83756" w:rsidRPr="00C40440" w:rsidRDefault="00C83756" w:rsidP="00EF63DD">
            <w:pPr>
              <w:spacing w:after="120" w:line="240" w:lineRule="auto"/>
              <w:jc w:val="both"/>
              <w:rPr>
                <w:rFonts w:ascii="Times New Roman" w:eastAsia="Times New Roman" w:hAnsi="Times New Roman" w:cs="Times New Roman"/>
                <w:rPrChange w:id="4" w:author="Dziubek-Grudzińska Magdalena" w:date="2024-03-15T12:21:00Z">
                  <w:rPr>
                    <w:rFonts w:ascii="Times New Roman" w:eastAsia="Times New Roman" w:hAnsi="Times New Roman" w:cs="Times New Roman"/>
                    <w:lang w:val="en-US"/>
                  </w:rPr>
                </w:rPrChange>
              </w:rPr>
            </w:pPr>
          </w:p>
        </w:tc>
        <w:tc>
          <w:tcPr>
            <w:tcW w:w="1905" w:type="pct"/>
          </w:tcPr>
          <w:p w14:paraId="7C5ACA85" w14:textId="77777777" w:rsidR="00C83756" w:rsidRPr="00EF63DD" w:rsidRDefault="00C83756" w:rsidP="00EF63DD">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A56G Pracownicy publicznych służb zatrudnienia przeszkoleni w zakresie stosowania nowych procedur i wykorzystywania narzędzi informatycznych, które wdrożono w związku z nową ustawą o publicznych służbach zatrudnienia, ustawą o zatrudnianiu obywateli państw trzecich oraz ustawą o zawieraniu niektórych umów o pracę w sposób elektroniczny</w:t>
            </w:r>
          </w:p>
          <w:p w14:paraId="4218523E" w14:textId="304526D3" w:rsidR="00C83756" w:rsidRPr="00EF63DD" w:rsidRDefault="00C83756" w:rsidP="00EF63DD">
            <w:pPr>
              <w:spacing w:after="120" w:line="240" w:lineRule="auto"/>
              <w:rPr>
                <w:rFonts w:ascii="Times New Roman" w:eastAsia="Times New Roman" w:hAnsi="Times New Roman" w:cs="Times New Roman"/>
              </w:rPr>
            </w:pPr>
            <w:r>
              <w:rPr>
                <w:rFonts w:ascii="Times New Roman" w:eastAsia="Times New Roman" w:hAnsi="Times New Roman" w:cs="Times New Roman"/>
              </w:rPr>
              <w:t>Termin realizacji</w:t>
            </w:r>
            <w:r w:rsidRPr="00EF63DD">
              <w:rPr>
                <w:rFonts w:ascii="Times New Roman" w:eastAsia="Times New Roman" w:hAnsi="Times New Roman" w:cs="Times New Roman"/>
              </w:rPr>
              <w:t>:</w:t>
            </w:r>
            <w:r>
              <w:rPr>
                <w:rFonts w:ascii="Times New Roman" w:eastAsia="Times New Roman" w:hAnsi="Times New Roman" w:cs="Times New Roman"/>
              </w:rPr>
              <w:t xml:space="preserve"> </w:t>
            </w:r>
            <w:r w:rsidRPr="006B6278">
              <w:rPr>
                <w:rFonts w:ascii="Times New Roman" w:eastAsia="Times New Roman" w:hAnsi="Times New Roman" w:cs="Times New Roman"/>
              </w:rPr>
              <w:t>I kw. 2025</w:t>
            </w:r>
            <w:r>
              <w:rPr>
                <w:rFonts w:ascii="Times New Roman" w:eastAsia="Times New Roman" w:hAnsi="Times New Roman" w:cs="Times New Roman"/>
              </w:rPr>
              <w:t>r.</w:t>
            </w:r>
          </w:p>
        </w:tc>
        <w:tc>
          <w:tcPr>
            <w:tcW w:w="2013" w:type="pct"/>
          </w:tcPr>
          <w:p w14:paraId="42F23987" w14:textId="77777777" w:rsidR="00C83756" w:rsidRPr="00EF63DD" w:rsidRDefault="00C83756" w:rsidP="00EF63DD">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A56G Pracownicy publicznych służb zatrudnienia przeszkoleni w zakresie stosowania nowych procedur i wykorzystywania narzędzi informatycznych, które wdrożono w związku z nową ustawą o publicznych służbach zatrudnienia, ustawą o zatrudnianiu obywateli państw trzecich oraz ustawą o zawieraniu niektórych umów o pracę w sposób elektroniczny</w:t>
            </w:r>
          </w:p>
          <w:p w14:paraId="6195BEA4" w14:textId="67EF2752" w:rsidR="00C83756" w:rsidRPr="00EF63DD" w:rsidRDefault="00C83756" w:rsidP="00EF63DD">
            <w:pPr>
              <w:spacing w:after="120" w:line="240" w:lineRule="auto"/>
              <w:rPr>
                <w:rFonts w:ascii="Times New Roman" w:eastAsia="Times New Roman" w:hAnsi="Times New Roman" w:cs="Times New Roman"/>
              </w:rPr>
            </w:pPr>
            <w:r>
              <w:rPr>
                <w:rFonts w:ascii="Times New Roman" w:eastAsia="Times New Roman" w:hAnsi="Times New Roman" w:cs="Times New Roman"/>
              </w:rPr>
              <w:t>Termin realizacji</w:t>
            </w:r>
            <w:r w:rsidRPr="00EF63DD">
              <w:rPr>
                <w:rFonts w:ascii="Times New Roman" w:eastAsia="Times New Roman" w:hAnsi="Times New Roman" w:cs="Times New Roman"/>
              </w:rPr>
              <w:t>:</w:t>
            </w:r>
            <w:r>
              <w:rPr>
                <w:rFonts w:ascii="Times New Roman" w:eastAsia="Times New Roman" w:hAnsi="Times New Roman" w:cs="Times New Roman"/>
              </w:rPr>
              <w:t xml:space="preserve"> </w:t>
            </w:r>
            <w:r w:rsidRPr="006B6278">
              <w:rPr>
                <w:rFonts w:ascii="Times New Roman" w:eastAsia="Times New Roman" w:hAnsi="Times New Roman" w:cs="Times New Roman"/>
                <w:color w:val="FF0000"/>
              </w:rPr>
              <w:t>II kw. 2026</w:t>
            </w:r>
            <w:r>
              <w:rPr>
                <w:rFonts w:ascii="Times New Roman" w:eastAsia="Times New Roman" w:hAnsi="Times New Roman" w:cs="Times New Roman"/>
                <w:color w:val="FF0000"/>
              </w:rPr>
              <w:t>r.</w:t>
            </w:r>
          </w:p>
        </w:tc>
      </w:tr>
      <w:tr w:rsidR="00EF63DD" w:rsidRPr="00EF63DD" w14:paraId="0AD9DD02" w14:textId="77777777" w:rsidTr="006B6278">
        <w:tc>
          <w:tcPr>
            <w:tcW w:w="1082" w:type="pct"/>
          </w:tcPr>
          <w:p w14:paraId="76D7DDB7" w14:textId="77777777" w:rsidR="00EF63DD" w:rsidRPr="00EF63DD" w:rsidRDefault="00EF63DD" w:rsidP="00EF63DD">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Uzasadnienie</w:t>
            </w:r>
          </w:p>
        </w:tc>
        <w:tc>
          <w:tcPr>
            <w:tcW w:w="3918" w:type="pct"/>
            <w:gridSpan w:val="2"/>
          </w:tcPr>
          <w:p w14:paraId="5261BE99" w14:textId="1F52D0CE" w:rsidR="00EF63DD" w:rsidRPr="00EF63DD" w:rsidRDefault="00EF63DD" w:rsidP="00EF63DD">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Inwestycja A4.1.1</w:t>
            </w:r>
            <w:r w:rsidR="00C83756">
              <w:rPr>
                <w:rFonts w:ascii="Times New Roman" w:eastAsia="Times New Roman" w:hAnsi="Times New Roman" w:cs="Times New Roman"/>
              </w:rPr>
              <w:t>.</w:t>
            </w:r>
            <w:r w:rsidRPr="00EF63DD">
              <w:rPr>
                <w:rFonts w:ascii="Times New Roman" w:eastAsia="Times New Roman" w:hAnsi="Times New Roman" w:cs="Times New Roman"/>
              </w:rPr>
              <w:t xml:space="preserve"> jest ściśle powiązana z realizacją reformy A4.1 i zwłaszcza z realizacją kamienia milowego A51G. Brak wdrożenia ustaw, wskazanych w kamieniu A51G uniemożliwia realizację prac związanych z rozbudową </w:t>
            </w:r>
            <w:r w:rsidRPr="00EF63DD">
              <w:rPr>
                <w:rFonts w:ascii="Times New Roman" w:eastAsia="Times New Roman" w:hAnsi="Times New Roman" w:cs="Times New Roman"/>
              </w:rPr>
              <w:lastRenderedPageBreak/>
              <w:t>systemów teleinformatycznych (kamień A55G) o funkcjonalności wynikające z ustaw, które docelowo regulować będą kwestie rynku pracy oraz służb zatrudnienia, jak również zatrudnienia cudzoziemców w Polsce. Dotyczy to również przeprowadzenia szkoleń pracowników PSZ z nowych rozwiązań (kamień A56G), które będą wynikały z zapisów ustawy. Szkolenia te mają dotyczyć nowych procedur i standardów określonych w przyszłej ustawie o publicznych służbach zatrudnienia, ustawie o zatrudnianiu obywateli państw trzecich oraz ustawie o zawieraniu niektórych umów o pracę w sposób elektroniczny, a także narzędzi i systemów informatycznych obsługujących te nowe narzędzia i procedury. Zatem bez nowych regulacji prawnych realizacja tych szkoleń jest niemożliwa. Mając to na uwadze, konieczne jest wydłużenie terminu na realizację zadań niezbędnych dla osiągnięcia wskaźników A55G i A56G.</w:t>
            </w:r>
          </w:p>
        </w:tc>
      </w:tr>
      <w:tr w:rsidR="006B6278" w:rsidRPr="00EF63DD" w14:paraId="42EFC8E3" w14:textId="77777777" w:rsidTr="006B6278">
        <w:tc>
          <w:tcPr>
            <w:tcW w:w="1082" w:type="pct"/>
          </w:tcPr>
          <w:p w14:paraId="63005F01" w14:textId="77777777" w:rsidR="006B6278" w:rsidRPr="00EF63DD" w:rsidRDefault="006B6278" w:rsidP="006B6278">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lastRenderedPageBreak/>
              <w:t>Szacowany koszt</w:t>
            </w:r>
          </w:p>
        </w:tc>
        <w:tc>
          <w:tcPr>
            <w:tcW w:w="3918" w:type="pct"/>
            <w:gridSpan w:val="2"/>
          </w:tcPr>
          <w:p w14:paraId="20499BEE" w14:textId="3CE22E3F" w:rsidR="006B6278" w:rsidRPr="006B6278" w:rsidRDefault="006B6278" w:rsidP="006B6278">
            <w:pPr>
              <w:spacing w:after="120" w:line="240" w:lineRule="auto"/>
              <w:jc w:val="both"/>
              <w:rPr>
                <w:rFonts w:ascii="Times New Roman" w:eastAsia="Times New Roman" w:hAnsi="Times New Roman" w:cs="Times New Roman"/>
              </w:rPr>
            </w:pPr>
            <w:r w:rsidRPr="006B6278">
              <w:rPr>
                <w:rFonts w:ascii="Times New Roman" w:hAnsi="Times New Roman" w:cs="Times New Roman"/>
              </w:rPr>
              <w:t xml:space="preserve">Zmiana nie ma wpływu na szacowany koszt </w:t>
            </w:r>
          </w:p>
        </w:tc>
      </w:tr>
      <w:tr w:rsidR="006B6278" w:rsidRPr="00EF63DD" w14:paraId="7BF7F7EB" w14:textId="77777777" w:rsidTr="006B6278">
        <w:tc>
          <w:tcPr>
            <w:tcW w:w="1082" w:type="pct"/>
          </w:tcPr>
          <w:p w14:paraId="03FA74A0" w14:textId="77777777" w:rsidR="006B6278" w:rsidRPr="00EF63DD" w:rsidRDefault="006B6278" w:rsidP="006B6278">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 xml:space="preserve">Cyfrowy i klimatyczny </w:t>
            </w:r>
            <w:proofErr w:type="spellStart"/>
            <w:r w:rsidRPr="00EF63DD">
              <w:rPr>
                <w:rFonts w:ascii="Times New Roman" w:eastAsia="Times New Roman" w:hAnsi="Times New Roman" w:cs="Times New Roman"/>
              </w:rPr>
              <w:t>tagging</w:t>
            </w:r>
            <w:proofErr w:type="spellEnd"/>
            <w:r w:rsidRPr="00EF63DD">
              <w:rPr>
                <w:rFonts w:ascii="Times New Roman" w:eastAsia="Times New Roman" w:hAnsi="Times New Roman" w:cs="Times New Roman"/>
              </w:rPr>
              <w:t xml:space="preserve"> </w:t>
            </w:r>
          </w:p>
        </w:tc>
        <w:tc>
          <w:tcPr>
            <w:tcW w:w="3918" w:type="pct"/>
            <w:gridSpan w:val="2"/>
          </w:tcPr>
          <w:p w14:paraId="3A58CE88" w14:textId="5C599649" w:rsidR="006B6278" w:rsidRPr="006B6278" w:rsidRDefault="006B6278" w:rsidP="006B6278">
            <w:pPr>
              <w:spacing w:after="120" w:line="240" w:lineRule="auto"/>
              <w:jc w:val="both"/>
              <w:rPr>
                <w:rFonts w:ascii="Times New Roman" w:eastAsia="Times New Roman" w:hAnsi="Times New Roman" w:cs="Times New Roman"/>
              </w:rPr>
            </w:pPr>
            <w:r w:rsidRPr="006B6278">
              <w:rPr>
                <w:rFonts w:ascii="Times New Roman" w:hAnsi="Times New Roman" w:cs="Times New Roman"/>
              </w:rPr>
              <w:t xml:space="preserve">Zmiana nie ma wpływu na </w:t>
            </w:r>
            <w:proofErr w:type="spellStart"/>
            <w:r w:rsidRPr="006B6278">
              <w:rPr>
                <w:rFonts w:ascii="Times New Roman" w:hAnsi="Times New Roman" w:cs="Times New Roman"/>
              </w:rPr>
              <w:t>tagging</w:t>
            </w:r>
            <w:proofErr w:type="spellEnd"/>
            <w:r w:rsidRPr="006B6278">
              <w:rPr>
                <w:rFonts w:ascii="Times New Roman" w:hAnsi="Times New Roman" w:cs="Times New Roman"/>
              </w:rPr>
              <w:t xml:space="preserve"> klimatyczny i cyfrowy</w:t>
            </w:r>
          </w:p>
        </w:tc>
      </w:tr>
      <w:tr w:rsidR="006B6278" w:rsidRPr="00EF63DD" w14:paraId="5FA9E55E" w14:textId="77777777" w:rsidTr="006B6278">
        <w:tc>
          <w:tcPr>
            <w:tcW w:w="1082" w:type="pct"/>
            <w:tcBorders>
              <w:bottom w:val="single" w:sz="4" w:space="0" w:color="auto"/>
            </w:tcBorders>
          </w:tcPr>
          <w:p w14:paraId="72EEDB45" w14:textId="77777777" w:rsidR="006B6278" w:rsidRPr="00EF63DD" w:rsidRDefault="006B6278" w:rsidP="006B6278">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 xml:space="preserve">Zasada DNSH </w:t>
            </w:r>
          </w:p>
        </w:tc>
        <w:tc>
          <w:tcPr>
            <w:tcW w:w="3918" w:type="pct"/>
            <w:gridSpan w:val="2"/>
            <w:tcBorders>
              <w:bottom w:val="single" w:sz="4" w:space="0" w:color="auto"/>
            </w:tcBorders>
          </w:tcPr>
          <w:p w14:paraId="505ECB4B" w14:textId="0BD55754" w:rsidR="006B6278" w:rsidRPr="006B6278" w:rsidRDefault="006B6278" w:rsidP="006B6278">
            <w:pPr>
              <w:spacing w:after="120" w:line="240" w:lineRule="auto"/>
              <w:jc w:val="both"/>
              <w:rPr>
                <w:rFonts w:ascii="Times New Roman" w:eastAsia="Times New Roman" w:hAnsi="Times New Roman" w:cs="Times New Roman"/>
              </w:rPr>
            </w:pPr>
            <w:r w:rsidRPr="006B6278">
              <w:rPr>
                <w:rFonts w:ascii="Times New Roman" w:hAnsi="Times New Roman" w:cs="Times New Roman"/>
              </w:rPr>
              <w:t>Zmiana nie ma wpływu na DNSH</w:t>
            </w:r>
          </w:p>
        </w:tc>
      </w:tr>
      <w:tr w:rsidR="006B6278" w:rsidRPr="00EF63DD" w14:paraId="00B18366" w14:textId="77777777" w:rsidTr="006B6278">
        <w:tc>
          <w:tcPr>
            <w:tcW w:w="1082" w:type="pct"/>
            <w:tcBorders>
              <w:bottom w:val="single" w:sz="4" w:space="0" w:color="auto"/>
            </w:tcBorders>
          </w:tcPr>
          <w:p w14:paraId="13D14149" w14:textId="77777777" w:rsidR="006B6278" w:rsidRPr="00EF63DD" w:rsidRDefault="006B6278" w:rsidP="006B6278">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 xml:space="preserve">Pomoc publiczna </w:t>
            </w:r>
          </w:p>
        </w:tc>
        <w:tc>
          <w:tcPr>
            <w:tcW w:w="3918" w:type="pct"/>
            <w:gridSpan w:val="2"/>
            <w:tcBorders>
              <w:bottom w:val="single" w:sz="4" w:space="0" w:color="auto"/>
            </w:tcBorders>
          </w:tcPr>
          <w:p w14:paraId="5DC243D7" w14:textId="6A30E7B8" w:rsidR="006B6278" w:rsidRPr="006B6278" w:rsidRDefault="006B6278" w:rsidP="006B6278">
            <w:pPr>
              <w:spacing w:after="120" w:line="240" w:lineRule="auto"/>
              <w:jc w:val="both"/>
              <w:rPr>
                <w:rFonts w:ascii="Times New Roman" w:eastAsia="Times New Roman" w:hAnsi="Times New Roman" w:cs="Times New Roman"/>
              </w:rPr>
            </w:pPr>
            <w:r w:rsidRPr="006B6278">
              <w:rPr>
                <w:rFonts w:ascii="Times New Roman" w:hAnsi="Times New Roman" w:cs="Times New Roman"/>
              </w:rPr>
              <w:t>Zmiana nie ma wpływu na pomoc publiczną</w:t>
            </w:r>
          </w:p>
        </w:tc>
      </w:tr>
    </w:tbl>
    <w:p w14:paraId="7B52C273" w14:textId="77777777" w:rsidR="007B2370" w:rsidRPr="006E3FE8" w:rsidRDefault="007B2370" w:rsidP="006E3FE8">
      <w:pPr>
        <w:spacing w:line="240" w:lineRule="auto"/>
        <w:rPr>
          <w:rFonts w:cstheme="minorHAnsi"/>
        </w:rPr>
      </w:pPr>
    </w:p>
    <w:p w14:paraId="4D5F2F8F" w14:textId="5CC4573E" w:rsidR="00B83234" w:rsidRDefault="007B2370" w:rsidP="00111178">
      <w:pPr>
        <w:shd w:val="clear" w:color="auto" w:fill="FFFFFF" w:themeFill="background1"/>
        <w:autoSpaceDE w:val="0"/>
        <w:autoSpaceDN w:val="0"/>
        <w:adjustRightInd w:val="0"/>
        <w:spacing w:after="120" w:line="240" w:lineRule="auto"/>
        <w:rPr>
          <w:rFonts w:ascii="Times New Roman" w:hAnsi="Times New Roman" w:cs="Times New Roman"/>
          <w:b/>
          <w:bCs/>
          <w:sz w:val="26"/>
          <w:szCs w:val="26"/>
        </w:rPr>
      </w:pPr>
      <w:r w:rsidRPr="007B2370">
        <w:rPr>
          <w:rFonts w:ascii="Times New Roman" w:hAnsi="Times New Roman" w:cs="Times New Roman"/>
          <w:b/>
          <w:bCs/>
          <w:sz w:val="26"/>
          <w:szCs w:val="26"/>
        </w:rPr>
        <w:t xml:space="preserve">Komponent B </w:t>
      </w:r>
      <w:r>
        <w:rPr>
          <w:rFonts w:ascii="Times New Roman" w:hAnsi="Times New Roman" w:cs="Times New Roman"/>
          <w:b/>
          <w:bCs/>
          <w:sz w:val="26"/>
          <w:szCs w:val="26"/>
        </w:rPr>
        <w:t xml:space="preserve">- </w:t>
      </w:r>
      <w:r w:rsidRPr="007B2370">
        <w:rPr>
          <w:rFonts w:ascii="Times New Roman" w:hAnsi="Times New Roman" w:cs="Times New Roman"/>
          <w:b/>
          <w:bCs/>
          <w:sz w:val="26"/>
          <w:szCs w:val="26"/>
        </w:rPr>
        <w:t>Zielona energia i zmniejszenie energochłonności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6"/>
        <w:gridCol w:w="3465"/>
        <w:gridCol w:w="3661"/>
      </w:tblGrid>
      <w:tr w:rsidR="00B83234" w:rsidRPr="00B83234" w14:paraId="2A74FED6" w14:textId="77777777" w:rsidTr="00144E7D">
        <w:tc>
          <w:tcPr>
            <w:tcW w:w="1068" w:type="pct"/>
          </w:tcPr>
          <w:p w14:paraId="305238AE" w14:textId="77777777" w:rsidR="00B83234" w:rsidRPr="00B83234" w:rsidRDefault="00B83234" w:rsidP="00B83234">
            <w:pPr>
              <w:spacing w:after="120" w:line="240" w:lineRule="auto"/>
              <w:jc w:val="both"/>
              <w:rPr>
                <w:rFonts w:ascii="Times New Roman" w:eastAsia="Times New Roman" w:hAnsi="Times New Roman" w:cs="Times New Roman"/>
                <w:b/>
                <w:bCs/>
              </w:rPr>
            </w:pPr>
            <w:r w:rsidRPr="00B83234">
              <w:rPr>
                <w:rFonts w:ascii="Times New Roman" w:eastAsia="Times New Roman" w:hAnsi="Times New Roman" w:cs="Times New Roman"/>
                <w:b/>
                <w:bCs/>
              </w:rPr>
              <w:t>Numer inwestycji</w:t>
            </w:r>
          </w:p>
        </w:tc>
        <w:tc>
          <w:tcPr>
            <w:tcW w:w="3932" w:type="pct"/>
            <w:gridSpan w:val="2"/>
          </w:tcPr>
          <w:p w14:paraId="5D553F94" w14:textId="72C3B7B5" w:rsidR="00B83234" w:rsidRPr="00B83234" w:rsidRDefault="00B83234" w:rsidP="00B83234">
            <w:pPr>
              <w:autoSpaceDE w:val="0"/>
              <w:autoSpaceDN w:val="0"/>
              <w:adjustRightInd w:val="0"/>
              <w:spacing w:after="120" w:line="240" w:lineRule="auto"/>
              <w:rPr>
                <w:rFonts w:ascii="Times New Roman" w:eastAsia="Calibri" w:hAnsi="Times New Roman" w:cs="Times New Roman"/>
                <w:b/>
                <w:bCs/>
                <w:color w:val="000000"/>
                <w:lang w:val="en-GB" w:eastAsia="en-GB"/>
              </w:rPr>
            </w:pPr>
            <w:r w:rsidRPr="00B83234">
              <w:rPr>
                <w:rFonts w:ascii="Times New Roman" w:eastAsia="Calibri" w:hAnsi="Times New Roman" w:cs="Times New Roman"/>
                <w:b/>
                <w:bCs/>
                <w:color w:val="000000"/>
                <w:lang w:val="en-GB" w:eastAsia="en-GB"/>
              </w:rPr>
              <w:t>B.1.1.2</w:t>
            </w:r>
            <w:r w:rsidR="00CA54E4">
              <w:rPr>
                <w:rFonts w:ascii="Times New Roman" w:eastAsia="Calibri" w:hAnsi="Times New Roman" w:cs="Times New Roman"/>
                <w:b/>
                <w:bCs/>
                <w:color w:val="000000"/>
                <w:lang w:val="en-GB" w:eastAsia="en-GB"/>
              </w:rPr>
              <w:t>.</w:t>
            </w:r>
          </w:p>
        </w:tc>
      </w:tr>
      <w:tr w:rsidR="00B83234" w:rsidRPr="00F361BA" w14:paraId="7AAF59DE" w14:textId="77777777" w:rsidTr="00C40440">
        <w:trPr>
          <w:trHeight w:val="668"/>
        </w:trPr>
        <w:tc>
          <w:tcPr>
            <w:tcW w:w="1068" w:type="pct"/>
          </w:tcPr>
          <w:p w14:paraId="65612B0F" w14:textId="77777777" w:rsidR="00B83234" w:rsidRPr="00B83234" w:rsidRDefault="00B83234" w:rsidP="00B83234">
            <w:pPr>
              <w:autoSpaceDE w:val="0"/>
              <w:autoSpaceDN w:val="0"/>
              <w:adjustRightInd w:val="0"/>
              <w:spacing w:after="120" w:line="240" w:lineRule="auto"/>
              <w:rPr>
                <w:rFonts w:ascii="Times New Roman" w:eastAsia="Calibri" w:hAnsi="Times New Roman" w:cs="Times New Roman"/>
                <w:b/>
                <w:bCs/>
                <w:color w:val="000000"/>
                <w:lang w:val="en-GB" w:eastAsia="en-GB"/>
              </w:rPr>
            </w:pPr>
            <w:proofErr w:type="spellStart"/>
            <w:r w:rsidRPr="00B83234">
              <w:rPr>
                <w:rFonts w:ascii="Times New Roman" w:eastAsia="Calibri" w:hAnsi="Times New Roman" w:cs="Times New Roman"/>
                <w:b/>
                <w:bCs/>
                <w:color w:val="000000"/>
                <w:lang w:val="en-GB" w:eastAsia="en-GB"/>
              </w:rPr>
              <w:t>Nazwa</w:t>
            </w:r>
            <w:proofErr w:type="spellEnd"/>
            <w:r w:rsidRPr="00B83234">
              <w:rPr>
                <w:rFonts w:ascii="Times New Roman" w:eastAsia="Calibri" w:hAnsi="Times New Roman" w:cs="Times New Roman"/>
                <w:b/>
                <w:bCs/>
                <w:color w:val="000000"/>
                <w:lang w:val="en-GB" w:eastAsia="en-GB"/>
              </w:rPr>
              <w:t xml:space="preserve"> </w:t>
            </w:r>
            <w:proofErr w:type="spellStart"/>
            <w:r w:rsidRPr="00B83234">
              <w:rPr>
                <w:rFonts w:ascii="Times New Roman" w:eastAsia="Calibri" w:hAnsi="Times New Roman" w:cs="Times New Roman"/>
                <w:b/>
                <w:bCs/>
                <w:color w:val="000000"/>
                <w:lang w:val="en-GB" w:eastAsia="en-GB"/>
              </w:rPr>
              <w:t>inwestycji</w:t>
            </w:r>
            <w:proofErr w:type="spellEnd"/>
            <w:r w:rsidRPr="00B83234">
              <w:rPr>
                <w:rFonts w:ascii="Times New Roman" w:eastAsia="Calibri" w:hAnsi="Times New Roman" w:cs="Times New Roman"/>
                <w:b/>
                <w:bCs/>
                <w:color w:val="000000"/>
                <w:lang w:val="en-GB" w:eastAsia="en-GB"/>
              </w:rPr>
              <w:t xml:space="preserve"> </w:t>
            </w:r>
          </w:p>
        </w:tc>
        <w:tc>
          <w:tcPr>
            <w:tcW w:w="3932" w:type="pct"/>
            <w:gridSpan w:val="2"/>
          </w:tcPr>
          <w:p w14:paraId="1DFC7F60" w14:textId="0F1C06A7" w:rsidR="00B83234" w:rsidRPr="00C40440" w:rsidRDefault="00B83234" w:rsidP="00B83234">
            <w:pPr>
              <w:autoSpaceDE w:val="0"/>
              <w:autoSpaceDN w:val="0"/>
              <w:adjustRightInd w:val="0"/>
              <w:spacing w:after="120" w:line="240" w:lineRule="auto"/>
              <w:rPr>
                <w:rFonts w:ascii="Times New Roman" w:eastAsia="Calibri" w:hAnsi="Times New Roman" w:cs="Times New Roman"/>
                <w:b/>
                <w:bCs/>
                <w:color w:val="000000"/>
                <w:lang w:eastAsia="en-GB"/>
              </w:rPr>
            </w:pPr>
            <w:r w:rsidRPr="00B83234">
              <w:rPr>
                <w:rFonts w:ascii="Times New Roman" w:eastAsia="Calibri" w:hAnsi="Times New Roman" w:cs="Times New Roman"/>
                <w:b/>
                <w:bCs/>
                <w:color w:val="000000"/>
                <w:lang w:eastAsia="en-GB"/>
              </w:rPr>
              <w:t>Wymiana źródeł ciepła i poprawa efektywności energetycznej w budynkach mieszkalnych</w:t>
            </w:r>
          </w:p>
        </w:tc>
      </w:tr>
      <w:tr w:rsidR="00B83234" w:rsidRPr="00F361BA" w14:paraId="4E627551" w14:textId="77777777" w:rsidTr="00144E7D">
        <w:tc>
          <w:tcPr>
            <w:tcW w:w="1068" w:type="pct"/>
          </w:tcPr>
          <w:p w14:paraId="34178B3E" w14:textId="77777777" w:rsidR="00B83234" w:rsidRPr="00B83234" w:rsidRDefault="00B83234" w:rsidP="00B83234">
            <w:pPr>
              <w:autoSpaceDE w:val="0"/>
              <w:autoSpaceDN w:val="0"/>
              <w:adjustRightInd w:val="0"/>
              <w:spacing w:after="120" w:line="240" w:lineRule="auto"/>
              <w:rPr>
                <w:rFonts w:ascii="Times New Roman" w:eastAsia="Calibri" w:hAnsi="Times New Roman" w:cs="Times New Roman"/>
                <w:color w:val="000000"/>
                <w:lang w:eastAsia="en-GB"/>
              </w:rPr>
            </w:pPr>
            <w:r w:rsidRPr="00B83234">
              <w:rPr>
                <w:rFonts w:ascii="Times New Roman" w:eastAsia="Calibri" w:hAnsi="Times New Roman" w:cs="Times New Roman"/>
                <w:color w:val="000000"/>
                <w:lang w:eastAsia="en-GB"/>
              </w:rPr>
              <w:t>Rodzaj wprowadzonej zmiany w odniesieniu do CID</w:t>
            </w:r>
          </w:p>
        </w:tc>
        <w:tc>
          <w:tcPr>
            <w:tcW w:w="3932" w:type="pct"/>
            <w:gridSpan w:val="2"/>
          </w:tcPr>
          <w:p w14:paraId="34F5A25C" w14:textId="5E50E05D" w:rsidR="00B83234" w:rsidRPr="00C40440" w:rsidRDefault="00B83234" w:rsidP="00B83234">
            <w:pPr>
              <w:autoSpaceDE w:val="0"/>
              <w:autoSpaceDN w:val="0"/>
              <w:adjustRightInd w:val="0"/>
              <w:spacing w:after="120" w:line="240" w:lineRule="auto"/>
              <w:rPr>
                <w:rFonts w:ascii="Times New Roman" w:eastAsia="Calibri" w:hAnsi="Times New Roman" w:cs="Times New Roman"/>
                <w:color w:val="000000"/>
                <w:lang w:eastAsia="en-GB"/>
              </w:rPr>
            </w:pPr>
            <w:r w:rsidRPr="00B83234">
              <w:rPr>
                <w:rFonts w:ascii="Times New Roman" w:eastAsia="Calibri" w:hAnsi="Times New Roman" w:cs="Times New Roman"/>
                <w:color w:val="000000"/>
                <w:lang w:eastAsia="en-GB"/>
              </w:rPr>
              <w:t xml:space="preserve">Zwiększenie </w:t>
            </w:r>
            <w:r w:rsidR="0073125A">
              <w:rPr>
                <w:rFonts w:ascii="Times New Roman" w:eastAsia="Calibri" w:hAnsi="Times New Roman" w:cs="Times New Roman"/>
                <w:color w:val="000000"/>
                <w:lang w:eastAsia="en-GB"/>
              </w:rPr>
              <w:t xml:space="preserve">budżetu inwestycji </w:t>
            </w:r>
            <w:r w:rsidR="008D7D13" w:rsidRPr="00B83234">
              <w:rPr>
                <w:rFonts w:ascii="Times New Roman" w:eastAsia="Calibri" w:hAnsi="Times New Roman" w:cs="Times New Roman"/>
                <w:color w:val="000000"/>
                <w:lang w:eastAsia="en-GB"/>
              </w:rPr>
              <w:t>o 140 mln euro</w:t>
            </w:r>
            <w:r w:rsidR="008D7D13">
              <w:rPr>
                <w:rFonts w:ascii="Times New Roman" w:eastAsia="Calibri" w:hAnsi="Times New Roman" w:cs="Times New Roman"/>
                <w:color w:val="000000"/>
                <w:lang w:eastAsia="en-GB"/>
              </w:rPr>
              <w:t xml:space="preserve"> </w:t>
            </w:r>
            <w:r w:rsidR="008D7D13" w:rsidRPr="00B83234">
              <w:rPr>
                <w:rFonts w:ascii="Times New Roman" w:eastAsia="Calibri" w:hAnsi="Times New Roman" w:cs="Times New Roman"/>
                <w:color w:val="000000"/>
                <w:lang w:eastAsia="en-GB"/>
              </w:rPr>
              <w:t>do 240 mln euro</w:t>
            </w:r>
            <w:r w:rsidR="008D7D13">
              <w:rPr>
                <w:rFonts w:ascii="Times New Roman" w:eastAsia="Calibri" w:hAnsi="Times New Roman" w:cs="Times New Roman"/>
                <w:color w:val="000000"/>
                <w:lang w:eastAsia="en-GB"/>
              </w:rPr>
              <w:t xml:space="preserve"> </w:t>
            </w:r>
            <w:r w:rsidR="0073125A">
              <w:rPr>
                <w:rFonts w:ascii="Times New Roman" w:eastAsia="Calibri" w:hAnsi="Times New Roman" w:cs="Times New Roman"/>
                <w:color w:val="000000"/>
                <w:lang w:eastAsia="en-GB"/>
              </w:rPr>
              <w:t>w</w:t>
            </w:r>
            <w:r w:rsidRPr="00B83234">
              <w:rPr>
                <w:rFonts w:ascii="Times New Roman" w:eastAsia="Calibri" w:hAnsi="Times New Roman" w:cs="Times New Roman"/>
                <w:color w:val="000000"/>
                <w:lang w:eastAsia="en-GB"/>
              </w:rPr>
              <w:t xml:space="preserve"> części dotyczącej poprawy efektywności energetycznej w budynkach wielorodzinnych </w:t>
            </w:r>
          </w:p>
        </w:tc>
      </w:tr>
      <w:tr w:rsidR="00B83234" w:rsidRPr="00B7189E" w14:paraId="5A6F236A" w14:textId="77777777" w:rsidTr="00B83234">
        <w:tc>
          <w:tcPr>
            <w:tcW w:w="1068" w:type="pct"/>
            <w:shd w:val="clear" w:color="auto" w:fill="FFFFFF"/>
          </w:tcPr>
          <w:p w14:paraId="323B92B9" w14:textId="77777777" w:rsidR="00B83234" w:rsidRPr="00B83234" w:rsidRDefault="00B83234" w:rsidP="00B83234">
            <w:pPr>
              <w:autoSpaceDE w:val="0"/>
              <w:autoSpaceDN w:val="0"/>
              <w:adjustRightInd w:val="0"/>
              <w:spacing w:after="120" w:line="240" w:lineRule="auto"/>
              <w:rPr>
                <w:rFonts w:ascii="Times New Roman" w:eastAsia="Calibri" w:hAnsi="Times New Roman" w:cs="Times New Roman"/>
                <w:color w:val="000000"/>
                <w:lang w:val="en-GB" w:eastAsia="en-GB"/>
              </w:rPr>
            </w:pPr>
            <w:proofErr w:type="spellStart"/>
            <w:r w:rsidRPr="00B83234">
              <w:rPr>
                <w:rFonts w:ascii="Times New Roman" w:eastAsia="Calibri" w:hAnsi="Times New Roman" w:cs="Times New Roman"/>
                <w:color w:val="000000"/>
                <w:lang w:val="en-GB" w:eastAsia="en-GB"/>
              </w:rPr>
              <w:t>Podstawa</w:t>
            </w:r>
            <w:proofErr w:type="spellEnd"/>
            <w:r w:rsidRPr="00B83234">
              <w:rPr>
                <w:rFonts w:ascii="Times New Roman" w:eastAsia="Calibri" w:hAnsi="Times New Roman" w:cs="Times New Roman"/>
                <w:color w:val="000000"/>
                <w:lang w:val="en-GB" w:eastAsia="en-GB"/>
              </w:rPr>
              <w:t xml:space="preserve"> </w:t>
            </w:r>
            <w:proofErr w:type="spellStart"/>
            <w:r w:rsidRPr="00B83234">
              <w:rPr>
                <w:rFonts w:ascii="Times New Roman" w:eastAsia="Calibri" w:hAnsi="Times New Roman" w:cs="Times New Roman"/>
                <w:color w:val="000000"/>
                <w:lang w:val="en-GB" w:eastAsia="en-GB"/>
              </w:rPr>
              <w:t>prawna</w:t>
            </w:r>
            <w:proofErr w:type="spellEnd"/>
            <w:r w:rsidRPr="00B83234">
              <w:rPr>
                <w:rFonts w:ascii="Times New Roman" w:eastAsia="Calibri" w:hAnsi="Times New Roman" w:cs="Times New Roman"/>
                <w:color w:val="000000"/>
                <w:lang w:val="en-GB" w:eastAsia="en-GB"/>
              </w:rPr>
              <w:t xml:space="preserve"> </w:t>
            </w:r>
            <w:proofErr w:type="spellStart"/>
            <w:r w:rsidRPr="00B83234">
              <w:rPr>
                <w:rFonts w:ascii="Times New Roman" w:eastAsia="Calibri" w:hAnsi="Times New Roman" w:cs="Times New Roman"/>
                <w:color w:val="000000"/>
                <w:lang w:val="en-GB" w:eastAsia="en-GB"/>
              </w:rPr>
              <w:t>zmiany</w:t>
            </w:r>
            <w:proofErr w:type="spellEnd"/>
          </w:p>
        </w:tc>
        <w:tc>
          <w:tcPr>
            <w:tcW w:w="3932" w:type="pct"/>
            <w:gridSpan w:val="2"/>
            <w:shd w:val="clear" w:color="auto" w:fill="FFFFFF"/>
          </w:tcPr>
          <w:p w14:paraId="6EB96BF2" w14:textId="6228AF89" w:rsidR="00B83234" w:rsidRPr="00C40440" w:rsidRDefault="00B7189E" w:rsidP="00B83234">
            <w:pPr>
              <w:spacing w:after="120" w:line="240" w:lineRule="auto"/>
              <w:jc w:val="both"/>
              <w:rPr>
                <w:rFonts w:ascii="Times New Roman" w:eastAsia="Times New Roman" w:hAnsi="Times New Roman" w:cs="Times New Roman"/>
              </w:rPr>
            </w:pPr>
            <w:r w:rsidRPr="00EF63DD">
              <w:rPr>
                <w:rFonts w:ascii="Times New Roman" w:eastAsia="Times New Roman" w:hAnsi="Times New Roman" w:cs="Times New Roman"/>
              </w:rPr>
              <w:t>art. 21 rozporządzenia Parlamentu Europejskiego i Rady (UE) 2021/241 z dnia 12 lutego 2021 r. ustanawiające Instrument na rzecz Odbudowy i Zwiększania Odporności</w:t>
            </w:r>
            <w:r w:rsidRPr="00B83234" w:rsidDel="00B7189E">
              <w:rPr>
                <w:rFonts w:ascii="Times New Roman" w:eastAsia="Times New Roman" w:hAnsi="Times New Roman" w:cs="Times New Roman"/>
              </w:rPr>
              <w:t xml:space="preserve"> </w:t>
            </w:r>
          </w:p>
        </w:tc>
      </w:tr>
      <w:tr w:rsidR="00B83234" w:rsidRPr="00B83234" w14:paraId="0CC6799D" w14:textId="77777777" w:rsidTr="00B83234">
        <w:tc>
          <w:tcPr>
            <w:tcW w:w="1068" w:type="pct"/>
            <w:shd w:val="clear" w:color="auto" w:fill="D9D9D9"/>
          </w:tcPr>
          <w:p w14:paraId="74AE8720" w14:textId="77777777" w:rsidR="00B83234" w:rsidRPr="00B83234" w:rsidRDefault="00B83234" w:rsidP="00B83234">
            <w:pPr>
              <w:spacing w:after="120" w:line="240" w:lineRule="auto"/>
              <w:jc w:val="both"/>
              <w:rPr>
                <w:rFonts w:ascii="Times New Roman" w:eastAsia="Times New Roman" w:hAnsi="Times New Roman" w:cs="Times New Roman"/>
                <w:highlight w:val="lightGray"/>
              </w:rPr>
            </w:pPr>
            <w:r w:rsidRPr="00B83234">
              <w:rPr>
                <w:rFonts w:ascii="Times New Roman" w:eastAsia="Times New Roman" w:hAnsi="Times New Roman" w:cs="Times New Roman"/>
                <w:highlight w:val="lightGray"/>
              </w:rPr>
              <w:t>Modyfikowany element</w:t>
            </w:r>
          </w:p>
        </w:tc>
        <w:tc>
          <w:tcPr>
            <w:tcW w:w="1912" w:type="pct"/>
            <w:shd w:val="clear" w:color="auto" w:fill="D9D9D9"/>
          </w:tcPr>
          <w:p w14:paraId="6682CCDC" w14:textId="77777777" w:rsidR="00B83234" w:rsidRPr="00B83234" w:rsidRDefault="00B83234" w:rsidP="00B83234">
            <w:pPr>
              <w:spacing w:after="120" w:line="240" w:lineRule="auto"/>
              <w:jc w:val="center"/>
              <w:rPr>
                <w:rFonts w:ascii="Times New Roman" w:eastAsia="Times New Roman" w:hAnsi="Times New Roman" w:cs="Times New Roman"/>
                <w:highlight w:val="lightGray"/>
              </w:rPr>
            </w:pPr>
            <w:r w:rsidRPr="00B83234">
              <w:rPr>
                <w:rFonts w:ascii="Times New Roman" w:eastAsia="Times New Roman" w:hAnsi="Times New Roman" w:cs="Times New Roman"/>
                <w:highlight w:val="lightGray"/>
              </w:rPr>
              <w:t>Wersja aktualna</w:t>
            </w:r>
          </w:p>
        </w:tc>
        <w:tc>
          <w:tcPr>
            <w:tcW w:w="2020" w:type="pct"/>
            <w:shd w:val="clear" w:color="auto" w:fill="D9D9D9"/>
          </w:tcPr>
          <w:p w14:paraId="42FA060A" w14:textId="77777777" w:rsidR="00B83234" w:rsidRPr="00B83234" w:rsidRDefault="00B83234" w:rsidP="00B83234">
            <w:pPr>
              <w:spacing w:after="120" w:line="240" w:lineRule="auto"/>
              <w:jc w:val="center"/>
              <w:rPr>
                <w:rFonts w:ascii="Times New Roman" w:eastAsia="Times New Roman" w:hAnsi="Times New Roman" w:cs="Times New Roman"/>
                <w:highlight w:val="lightGray"/>
              </w:rPr>
            </w:pPr>
            <w:r w:rsidRPr="00B83234">
              <w:rPr>
                <w:rFonts w:ascii="Times New Roman" w:eastAsia="Times New Roman" w:hAnsi="Times New Roman" w:cs="Times New Roman"/>
                <w:highlight w:val="lightGray"/>
              </w:rPr>
              <w:t>Wersja zmieniona</w:t>
            </w:r>
          </w:p>
        </w:tc>
      </w:tr>
      <w:tr w:rsidR="00B7189E" w:rsidRPr="00B83234" w14:paraId="01ABB344" w14:textId="77777777" w:rsidTr="00B7189E">
        <w:tc>
          <w:tcPr>
            <w:tcW w:w="1068" w:type="pct"/>
            <w:shd w:val="clear" w:color="auto" w:fill="auto"/>
          </w:tcPr>
          <w:p w14:paraId="45782D2A" w14:textId="745DB5EF" w:rsidR="00B7189E" w:rsidRPr="00B83234" w:rsidRDefault="00B7189E" w:rsidP="00B83234">
            <w:pPr>
              <w:spacing w:after="120" w:line="240" w:lineRule="auto"/>
              <w:jc w:val="both"/>
              <w:rPr>
                <w:rFonts w:ascii="Times New Roman" w:eastAsia="Times New Roman" w:hAnsi="Times New Roman" w:cs="Times New Roman"/>
                <w:highlight w:val="lightGray"/>
              </w:rPr>
            </w:pPr>
            <w:r w:rsidRPr="00B83234">
              <w:rPr>
                <w:rFonts w:ascii="Times New Roman" w:eastAsia="Times New Roman" w:hAnsi="Times New Roman" w:cs="Times New Roman"/>
              </w:rPr>
              <w:t>Opis kamienia milowego lub wskaźnika</w:t>
            </w:r>
          </w:p>
        </w:tc>
        <w:tc>
          <w:tcPr>
            <w:tcW w:w="1912" w:type="pct"/>
            <w:shd w:val="clear" w:color="auto" w:fill="auto"/>
          </w:tcPr>
          <w:p w14:paraId="0C7BBE1B" w14:textId="77777777" w:rsidR="00B7189E" w:rsidRPr="00E0048E" w:rsidRDefault="00B7189E" w:rsidP="00B7189E">
            <w:pPr>
              <w:autoSpaceDE w:val="0"/>
              <w:autoSpaceDN w:val="0"/>
              <w:adjustRightInd w:val="0"/>
              <w:spacing w:after="0" w:line="240" w:lineRule="auto"/>
              <w:rPr>
                <w:rFonts w:ascii="Times New Roman" w:eastAsia="Calibri" w:hAnsi="Times New Roman" w:cs="Times New Roman"/>
                <w:color w:val="000000"/>
                <w:lang w:eastAsia="en-GB"/>
              </w:rPr>
            </w:pPr>
            <w:r w:rsidRPr="00E0048E">
              <w:rPr>
                <w:rFonts w:ascii="Times New Roman" w:eastAsia="Calibri" w:hAnsi="Times New Roman" w:cs="Times New Roman"/>
                <w:color w:val="000000"/>
                <w:lang w:eastAsia="en-GB"/>
              </w:rPr>
              <w:t xml:space="preserve">B11G </w:t>
            </w:r>
          </w:p>
          <w:p w14:paraId="0238D613" w14:textId="77777777" w:rsidR="00B7189E" w:rsidRPr="00E0048E" w:rsidRDefault="00B7189E" w:rsidP="00B7189E">
            <w:pPr>
              <w:autoSpaceDE w:val="0"/>
              <w:autoSpaceDN w:val="0"/>
              <w:adjustRightInd w:val="0"/>
              <w:spacing w:after="0" w:line="240" w:lineRule="auto"/>
              <w:rPr>
                <w:rFonts w:ascii="Times New Roman" w:eastAsia="Calibri" w:hAnsi="Times New Roman" w:cs="Times New Roman"/>
                <w:color w:val="000000"/>
                <w:lang w:eastAsia="en-GB"/>
              </w:rPr>
            </w:pPr>
            <w:r w:rsidRPr="00E0048E">
              <w:rPr>
                <w:rFonts w:ascii="Times New Roman" w:eastAsia="Calibri" w:hAnsi="Times New Roman" w:cs="Times New Roman"/>
                <w:color w:val="000000"/>
                <w:lang w:eastAsia="en-GB"/>
              </w:rPr>
              <w:t>T2 – Termomodernizacja i instalacja odnawialnych źródeł energii w budynkach mieszkalnych (budynki jedno- i wielorodzinne)</w:t>
            </w:r>
          </w:p>
          <w:p w14:paraId="1A21FFB4" w14:textId="4DE2FCA0" w:rsidR="00B7189E" w:rsidRPr="00E0048E" w:rsidRDefault="00B7189E" w:rsidP="00B7189E">
            <w:pPr>
              <w:autoSpaceDE w:val="0"/>
              <w:autoSpaceDN w:val="0"/>
              <w:adjustRightInd w:val="0"/>
              <w:spacing w:after="0" w:line="240" w:lineRule="auto"/>
              <w:rPr>
                <w:rFonts w:ascii="Times New Roman" w:eastAsia="Calibri" w:hAnsi="Times New Roman" w:cs="Times New Roman"/>
                <w:noProof/>
                <w:color w:val="000000"/>
                <w:lang w:eastAsia="en-GB"/>
              </w:rPr>
            </w:pPr>
            <w:r w:rsidRPr="00E0048E">
              <w:rPr>
                <w:rFonts w:ascii="Times New Roman" w:eastAsia="Calibri" w:hAnsi="Times New Roman" w:cs="Times New Roman"/>
                <w:color w:val="000000"/>
                <w:lang w:eastAsia="en-GB"/>
              </w:rPr>
              <w:t>Cel: 494 590</w:t>
            </w:r>
          </w:p>
          <w:p w14:paraId="2E696F30" w14:textId="043B47E1" w:rsidR="00B7189E" w:rsidRPr="00C40440" w:rsidRDefault="00B7189E" w:rsidP="00C40440">
            <w:pPr>
              <w:autoSpaceDE w:val="0"/>
              <w:autoSpaceDN w:val="0"/>
              <w:adjustRightInd w:val="0"/>
              <w:spacing w:after="0" w:line="240" w:lineRule="auto"/>
              <w:rPr>
                <w:rFonts w:ascii="Times New Roman" w:eastAsia="Calibri" w:hAnsi="Times New Roman" w:cs="Times New Roman"/>
                <w:i/>
                <w:iCs/>
                <w:color w:val="000000"/>
                <w:lang w:eastAsia="en-GB"/>
              </w:rPr>
            </w:pPr>
            <w:r w:rsidRPr="00E0048E">
              <w:rPr>
                <w:rFonts w:ascii="Times New Roman" w:eastAsia="Calibri" w:hAnsi="Times New Roman" w:cs="Times New Roman"/>
                <w:i/>
                <w:iCs/>
                <w:noProof/>
                <w:color w:val="000000"/>
                <w:lang w:eastAsia="en-GB"/>
              </w:rPr>
              <w:t>(w tym 115 590 mieszkań w budynkach wielorodzinnych)</w:t>
            </w:r>
          </w:p>
        </w:tc>
        <w:tc>
          <w:tcPr>
            <w:tcW w:w="2020" w:type="pct"/>
            <w:shd w:val="clear" w:color="auto" w:fill="auto"/>
          </w:tcPr>
          <w:p w14:paraId="07C264A0" w14:textId="77777777" w:rsidR="00B7189E" w:rsidRPr="00C17BF9" w:rsidRDefault="00B7189E" w:rsidP="00B7189E">
            <w:pPr>
              <w:autoSpaceDE w:val="0"/>
              <w:autoSpaceDN w:val="0"/>
              <w:adjustRightInd w:val="0"/>
              <w:spacing w:after="0" w:line="240" w:lineRule="auto"/>
              <w:rPr>
                <w:rFonts w:ascii="Times New Roman" w:eastAsia="Calibri" w:hAnsi="Times New Roman" w:cs="Times New Roman"/>
                <w:color w:val="000000"/>
                <w:lang w:eastAsia="en-GB"/>
              </w:rPr>
            </w:pPr>
            <w:r w:rsidRPr="00C17BF9">
              <w:rPr>
                <w:rFonts w:ascii="Times New Roman" w:eastAsia="Calibri" w:hAnsi="Times New Roman" w:cs="Times New Roman"/>
                <w:color w:val="000000"/>
                <w:lang w:eastAsia="en-GB"/>
              </w:rPr>
              <w:t xml:space="preserve">B11G </w:t>
            </w:r>
          </w:p>
          <w:p w14:paraId="479B087E" w14:textId="77777777" w:rsidR="00B7189E" w:rsidRPr="00C17BF9" w:rsidRDefault="00B7189E" w:rsidP="00B7189E">
            <w:pPr>
              <w:autoSpaceDE w:val="0"/>
              <w:autoSpaceDN w:val="0"/>
              <w:adjustRightInd w:val="0"/>
              <w:spacing w:after="0" w:line="240" w:lineRule="auto"/>
              <w:rPr>
                <w:rFonts w:ascii="Times New Roman" w:eastAsia="Calibri" w:hAnsi="Times New Roman" w:cs="Times New Roman"/>
                <w:color w:val="000000"/>
                <w:lang w:eastAsia="en-GB"/>
              </w:rPr>
            </w:pPr>
            <w:r w:rsidRPr="00C17BF9">
              <w:rPr>
                <w:rFonts w:ascii="Times New Roman" w:eastAsia="Calibri" w:hAnsi="Times New Roman" w:cs="Times New Roman"/>
                <w:color w:val="000000"/>
                <w:lang w:eastAsia="en-GB"/>
              </w:rPr>
              <w:t>T2 – Termomodernizacja i instalacja odnawialnych źródeł energii w budynkach mieszkalnych (budynki jedno- i wielorodzinne)</w:t>
            </w:r>
          </w:p>
          <w:p w14:paraId="53EB8EBA" w14:textId="18026882" w:rsidR="00B7189E" w:rsidRPr="00C17BF9" w:rsidRDefault="00B7189E" w:rsidP="00B7189E">
            <w:pPr>
              <w:autoSpaceDE w:val="0"/>
              <w:autoSpaceDN w:val="0"/>
              <w:adjustRightInd w:val="0"/>
              <w:spacing w:after="0" w:line="240" w:lineRule="auto"/>
              <w:rPr>
                <w:rFonts w:ascii="Times New Roman" w:eastAsia="Calibri" w:hAnsi="Times New Roman" w:cs="Times New Roman"/>
                <w:noProof/>
                <w:color w:val="000000"/>
                <w:lang w:eastAsia="en-GB"/>
              </w:rPr>
            </w:pPr>
            <w:r w:rsidRPr="00C40440">
              <w:rPr>
                <w:rFonts w:ascii="Times New Roman" w:eastAsia="Calibri" w:hAnsi="Times New Roman" w:cs="Times New Roman"/>
                <w:lang w:eastAsia="en-GB"/>
              </w:rPr>
              <w:t xml:space="preserve">Cel: </w:t>
            </w:r>
            <w:r w:rsidRPr="00C17BF9">
              <w:rPr>
                <w:rFonts w:ascii="Times New Roman" w:eastAsia="Calibri" w:hAnsi="Times New Roman" w:cs="Times New Roman"/>
                <w:color w:val="FF0000"/>
                <w:lang w:eastAsia="en-GB"/>
              </w:rPr>
              <w:t>1 222 377</w:t>
            </w:r>
          </w:p>
          <w:p w14:paraId="1DDB507E" w14:textId="7141371C" w:rsidR="00B7189E" w:rsidRPr="00C40440" w:rsidRDefault="00B7189E" w:rsidP="00C40440">
            <w:pPr>
              <w:autoSpaceDE w:val="0"/>
              <w:autoSpaceDN w:val="0"/>
              <w:adjustRightInd w:val="0"/>
              <w:spacing w:after="0" w:line="240" w:lineRule="auto"/>
              <w:rPr>
                <w:rFonts w:ascii="Times New Roman" w:eastAsia="Calibri" w:hAnsi="Times New Roman" w:cs="Times New Roman"/>
                <w:i/>
                <w:iCs/>
                <w:color w:val="000000"/>
                <w:lang w:eastAsia="en-GB"/>
              </w:rPr>
            </w:pPr>
            <w:r w:rsidRPr="00C40440">
              <w:rPr>
                <w:rFonts w:ascii="Times New Roman" w:eastAsia="Calibri" w:hAnsi="Times New Roman" w:cs="Times New Roman"/>
                <w:i/>
                <w:iCs/>
                <w:noProof/>
                <w:lang w:eastAsia="en-GB"/>
              </w:rPr>
              <w:t xml:space="preserve">(w tym </w:t>
            </w:r>
            <w:r w:rsidRPr="00C17BF9">
              <w:rPr>
                <w:rFonts w:ascii="Times New Roman" w:eastAsia="Calibri" w:hAnsi="Times New Roman" w:cs="Times New Roman"/>
                <w:i/>
                <w:iCs/>
                <w:noProof/>
                <w:color w:val="FF0000"/>
                <w:lang w:eastAsia="en-GB"/>
              </w:rPr>
              <w:t xml:space="preserve">843 377 </w:t>
            </w:r>
            <w:r w:rsidRPr="00C40440">
              <w:rPr>
                <w:rFonts w:ascii="Times New Roman" w:eastAsia="Calibri" w:hAnsi="Times New Roman" w:cs="Times New Roman"/>
                <w:i/>
                <w:iCs/>
                <w:noProof/>
                <w:lang w:eastAsia="en-GB"/>
              </w:rPr>
              <w:t>mieszkań w budynkach wielorodzinnych)</w:t>
            </w:r>
          </w:p>
        </w:tc>
      </w:tr>
      <w:tr w:rsidR="00B83234" w:rsidRPr="00A26E88" w14:paraId="75908647" w14:textId="77777777" w:rsidTr="00144E7D">
        <w:tc>
          <w:tcPr>
            <w:tcW w:w="1068" w:type="pct"/>
          </w:tcPr>
          <w:p w14:paraId="3B48C35A" w14:textId="77777777" w:rsidR="00B83234" w:rsidRPr="00B83234" w:rsidRDefault="00B83234" w:rsidP="00B83234">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Uzasadnienie</w:t>
            </w:r>
          </w:p>
        </w:tc>
        <w:tc>
          <w:tcPr>
            <w:tcW w:w="3932" w:type="pct"/>
            <w:gridSpan w:val="2"/>
          </w:tcPr>
          <w:p w14:paraId="717B1AA6" w14:textId="0479BBC1" w:rsidR="00B83234" w:rsidRPr="00B83234" w:rsidRDefault="0073125A" w:rsidP="00B83234">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N</w:t>
            </w:r>
            <w:r w:rsidRPr="00B83234">
              <w:rPr>
                <w:rFonts w:ascii="Times New Roman" w:eastAsia="Times New Roman" w:hAnsi="Times New Roman" w:cs="Times New Roman"/>
              </w:rPr>
              <w:t>a realizację inwestycji</w:t>
            </w:r>
            <w:r>
              <w:rPr>
                <w:rFonts w:ascii="Times New Roman" w:eastAsia="Times New Roman" w:hAnsi="Times New Roman" w:cs="Times New Roman"/>
              </w:rPr>
              <w:t xml:space="preserve"> </w:t>
            </w:r>
            <w:r w:rsidR="00B83234" w:rsidRPr="0073125A">
              <w:rPr>
                <w:rFonts w:ascii="Times New Roman" w:eastAsia="Times New Roman" w:hAnsi="Times New Roman" w:cs="Times New Roman"/>
              </w:rPr>
              <w:t>B.1.1.2. Wymiana źródeł ciepła i poprawa efektywności energetycznej budynków mieszkalnych</w:t>
            </w:r>
            <w:r w:rsidRPr="00C40440">
              <w:rPr>
                <w:rFonts w:ascii="Times New Roman" w:eastAsia="Times New Roman" w:hAnsi="Times New Roman" w:cs="Times New Roman"/>
              </w:rPr>
              <w:t xml:space="preserve"> (</w:t>
            </w:r>
            <w:r w:rsidR="00B83234" w:rsidRPr="0073125A">
              <w:rPr>
                <w:rFonts w:ascii="Times New Roman" w:eastAsia="Times New Roman" w:hAnsi="Times New Roman" w:cs="Times New Roman"/>
              </w:rPr>
              <w:t xml:space="preserve">realizowana wspólnie przez Ministerstwo Klimatu i Środowiska oraz Ministerstwo Rozwoju i Technologii) </w:t>
            </w:r>
            <w:r w:rsidR="00B83234" w:rsidRPr="00B83234">
              <w:rPr>
                <w:rFonts w:ascii="Times New Roman" w:eastAsia="Times New Roman" w:hAnsi="Times New Roman" w:cs="Times New Roman"/>
              </w:rPr>
              <w:t xml:space="preserve">przeznaczono kwotę 3 200 286 450 euro, z czego 3 100 308 741 euro przeznaczone </w:t>
            </w:r>
            <w:r w:rsidR="00E837B6">
              <w:rPr>
                <w:rFonts w:ascii="Times New Roman" w:eastAsia="Times New Roman" w:hAnsi="Times New Roman" w:cs="Times New Roman"/>
              </w:rPr>
              <w:t xml:space="preserve">jest </w:t>
            </w:r>
            <w:r w:rsidR="00B83234" w:rsidRPr="00B83234">
              <w:rPr>
                <w:rFonts w:ascii="Times New Roman" w:eastAsia="Times New Roman" w:hAnsi="Times New Roman" w:cs="Times New Roman"/>
              </w:rPr>
              <w:t xml:space="preserve">na realizację koordynowanego przez </w:t>
            </w:r>
            <w:proofErr w:type="spellStart"/>
            <w:r w:rsidR="00B83234" w:rsidRPr="00B83234">
              <w:rPr>
                <w:rFonts w:ascii="Times New Roman" w:eastAsia="Times New Roman" w:hAnsi="Times New Roman" w:cs="Times New Roman"/>
              </w:rPr>
              <w:t>MKiŚ</w:t>
            </w:r>
            <w:proofErr w:type="spellEnd"/>
            <w:r w:rsidR="00B83234" w:rsidRPr="00B83234">
              <w:rPr>
                <w:rFonts w:ascii="Times New Roman" w:eastAsia="Times New Roman" w:hAnsi="Times New Roman" w:cs="Times New Roman"/>
              </w:rPr>
              <w:t xml:space="preserve"> programu „Czyste Powietrze”, zaś kwota 99 977 709  mln euro przeznaczon</w:t>
            </w:r>
            <w:r w:rsidR="00E837B6">
              <w:rPr>
                <w:rFonts w:ascii="Times New Roman" w:eastAsia="Times New Roman" w:hAnsi="Times New Roman" w:cs="Times New Roman"/>
              </w:rPr>
              <w:t>a jest</w:t>
            </w:r>
            <w:r w:rsidR="00B83234" w:rsidRPr="00B83234">
              <w:rPr>
                <w:rFonts w:ascii="Times New Roman" w:eastAsia="Times New Roman" w:hAnsi="Times New Roman" w:cs="Times New Roman"/>
              </w:rPr>
              <w:t xml:space="preserve"> na realizację koordynowanego przez Ministerstwo Rozwoju i Technologii programu TERMO, w ramach którego wspierane są inwestycje </w:t>
            </w:r>
            <w:r w:rsidR="00B83234" w:rsidRPr="00B83234">
              <w:rPr>
                <w:rFonts w:ascii="Times New Roman" w:eastAsia="Times New Roman" w:hAnsi="Times New Roman" w:cs="Times New Roman"/>
              </w:rPr>
              <w:lastRenderedPageBreak/>
              <w:t xml:space="preserve">termomodernizacyjne, remontowe, OZE w budynkach wielorodzinnych. Najczęstszym beneficjentem programu TERMO są wspólnoty mieszkaniowe i spółdzielnie mieszkaniowe. </w:t>
            </w:r>
          </w:p>
          <w:p w14:paraId="1ABA5309" w14:textId="000F4C09" w:rsidR="00B83234" w:rsidRPr="00B83234" w:rsidRDefault="00E837B6" w:rsidP="00B83234">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W</w:t>
            </w:r>
            <w:r w:rsidR="00B83234" w:rsidRPr="00B83234">
              <w:rPr>
                <w:rFonts w:ascii="Times New Roman" w:eastAsia="Times New Roman" w:hAnsi="Times New Roman" w:cs="Times New Roman"/>
              </w:rPr>
              <w:t xml:space="preserve"> </w:t>
            </w:r>
            <w:r>
              <w:rPr>
                <w:rFonts w:ascii="Times New Roman" w:eastAsia="Times New Roman" w:hAnsi="Times New Roman" w:cs="Times New Roman"/>
              </w:rPr>
              <w:t>związku z</w:t>
            </w:r>
            <w:r w:rsidR="00B83234" w:rsidRPr="00B83234">
              <w:rPr>
                <w:rFonts w:ascii="Times New Roman" w:eastAsia="Times New Roman" w:hAnsi="Times New Roman" w:cs="Times New Roman"/>
              </w:rPr>
              <w:t xml:space="preserve"> obser</w:t>
            </w:r>
            <w:r>
              <w:rPr>
                <w:rFonts w:ascii="Times New Roman" w:eastAsia="Times New Roman" w:hAnsi="Times New Roman" w:cs="Times New Roman"/>
              </w:rPr>
              <w:t>wowanym</w:t>
            </w:r>
            <w:r w:rsidR="00B83234" w:rsidRPr="00B83234">
              <w:rPr>
                <w:rFonts w:ascii="Times New Roman" w:eastAsia="Times New Roman" w:hAnsi="Times New Roman" w:cs="Times New Roman"/>
              </w:rPr>
              <w:t xml:space="preserve"> rozwoj</w:t>
            </w:r>
            <w:r>
              <w:rPr>
                <w:rFonts w:ascii="Times New Roman" w:eastAsia="Times New Roman" w:hAnsi="Times New Roman" w:cs="Times New Roman"/>
              </w:rPr>
              <w:t>em</w:t>
            </w:r>
            <w:r w:rsidR="00B83234" w:rsidRPr="00B83234">
              <w:rPr>
                <w:rFonts w:ascii="Times New Roman" w:eastAsia="Times New Roman" w:hAnsi="Times New Roman" w:cs="Times New Roman"/>
              </w:rPr>
              <w:t xml:space="preserve"> popytu na poszczególne instrumenty wsparcia</w:t>
            </w:r>
            <w:r>
              <w:rPr>
                <w:rFonts w:ascii="Times New Roman" w:eastAsia="Times New Roman" w:hAnsi="Times New Roman" w:cs="Times New Roman"/>
              </w:rPr>
              <w:t xml:space="preserve"> proponowane jest zwiększenie </w:t>
            </w:r>
            <w:r w:rsidRPr="00E837B6">
              <w:rPr>
                <w:rFonts w:ascii="Times New Roman" w:eastAsia="Times New Roman" w:hAnsi="Times New Roman" w:cs="Times New Roman"/>
              </w:rPr>
              <w:t>wysokości wsparcia w części dotyczącej poprawy efektywności energetycznej w budynkach wielorodzinnych</w:t>
            </w:r>
            <w:r w:rsidR="00B83234" w:rsidRPr="00B83234">
              <w:rPr>
                <w:rFonts w:ascii="Times New Roman" w:eastAsia="Times New Roman" w:hAnsi="Times New Roman" w:cs="Times New Roman"/>
              </w:rPr>
              <w:t>.</w:t>
            </w:r>
          </w:p>
          <w:p w14:paraId="79103624" w14:textId="77777777" w:rsidR="00B83234" w:rsidRPr="00B83234" w:rsidRDefault="00B83234" w:rsidP="00B83234">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Nabór wniosków finansowanych z KPO w ramach programu TERMO (inwestycja B.1.1.2) ruszył 1 lutego 2023 r. Do dnia 29 lutego 2024 r. w ramach programu:</w:t>
            </w:r>
          </w:p>
          <w:p w14:paraId="7DF9F3EB" w14:textId="0BD2E74F" w:rsidR="00B83234" w:rsidRPr="00C40440" w:rsidRDefault="00B83234" w:rsidP="00C40440">
            <w:pPr>
              <w:numPr>
                <w:ilvl w:val="0"/>
                <w:numId w:val="26"/>
              </w:numPr>
              <w:spacing w:after="120" w:line="240" w:lineRule="auto"/>
              <w:ind w:left="401"/>
              <w:rPr>
                <w:rFonts w:ascii="Times New Roman" w:eastAsia="Times New Roman" w:hAnsi="Times New Roman" w:cs="Times New Roman"/>
              </w:rPr>
            </w:pPr>
            <w:r w:rsidRPr="00C40440">
              <w:rPr>
                <w:rFonts w:ascii="Times New Roman" w:hAnsi="Times New Roman" w:cs="Times New Roman"/>
              </w:rPr>
              <w:t>Potencjalni beneficjenci złożyli 4 110</w:t>
            </w:r>
            <w:r w:rsidRPr="00C40440">
              <w:rPr>
                <w:rFonts w:ascii="Times New Roman" w:eastAsia="Times New Roman" w:hAnsi="Times New Roman" w:cs="Times New Roman"/>
              </w:rPr>
              <w:t xml:space="preserve"> wniosków na kwotę wsparcia 331,9 mln zł. Liczba mieszkań w budynkach objętych wnioskami wyniosła 276 134.</w:t>
            </w:r>
          </w:p>
          <w:p w14:paraId="790F6D7D" w14:textId="35008A75" w:rsidR="00B83234" w:rsidRPr="00C40440" w:rsidRDefault="00B83234" w:rsidP="00C40440">
            <w:pPr>
              <w:numPr>
                <w:ilvl w:val="0"/>
                <w:numId w:val="26"/>
              </w:numPr>
              <w:spacing w:after="120" w:line="240" w:lineRule="auto"/>
              <w:ind w:left="401"/>
              <w:rPr>
                <w:rFonts w:ascii="Times New Roman" w:eastAsia="Times New Roman" w:hAnsi="Times New Roman" w:cs="Times New Roman"/>
              </w:rPr>
            </w:pPr>
            <w:r w:rsidRPr="00C40440">
              <w:rPr>
                <w:rFonts w:ascii="Times New Roman" w:eastAsia="Times New Roman" w:hAnsi="Times New Roman" w:cs="Times New Roman"/>
              </w:rPr>
              <w:t>Przyznano beneficjentom 2 797 grantów na kwotę wsparcia 221,5 mln zł. Liczba mieszkań w budynkach objętych przyznaniami wyniosła 221 611.</w:t>
            </w:r>
          </w:p>
          <w:p w14:paraId="5FE83CA2" w14:textId="70CC6C4A" w:rsidR="00B83234" w:rsidRPr="00C40440" w:rsidRDefault="00B83234" w:rsidP="00C40440">
            <w:pPr>
              <w:numPr>
                <w:ilvl w:val="0"/>
                <w:numId w:val="26"/>
              </w:numPr>
              <w:spacing w:after="120" w:line="240" w:lineRule="auto"/>
              <w:ind w:left="401"/>
              <w:rPr>
                <w:rFonts w:ascii="Times New Roman" w:eastAsia="Times New Roman" w:hAnsi="Times New Roman" w:cs="Times New Roman"/>
              </w:rPr>
            </w:pPr>
            <w:r w:rsidRPr="00C40440">
              <w:rPr>
                <w:rFonts w:ascii="Times New Roman" w:eastAsia="Times New Roman" w:hAnsi="Times New Roman" w:cs="Times New Roman"/>
              </w:rPr>
              <w:t>Wypłacono beneficjentom ze środków przedpłatowych Polskiego Funduszu Rozwoju 645 grantów na kwotę 33,4 mln zł. Liczba mieszkań w budynkach objętych dofinansowaniem wyniosła 41 212.</w:t>
            </w:r>
          </w:p>
          <w:p w14:paraId="6B6B062A" w14:textId="77777777" w:rsidR="00B83234" w:rsidRPr="00B83234" w:rsidRDefault="00B83234" w:rsidP="00B83234">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Najpopularniejszym rodzajem inwestycji (ok. 94,2% kwoty wsparcia wynikającego ze złożonych wniosków) są inwestycje w instalacje odnawialnych źródeł energii (OZE) produkujących energię na potrzeby budynków wielorodzinnych (głównie panele fotowoltaiczne, ale także pompy ciepła i kolektory słoneczne). Popularność oferowanego wsparcia została wzmocniona przepisami dotyczącymi prosumenta lokatorskiego, które zwiększyły atrakcyjność dla mieszkańców budynków wielorodzinnych inwestowania w instalacje OZE. Przepisy te były częścią reformy stanowiącej kamień milowy KPO.</w:t>
            </w:r>
          </w:p>
          <w:p w14:paraId="03D86801" w14:textId="77777777" w:rsidR="00B83234" w:rsidRPr="00B83234" w:rsidRDefault="00B83234" w:rsidP="00B83234">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 xml:space="preserve">Tempo napływu wniosków o wsparcie wskazuje, że w ciągu kilku miesięcy może wyczerpać się przysługująca </w:t>
            </w:r>
            <w:proofErr w:type="spellStart"/>
            <w:r w:rsidRPr="00B83234">
              <w:rPr>
                <w:rFonts w:ascii="Times New Roman" w:eastAsia="Times New Roman" w:hAnsi="Times New Roman" w:cs="Times New Roman"/>
              </w:rPr>
              <w:t>MRiT</w:t>
            </w:r>
            <w:proofErr w:type="spellEnd"/>
            <w:r w:rsidRPr="00B83234">
              <w:rPr>
                <w:rFonts w:ascii="Times New Roman" w:eastAsia="Times New Roman" w:hAnsi="Times New Roman" w:cs="Times New Roman"/>
              </w:rPr>
              <w:t xml:space="preserve"> kwota z KPO na realizację programu TERMO. Przeciętnie miesięcznie składane są wnioski na kwotę 25,5 mln zł (złożono wnioski na kwotę 331,9 mln zł w ciągu 13 miesięcy). Przy przyjęciu kursu 1 euro = 4,4819 zł, w ramach programu można jeszcze przyjąć wnioski na kwotę ok. 116 mln zł.  Oznacza to, że wnioski o wsparcie będą miały pokrycie w dostępnych na ich realizację środkach jeszcze tylko przez ok. 4,5 miesiąca. </w:t>
            </w:r>
          </w:p>
          <w:p w14:paraId="201AB3D3" w14:textId="6D633F27" w:rsidR="00B83234" w:rsidRPr="00B83234" w:rsidRDefault="00B83234" w:rsidP="00B83234">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 xml:space="preserve">Przy założeniu, że wnioski o wsparcie ze środków KPO w ramach programu TERMO będą napływać w aktualnym tempie (25,5 mln zł miesięcznie), do połowy 2026 r. mogą zostać złożone wnioski na kwotę 714 mln zł. Biorąc pod uwagę, że w ramach aktualnego limitu dostępna jest jeszcze kwota ok. 116 mln zł, dla zaspokojenia potencjalnego popytu na środki brakuje kwoty 598 mln zł, czyli ok. 139,4 mln euro, biorąc pod uwagę kurs NBP z dnia 11 marca 2024 r. (1 euro = 4,29 zł) lub 133,4 mln euro </w:t>
            </w:r>
            <w:r w:rsidR="00BA287A" w:rsidRPr="00B83234">
              <w:rPr>
                <w:rFonts w:ascii="Times New Roman" w:eastAsia="Times New Roman" w:hAnsi="Times New Roman" w:cs="Times New Roman"/>
              </w:rPr>
              <w:t>biorąc</w:t>
            </w:r>
            <w:r w:rsidRPr="00B83234">
              <w:rPr>
                <w:rFonts w:ascii="Times New Roman" w:eastAsia="Times New Roman" w:hAnsi="Times New Roman" w:cs="Times New Roman"/>
              </w:rPr>
              <w:t xml:space="preserve"> pod uwagę kurs 1 euro = 4,4819 PLN.</w:t>
            </w:r>
          </w:p>
          <w:p w14:paraId="5E1C0FA1" w14:textId="46E29F7A" w:rsidR="00B83234" w:rsidRPr="00C40440" w:rsidRDefault="00B83234" w:rsidP="00B83234">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Wskaźnik B11G (po zakończeniu inwestycji) powinien osiągnąć wartość 494 590 domów lub mieszkań. Tymczasem w ramach wniosków złożonych w programie TERMO na dzień 29 lutego 2024 r. osiągnięto liczbę 276 134 mieszkań. Przy zapewnieniu dodatkowego finansowania na poziomie 598 mln zł możliwe jest osiągnięcie do połowy 2026 r. łącznej wartości 843 377 mieszkań w budynkach poddanych termomodernizacji lub podłączonych do instalacji OZE.</w:t>
            </w:r>
          </w:p>
        </w:tc>
      </w:tr>
      <w:tr w:rsidR="00B83234" w:rsidRPr="00B83234" w14:paraId="4DEC31A2" w14:textId="77777777" w:rsidTr="00144E7D">
        <w:tc>
          <w:tcPr>
            <w:tcW w:w="1068" w:type="pct"/>
          </w:tcPr>
          <w:p w14:paraId="447C361F" w14:textId="77777777" w:rsidR="00B83234" w:rsidRPr="00B83234" w:rsidRDefault="00B83234" w:rsidP="00B83234">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lastRenderedPageBreak/>
              <w:t>Szacowany koszt</w:t>
            </w:r>
          </w:p>
        </w:tc>
        <w:tc>
          <w:tcPr>
            <w:tcW w:w="3932" w:type="pct"/>
            <w:gridSpan w:val="2"/>
          </w:tcPr>
          <w:p w14:paraId="6C35257E" w14:textId="7F0CDFC3" w:rsidR="00B83234" w:rsidRPr="00B83234" w:rsidRDefault="00B83234" w:rsidP="00B83234">
            <w:pPr>
              <w:spacing w:after="120" w:line="240" w:lineRule="auto"/>
              <w:jc w:val="both"/>
              <w:rPr>
                <w:rFonts w:ascii="Times New Roman" w:eastAsia="Times New Roman" w:hAnsi="Times New Roman" w:cs="Times New Roman"/>
              </w:rPr>
            </w:pPr>
            <w:r w:rsidRPr="00C40440">
              <w:rPr>
                <w:rFonts w:ascii="Times New Roman" w:eastAsia="Times New Roman" w:hAnsi="Times New Roman" w:cs="Times New Roman"/>
                <w:color w:val="FF0000"/>
              </w:rPr>
              <w:t>Zwiększenie wysokości wsparcia w części dotyczącej poprawy efektywności energetycznej w budynkach wielorodzinnych o 140 mln euro, do 240 mln euro.</w:t>
            </w:r>
          </w:p>
        </w:tc>
      </w:tr>
      <w:tr w:rsidR="00B7189E" w:rsidRPr="00B83234" w14:paraId="20EEA3BF" w14:textId="77777777" w:rsidTr="00144E7D">
        <w:tc>
          <w:tcPr>
            <w:tcW w:w="1068" w:type="pct"/>
          </w:tcPr>
          <w:p w14:paraId="7938EC30" w14:textId="77777777" w:rsidR="00B7189E" w:rsidRPr="00B83234" w:rsidRDefault="00B7189E" w:rsidP="00B7189E">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 xml:space="preserve">Cyfrowy i klimatyczny </w:t>
            </w:r>
            <w:proofErr w:type="spellStart"/>
            <w:r w:rsidRPr="00B83234">
              <w:rPr>
                <w:rFonts w:ascii="Times New Roman" w:eastAsia="Times New Roman" w:hAnsi="Times New Roman" w:cs="Times New Roman"/>
              </w:rPr>
              <w:t>tagging</w:t>
            </w:r>
            <w:proofErr w:type="spellEnd"/>
            <w:r w:rsidRPr="00B83234">
              <w:rPr>
                <w:rFonts w:ascii="Times New Roman" w:eastAsia="Times New Roman" w:hAnsi="Times New Roman" w:cs="Times New Roman"/>
              </w:rPr>
              <w:t xml:space="preserve"> </w:t>
            </w:r>
          </w:p>
        </w:tc>
        <w:tc>
          <w:tcPr>
            <w:tcW w:w="3932" w:type="pct"/>
            <w:gridSpan w:val="2"/>
          </w:tcPr>
          <w:p w14:paraId="3991942F" w14:textId="494A071A" w:rsidR="00B7189E" w:rsidRPr="00B83234" w:rsidRDefault="00B7189E" w:rsidP="00B7189E">
            <w:pPr>
              <w:spacing w:after="120" w:line="240" w:lineRule="auto"/>
              <w:jc w:val="both"/>
              <w:rPr>
                <w:rFonts w:ascii="Times New Roman" w:eastAsia="Times New Roman" w:hAnsi="Times New Roman" w:cs="Times New Roman"/>
              </w:rPr>
            </w:pPr>
            <w:r w:rsidRPr="0073125A">
              <w:rPr>
                <w:rFonts w:ascii="Times New Roman" w:hAnsi="Times New Roman" w:cs="Times New Roman"/>
              </w:rPr>
              <w:t xml:space="preserve">Zmiana ma wpływ na </w:t>
            </w:r>
            <w:proofErr w:type="spellStart"/>
            <w:r w:rsidRPr="0073125A">
              <w:rPr>
                <w:rFonts w:ascii="Times New Roman" w:hAnsi="Times New Roman" w:cs="Times New Roman"/>
              </w:rPr>
              <w:t>tagging</w:t>
            </w:r>
            <w:proofErr w:type="spellEnd"/>
            <w:r w:rsidRPr="0073125A">
              <w:rPr>
                <w:rFonts w:ascii="Times New Roman" w:hAnsi="Times New Roman" w:cs="Times New Roman"/>
              </w:rPr>
              <w:t xml:space="preserve"> klimatyczny</w:t>
            </w:r>
            <w:r w:rsidR="0073125A" w:rsidRPr="00C40440">
              <w:rPr>
                <w:rFonts w:ascii="Times New Roman" w:hAnsi="Times New Roman" w:cs="Times New Roman"/>
              </w:rPr>
              <w:t xml:space="preserve"> – </w:t>
            </w:r>
            <w:r w:rsidR="0073125A" w:rsidRPr="0073125A">
              <w:rPr>
                <w:rFonts w:ascii="Times New Roman" w:hAnsi="Times New Roman" w:cs="Times New Roman"/>
              </w:rPr>
              <w:t>zwiększenie</w:t>
            </w:r>
            <w:r w:rsidR="0073125A">
              <w:rPr>
                <w:rFonts w:ascii="Times New Roman" w:hAnsi="Times New Roman" w:cs="Times New Roman"/>
              </w:rPr>
              <w:t xml:space="preserve"> </w:t>
            </w:r>
            <w:r w:rsidR="0073125A" w:rsidRPr="00B83234">
              <w:rPr>
                <w:rFonts w:ascii="Times New Roman" w:eastAsia="Calibri" w:hAnsi="Times New Roman" w:cs="Times New Roman"/>
                <w:color w:val="000000"/>
                <w:lang w:eastAsia="en-GB"/>
              </w:rPr>
              <w:t>o 140 mln euro</w:t>
            </w:r>
          </w:p>
        </w:tc>
      </w:tr>
      <w:tr w:rsidR="00B7189E" w:rsidRPr="00B7189E" w14:paraId="42084F47" w14:textId="77777777" w:rsidTr="00144E7D">
        <w:tc>
          <w:tcPr>
            <w:tcW w:w="1068" w:type="pct"/>
            <w:tcBorders>
              <w:bottom w:val="single" w:sz="4" w:space="0" w:color="auto"/>
            </w:tcBorders>
          </w:tcPr>
          <w:p w14:paraId="7E0C939A" w14:textId="77777777" w:rsidR="00B7189E" w:rsidRPr="00B83234" w:rsidRDefault="00B7189E" w:rsidP="00B7189E">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 xml:space="preserve">Zasada DNSH </w:t>
            </w:r>
          </w:p>
        </w:tc>
        <w:tc>
          <w:tcPr>
            <w:tcW w:w="3932" w:type="pct"/>
            <w:gridSpan w:val="2"/>
            <w:tcBorders>
              <w:bottom w:val="single" w:sz="4" w:space="0" w:color="auto"/>
            </w:tcBorders>
          </w:tcPr>
          <w:p w14:paraId="3C19BA2E" w14:textId="74CB5A12" w:rsidR="00B7189E" w:rsidRPr="00C40440" w:rsidRDefault="00B7189E" w:rsidP="00B7189E">
            <w:pPr>
              <w:spacing w:after="120" w:line="240" w:lineRule="auto"/>
              <w:jc w:val="both"/>
              <w:rPr>
                <w:rFonts w:ascii="Times New Roman" w:eastAsia="Times New Roman" w:hAnsi="Times New Roman" w:cs="Times New Roman"/>
              </w:rPr>
            </w:pPr>
            <w:r w:rsidRPr="006B6278">
              <w:rPr>
                <w:rFonts w:ascii="Times New Roman" w:hAnsi="Times New Roman" w:cs="Times New Roman"/>
              </w:rPr>
              <w:t>Zmiana nie ma wpływu na DNSH</w:t>
            </w:r>
          </w:p>
        </w:tc>
      </w:tr>
      <w:tr w:rsidR="00B7189E" w:rsidRPr="00B7189E" w14:paraId="00F87F8B" w14:textId="77777777" w:rsidTr="00144E7D">
        <w:tc>
          <w:tcPr>
            <w:tcW w:w="1068" w:type="pct"/>
            <w:tcBorders>
              <w:bottom w:val="single" w:sz="4" w:space="0" w:color="auto"/>
            </w:tcBorders>
          </w:tcPr>
          <w:p w14:paraId="53D62518" w14:textId="77777777" w:rsidR="00B7189E" w:rsidRPr="00B83234" w:rsidRDefault="00B7189E" w:rsidP="00B7189E">
            <w:pPr>
              <w:spacing w:after="120" w:line="240" w:lineRule="auto"/>
              <w:jc w:val="both"/>
              <w:rPr>
                <w:rFonts w:ascii="Times New Roman" w:eastAsia="Times New Roman" w:hAnsi="Times New Roman" w:cs="Times New Roman"/>
              </w:rPr>
            </w:pPr>
            <w:r w:rsidRPr="00B83234">
              <w:rPr>
                <w:rFonts w:ascii="Times New Roman" w:eastAsia="Times New Roman" w:hAnsi="Times New Roman" w:cs="Times New Roman"/>
              </w:rPr>
              <w:t xml:space="preserve">Pomoc publiczna </w:t>
            </w:r>
          </w:p>
        </w:tc>
        <w:tc>
          <w:tcPr>
            <w:tcW w:w="3932" w:type="pct"/>
            <w:gridSpan w:val="2"/>
            <w:tcBorders>
              <w:bottom w:val="single" w:sz="4" w:space="0" w:color="auto"/>
            </w:tcBorders>
          </w:tcPr>
          <w:p w14:paraId="676AA2E8" w14:textId="58F02762" w:rsidR="00B7189E" w:rsidRPr="00C40440" w:rsidRDefault="00B7189E" w:rsidP="00B7189E">
            <w:pPr>
              <w:spacing w:after="120" w:line="240" w:lineRule="auto"/>
              <w:jc w:val="both"/>
              <w:rPr>
                <w:rFonts w:ascii="Times New Roman" w:eastAsia="Times New Roman" w:hAnsi="Times New Roman" w:cs="Times New Roman"/>
              </w:rPr>
            </w:pPr>
            <w:r w:rsidRPr="006B6278">
              <w:rPr>
                <w:rFonts w:ascii="Times New Roman" w:hAnsi="Times New Roman" w:cs="Times New Roman"/>
              </w:rPr>
              <w:t>Zmiana nie ma wpływu na pomoc publiczną</w:t>
            </w:r>
          </w:p>
        </w:tc>
      </w:tr>
    </w:tbl>
    <w:p w14:paraId="3F0BAB4E" w14:textId="3DB79B3D" w:rsidR="006C7711" w:rsidRDefault="006C7711" w:rsidP="00111178">
      <w:pPr>
        <w:shd w:val="clear" w:color="auto" w:fill="FFFFFF" w:themeFill="background1"/>
        <w:autoSpaceDE w:val="0"/>
        <w:autoSpaceDN w:val="0"/>
        <w:adjustRightInd w:val="0"/>
        <w:spacing w:after="120" w:line="240" w:lineRule="auto"/>
        <w:rPr>
          <w:rFonts w:ascii="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3453"/>
        <w:gridCol w:w="3648"/>
      </w:tblGrid>
      <w:tr w:rsidR="006C7711" w:rsidRPr="007B2370" w14:paraId="0B9A0CCE" w14:textId="77777777" w:rsidTr="003B4E6E">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tcPr>
          <w:p w14:paraId="5D58AA8B" w14:textId="77777777" w:rsidR="006C7711" w:rsidRPr="007B2370" w:rsidRDefault="006C7711">
            <w:pPr>
              <w:spacing w:after="0" w:line="240" w:lineRule="auto"/>
              <w:rPr>
                <w:rFonts w:ascii="Times New Roman" w:hAnsi="Times New Roman" w:cs="Times New Roman"/>
                <w:b/>
                <w:bCs/>
              </w:rPr>
            </w:pPr>
            <w:r w:rsidRPr="007B2370">
              <w:rPr>
                <w:rFonts w:ascii="Times New Roman" w:hAnsi="Times New Roman" w:cs="Times New Roman"/>
                <w:b/>
                <w:bCs/>
              </w:rPr>
              <w:t>Numer inwestycji</w:t>
            </w:r>
          </w:p>
        </w:tc>
        <w:tc>
          <w:tcPr>
            <w:tcW w:w="391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36BC4" w14:textId="54738A91" w:rsidR="006C7711" w:rsidRPr="007B2370" w:rsidRDefault="006C7711" w:rsidP="00C40440">
            <w:pPr>
              <w:pStyle w:val="Akapitzlist"/>
              <w:spacing w:line="240" w:lineRule="auto"/>
              <w:ind w:left="0"/>
              <w:rPr>
                <w:b/>
                <w:bCs/>
                <w:sz w:val="22"/>
                <w:szCs w:val="22"/>
              </w:rPr>
            </w:pPr>
            <w:r w:rsidRPr="007B2370">
              <w:rPr>
                <w:b/>
                <w:bCs/>
                <w:sz w:val="22"/>
                <w:szCs w:val="22"/>
              </w:rPr>
              <w:t>B2.2.3</w:t>
            </w:r>
            <w:r>
              <w:rPr>
                <w:b/>
                <w:bCs/>
                <w:sz w:val="22"/>
                <w:szCs w:val="22"/>
              </w:rPr>
              <w:t>.</w:t>
            </w:r>
            <w:r w:rsidRPr="007B2370">
              <w:rPr>
                <w:b/>
                <w:bCs/>
                <w:sz w:val="22"/>
                <w:szCs w:val="22"/>
              </w:rPr>
              <w:t xml:space="preserve"> </w:t>
            </w:r>
          </w:p>
        </w:tc>
      </w:tr>
      <w:tr w:rsidR="006C7711" w:rsidRPr="007B2370" w14:paraId="45702B54" w14:textId="77777777" w:rsidTr="003B4E6E">
        <w:tc>
          <w:tcPr>
            <w:tcW w:w="1082" w:type="pct"/>
            <w:tcBorders>
              <w:top w:val="single" w:sz="4" w:space="0" w:color="auto"/>
              <w:left w:val="single" w:sz="4" w:space="0" w:color="auto"/>
              <w:bottom w:val="single" w:sz="4" w:space="0" w:color="auto"/>
              <w:right w:val="single" w:sz="4" w:space="0" w:color="auto"/>
            </w:tcBorders>
          </w:tcPr>
          <w:p w14:paraId="2FEA0311" w14:textId="77777777" w:rsidR="006C7711" w:rsidRPr="007B2370" w:rsidRDefault="006C7711" w:rsidP="00C40440">
            <w:pPr>
              <w:spacing w:after="0" w:line="240" w:lineRule="auto"/>
              <w:rPr>
                <w:rFonts w:ascii="Times New Roman" w:hAnsi="Times New Roman" w:cs="Times New Roman"/>
                <w:b/>
                <w:bCs/>
              </w:rPr>
            </w:pPr>
            <w:r w:rsidRPr="007B2370">
              <w:rPr>
                <w:rFonts w:ascii="Times New Roman" w:hAnsi="Times New Roman" w:cs="Times New Roman"/>
                <w:b/>
                <w:bCs/>
              </w:rPr>
              <w:t xml:space="preserve">Nazwa inwestycji </w:t>
            </w:r>
          </w:p>
        </w:tc>
        <w:tc>
          <w:tcPr>
            <w:tcW w:w="3918" w:type="pct"/>
            <w:gridSpan w:val="2"/>
            <w:tcBorders>
              <w:top w:val="single" w:sz="4" w:space="0" w:color="auto"/>
              <w:left w:val="single" w:sz="4" w:space="0" w:color="auto"/>
              <w:bottom w:val="single" w:sz="4" w:space="0" w:color="auto"/>
              <w:right w:val="single" w:sz="4" w:space="0" w:color="auto"/>
            </w:tcBorders>
          </w:tcPr>
          <w:p w14:paraId="59524D66" w14:textId="2DE52843" w:rsidR="006C7711" w:rsidRPr="00C40440" w:rsidRDefault="006C7711" w:rsidP="00C40440">
            <w:pPr>
              <w:pStyle w:val="Akapitzlist"/>
              <w:spacing w:line="240" w:lineRule="auto"/>
              <w:ind w:left="0"/>
              <w:rPr>
                <w:b/>
                <w:bCs/>
                <w:sz w:val="22"/>
                <w:szCs w:val="22"/>
              </w:rPr>
            </w:pPr>
            <w:r w:rsidRPr="007B2370">
              <w:rPr>
                <w:b/>
                <w:bCs/>
                <w:sz w:val="22"/>
                <w:szCs w:val="22"/>
              </w:rPr>
              <w:t xml:space="preserve">Budowa infrastruktury terminalowej </w:t>
            </w:r>
            <w:proofErr w:type="spellStart"/>
            <w:r w:rsidRPr="007B2370">
              <w:rPr>
                <w:b/>
                <w:bCs/>
                <w:sz w:val="22"/>
                <w:szCs w:val="22"/>
              </w:rPr>
              <w:t>offshore</w:t>
            </w:r>
            <w:proofErr w:type="spellEnd"/>
          </w:p>
        </w:tc>
      </w:tr>
      <w:tr w:rsidR="00925D57" w:rsidRPr="00925D57" w14:paraId="17F63596" w14:textId="77777777" w:rsidTr="003B4E6E">
        <w:tc>
          <w:tcPr>
            <w:tcW w:w="1082" w:type="pct"/>
            <w:tcBorders>
              <w:top w:val="single" w:sz="4" w:space="0" w:color="auto"/>
              <w:left w:val="single" w:sz="4" w:space="0" w:color="auto"/>
              <w:bottom w:val="single" w:sz="4" w:space="0" w:color="auto"/>
              <w:right w:val="single" w:sz="4" w:space="0" w:color="auto"/>
            </w:tcBorders>
          </w:tcPr>
          <w:p w14:paraId="7B3B1738" w14:textId="77777777" w:rsidR="00925D57" w:rsidRPr="00A326F1" w:rsidRDefault="00925D57" w:rsidP="00C40440">
            <w:pPr>
              <w:spacing w:after="0" w:line="240" w:lineRule="auto"/>
              <w:rPr>
                <w:rFonts w:ascii="Times New Roman" w:hAnsi="Times New Roman" w:cs="Times New Roman"/>
              </w:rPr>
            </w:pPr>
            <w:r w:rsidRPr="00A326F1">
              <w:rPr>
                <w:rFonts w:ascii="Times New Roman" w:hAnsi="Times New Roman" w:cs="Times New Roman"/>
              </w:rPr>
              <w:t>Rodzaj wprowadzonej zmiany w odniesieniu do CID</w:t>
            </w:r>
          </w:p>
        </w:tc>
        <w:tc>
          <w:tcPr>
            <w:tcW w:w="3918" w:type="pct"/>
            <w:gridSpan w:val="2"/>
            <w:tcBorders>
              <w:top w:val="single" w:sz="4" w:space="0" w:color="auto"/>
              <w:left w:val="single" w:sz="4" w:space="0" w:color="auto"/>
              <w:bottom w:val="single" w:sz="4" w:space="0" w:color="auto"/>
              <w:right w:val="single" w:sz="4" w:space="0" w:color="auto"/>
            </w:tcBorders>
          </w:tcPr>
          <w:p w14:paraId="2B6FB0E2" w14:textId="77777777" w:rsidR="00925D57" w:rsidRPr="00C40440" w:rsidRDefault="00925D57" w:rsidP="00C40440">
            <w:pPr>
              <w:spacing w:line="240" w:lineRule="auto"/>
              <w:rPr>
                <w:bCs/>
              </w:rPr>
            </w:pPr>
            <w:r w:rsidRPr="00C40440">
              <w:rPr>
                <w:rFonts w:ascii="Times New Roman" w:hAnsi="Times New Roman" w:cs="Times New Roman"/>
                <w:bCs/>
              </w:rPr>
              <w:t>Modyfikacja opisu inwestycji i opisu wskaźnika B37G</w:t>
            </w:r>
          </w:p>
          <w:p w14:paraId="01D9B4B5" w14:textId="76E18F49" w:rsidR="00925D57" w:rsidRPr="00925D57" w:rsidRDefault="00925D57" w:rsidP="00C40440">
            <w:pPr>
              <w:pStyle w:val="Akapitzlist"/>
              <w:spacing w:line="240" w:lineRule="auto"/>
              <w:ind w:left="0"/>
              <w:rPr>
                <w:bCs/>
                <w:sz w:val="22"/>
                <w:szCs w:val="22"/>
              </w:rPr>
            </w:pPr>
            <w:r>
              <w:rPr>
                <w:bCs/>
                <w:sz w:val="22"/>
                <w:szCs w:val="22"/>
              </w:rPr>
              <w:t xml:space="preserve">Rozszerzenie zakresu wskaźnika </w:t>
            </w:r>
            <w:r w:rsidRPr="007B2370">
              <w:rPr>
                <w:bCs/>
                <w:sz w:val="22"/>
                <w:szCs w:val="22"/>
              </w:rPr>
              <w:t>B38G o „Przebudowa falochronów w Porcie Darłowo wraz z poprawą warunków falowania wewnątrz basenu poprzez budowę nowych obiektów hydrotechnicznych”.</w:t>
            </w:r>
          </w:p>
        </w:tc>
      </w:tr>
      <w:tr w:rsidR="00925D57" w:rsidRPr="00A326F1" w14:paraId="2DA6FB97" w14:textId="77777777" w:rsidTr="003B4E6E">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tcPr>
          <w:p w14:paraId="5B7266F4" w14:textId="77777777" w:rsidR="00925D57" w:rsidRPr="00A326F1" w:rsidRDefault="00925D57" w:rsidP="00C40440">
            <w:pPr>
              <w:spacing w:after="0" w:line="240" w:lineRule="auto"/>
              <w:rPr>
                <w:rFonts w:ascii="Times New Roman" w:hAnsi="Times New Roman" w:cs="Times New Roman"/>
              </w:rPr>
            </w:pPr>
            <w:r w:rsidRPr="00A326F1">
              <w:rPr>
                <w:rFonts w:ascii="Times New Roman" w:hAnsi="Times New Roman" w:cs="Times New Roman"/>
              </w:rPr>
              <w:t>Podstawa prawna zmiany</w:t>
            </w:r>
          </w:p>
        </w:tc>
        <w:tc>
          <w:tcPr>
            <w:tcW w:w="391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4769B" w14:textId="715202F1" w:rsidR="00925D57" w:rsidRPr="00A326F1" w:rsidRDefault="00925D57" w:rsidP="00C40440">
            <w:pPr>
              <w:pStyle w:val="Akapitzlist"/>
              <w:spacing w:line="240" w:lineRule="auto"/>
              <w:ind w:left="0"/>
              <w:rPr>
                <w:b/>
                <w:bCs/>
                <w:sz w:val="22"/>
                <w:szCs w:val="22"/>
              </w:rPr>
            </w:pPr>
            <w:r w:rsidRPr="003B4E6E">
              <w:rPr>
                <w:sz w:val="22"/>
                <w:szCs w:val="22"/>
              </w:rPr>
              <w:t>art. 21 rozporządzenia Parlamentu Europejskiego i Rady (UE) 2021/241 z dnia 12 lutego 2021 r. ustanawiające Instrument na rzecz Odbudowy i Zwiększania Odporności</w:t>
            </w:r>
          </w:p>
        </w:tc>
      </w:tr>
      <w:tr w:rsidR="00925D57" w:rsidRPr="007B2370" w14:paraId="3BFA2A16" w14:textId="77777777" w:rsidTr="003B4E6E">
        <w:tc>
          <w:tcPr>
            <w:tcW w:w="1082" w:type="pct"/>
            <w:shd w:val="clear" w:color="auto" w:fill="D9D9D9" w:themeFill="background1" w:themeFillShade="D9"/>
          </w:tcPr>
          <w:p w14:paraId="7A0E9D2E" w14:textId="77777777" w:rsidR="00925D57" w:rsidRPr="007B2370" w:rsidRDefault="00925D57">
            <w:pPr>
              <w:spacing w:after="120" w:line="240" w:lineRule="auto"/>
              <w:rPr>
                <w:rFonts w:ascii="Times New Roman" w:hAnsi="Times New Roman" w:cs="Times New Roman"/>
              </w:rPr>
            </w:pPr>
            <w:r w:rsidRPr="007B2370">
              <w:rPr>
                <w:rFonts w:ascii="Times New Roman" w:hAnsi="Times New Roman" w:cs="Times New Roman"/>
              </w:rPr>
              <w:t>Modyfikowany element</w:t>
            </w:r>
          </w:p>
        </w:tc>
        <w:tc>
          <w:tcPr>
            <w:tcW w:w="1905" w:type="pct"/>
            <w:shd w:val="clear" w:color="auto" w:fill="D9D9D9" w:themeFill="background1" w:themeFillShade="D9"/>
          </w:tcPr>
          <w:p w14:paraId="1DB0D8F0" w14:textId="77777777" w:rsidR="00925D57" w:rsidRPr="007B2370" w:rsidRDefault="00925D57">
            <w:pPr>
              <w:spacing w:after="120" w:line="240" w:lineRule="auto"/>
              <w:jc w:val="center"/>
              <w:rPr>
                <w:rFonts w:ascii="Times New Roman" w:hAnsi="Times New Roman" w:cs="Times New Roman"/>
              </w:rPr>
            </w:pPr>
            <w:r w:rsidRPr="007B2370">
              <w:rPr>
                <w:rFonts w:ascii="Times New Roman" w:hAnsi="Times New Roman" w:cs="Times New Roman"/>
              </w:rPr>
              <w:t>Wersja aktualna</w:t>
            </w:r>
          </w:p>
        </w:tc>
        <w:tc>
          <w:tcPr>
            <w:tcW w:w="2013" w:type="pct"/>
            <w:shd w:val="clear" w:color="auto" w:fill="D9D9D9" w:themeFill="background1" w:themeFillShade="D9"/>
          </w:tcPr>
          <w:p w14:paraId="247F1FF8" w14:textId="77777777" w:rsidR="00925D57" w:rsidRPr="007B2370" w:rsidRDefault="00925D57">
            <w:pPr>
              <w:spacing w:after="120" w:line="240" w:lineRule="auto"/>
              <w:jc w:val="center"/>
              <w:rPr>
                <w:rFonts w:ascii="Times New Roman" w:hAnsi="Times New Roman" w:cs="Times New Roman"/>
              </w:rPr>
            </w:pPr>
            <w:r w:rsidRPr="007B2370">
              <w:rPr>
                <w:rFonts w:ascii="Times New Roman" w:hAnsi="Times New Roman" w:cs="Times New Roman"/>
              </w:rPr>
              <w:t>Wersja zmieniona</w:t>
            </w:r>
          </w:p>
        </w:tc>
      </w:tr>
      <w:tr w:rsidR="00925D57" w:rsidRPr="007B2370" w14:paraId="609500D1" w14:textId="77777777" w:rsidTr="003B4E6E">
        <w:tc>
          <w:tcPr>
            <w:tcW w:w="1082" w:type="pct"/>
          </w:tcPr>
          <w:p w14:paraId="072D624A" w14:textId="77777777" w:rsidR="00925D57" w:rsidRPr="00E85399" w:rsidRDefault="00925D57">
            <w:pPr>
              <w:spacing w:after="120" w:line="240" w:lineRule="auto"/>
              <w:rPr>
                <w:rFonts w:ascii="Times New Roman" w:hAnsi="Times New Roman" w:cs="Times New Roman"/>
              </w:rPr>
            </w:pPr>
            <w:r w:rsidRPr="00E85399">
              <w:rPr>
                <w:rFonts w:ascii="Times New Roman" w:hAnsi="Times New Roman" w:cs="Times New Roman"/>
              </w:rPr>
              <w:t>Opis komponentu oraz/lub działania (inwestycji/reformy)</w:t>
            </w:r>
          </w:p>
        </w:tc>
        <w:tc>
          <w:tcPr>
            <w:tcW w:w="1905" w:type="pct"/>
          </w:tcPr>
          <w:p w14:paraId="3EB3B834" w14:textId="38E8E354" w:rsidR="00925D57" w:rsidRPr="004C2A8D" w:rsidRDefault="00925D57" w:rsidP="00C40440">
            <w:pPr>
              <w:spacing w:line="240" w:lineRule="auto"/>
            </w:pPr>
            <w:r w:rsidRPr="00E85399">
              <w:rPr>
                <w:rFonts w:ascii="Times New Roman" w:hAnsi="Times New Roman" w:cs="Times New Roman"/>
              </w:rPr>
              <w:t>(…) W portach w Łebie i Ustce powstaną dwa terminale serwisowe dla morskiej energetyki wiatrowej, które będą stanowić kluczową infrastrukturę obsługującą instalacje morskie.</w:t>
            </w:r>
          </w:p>
          <w:p w14:paraId="0FAE7BD5" w14:textId="77777777" w:rsidR="00925D57" w:rsidRPr="00E85399" w:rsidRDefault="00925D57" w:rsidP="00C40440">
            <w:pPr>
              <w:pStyle w:val="Akapitzlist"/>
              <w:spacing w:after="120" w:line="240" w:lineRule="auto"/>
              <w:ind w:left="0"/>
              <w:rPr>
                <w:sz w:val="22"/>
                <w:szCs w:val="22"/>
                <w:u w:val="single"/>
              </w:rPr>
            </w:pPr>
            <w:r w:rsidRPr="00E85399">
              <w:rPr>
                <w:sz w:val="22"/>
                <w:szCs w:val="22"/>
              </w:rPr>
              <w:t>(…) Realizacja inwestycji w morski terminal instalacyjny i morskie terminale serwisowe w Łebie i Ustce zakończy się do dnia 30 czerwca 2026 r.</w:t>
            </w:r>
          </w:p>
        </w:tc>
        <w:tc>
          <w:tcPr>
            <w:tcW w:w="2013" w:type="pct"/>
          </w:tcPr>
          <w:p w14:paraId="33D16529" w14:textId="46B8C1A0" w:rsidR="00925D57" w:rsidRPr="00A326F1" w:rsidRDefault="00925D57" w:rsidP="00C40440">
            <w:pPr>
              <w:spacing w:line="240" w:lineRule="auto"/>
              <w:rPr>
                <w:rFonts w:ascii="Times New Roman" w:hAnsi="Times New Roman" w:cs="Times New Roman"/>
                <w:color w:val="FF0000"/>
              </w:rPr>
            </w:pPr>
            <w:r w:rsidRPr="007B2370">
              <w:rPr>
                <w:rFonts w:ascii="Times New Roman" w:hAnsi="Times New Roman" w:cs="Times New Roman"/>
                <w:color w:val="FF0000"/>
              </w:rPr>
              <w:t>(…)</w:t>
            </w:r>
            <w:r>
              <w:rPr>
                <w:rFonts w:ascii="Times New Roman" w:hAnsi="Times New Roman" w:cs="Times New Roman"/>
                <w:color w:val="FF0000"/>
              </w:rPr>
              <w:t xml:space="preserve"> </w:t>
            </w:r>
            <w:r w:rsidRPr="007B2370">
              <w:rPr>
                <w:rFonts w:ascii="Times New Roman" w:hAnsi="Times New Roman" w:cs="Times New Roman"/>
                <w:color w:val="FF0000"/>
              </w:rPr>
              <w:t xml:space="preserve">Trzy terminale serwisowe dla morskiej energetyki wiatrowej, które będą stanowić kluczową </w:t>
            </w:r>
            <w:r w:rsidRPr="00E85399">
              <w:rPr>
                <w:rFonts w:ascii="Times New Roman" w:hAnsi="Times New Roman" w:cs="Times New Roman"/>
                <w:color w:val="FF0000"/>
              </w:rPr>
              <w:t xml:space="preserve">infrastrukturę </w:t>
            </w:r>
            <w:r w:rsidRPr="007B2370">
              <w:rPr>
                <w:rFonts w:ascii="Times New Roman" w:hAnsi="Times New Roman" w:cs="Times New Roman"/>
                <w:color w:val="FF0000"/>
              </w:rPr>
              <w:t>obsługującą instalacje morskie, powstaną w portach w Łebie , Ustce i Darłowie.</w:t>
            </w:r>
          </w:p>
          <w:p w14:paraId="03229404" w14:textId="77777777" w:rsidR="00925D57" w:rsidRPr="00A326F1" w:rsidRDefault="00925D57" w:rsidP="00C40440">
            <w:pPr>
              <w:pStyle w:val="Akapitzlist"/>
              <w:spacing w:after="120" w:line="240" w:lineRule="auto"/>
              <w:ind w:left="0"/>
              <w:rPr>
                <w:sz w:val="22"/>
                <w:szCs w:val="22"/>
                <w:u w:val="single"/>
              </w:rPr>
            </w:pPr>
            <w:r w:rsidRPr="00A326F1">
              <w:rPr>
                <w:color w:val="FF0000"/>
                <w:sz w:val="22"/>
                <w:szCs w:val="22"/>
              </w:rPr>
              <w:t>Zakończenie prac betoniarskich pod morski terminal instalacyjny oraz zakończenie budowy w morskich terminalach serwisowych w Łebie Ustce i Darłowie do 30 czerwca 2026 roku.</w:t>
            </w:r>
          </w:p>
        </w:tc>
      </w:tr>
      <w:tr w:rsidR="00925D57" w:rsidRPr="007B2370" w14:paraId="612229B4" w14:textId="77777777" w:rsidTr="003B4E6E">
        <w:trPr>
          <w:trHeight w:val="756"/>
        </w:trPr>
        <w:tc>
          <w:tcPr>
            <w:tcW w:w="1082" w:type="pct"/>
            <w:vMerge w:val="restart"/>
          </w:tcPr>
          <w:p w14:paraId="23DC04BE" w14:textId="77777777" w:rsidR="00925D57" w:rsidRPr="007B2370" w:rsidRDefault="00925D57">
            <w:pPr>
              <w:spacing w:after="120" w:line="240" w:lineRule="auto"/>
              <w:rPr>
                <w:rFonts w:ascii="Times New Roman" w:hAnsi="Times New Roman" w:cs="Times New Roman"/>
              </w:rPr>
            </w:pPr>
            <w:r w:rsidRPr="007B2370">
              <w:rPr>
                <w:rFonts w:ascii="Times New Roman" w:hAnsi="Times New Roman" w:cs="Times New Roman"/>
              </w:rPr>
              <w:t>Opis kamienia milowego lub wskaźnika.</w:t>
            </w:r>
          </w:p>
        </w:tc>
        <w:tc>
          <w:tcPr>
            <w:tcW w:w="1905" w:type="pct"/>
          </w:tcPr>
          <w:p w14:paraId="4AAEAAFD" w14:textId="77777777" w:rsidR="00925D57" w:rsidRDefault="00925D57">
            <w:pPr>
              <w:spacing w:after="0" w:line="240" w:lineRule="auto"/>
              <w:rPr>
                <w:rFonts w:ascii="Times New Roman" w:hAnsi="Times New Roman" w:cs="Times New Roman"/>
              </w:rPr>
            </w:pPr>
            <w:r w:rsidRPr="00CB1EA5">
              <w:rPr>
                <w:rFonts w:ascii="Times New Roman" w:hAnsi="Times New Roman" w:cs="Times New Roman"/>
              </w:rPr>
              <w:t xml:space="preserve">B37G Budowa terminalu instalacyjnego </w:t>
            </w:r>
            <w:proofErr w:type="spellStart"/>
            <w:r w:rsidRPr="00CB1EA5">
              <w:rPr>
                <w:rFonts w:ascii="Times New Roman" w:hAnsi="Times New Roman" w:cs="Times New Roman"/>
              </w:rPr>
              <w:t>offshore</w:t>
            </w:r>
            <w:proofErr w:type="spellEnd"/>
          </w:p>
          <w:p w14:paraId="29E28E11" w14:textId="77777777" w:rsidR="00925D57" w:rsidRDefault="00925D57">
            <w:pPr>
              <w:spacing w:after="0" w:line="240" w:lineRule="auto"/>
              <w:rPr>
                <w:rFonts w:ascii="Times New Roman" w:hAnsi="Times New Roman" w:cs="Times New Roman"/>
              </w:rPr>
            </w:pPr>
          </w:p>
          <w:p w14:paraId="7370FA10" w14:textId="77777777" w:rsidR="00925D57" w:rsidRPr="000C1FA0" w:rsidRDefault="00925D57" w:rsidP="00C40440">
            <w:pPr>
              <w:pStyle w:val="Akapitzlist"/>
              <w:spacing w:line="240" w:lineRule="auto"/>
              <w:ind w:left="0"/>
              <w:rPr>
                <w:sz w:val="22"/>
                <w:szCs w:val="22"/>
              </w:rPr>
            </w:pPr>
            <w:r w:rsidRPr="000C1FA0">
              <w:rPr>
                <w:sz w:val="22"/>
                <w:szCs w:val="22"/>
              </w:rPr>
              <w:t>Opis każdego kamienia milowego i każdej wartości docelowej:</w:t>
            </w:r>
          </w:p>
          <w:p w14:paraId="50363A7D" w14:textId="77777777" w:rsidR="00925D57" w:rsidRPr="007C21AF" w:rsidRDefault="00925D57">
            <w:pPr>
              <w:spacing w:after="0" w:line="240" w:lineRule="auto"/>
              <w:rPr>
                <w:rFonts w:ascii="Times New Roman" w:hAnsi="Times New Roman" w:cs="Times New Roman"/>
              </w:rPr>
            </w:pPr>
            <w:r w:rsidRPr="007C21AF">
              <w:rPr>
                <w:rFonts w:ascii="Times New Roman" w:hAnsi="Times New Roman" w:cs="Times New Roman"/>
              </w:rPr>
              <w:t>Uruchomienie</w:t>
            </w:r>
          </w:p>
          <w:p w14:paraId="4B6E9EDB" w14:textId="77777777" w:rsidR="00925D57" w:rsidRPr="007C21AF" w:rsidRDefault="00925D57">
            <w:pPr>
              <w:spacing w:after="0" w:line="240" w:lineRule="auto"/>
              <w:rPr>
                <w:rFonts w:ascii="Times New Roman" w:hAnsi="Times New Roman" w:cs="Times New Roman"/>
              </w:rPr>
            </w:pPr>
          </w:p>
          <w:p w14:paraId="2A5D6938" w14:textId="20AE5890" w:rsidR="00925D57" w:rsidRPr="00C40440" w:rsidRDefault="00925D57" w:rsidP="00C40440">
            <w:pPr>
              <w:spacing w:after="0" w:line="240" w:lineRule="auto"/>
              <w:rPr>
                <w:rFonts w:ascii="Times New Roman" w:hAnsi="Times New Roman" w:cs="Times New Roman"/>
                <w:i/>
              </w:rPr>
            </w:pPr>
            <w:r w:rsidRPr="007B2370">
              <w:rPr>
                <w:rFonts w:ascii="Times New Roman" w:hAnsi="Times New Roman" w:cs="Times New Roman"/>
              </w:rPr>
              <w:t>Oddanie do użytku nowego pirsu portowego.</w:t>
            </w:r>
          </w:p>
        </w:tc>
        <w:tc>
          <w:tcPr>
            <w:tcW w:w="2013" w:type="pct"/>
          </w:tcPr>
          <w:p w14:paraId="5C9A407D" w14:textId="77777777" w:rsidR="00925D57" w:rsidRDefault="00925D57">
            <w:pPr>
              <w:spacing w:after="0" w:line="240" w:lineRule="auto"/>
              <w:rPr>
                <w:rFonts w:ascii="Times New Roman" w:hAnsi="Times New Roman" w:cs="Times New Roman"/>
              </w:rPr>
            </w:pPr>
            <w:r w:rsidRPr="00CB1EA5">
              <w:rPr>
                <w:rFonts w:ascii="Times New Roman" w:hAnsi="Times New Roman" w:cs="Times New Roman"/>
              </w:rPr>
              <w:t xml:space="preserve">B37G Budowa terminalu instalacyjnego </w:t>
            </w:r>
            <w:proofErr w:type="spellStart"/>
            <w:r w:rsidRPr="00CB1EA5">
              <w:rPr>
                <w:rFonts w:ascii="Times New Roman" w:hAnsi="Times New Roman" w:cs="Times New Roman"/>
              </w:rPr>
              <w:t>offshore</w:t>
            </w:r>
            <w:proofErr w:type="spellEnd"/>
          </w:p>
          <w:p w14:paraId="24A8EFA0" w14:textId="77777777" w:rsidR="00925D57" w:rsidRDefault="00925D57">
            <w:pPr>
              <w:spacing w:after="0" w:line="240" w:lineRule="auto"/>
              <w:rPr>
                <w:rFonts w:ascii="Times New Roman" w:hAnsi="Times New Roman" w:cs="Times New Roman"/>
              </w:rPr>
            </w:pPr>
          </w:p>
          <w:p w14:paraId="7FFD9C65" w14:textId="77777777" w:rsidR="00925D57" w:rsidRPr="000C1FA0" w:rsidRDefault="00925D57" w:rsidP="00C40440">
            <w:pPr>
              <w:pStyle w:val="Akapitzlist"/>
              <w:spacing w:line="240" w:lineRule="auto"/>
              <w:ind w:left="40"/>
              <w:rPr>
                <w:sz w:val="22"/>
                <w:szCs w:val="22"/>
              </w:rPr>
            </w:pPr>
            <w:r w:rsidRPr="000C1FA0">
              <w:rPr>
                <w:sz w:val="22"/>
                <w:szCs w:val="22"/>
              </w:rPr>
              <w:t>Opis każdego kamienia milowego i każdej wartości docelowej:</w:t>
            </w:r>
          </w:p>
          <w:p w14:paraId="3F65D5A3" w14:textId="33D9D1B5" w:rsidR="00925D57" w:rsidRPr="007B2370" w:rsidRDefault="00925D57">
            <w:pPr>
              <w:spacing w:after="0" w:line="240" w:lineRule="auto"/>
              <w:rPr>
                <w:rFonts w:ascii="Times New Roman" w:hAnsi="Times New Roman" w:cs="Times New Roman"/>
                <w:i/>
              </w:rPr>
            </w:pPr>
            <w:r w:rsidRPr="007B2370">
              <w:rPr>
                <w:rFonts w:ascii="Times New Roman" w:hAnsi="Times New Roman" w:cs="Times New Roman"/>
                <w:color w:val="FF0000"/>
              </w:rPr>
              <w:t xml:space="preserve">Zakończenie prac betoniarskich </w:t>
            </w:r>
          </w:p>
          <w:p w14:paraId="14C33AAA" w14:textId="77777777" w:rsidR="00925D57" w:rsidRDefault="00925D57">
            <w:pPr>
              <w:spacing w:after="0" w:line="240" w:lineRule="auto"/>
              <w:rPr>
                <w:rFonts w:ascii="Times New Roman" w:hAnsi="Times New Roman" w:cs="Times New Roman"/>
                <w:color w:val="FF0000"/>
              </w:rPr>
            </w:pPr>
          </w:p>
          <w:p w14:paraId="40C1AD4D" w14:textId="01EDA442" w:rsidR="00925D57" w:rsidRPr="00111178" w:rsidRDefault="00925D57">
            <w:pPr>
              <w:spacing w:after="0" w:line="240" w:lineRule="auto"/>
              <w:rPr>
                <w:rFonts w:ascii="Times New Roman" w:hAnsi="Times New Roman" w:cs="Times New Roman"/>
                <w:i/>
              </w:rPr>
            </w:pPr>
            <w:r w:rsidRPr="007B2370">
              <w:rPr>
                <w:rFonts w:ascii="Times New Roman" w:hAnsi="Times New Roman" w:cs="Times New Roman"/>
                <w:color w:val="FF0000"/>
              </w:rPr>
              <w:t>Zakończenie prac betoniarskich.</w:t>
            </w:r>
          </w:p>
        </w:tc>
      </w:tr>
      <w:tr w:rsidR="00925D57" w:rsidRPr="007B2370" w14:paraId="12CACB8A" w14:textId="77777777" w:rsidTr="003B4E6E">
        <w:trPr>
          <w:trHeight w:val="756"/>
        </w:trPr>
        <w:tc>
          <w:tcPr>
            <w:tcW w:w="1082" w:type="pct"/>
            <w:vMerge/>
          </w:tcPr>
          <w:p w14:paraId="158943B4" w14:textId="77777777" w:rsidR="00925D57" w:rsidRPr="00C40440" w:rsidRDefault="00925D57">
            <w:pPr>
              <w:spacing w:after="120" w:line="240" w:lineRule="auto"/>
              <w:rPr>
                <w:rFonts w:ascii="Times New Roman" w:hAnsi="Times New Roman" w:cs="Times New Roman"/>
                <w:rPrChange w:id="5" w:author="Dziubek-Grudzińska Magdalena" w:date="2024-03-15T12:21:00Z">
                  <w:rPr>
                    <w:rFonts w:ascii="Times New Roman" w:hAnsi="Times New Roman" w:cs="Times New Roman"/>
                    <w:lang w:val="en-US"/>
                  </w:rPr>
                </w:rPrChange>
              </w:rPr>
            </w:pPr>
          </w:p>
        </w:tc>
        <w:tc>
          <w:tcPr>
            <w:tcW w:w="1905" w:type="pct"/>
          </w:tcPr>
          <w:p w14:paraId="14529BBD" w14:textId="4B465CD1" w:rsidR="000540E5" w:rsidRDefault="00925D57">
            <w:pPr>
              <w:spacing w:after="120" w:line="240" w:lineRule="auto"/>
              <w:rPr>
                <w:rFonts w:ascii="Times New Roman" w:hAnsi="Times New Roman" w:cs="Times New Roman"/>
              </w:rPr>
            </w:pPr>
            <w:r>
              <w:rPr>
                <w:rFonts w:ascii="Times New Roman" w:hAnsi="Times New Roman" w:cs="Times New Roman"/>
              </w:rPr>
              <w:t xml:space="preserve">B38G </w:t>
            </w:r>
            <w:r w:rsidRPr="007B2370">
              <w:rPr>
                <w:rStyle w:val="rynqvb"/>
                <w:rFonts w:ascii="Times New Roman" w:hAnsi="Times New Roman" w:cs="Times New Roman"/>
              </w:rPr>
              <w:t>Budowa morskiego terminalu serwisowego w Łebie i Ustce.</w:t>
            </w:r>
          </w:p>
          <w:p w14:paraId="18A12A38" w14:textId="1704202A" w:rsidR="00925D57" w:rsidRPr="00A715CA" w:rsidRDefault="00925D57">
            <w:pPr>
              <w:spacing w:after="120" w:line="240" w:lineRule="auto"/>
              <w:rPr>
                <w:rFonts w:ascii="Times New Roman" w:hAnsi="Times New Roman" w:cs="Times New Roman"/>
              </w:rPr>
            </w:pPr>
            <w:r w:rsidRPr="00A715CA">
              <w:rPr>
                <w:rFonts w:ascii="Times New Roman" w:hAnsi="Times New Roman" w:cs="Times New Roman"/>
              </w:rPr>
              <w:t>Cel: 2</w:t>
            </w:r>
          </w:p>
          <w:p w14:paraId="79DD698D" w14:textId="77777777" w:rsidR="00925D57" w:rsidRPr="000C1FA0" w:rsidRDefault="00925D57" w:rsidP="00C40440">
            <w:pPr>
              <w:pStyle w:val="Akapitzlist"/>
              <w:spacing w:line="240" w:lineRule="auto"/>
              <w:ind w:left="0"/>
              <w:rPr>
                <w:sz w:val="22"/>
                <w:szCs w:val="22"/>
              </w:rPr>
            </w:pPr>
            <w:r w:rsidRPr="000C1FA0">
              <w:rPr>
                <w:sz w:val="22"/>
                <w:szCs w:val="22"/>
              </w:rPr>
              <w:t>Opis każdego kamienia milowego i każdej wartości docelowej:</w:t>
            </w:r>
          </w:p>
          <w:p w14:paraId="3E2743CE" w14:textId="77777777" w:rsidR="00925D57" w:rsidRPr="007B2370" w:rsidRDefault="00925D57">
            <w:pPr>
              <w:spacing w:after="120" w:line="240" w:lineRule="auto"/>
              <w:rPr>
                <w:rFonts w:ascii="Times New Roman" w:hAnsi="Times New Roman" w:cs="Times New Roman"/>
              </w:rPr>
            </w:pPr>
            <w:r w:rsidRPr="007B2370">
              <w:rPr>
                <w:rFonts w:ascii="Times New Roman" w:hAnsi="Times New Roman" w:cs="Times New Roman"/>
              </w:rPr>
              <w:lastRenderedPageBreak/>
              <w:t>Zakończenie budowy dwóch morskich terminali serwisowych (w Ustce i Łebie).</w:t>
            </w:r>
          </w:p>
          <w:p w14:paraId="0360F9CD" w14:textId="77777777" w:rsidR="00925D57" w:rsidRPr="007B2370" w:rsidRDefault="00925D57">
            <w:pPr>
              <w:spacing w:after="120" w:line="240" w:lineRule="auto"/>
              <w:rPr>
                <w:rFonts w:ascii="Times New Roman" w:hAnsi="Times New Roman" w:cs="Times New Roman"/>
              </w:rPr>
            </w:pPr>
          </w:p>
          <w:p w14:paraId="3A5BD749" w14:textId="77777777" w:rsidR="00925D57" w:rsidRPr="007B2370" w:rsidRDefault="00925D57">
            <w:pPr>
              <w:spacing w:after="120" w:line="240" w:lineRule="auto"/>
              <w:rPr>
                <w:rFonts w:ascii="Times New Roman" w:hAnsi="Times New Roman" w:cs="Times New Roman"/>
                <w:u w:val="single"/>
              </w:rPr>
            </w:pPr>
          </w:p>
        </w:tc>
        <w:tc>
          <w:tcPr>
            <w:tcW w:w="2013" w:type="pct"/>
          </w:tcPr>
          <w:p w14:paraId="705ECCA1" w14:textId="77777777" w:rsidR="00925D57" w:rsidRPr="007B2370" w:rsidRDefault="00925D57">
            <w:pPr>
              <w:spacing w:after="120" w:line="240" w:lineRule="auto"/>
              <w:rPr>
                <w:rFonts w:ascii="Times New Roman" w:hAnsi="Times New Roman" w:cs="Times New Roman"/>
              </w:rPr>
            </w:pPr>
            <w:r>
              <w:rPr>
                <w:rFonts w:ascii="Times New Roman" w:hAnsi="Times New Roman" w:cs="Times New Roman"/>
              </w:rPr>
              <w:lastRenderedPageBreak/>
              <w:t xml:space="preserve">B38G </w:t>
            </w:r>
            <w:r w:rsidRPr="007B2370">
              <w:rPr>
                <w:rStyle w:val="rynqvb"/>
                <w:rFonts w:ascii="Times New Roman" w:hAnsi="Times New Roman" w:cs="Times New Roman"/>
              </w:rPr>
              <w:t xml:space="preserve">Budowa morskich terminali serwisowych w Łebie, Ustce </w:t>
            </w:r>
            <w:r w:rsidRPr="007B2370">
              <w:rPr>
                <w:rStyle w:val="rynqvb"/>
                <w:rFonts w:ascii="Times New Roman" w:hAnsi="Times New Roman" w:cs="Times New Roman"/>
                <w:color w:val="FF0000"/>
              </w:rPr>
              <w:t>i Darłowie.</w:t>
            </w:r>
          </w:p>
          <w:p w14:paraId="7FDD36C5" w14:textId="77777777" w:rsidR="00925D57" w:rsidRPr="00A715CA" w:rsidRDefault="00925D57">
            <w:pPr>
              <w:spacing w:after="120" w:line="240" w:lineRule="auto"/>
              <w:rPr>
                <w:rFonts w:ascii="Times New Roman" w:hAnsi="Times New Roman" w:cs="Times New Roman"/>
                <w:color w:val="FF0000"/>
              </w:rPr>
            </w:pPr>
            <w:r w:rsidRPr="00A715CA">
              <w:rPr>
                <w:rFonts w:ascii="Times New Roman" w:hAnsi="Times New Roman" w:cs="Times New Roman"/>
              </w:rPr>
              <w:t xml:space="preserve">Cel: </w:t>
            </w:r>
            <w:r w:rsidRPr="00A715CA">
              <w:rPr>
                <w:rFonts w:ascii="Times New Roman" w:hAnsi="Times New Roman" w:cs="Times New Roman"/>
                <w:color w:val="FF0000"/>
              </w:rPr>
              <w:t>3</w:t>
            </w:r>
          </w:p>
          <w:p w14:paraId="648B0E30" w14:textId="77777777" w:rsidR="00925D57" w:rsidRPr="000C1FA0" w:rsidRDefault="00925D57" w:rsidP="00C40440">
            <w:pPr>
              <w:pStyle w:val="Akapitzlist"/>
              <w:spacing w:line="240" w:lineRule="auto"/>
              <w:ind w:left="40"/>
              <w:rPr>
                <w:sz w:val="22"/>
                <w:szCs w:val="22"/>
              </w:rPr>
            </w:pPr>
            <w:r w:rsidRPr="000C1FA0">
              <w:rPr>
                <w:sz w:val="22"/>
                <w:szCs w:val="22"/>
              </w:rPr>
              <w:t>Opis każdego kamienia milowego i każdej wartości docelowej:</w:t>
            </w:r>
          </w:p>
          <w:p w14:paraId="45AC338F" w14:textId="77777777" w:rsidR="00925D57" w:rsidRPr="00111178" w:rsidRDefault="00925D57">
            <w:pPr>
              <w:spacing w:after="120" w:line="240" w:lineRule="auto"/>
              <w:rPr>
                <w:rFonts w:ascii="Times New Roman" w:hAnsi="Times New Roman" w:cs="Times New Roman"/>
                <w:color w:val="FF0000"/>
              </w:rPr>
            </w:pPr>
            <w:r w:rsidRPr="007B2370">
              <w:rPr>
                <w:rFonts w:ascii="Times New Roman" w:hAnsi="Times New Roman" w:cs="Times New Roman"/>
              </w:rPr>
              <w:lastRenderedPageBreak/>
              <w:t xml:space="preserve">Zakończenie budowy </w:t>
            </w:r>
            <w:r w:rsidRPr="007B2370">
              <w:rPr>
                <w:rFonts w:ascii="Times New Roman" w:hAnsi="Times New Roman" w:cs="Times New Roman"/>
                <w:color w:val="FF0000"/>
              </w:rPr>
              <w:t>trzech</w:t>
            </w:r>
            <w:r w:rsidRPr="007B2370">
              <w:rPr>
                <w:rFonts w:ascii="Times New Roman" w:hAnsi="Times New Roman" w:cs="Times New Roman"/>
              </w:rPr>
              <w:t xml:space="preserve"> morskich terminali serwisowych w Łebie, Ustce </w:t>
            </w:r>
            <w:r w:rsidRPr="007B2370">
              <w:rPr>
                <w:rFonts w:ascii="Times New Roman" w:hAnsi="Times New Roman" w:cs="Times New Roman"/>
                <w:color w:val="FF0000"/>
              </w:rPr>
              <w:t>i Darłowie.(…)</w:t>
            </w:r>
          </w:p>
          <w:p w14:paraId="7A42D2E8" w14:textId="77777777" w:rsidR="00925D57" w:rsidRPr="007B2370" w:rsidRDefault="00925D57">
            <w:pPr>
              <w:spacing w:after="120" w:line="240" w:lineRule="auto"/>
              <w:rPr>
                <w:rFonts w:ascii="Times New Roman" w:hAnsi="Times New Roman" w:cs="Times New Roman"/>
                <w:color w:val="FF0000"/>
              </w:rPr>
            </w:pPr>
            <w:r w:rsidRPr="007B2370">
              <w:rPr>
                <w:rFonts w:ascii="Times New Roman" w:hAnsi="Times New Roman" w:cs="Times New Roman"/>
                <w:color w:val="FF0000"/>
              </w:rPr>
              <w:t>(…)</w:t>
            </w:r>
          </w:p>
          <w:p w14:paraId="70A205F0" w14:textId="77777777" w:rsidR="00925D57" w:rsidRPr="007B2370" w:rsidRDefault="00925D57" w:rsidP="00C40440">
            <w:pPr>
              <w:spacing w:line="240" w:lineRule="auto"/>
              <w:rPr>
                <w:rFonts w:ascii="Times New Roman" w:hAnsi="Times New Roman" w:cs="Times New Roman"/>
                <w:u w:val="single"/>
              </w:rPr>
            </w:pPr>
            <w:r w:rsidRPr="007B2370">
              <w:rPr>
                <w:rStyle w:val="rynqvb"/>
                <w:rFonts w:ascii="Times New Roman" w:hAnsi="Times New Roman" w:cs="Times New Roman"/>
                <w:color w:val="FF0000"/>
              </w:rPr>
              <w:t>Inwestycja w Darłowie będzie polegać na przebudowie falochronu i budowie ostrogi.</w:t>
            </w:r>
          </w:p>
        </w:tc>
      </w:tr>
      <w:tr w:rsidR="00925D57" w:rsidRPr="00A26E88" w14:paraId="30C87A65" w14:textId="77777777" w:rsidTr="003B4E6E">
        <w:tc>
          <w:tcPr>
            <w:tcW w:w="1082" w:type="pct"/>
          </w:tcPr>
          <w:p w14:paraId="227EE66D" w14:textId="77777777" w:rsidR="00925D57" w:rsidRPr="007B2370" w:rsidRDefault="00925D57">
            <w:pPr>
              <w:spacing w:after="120" w:line="240" w:lineRule="auto"/>
              <w:rPr>
                <w:rFonts w:ascii="Times New Roman" w:hAnsi="Times New Roman" w:cs="Times New Roman"/>
              </w:rPr>
            </w:pPr>
            <w:r w:rsidRPr="007B2370">
              <w:rPr>
                <w:rFonts w:ascii="Times New Roman" w:hAnsi="Times New Roman" w:cs="Times New Roman"/>
              </w:rPr>
              <w:lastRenderedPageBreak/>
              <w:t xml:space="preserve">Uzasadnienie </w:t>
            </w:r>
          </w:p>
        </w:tc>
        <w:tc>
          <w:tcPr>
            <w:tcW w:w="3918" w:type="pct"/>
            <w:gridSpan w:val="2"/>
            <w:vMerge w:val="restart"/>
          </w:tcPr>
          <w:p w14:paraId="795AAC6D" w14:textId="77777777" w:rsidR="00925D57" w:rsidRPr="00C40440" w:rsidRDefault="00925D57" w:rsidP="00C40440">
            <w:pPr>
              <w:spacing w:after="0" w:line="240" w:lineRule="auto"/>
              <w:rPr>
                <w:rFonts w:ascii="Times New Roman" w:hAnsi="Times New Roman" w:cs="Times New Roman"/>
              </w:rPr>
            </w:pPr>
            <w:r w:rsidRPr="00C40440">
              <w:rPr>
                <w:rFonts w:ascii="Times New Roman" w:hAnsi="Times New Roman" w:cs="Times New Roman"/>
              </w:rPr>
              <w:t>B37G</w:t>
            </w:r>
          </w:p>
          <w:p w14:paraId="2695C0B8" w14:textId="77777777" w:rsidR="00925D57" w:rsidRPr="007B2370" w:rsidRDefault="00925D57" w:rsidP="00C40440">
            <w:pPr>
              <w:spacing w:after="120" w:line="240" w:lineRule="auto"/>
              <w:rPr>
                <w:rFonts w:ascii="Times New Roman" w:hAnsi="Times New Roman" w:cs="Times New Roman"/>
              </w:rPr>
            </w:pPr>
            <w:proofErr w:type="spellStart"/>
            <w:r w:rsidRPr="007B2370">
              <w:rPr>
                <w:rFonts w:ascii="Times New Roman" w:hAnsi="Times New Roman" w:cs="Times New Roman"/>
                <w:bCs/>
              </w:rPr>
              <w:t>Istrana</w:t>
            </w:r>
            <w:proofErr w:type="spellEnd"/>
            <w:r w:rsidRPr="007B2370">
              <w:rPr>
                <w:rFonts w:ascii="Times New Roman" w:hAnsi="Times New Roman" w:cs="Times New Roman"/>
                <w:bCs/>
              </w:rPr>
              <w:t xml:space="preserve"> pełniąca rolę ostatecznego odbiorcy wsparcia (OOW) wskazuje</w:t>
            </w:r>
            <w:r w:rsidRPr="007B2370">
              <w:rPr>
                <w:rFonts w:ascii="Times New Roman" w:hAnsi="Times New Roman" w:cs="Times New Roman"/>
              </w:rPr>
              <w:t xml:space="preserve">, iż harmonogram prac jest dość napięty biorąc pod uwagę konieczność uzyskania szeregu decyzji administracyjnych jak również sam poziom skomplikowania technicznego budowanej infrastruktury. </w:t>
            </w:r>
          </w:p>
          <w:p w14:paraId="0F9A30A2" w14:textId="0C145F20" w:rsidR="00925D57" w:rsidRPr="007B2370" w:rsidRDefault="00925D57" w:rsidP="00C40440">
            <w:pPr>
              <w:spacing w:after="120" w:line="240" w:lineRule="auto"/>
              <w:rPr>
                <w:rFonts w:ascii="Times New Roman" w:hAnsi="Times New Roman" w:cs="Times New Roman"/>
                <w:color w:val="000000" w:themeColor="text1"/>
              </w:rPr>
            </w:pPr>
            <w:r w:rsidRPr="007B2370">
              <w:rPr>
                <w:rFonts w:ascii="Times New Roman" w:hAnsi="Times New Roman" w:cs="Times New Roman"/>
                <w:color w:val="000000" w:themeColor="text1"/>
              </w:rPr>
              <w:t xml:space="preserve">Należy podkreślić, iż w projekcie występuje pomoc publiczna, która wymaga zgłoszenia do KE. Procedura zgłoszenia została zainicjowana jako proces </w:t>
            </w:r>
            <w:proofErr w:type="spellStart"/>
            <w:r w:rsidRPr="007B2370">
              <w:rPr>
                <w:rFonts w:ascii="Times New Roman" w:hAnsi="Times New Roman" w:cs="Times New Roman"/>
                <w:color w:val="000000" w:themeColor="text1"/>
              </w:rPr>
              <w:t>prenotyfikacji</w:t>
            </w:r>
            <w:proofErr w:type="spellEnd"/>
            <w:r w:rsidRPr="007B2370">
              <w:rPr>
                <w:rFonts w:ascii="Times New Roman" w:hAnsi="Times New Roman" w:cs="Times New Roman"/>
                <w:color w:val="000000" w:themeColor="text1"/>
              </w:rPr>
              <w:t xml:space="preserve"> w lutym 2023 r. poprzez przygotowanie i uzgodnienie z JW. - CUPT wniosku o dokonanie </w:t>
            </w:r>
            <w:proofErr w:type="spellStart"/>
            <w:r w:rsidRPr="007B2370">
              <w:rPr>
                <w:rFonts w:ascii="Times New Roman" w:hAnsi="Times New Roman" w:cs="Times New Roman"/>
                <w:color w:val="000000" w:themeColor="text1"/>
              </w:rPr>
              <w:t>prenotyfikacji</w:t>
            </w:r>
            <w:proofErr w:type="spellEnd"/>
            <w:r w:rsidRPr="007B2370">
              <w:rPr>
                <w:rFonts w:ascii="Times New Roman" w:hAnsi="Times New Roman" w:cs="Times New Roman"/>
                <w:color w:val="000000" w:themeColor="text1"/>
              </w:rPr>
              <w:t xml:space="preserve"> projektu pomocy. Pomoc zgłoszona w ramach tej procedury została określona jako pomoc indywidualna, a przeznaczenie pomocy to rozwój sektorowy. Przygotowany z początkiem roku 2023 wniosek </w:t>
            </w:r>
            <w:proofErr w:type="spellStart"/>
            <w:r w:rsidRPr="007B2370">
              <w:rPr>
                <w:rFonts w:ascii="Times New Roman" w:hAnsi="Times New Roman" w:cs="Times New Roman"/>
                <w:color w:val="000000" w:themeColor="text1"/>
              </w:rPr>
              <w:t>prenotyfikacyjny</w:t>
            </w:r>
            <w:proofErr w:type="spellEnd"/>
            <w:r w:rsidRPr="007B2370">
              <w:rPr>
                <w:rFonts w:ascii="Times New Roman" w:hAnsi="Times New Roman" w:cs="Times New Roman"/>
                <w:color w:val="000000" w:themeColor="text1"/>
              </w:rPr>
              <w:t xml:space="preserve">, po uzgodnieniach krajowych został przekazany do KE.  Z dniem 31 marca 2023 r.  -  Komisja zarejestrowała  sprawę pod numerem SA.106975 - </w:t>
            </w:r>
            <w:proofErr w:type="spellStart"/>
            <w:r w:rsidRPr="007B2370">
              <w:rPr>
                <w:rFonts w:ascii="Times New Roman" w:hAnsi="Times New Roman" w:cs="Times New Roman"/>
                <w:i/>
                <w:iCs/>
                <w:color w:val="000000" w:themeColor="text1"/>
              </w:rPr>
              <w:t>State</w:t>
            </w:r>
            <w:proofErr w:type="spellEnd"/>
            <w:r w:rsidRPr="007B2370">
              <w:rPr>
                <w:rFonts w:ascii="Times New Roman" w:hAnsi="Times New Roman" w:cs="Times New Roman"/>
                <w:i/>
                <w:iCs/>
                <w:color w:val="000000" w:themeColor="text1"/>
              </w:rPr>
              <w:t xml:space="preserve"> Aid for the </w:t>
            </w:r>
            <w:proofErr w:type="spellStart"/>
            <w:r w:rsidRPr="007B2370">
              <w:rPr>
                <w:rFonts w:ascii="Times New Roman" w:hAnsi="Times New Roman" w:cs="Times New Roman"/>
                <w:i/>
                <w:iCs/>
                <w:color w:val="000000" w:themeColor="text1"/>
              </w:rPr>
              <w:t>construction</w:t>
            </w:r>
            <w:proofErr w:type="spellEnd"/>
            <w:r w:rsidRPr="007B2370">
              <w:rPr>
                <w:rFonts w:ascii="Times New Roman" w:hAnsi="Times New Roman" w:cs="Times New Roman"/>
                <w:i/>
                <w:iCs/>
                <w:color w:val="000000" w:themeColor="text1"/>
              </w:rPr>
              <w:t xml:space="preserve"> of the terminal in the Port of Gdańsk by </w:t>
            </w:r>
            <w:proofErr w:type="spellStart"/>
            <w:r w:rsidRPr="007B2370">
              <w:rPr>
                <w:rFonts w:ascii="Times New Roman" w:hAnsi="Times New Roman" w:cs="Times New Roman"/>
                <w:i/>
                <w:iCs/>
                <w:color w:val="000000" w:themeColor="text1"/>
              </w:rPr>
              <w:t>Istrana</w:t>
            </w:r>
            <w:proofErr w:type="spellEnd"/>
            <w:r w:rsidRPr="007B2370">
              <w:rPr>
                <w:rFonts w:ascii="Times New Roman" w:hAnsi="Times New Roman" w:cs="Times New Roman"/>
                <w:i/>
                <w:iCs/>
                <w:color w:val="000000" w:themeColor="text1"/>
              </w:rPr>
              <w:t xml:space="preserve"> Sp. z </w:t>
            </w:r>
            <w:proofErr w:type="spellStart"/>
            <w:r w:rsidRPr="007B2370">
              <w:rPr>
                <w:rFonts w:ascii="Times New Roman" w:hAnsi="Times New Roman" w:cs="Times New Roman"/>
                <w:i/>
                <w:iCs/>
                <w:color w:val="000000" w:themeColor="text1"/>
              </w:rPr>
              <w:t>o.o</w:t>
            </w:r>
            <w:proofErr w:type="spellEnd"/>
            <w:r w:rsidRPr="007B2370">
              <w:rPr>
                <w:rFonts w:ascii="Times New Roman" w:hAnsi="Times New Roman" w:cs="Times New Roman"/>
                <w:color w:val="000000" w:themeColor="text1"/>
              </w:rPr>
              <w:t xml:space="preserve"> . Mając na uwadze przyśpieszenie procedowania przez KE, w dniu 10 maja 2023 r zostało zorganizowane spotkanie z KE w celu przeprowadzenia  dialogu roboczego, w trakcie którego Komisja zwróciła się o wyjaśnienie szeregu kwestii. Wyjaśnienia wraz ze zmodyfikowanym wnioskiem o udzielenie pomocy zostały przekazane do KE we wrześniu 2023 r.  W grudniu 2023 r. KE przesłała dodatkowe pytania, na które odpowiedź strony polskiej została przekazana w dniu 14 lutego 2024 r. Należy podkreślić, że proces  notyfikacji pomocy publicznej jest złożoną procedurą, w którą oprócz Ministerstwa Infrastruktury zaangażowanych jest wiele podmiotów w tym Urząd Ochrony Konkurencji i Konsumentów, Centrum Unijnych Projektów Transportowych pełniący funkcje Jednostki Wspierającej, Polski Fundusz Rozwoju, Zarząd Portu Morskiego Gdańsk oraz </w:t>
            </w:r>
            <w:proofErr w:type="spellStart"/>
            <w:r w:rsidRPr="007B2370">
              <w:rPr>
                <w:rFonts w:ascii="Times New Roman" w:hAnsi="Times New Roman" w:cs="Times New Roman"/>
                <w:color w:val="000000" w:themeColor="text1"/>
              </w:rPr>
              <w:t>Istrana</w:t>
            </w:r>
            <w:proofErr w:type="spellEnd"/>
            <w:r w:rsidRPr="007B2370">
              <w:rPr>
                <w:rFonts w:ascii="Times New Roman" w:hAnsi="Times New Roman" w:cs="Times New Roman"/>
                <w:color w:val="000000" w:themeColor="text1"/>
              </w:rPr>
              <w:t xml:space="preserve">. </w:t>
            </w:r>
          </w:p>
          <w:p w14:paraId="29487844" w14:textId="77777777" w:rsidR="00925D57" w:rsidRPr="007B2370" w:rsidRDefault="00925D57" w:rsidP="00C40440">
            <w:pPr>
              <w:spacing w:after="120" w:line="240" w:lineRule="auto"/>
              <w:rPr>
                <w:rFonts w:ascii="Times New Roman" w:hAnsi="Times New Roman" w:cs="Times New Roman"/>
              </w:rPr>
            </w:pPr>
            <w:r w:rsidRPr="007B2370">
              <w:rPr>
                <w:rFonts w:ascii="Times New Roman" w:hAnsi="Times New Roman" w:cs="Times New Roman"/>
              </w:rPr>
              <w:t>W obecnie obowiązującej Decyzji Implementacyjnej z 24 listopada 2023 r. określony został wskaźnik „</w:t>
            </w:r>
            <w:proofErr w:type="spellStart"/>
            <w:r w:rsidRPr="007B2370">
              <w:rPr>
                <w:rFonts w:ascii="Times New Roman" w:hAnsi="Times New Roman" w:cs="Times New Roman"/>
              </w:rPr>
              <w:t>Entry</w:t>
            </w:r>
            <w:proofErr w:type="spellEnd"/>
            <w:r w:rsidRPr="007B2370">
              <w:rPr>
                <w:rFonts w:ascii="Times New Roman" w:hAnsi="Times New Roman" w:cs="Times New Roman"/>
              </w:rPr>
              <w:t xml:space="preserve"> </w:t>
            </w:r>
            <w:proofErr w:type="spellStart"/>
            <w:r w:rsidRPr="007B2370">
              <w:rPr>
                <w:rFonts w:ascii="Times New Roman" w:hAnsi="Times New Roman" w:cs="Times New Roman"/>
              </w:rPr>
              <w:t>into</w:t>
            </w:r>
            <w:proofErr w:type="spellEnd"/>
            <w:r w:rsidRPr="007B2370">
              <w:rPr>
                <w:rFonts w:ascii="Times New Roman" w:hAnsi="Times New Roman" w:cs="Times New Roman"/>
              </w:rPr>
              <w:t xml:space="preserve"> </w:t>
            </w:r>
            <w:proofErr w:type="spellStart"/>
            <w:r w:rsidRPr="007B2370">
              <w:rPr>
                <w:rFonts w:ascii="Times New Roman" w:hAnsi="Times New Roman" w:cs="Times New Roman"/>
              </w:rPr>
              <w:t>operation</w:t>
            </w:r>
            <w:proofErr w:type="spellEnd"/>
            <w:r w:rsidRPr="007B2370">
              <w:rPr>
                <w:rFonts w:ascii="Times New Roman" w:hAnsi="Times New Roman" w:cs="Times New Roman"/>
              </w:rPr>
              <w:t>” w terminie do końca II kwartału 2026 roku. Strona polska proponuje zmianę brzmienia wskaźnika dla B37G na „</w:t>
            </w:r>
            <w:proofErr w:type="spellStart"/>
            <w:r w:rsidRPr="007B2370">
              <w:rPr>
                <w:rFonts w:ascii="Times New Roman" w:hAnsi="Times New Roman" w:cs="Times New Roman"/>
              </w:rPr>
              <w:t>Concrete</w:t>
            </w:r>
            <w:proofErr w:type="spellEnd"/>
            <w:r w:rsidRPr="007B2370">
              <w:rPr>
                <w:rFonts w:ascii="Times New Roman" w:hAnsi="Times New Roman" w:cs="Times New Roman"/>
              </w:rPr>
              <w:t xml:space="preserve"> </w:t>
            </w:r>
            <w:proofErr w:type="spellStart"/>
            <w:r w:rsidRPr="007B2370">
              <w:rPr>
                <w:rFonts w:ascii="Times New Roman" w:hAnsi="Times New Roman" w:cs="Times New Roman"/>
              </w:rPr>
              <w:t>works</w:t>
            </w:r>
            <w:proofErr w:type="spellEnd"/>
            <w:r w:rsidRPr="007B2370">
              <w:rPr>
                <w:rFonts w:ascii="Times New Roman" w:hAnsi="Times New Roman" w:cs="Times New Roman"/>
              </w:rPr>
              <w:t xml:space="preserve"> </w:t>
            </w:r>
            <w:proofErr w:type="spellStart"/>
            <w:r w:rsidRPr="007B2370">
              <w:rPr>
                <w:rFonts w:ascii="Times New Roman" w:hAnsi="Times New Roman" w:cs="Times New Roman"/>
              </w:rPr>
              <w:t>completion</w:t>
            </w:r>
            <w:proofErr w:type="spellEnd"/>
            <w:r w:rsidRPr="007B2370">
              <w:rPr>
                <w:rFonts w:ascii="Times New Roman" w:hAnsi="Times New Roman" w:cs="Times New Roman"/>
              </w:rPr>
              <w:t xml:space="preserve">”, tj. zakończenie prac betoniarskich rozumiane jako zakończenie rzeczywistych prac konstrukcji infrastruktury. W ramach zakończenia prac betoniarskich zrealizowane zostaną prace w zakresie palowania, </w:t>
            </w:r>
            <w:proofErr w:type="spellStart"/>
            <w:r w:rsidRPr="007B2370">
              <w:rPr>
                <w:rFonts w:ascii="Times New Roman" w:hAnsi="Times New Roman" w:cs="Times New Roman"/>
              </w:rPr>
              <w:t>zalądowienia</w:t>
            </w:r>
            <w:proofErr w:type="spellEnd"/>
            <w:r w:rsidRPr="007B2370">
              <w:rPr>
                <w:rFonts w:ascii="Times New Roman" w:hAnsi="Times New Roman" w:cs="Times New Roman"/>
              </w:rPr>
              <w:t xml:space="preserve"> oraz wykonania konstrukcji żelbetowej nabrzeża. </w:t>
            </w:r>
          </w:p>
          <w:p w14:paraId="5C3A9222" w14:textId="77777777" w:rsidR="00925D57" w:rsidRPr="007B2370" w:rsidRDefault="00925D57" w:rsidP="00C40440">
            <w:pPr>
              <w:spacing w:after="0" w:line="240" w:lineRule="auto"/>
              <w:rPr>
                <w:rFonts w:ascii="Times New Roman" w:hAnsi="Times New Roman" w:cs="Times New Roman"/>
              </w:rPr>
            </w:pPr>
            <w:r w:rsidRPr="007B2370">
              <w:rPr>
                <w:rFonts w:ascii="Times New Roman" w:hAnsi="Times New Roman" w:cs="Times New Roman"/>
                <w:color w:val="000000"/>
              </w:rPr>
              <w:t>Poniesienie części nakładów inwestycyjnych po dniu 30 czerwca 2026 r., nie będzie wpływało na wysokość pomocy publicznej (dotacji) określonej pierwotnie we wniosku o objęcie przedsięwzięcia wsparciem. Nakłady poniesione do 30 czerwca 2026 r. pozostaną bowiem wyższe niż wnioskowana kwota dotacji, a w przypadku przedmiotowego projektu wysokość dopuszczalnej pomocy publicznej wyznacza luka w finansowaniu określona kwotowo, która nie przekroczy ani wysokości nakładów inwestycyjnych (łącznie), ani ewentualnych kosztów kwalifikowalnych poniesionych do 30 czerwca 2026 r. W przedmiotowym projekcie wysokość pomocy nie jest bowiem określona z góry poprzez iloczyn intensywności pomocy i kosztów kwalifikowalnych.</w:t>
            </w:r>
          </w:p>
          <w:p w14:paraId="0DC5E1F6" w14:textId="38635C81" w:rsidR="00D3504C" w:rsidRDefault="00925D57" w:rsidP="00C40440">
            <w:pPr>
              <w:spacing w:after="120" w:line="240" w:lineRule="auto"/>
              <w:rPr>
                <w:rFonts w:ascii="Times New Roman" w:hAnsi="Times New Roman" w:cs="Times New Roman"/>
              </w:rPr>
            </w:pPr>
            <w:r w:rsidRPr="007B2370">
              <w:rPr>
                <w:rFonts w:ascii="Times New Roman" w:hAnsi="Times New Roman" w:cs="Times New Roman"/>
              </w:rPr>
              <w:lastRenderedPageBreak/>
              <w:t xml:space="preserve">Do realizacji pozostaną roboty polegające na wykonaniu sieci podziemnych pod nawierzchnią terminala wraz z masztami oświetleniowymi, nawierzchni terminala z kruszywa łamanego oraz wyposażenie nabrzeża w urządzenia związane z bezpieczeństwie eksploatacji jak drabinki i stojaki na sprzęt ratunkowy oraz oznakowanie terminala. </w:t>
            </w:r>
            <w:r w:rsidRPr="00C82917">
              <w:rPr>
                <w:rFonts w:ascii="Times New Roman" w:hAnsi="Times New Roman" w:cs="Times New Roman"/>
              </w:rPr>
              <w:t xml:space="preserve">Niezrealizowane prace będą stanowiły miedzy 10 a 15% zakresu rzeczowego inwestycji. </w:t>
            </w:r>
          </w:p>
          <w:p w14:paraId="31425B00" w14:textId="3EEFBA2B" w:rsidR="00925D57" w:rsidRPr="00C40440" w:rsidRDefault="00925D57">
            <w:pPr>
              <w:spacing w:after="120" w:line="240" w:lineRule="auto"/>
              <w:jc w:val="both"/>
              <w:rPr>
                <w:rFonts w:ascii="Times New Roman" w:hAnsi="Times New Roman" w:cs="Times New Roman"/>
                <w:noProof/>
                <w:color w:val="000000" w:themeColor="text1"/>
              </w:rPr>
            </w:pPr>
            <w:r w:rsidRPr="00C40440">
              <w:rPr>
                <w:rFonts w:ascii="Times New Roman" w:hAnsi="Times New Roman" w:cs="Times New Roman"/>
                <w:noProof/>
                <w:color w:val="000000" w:themeColor="text1"/>
              </w:rPr>
              <w:t>B38G</w:t>
            </w:r>
          </w:p>
          <w:p w14:paraId="59A9D971" w14:textId="275398C0" w:rsidR="00925D57" w:rsidRPr="007B2370" w:rsidRDefault="00925D57">
            <w:pPr>
              <w:spacing w:after="120" w:line="240" w:lineRule="auto"/>
              <w:jc w:val="both"/>
              <w:rPr>
                <w:rFonts w:ascii="Times New Roman" w:hAnsi="Times New Roman" w:cs="Times New Roman"/>
                <w:color w:val="000000" w:themeColor="text1"/>
              </w:rPr>
            </w:pPr>
            <w:r w:rsidRPr="007B2370">
              <w:rPr>
                <w:rFonts w:ascii="Times New Roman" w:hAnsi="Times New Roman" w:cs="Times New Roman"/>
                <w:noProof/>
                <w:color w:val="000000" w:themeColor="text1"/>
              </w:rPr>
              <w:t>Strona polska  wnosi o poszerzenie zakresu inwestycji B</w:t>
            </w:r>
            <w:r w:rsidRPr="007B2370">
              <w:rPr>
                <w:rFonts w:ascii="Times New Roman" w:hAnsi="Times New Roman" w:cs="Times New Roman"/>
                <w:i/>
                <w:noProof/>
                <w:color w:val="000000" w:themeColor="text1"/>
              </w:rPr>
              <w:t>.2.2.3 Budowa infrastruktury terminalowej offshore</w:t>
            </w:r>
            <w:r w:rsidRPr="007B2370">
              <w:rPr>
                <w:rFonts w:ascii="Times New Roman" w:hAnsi="Times New Roman" w:cs="Times New Roman"/>
                <w:noProof/>
                <w:color w:val="000000" w:themeColor="text1"/>
              </w:rPr>
              <w:t xml:space="preserve"> o przedsięwzięcie pn „</w:t>
            </w:r>
            <w:r w:rsidRPr="007B2370">
              <w:rPr>
                <w:rFonts w:ascii="Times New Roman" w:hAnsi="Times New Roman" w:cs="Times New Roman"/>
                <w:color w:val="000000" w:themeColor="text1"/>
              </w:rPr>
              <w:t xml:space="preserve">Przebudowa falochronów w Porcie Darłowo wraz z poprawą warunków falowania wewnątrz basenu poprzez budowę nowych obiektów hydrotechnicznych”. </w:t>
            </w:r>
          </w:p>
          <w:p w14:paraId="6407A7DA" w14:textId="77777777" w:rsidR="00925D57" w:rsidRPr="007B2370" w:rsidRDefault="00925D57">
            <w:pPr>
              <w:spacing w:after="120" w:line="240" w:lineRule="auto"/>
              <w:jc w:val="both"/>
              <w:rPr>
                <w:rFonts w:ascii="Times New Roman" w:hAnsi="Times New Roman" w:cs="Times New Roman"/>
                <w:color w:val="000000" w:themeColor="text1"/>
              </w:rPr>
            </w:pPr>
            <w:r w:rsidRPr="007B2370">
              <w:rPr>
                <w:rFonts w:ascii="Times New Roman" w:hAnsi="Times New Roman" w:cs="Times New Roman"/>
                <w:color w:val="000000" w:themeColor="text1"/>
              </w:rPr>
              <w:t xml:space="preserve">Planowane przedsięwzięcie polegać będzie na przebudowie Falochronu Zachodniego w Darłowie. Falochron Zachodni o szerokości nadbudowy od 17,00 do 18,00 m i łącznej długości całkowitej 356,45 m.b. Rzędna korony oczepu +2,35 m n.p.m. Konstrukcję falochronu stanowić będzie </w:t>
            </w:r>
            <w:proofErr w:type="spellStart"/>
            <w:r w:rsidRPr="007B2370">
              <w:rPr>
                <w:rFonts w:ascii="Times New Roman" w:hAnsi="Times New Roman" w:cs="Times New Roman"/>
                <w:color w:val="000000" w:themeColor="text1"/>
              </w:rPr>
              <w:t>grodza</w:t>
            </w:r>
            <w:proofErr w:type="spellEnd"/>
            <w:r w:rsidRPr="007B2370">
              <w:rPr>
                <w:rFonts w:ascii="Times New Roman" w:hAnsi="Times New Roman" w:cs="Times New Roman"/>
                <w:color w:val="000000" w:themeColor="text1"/>
              </w:rPr>
              <w:t xml:space="preserve"> wykonana ze ścianki szczelnej zwieńczona żelbetową nadbudową zabezpieczoną od strony </w:t>
            </w:r>
            <w:proofErr w:type="spellStart"/>
            <w:r w:rsidRPr="007B2370">
              <w:rPr>
                <w:rFonts w:ascii="Times New Roman" w:hAnsi="Times New Roman" w:cs="Times New Roman"/>
                <w:color w:val="000000" w:themeColor="text1"/>
              </w:rPr>
              <w:t>odmorskiej</w:t>
            </w:r>
            <w:proofErr w:type="spellEnd"/>
            <w:r w:rsidRPr="007B2370">
              <w:rPr>
                <w:rFonts w:ascii="Times New Roman" w:hAnsi="Times New Roman" w:cs="Times New Roman"/>
                <w:color w:val="000000" w:themeColor="text1"/>
              </w:rPr>
              <w:t xml:space="preserve"> narzutem kamiennym.</w:t>
            </w:r>
          </w:p>
          <w:p w14:paraId="14BF544D" w14:textId="77777777" w:rsidR="00925D57" w:rsidRPr="007B2370" w:rsidRDefault="00925D57">
            <w:pPr>
              <w:spacing w:after="120" w:line="240" w:lineRule="auto"/>
              <w:jc w:val="both"/>
              <w:rPr>
                <w:rFonts w:ascii="Times New Roman" w:hAnsi="Times New Roman" w:cs="Times New Roman"/>
                <w:color w:val="000000" w:themeColor="text1"/>
              </w:rPr>
            </w:pPr>
            <w:r w:rsidRPr="007B2370">
              <w:rPr>
                <w:rFonts w:ascii="Times New Roman" w:hAnsi="Times New Roman" w:cs="Times New Roman"/>
                <w:color w:val="000000" w:themeColor="text1"/>
              </w:rPr>
              <w:t xml:space="preserve">W ramach zadania planowana jest również  budowa ostrogi zabezpieczającej przed falowaniem w porcie Darłowo. Inwestycja ma na celu zabezpieczenie istniejących nabrzeży, celem zwiększenia bezpieczeństwa oraz poprawy ich funkcjonowania. Ostroga o szerokości nadbudowy 8,30 m i łącznej długości całkowitej 100 m.b. Rzędna korony oczepu +2,35 m n.p.m. Konstrukcję stanowić będzie </w:t>
            </w:r>
            <w:proofErr w:type="spellStart"/>
            <w:r w:rsidRPr="007B2370">
              <w:rPr>
                <w:rFonts w:ascii="Times New Roman" w:hAnsi="Times New Roman" w:cs="Times New Roman"/>
                <w:color w:val="000000" w:themeColor="text1"/>
              </w:rPr>
              <w:t>grodza</w:t>
            </w:r>
            <w:proofErr w:type="spellEnd"/>
            <w:r w:rsidRPr="007B2370">
              <w:rPr>
                <w:rFonts w:ascii="Times New Roman" w:hAnsi="Times New Roman" w:cs="Times New Roman"/>
                <w:color w:val="000000" w:themeColor="text1"/>
              </w:rPr>
              <w:t xml:space="preserve"> wykonana ze ścianki szczelnej zwieńczona żelbetową nadbudową zabezpieczoną od strony północnej narzutem kamiennym.</w:t>
            </w:r>
          </w:p>
          <w:p w14:paraId="0B11DC5A" w14:textId="4D17B68C" w:rsidR="00925D57" w:rsidRPr="007B2370" w:rsidRDefault="00925D57">
            <w:pPr>
              <w:spacing w:after="120" w:line="240" w:lineRule="auto"/>
              <w:jc w:val="both"/>
              <w:rPr>
                <w:rFonts w:ascii="Times New Roman" w:hAnsi="Times New Roman" w:cs="Times New Roman"/>
                <w:bCs/>
                <w:color w:val="000000" w:themeColor="text1"/>
              </w:rPr>
            </w:pPr>
            <w:r w:rsidRPr="007B2370">
              <w:rPr>
                <w:rFonts w:ascii="Times New Roman" w:hAnsi="Times New Roman" w:cs="Times New Roman"/>
                <w:color w:val="000000" w:themeColor="text1"/>
              </w:rPr>
              <w:t>Należy podkreślić, że inwestycj</w:t>
            </w:r>
            <w:r>
              <w:rPr>
                <w:rFonts w:ascii="Times New Roman" w:hAnsi="Times New Roman" w:cs="Times New Roman"/>
                <w:color w:val="000000" w:themeColor="text1"/>
              </w:rPr>
              <w:t>a</w:t>
            </w:r>
            <w:r w:rsidRPr="007B2370">
              <w:rPr>
                <w:rFonts w:ascii="Times New Roman" w:hAnsi="Times New Roman" w:cs="Times New Roman"/>
                <w:color w:val="000000" w:themeColor="text1"/>
              </w:rPr>
              <w:t xml:space="preserve"> ma znaczny stopień przygotowania do realizacji. Do początku lutego 2024 r. w</w:t>
            </w:r>
            <w:r w:rsidRPr="007B2370">
              <w:rPr>
                <w:rFonts w:ascii="Times New Roman" w:hAnsi="Times New Roman" w:cs="Times New Roman"/>
                <w:bCs/>
                <w:color w:val="000000" w:themeColor="text1"/>
              </w:rPr>
              <w:t xml:space="preserve">ykonano: projekt koncepcji przebudowy falochronów wraz z nową ostrogą; projekt robót geologicznych dla trzech obiektów hydrotechnicznych wraz z decyzjami zatwierdzającymi;  zatwierdzono analizę nawigacyjną oraz uzyskano następujące decyzje: </w:t>
            </w:r>
          </w:p>
          <w:p w14:paraId="473F1C05" w14:textId="77777777" w:rsidR="00925D57" w:rsidRPr="007B2370" w:rsidRDefault="00925D57" w:rsidP="00C40440">
            <w:pPr>
              <w:numPr>
                <w:ilvl w:val="0"/>
                <w:numId w:val="9"/>
              </w:numPr>
              <w:spacing w:after="120" w:line="240" w:lineRule="auto"/>
              <w:ind w:left="513"/>
              <w:jc w:val="both"/>
              <w:rPr>
                <w:rFonts w:ascii="Times New Roman" w:hAnsi="Times New Roman" w:cs="Times New Roman"/>
                <w:bCs/>
                <w:color w:val="000000" w:themeColor="text1"/>
              </w:rPr>
            </w:pPr>
            <w:r w:rsidRPr="007B2370">
              <w:rPr>
                <w:rFonts w:ascii="Times New Roman" w:hAnsi="Times New Roman" w:cs="Times New Roman"/>
                <w:bCs/>
                <w:color w:val="000000" w:themeColor="text1"/>
              </w:rPr>
              <w:t xml:space="preserve">decyzję Ministra Infrastruktury na wznoszenie i wykorzystywanie sztucznych wysp, konstrukcji i urządzeń w polskich obszarach morskich dla falochronu wschodniego;  </w:t>
            </w:r>
          </w:p>
          <w:p w14:paraId="5B22D5EA" w14:textId="77777777" w:rsidR="00925D57" w:rsidRPr="007B2370" w:rsidRDefault="00925D57" w:rsidP="00C40440">
            <w:pPr>
              <w:numPr>
                <w:ilvl w:val="0"/>
                <w:numId w:val="9"/>
              </w:numPr>
              <w:spacing w:after="120" w:line="240" w:lineRule="auto"/>
              <w:ind w:left="513"/>
              <w:jc w:val="both"/>
              <w:rPr>
                <w:rFonts w:ascii="Times New Roman" w:hAnsi="Times New Roman" w:cs="Times New Roman"/>
                <w:bCs/>
                <w:color w:val="000000" w:themeColor="text1"/>
              </w:rPr>
            </w:pPr>
            <w:r w:rsidRPr="007B2370">
              <w:rPr>
                <w:rFonts w:ascii="Times New Roman" w:hAnsi="Times New Roman" w:cs="Times New Roman"/>
                <w:bCs/>
                <w:color w:val="000000" w:themeColor="text1"/>
              </w:rPr>
              <w:t xml:space="preserve">decyzję Dyrektora Urzędu Morskiego w Szczecinie na wznoszenie i wykorzystywanie sztucznych wysp, konstrukcji i urządzeń w polskich obszarach morskich dla falochronu zachodniego, </w:t>
            </w:r>
          </w:p>
          <w:p w14:paraId="627553A3" w14:textId="77777777" w:rsidR="00925D57" w:rsidRPr="007B2370" w:rsidRDefault="00925D57" w:rsidP="00C40440">
            <w:pPr>
              <w:numPr>
                <w:ilvl w:val="0"/>
                <w:numId w:val="9"/>
              </w:numPr>
              <w:spacing w:after="120" w:line="240" w:lineRule="auto"/>
              <w:ind w:left="513"/>
              <w:jc w:val="both"/>
              <w:rPr>
                <w:rFonts w:ascii="Times New Roman" w:hAnsi="Times New Roman" w:cs="Times New Roman"/>
                <w:bCs/>
                <w:color w:val="000000" w:themeColor="text1"/>
              </w:rPr>
            </w:pPr>
            <w:r w:rsidRPr="007B2370">
              <w:rPr>
                <w:rFonts w:ascii="Times New Roman" w:hAnsi="Times New Roman" w:cs="Times New Roman"/>
                <w:bCs/>
                <w:color w:val="000000" w:themeColor="text1"/>
              </w:rPr>
              <w:t>wstępny projekt Decyzji o Środowiskowych Uwarunkowaniach Przedsięwzięcia sporządzony przez Regionalną Dyrekcje Ochrony Środowiska w Szczecinie,</w:t>
            </w:r>
          </w:p>
          <w:p w14:paraId="4A16880E" w14:textId="77777777" w:rsidR="00925D57" w:rsidRPr="007B2370" w:rsidRDefault="00925D57" w:rsidP="00C40440">
            <w:pPr>
              <w:numPr>
                <w:ilvl w:val="0"/>
                <w:numId w:val="9"/>
              </w:numPr>
              <w:spacing w:after="120" w:line="240" w:lineRule="auto"/>
              <w:ind w:left="513"/>
              <w:jc w:val="both"/>
              <w:rPr>
                <w:rFonts w:ascii="Times New Roman" w:hAnsi="Times New Roman" w:cs="Times New Roman"/>
                <w:bCs/>
                <w:color w:val="000000" w:themeColor="text1"/>
              </w:rPr>
            </w:pPr>
            <w:r w:rsidRPr="007B2370">
              <w:rPr>
                <w:rFonts w:ascii="Times New Roman" w:hAnsi="Times New Roman" w:cs="Times New Roman"/>
                <w:bCs/>
                <w:color w:val="000000" w:themeColor="text1"/>
              </w:rPr>
              <w:t xml:space="preserve"> decyzję o ustaleniu lokalizacji inwestycji celu publicznego. </w:t>
            </w:r>
          </w:p>
          <w:p w14:paraId="5D6E53E1" w14:textId="77777777" w:rsidR="00925D57" w:rsidRPr="007B2370" w:rsidRDefault="00925D57">
            <w:pPr>
              <w:spacing w:after="120" w:line="240" w:lineRule="auto"/>
              <w:jc w:val="both"/>
              <w:rPr>
                <w:rFonts w:ascii="Times New Roman" w:hAnsi="Times New Roman" w:cs="Times New Roman"/>
                <w:noProof/>
                <w:color w:val="000000" w:themeColor="text1"/>
              </w:rPr>
            </w:pPr>
            <w:r w:rsidRPr="007B2370">
              <w:rPr>
                <w:rFonts w:ascii="Times New Roman" w:hAnsi="Times New Roman" w:cs="Times New Roman"/>
                <w:color w:val="000000" w:themeColor="text1"/>
              </w:rPr>
              <w:t xml:space="preserve">Harmonogram zakłada uzyskanie pozwolenia na budowę w maju 2024 r., zakończenie procedury przetargowej na wybór wykonawcy robót budowlanych w październiku 2024 r., realizację robót budowlanych od listopada 2024 r. do maja 2026 r., uzyskanie decyzji pozwolenie na użytkowanie w czerwcu 2026 r. </w:t>
            </w:r>
            <w:r w:rsidRPr="007B2370">
              <w:rPr>
                <w:rFonts w:ascii="Times New Roman" w:hAnsi="Times New Roman" w:cs="Times New Roman"/>
                <w:noProof/>
                <w:color w:val="000000" w:themeColor="text1"/>
              </w:rPr>
              <w:t>Wskaźnikiem dla tej inwestycji jest uzyskanie decyzji pozwolenie na użytkowanie dla falochronu zachodniego wraz z ostrogą.</w:t>
            </w:r>
          </w:p>
          <w:p w14:paraId="6C94D3EC" w14:textId="77777777" w:rsidR="00925D57" w:rsidRPr="007B2370" w:rsidRDefault="00925D57">
            <w:pPr>
              <w:spacing w:after="120" w:line="240" w:lineRule="auto"/>
              <w:jc w:val="both"/>
              <w:rPr>
                <w:rFonts w:ascii="Times New Roman" w:hAnsi="Times New Roman" w:cs="Times New Roman"/>
                <w:noProof/>
                <w:color w:val="000000" w:themeColor="text1"/>
              </w:rPr>
            </w:pPr>
            <w:r w:rsidRPr="007B2370">
              <w:rPr>
                <w:rFonts w:ascii="Times New Roman" w:hAnsi="Times New Roman" w:cs="Times New Roman"/>
                <w:noProof/>
                <w:color w:val="000000" w:themeColor="text1"/>
              </w:rPr>
              <w:t xml:space="preserve">Wsparcie rozwoju morskiej energetyki wiatrowej (MEW), wymaga  stworzenia odpowiedniego zaplecza portowego offshore, zarówno w zakresie zapewniającym możliwości instalacji komponentów wież wiatrowych, jak i serwisowania MEW w trakcie eksploatacji. Krajowy Plan Odbudowy w przypadku dostępności  środków  uwzględnia możliwość uruchomienia </w:t>
            </w:r>
            <w:r w:rsidRPr="007B2370">
              <w:rPr>
                <w:rFonts w:ascii="Times New Roman" w:hAnsi="Times New Roman" w:cs="Times New Roman"/>
                <w:noProof/>
                <w:color w:val="000000" w:themeColor="text1"/>
              </w:rPr>
              <w:lastRenderedPageBreak/>
              <w:t>kolejnych inwestycji w infrastrukturę dedykowaną na potrzeby obsługi offshore wind poza już wskazanymi lokalizacjami.</w:t>
            </w:r>
          </w:p>
          <w:p w14:paraId="2493083C" w14:textId="77777777" w:rsidR="00925D57" w:rsidRPr="007B2370" w:rsidRDefault="00925D57">
            <w:pPr>
              <w:spacing w:after="120" w:line="240" w:lineRule="auto"/>
              <w:jc w:val="both"/>
              <w:rPr>
                <w:rFonts w:ascii="Times New Roman" w:hAnsi="Times New Roman" w:cs="Times New Roman"/>
                <w:color w:val="000000" w:themeColor="text1"/>
              </w:rPr>
            </w:pPr>
            <w:r w:rsidRPr="007B2370">
              <w:rPr>
                <w:rFonts w:ascii="Times New Roman" w:hAnsi="Times New Roman" w:cs="Times New Roman"/>
                <w:noProof/>
                <w:color w:val="000000" w:themeColor="text1"/>
              </w:rPr>
              <w:t xml:space="preserve">Aktualna alokacja na inwestycje </w:t>
            </w:r>
            <w:r w:rsidRPr="007B2370">
              <w:rPr>
                <w:rFonts w:ascii="Times New Roman" w:hAnsi="Times New Roman" w:cs="Times New Roman"/>
                <w:color w:val="000000" w:themeColor="text1"/>
              </w:rPr>
              <w:t xml:space="preserve">B.2.2.3 Budowa infrastruktury terminalowej </w:t>
            </w:r>
            <w:proofErr w:type="spellStart"/>
            <w:r w:rsidRPr="007B2370">
              <w:rPr>
                <w:rFonts w:ascii="Times New Roman" w:hAnsi="Times New Roman" w:cs="Times New Roman"/>
                <w:color w:val="000000" w:themeColor="text1"/>
              </w:rPr>
              <w:t>offshore</w:t>
            </w:r>
            <w:proofErr w:type="spellEnd"/>
            <w:r w:rsidRPr="007B2370">
              <w:rPr>
                <w:rFonts w:ascii="Times New Roman" w:hAnsi="Times New Roman" w:cs="Times New Roman"/>
                <w:color w:val="000000" w:themeColor="text1"/>
              </w:rPr>
              <w:t xml:space="preserve"> w wysokości 366 mln EUR, z uwagi na występowanie pomocy publicznej w przypadku B37G Budowa terminalu instalacyjnego </w:t>
            </w:r>
            <w:proofErr w:type="spellStart"/>
            <w:r w:rsidRPr="007B2370">
              <w:rPr>
                <w:rFonts w:ascii="Times New Roman" w:hAnsi="Times New Roman" w:cs="Times New Roman"/>
                <w:color w:val="000000" w:themeColor="text1"/>
              </w:rPr>
              <w:t>offshore</w:t>
            </w:r>
            <w:proofErr w:type="spellEnd"/>
            <w:r w:rsidRPr="007B2370">
              <w:rPr>
                <w:rFonts w:ascii="Times New Roman" w:hAnsi="Times New Roman" w:cs="Times New Roman"/>
                <w:color w:val="000000" w:themeColor="text1"/>
              </w:rPr>
              <w:t xml:space="preserve">, uwzględnia rezerwę wynikającą z różnicy między kosztami całkowitymi zaakceptowanymi przez KE, a poziomem pomocy publicznej, jaka może być udzielona dla tej inwestycji. Pomoc publiczna może być udzielona jedynie do poziomu luki w finansowaniu. </w:t>
            </w:r>
          </w:p>
          <w:p w14:paraId="131F3F34" w14:textId="34C9E99F" w:rsidR="00925D57" w:rsidRPr="00C40440" w:rsidRDefault="00925D57" w:rsidP="00C40440">
            <w:pPr>
              <w:spacing w:after="120" w:line="240" w:lineRule="auto"/>
              <w:jc w:val="both"/>
              <w:rPr>
                <w:rFonts w:ascii="Times New Roman" w:hAnsi="Times New Roman" w:cs="Times New Roman"/>
                <w:color w:val="000000" w:themeColor="text1"/>
              </w:rPr>
            </w:pPr>
            <w:r w:rsidRPr="007B2370">
              <w:rPr>
                <w:rFonts w:ascii="Times New Roman" w:hAnsi="Times New Roman" w:cs="Times New Roman"/>
                <w:color w:val="000000" w:themeColor="text1"/>
              </w:rPr>
              <w:t>Koszty przebudowy falochronu zachodniego wraz z ostrogą, szacowane na kwotę około 200.723.000,00 zł brutto. Vat zostanie rozliczony zgodnie z procedurą dla państwowych jednostek budżetowych realizujących ten projekt.</w:t>
            </w:r>
          </w:p>
        </w:tc>
      </w:tr>
      <w:tr w:rsidR="00925D57" w:rsidRPr="00A26E88" w14:paraId="4C333629" w14:textId="77777777" w:rsidTr="003B4E6E">
        <w:tc>
          <w:tcPr>
            <w:tcW w:w="1082" w:type="pct"/>
          </w:tcPr>
          <w:p w14:paraId="160C39A1" w14:textId="77777777" w:rsidR="00925D57" w:rsidRPr="00C40440" w:rsidRDefault="00925D57">
            <w:pPr>
              <w:spacing w:after="120" w:line="240" w:lineRule="auto"/>
              <w:rPr>
                <w:rFonts w:ascii="Times New Roman" w:hAnsi="Times New Roman" w:cs="Times New Roman"/>
              </w:rPr>
            </w:pPr>
            <w:bookmarkStart w:id="6" w:name="_Hlk158795735"/>
          </w:p>
        </w:tc>
        <w:tc>
          <w:tcPr>
            <w:tcW w:w="3918" w:type="pct"/>
            <w:gridSpan w:val="2"/>
            <w:vMerge/>
          </w:tcPr>
          <w:p w14:paraId="6E0B8D28" w14:textId="77777777" w:rsidR="00925D57" w:rsidRPr="00C40440" w:rsidRDefault="0092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pl-PL"/>
              </w:rPr>
            </w:pPr>
          </w:p>
        </w:tc>
      </w:tr>
      <w:bookmarkEnd w:id="6"/>
      <w:tr w:rsidR="00925D57" w:rsidRPr="007B2370" w14:paraId="76E0FC2C" w14:textId="77777777" w:rsidTr="003B4E6E">
        <w:tc>
          <w:tcPr>
            <w:tcW w:w="1082" w:type="pct"/>
          </w:tcPr>
          <w:p w14:paraId="63B19BD5" w14:textId="77777777" w:rsidR="00925D57" w:rsidRPr="007B2370" w:rsidRDefault="00925D57" w:rsidP="00925D57">
            <w:pPr>
              <w:spacing w:after="120" w:line="240" w:lineRule="auto"/>
              <w:rPr>
                <w:rFonts w:ascii="Times New Roman" w:hAnsi="Times New Roman" w:cs="Times New Roman"/>
              </w:rPr>
            </w:pPr>
            <w:r w:rsidRPr="007B2370">
              <w:rPr>
                <w:rFonts w:ascii="Times New Roman" w:hAnsi="Times New Roman" w:cs="Times New Roman"/>
              </w:rPr>
              <w:lastRenderedPageBreak/>
              <w:t>Szacowany koszt inwestycji B.2.2.3.</w:t>
            </w:r>
          </w:p>
        </w:tc>
        <w:tc>
          <w:tcPr>
            <w:tcW w:w="3918" w:type="pct"/>
            <w:gridSpan w:val="2"/>
          </w:tcPr>
          <w:p w14:paraId="7AB8CD48" w14:textId="77777777" w:rsidR="00925D57" w:rsidRDefault="00925D57" w:rsidP="00925D57">
            <w:pPr>
              <w:spacing w:after="0" w:line="240" w:lineRule="auto"/>
              <w:rPr>
                <w:rFonts w:ascii="Times New Roman" w:hAnsi="Times New Roman" w:cs="Times New Roman"/>
                <w:color w:val="000000" w:themeColor="text1"/>
              </w:rPr>
            </w:pPr>
            <w:r w:rsidRPr="006B6278">
              <w:rPr>
                <w:rFonts w:ascii="Times New Roman" w:hAnsi="Times New Roman" w:cs="Times New Roman"/>
              </w:rPr>
              <w:t>Zmiana nie ma wpływu na szacowany koszt</w:t>
            </w:r>
          </w:p>
          <w:p w14:paraId="405ACFC1" w14:textId="4F7FB146" w:rsidR="00925D57" w:rsidRPr="007B2370" w:rsidRDefault="00925D57" w:rsidP="00925D57">
            <w:pPr>
              <w:spacing w:after="0" w:line="240" w:lineRule="auto"/>
              <w:rPr>
                <w:rFonts w:ascii="Times New Roman" w:hAnsi="Times New Roman" w:cs="Times New Roman"/>
                <w:color w:val="000000" w:themeColor="text1"/>
              </w:rPr>
            </w:pPr>
            <w:r w:rsidRPr="007B2370">
              <w:rPr>
                <w:rFonts w:ascii="Times New Roman" w:hAnsi="Times New Roman" w:cs="Times New Roman"/>
                <w:color w:val="000000" w:themeColor="text1"/>
              </w:rPr>
              <w:t xml:space="preserve"> </w:t>
            </w:r>
          </w:p>
        </w:tc>
      </w:tr>
      <w:tr w:rsidR="00925D57" w:rsidRPr="00925D57" w14:paraId="35F450A9" w14:textId="77777777" w:rsidTr="003B4E6E">
        <w:tc>
          <w:tcPr>
            <w:tcW w:w="1082" w:type="pct"/>
          </w:tcPr>
          <w:p w14:paraId="303714C1" w14:textId="77777777" w:rsidR="00925D57" w:rsidRPr="007B2370" w:rsidRDefault="00925D57" w:rsidP="00925D57">
            <w:pPr>
              <w:spacing w:after="120" w:line="240" w:lineRule="auto"/>
              <w:rPr>
                <w:rFonts w:ascii="Times New Roman" w:hAnsi="Times New Roman" w:cs="Times New Roman"/>
              </w:rPr>
            </w:pPr>
            <w:r w:rsidRPr="007B2370">
              <w:rPr>
                <w:rFonts w:ascii="Times New Roman" w:hAnsi="Times New Roman" w:cs="Times New Roman"/>
              </w:rPr>
              <w:t xml:space="preserve">Cyfrowy </w:t>
            </w:r>
            <w:r w:rsidRPr="007B2370">
              <w:rPr>
                <w:rFonts w:ascii="Times New Roman" w:hAnsi="Times New Roman" w:cs="Times New Roman"/>
              </w:rPr>
              <w:br/>
              <w:t xml:space="preserve">i klimatyczny </w:t>
            </w:r>
            <w:proofErr w:type="spellStart"/>
            <w:r w:rsidRPr="007B2370">
              <w:rPr>
                <w:rFonts w:ascii="Times New Roman" w:hAnsi="Times New Roman" w:cs="Times New Roman"/>
              </w:rPr>
              <w:t>tagging</w:t>
            </w:r>
            <w:proofErr w:type="spellEnd"/>
            <w:r w:rsidRPr="007B2370">
              <w:rPr>
                <w:rFonts w:ascii="Times New Roman" w:hAnsi="Times New Roman" w:cs="Times New Roman"/>
              </w:rPr>
              <w:t xml:space="preserve"> </w:t>
            </w:r>
          </w:p>
        </w:tc>
        <w:tc>
          <w:tcPr>
            <w:tcW w:w="3918" w:type="pct"/>
            <w:gridSpan w:val="2"/>
          </w:tcPr>
          <w:p w14:paraId="6B190DA1" w14:textId="77777777" w:rsidR="00925D57" w:rsidRPr="007B2370" w:rsidRDefault="00925D57" w:rsidP="00925D57">
            <w:pPr>
              <w:spacing w:after="120" w:line="240" w:lineRule="auto"/>
              <w:rPr>
                <w:rFonts w:ascii="Times New Roman" w:hAnsi="Times New Roman" w:cs="Times New Roman"/>
              </w:rPr>
            </w:pPr>
            <w:r>
              <w:rPr>
                <w:rFonts w:ascii="Times New Roman" w:hAnsi="Times New Roman" w:cs="Times New Roman"/>
              </w:rPr>
              <w:t>Z</w:t>
            </w:r>
            <w:r w:rsidRPr="007B2370">
              <w:rPr>
                <w:rFonts w:ascii="Times New Roman" w:hAnsi="Times New Roman" w:cs="Times New Roman"/>
              </w:rPr>
              <w:t xml:space="preserve">miana nie </w:t>
            </w:r>
            <w:r>
              <w:rPr>
                <w:rFonts w:ascii="Times New Roman" w:hAnsi="Times New Roman" w:cs="Times New Roman"/>
              </w:rPr>
              <w:t>ma wpływu</w:t>
            </w:r>
            <w:r w:rsidRPr="007B2370">
              <w:rPr>
                <w:rFonts w:ascii="Times New Roman" w:hAnsi="Times New Roman" w:cs="Times New Roman"/>
              </w:rPr>
              <w:t xml:space="preserve"> na </w:t>
            </w:r>
            <w:proofErr w:type="spellStart"/>
            <w:r w:rsidRPr="007B2370">
              <w:rPr>
                <w:rFonts w:ascii="Times New Roman" w:hAnsi="Times New Roman" w:cs="Times New Roman"/>
              </w:rPr>
              <w:t>tagging</w:t>
            </w:r>
            <w:proofErr w:type="spellEnd"/>
            <w:r>
              <w:rPr>
                <w:rFonts w:ascii="Times New Roman" w:hAnsi="Times New Roman" w:cs="Times New Roman"/>
              </w:rPr>
              <w:t xml:space="preserve"> klimatyczny i cyfrowy</w:t>
            </w:r>
          </w:p>
          <w:p w14:paraId="1A0110F5" w14:textId="0A72A463" w:rsidR="00925D57" w:rsidRPr="00C40440" w:rsidRDefault="00925D57" w:rsidP="0092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pl-PL"/>
              </w:rPr>
            </w:pPr>
          </w:p>
        </w:tc>
      </w:tr>
      <w:tr w:rsidR="00925D57" w:rsidRPr="00925D57" w14:paraId="2F1B6F36" w14:textId="77777777" w:rsidTr="003B4E6E">
        <w:tc>
          <w:tcPr>
            <w:tcW w:w="1082" w:type="pct"/>
            <w:tcBorders>
              <w:bottom w:val="single" w:sz="4" w:space="0" w:color="auto"/>
            </w:tcBorders>
          </w:tcPr>
          <w:p w14:paraId="78C72C12" w14:textId="77777777" w:rsidR="00925D57" w:rsidRPr="007B2370" w:rsidRDefault="00925D57" w:rsidP="00925D57">
            <w:pPr>
              <w:spacing w:after="120" w:line="240" w:lineRule="auto"/>
              <w:rPr>
                <w:rFonts w:ascii="Times New Roman" w:hAnsi="Times New Roman" w:cs="Times New Roman"/>
              </w:rPr>
            </w:pPr>
            <w:r w:rsidRPr="007B2370">
              <w:rPr>
                <w:rFonts w:ascii="Times New Roman" w:hAnsi="Times New Roman" w:cs="Times New Roman"/>
              </w:rPr>
              <w:t xml:space="preserve">Zasada DNSH </w:t>
            </w:r>
          </w:p>
        </w:tc>
        <w:tc>
          <w:tcPr>
            <w:tcW w:w="3918" w:type="pct"/>
            <w:gridSpan w:val="2"/>
            <w:tcBorders>
              <w:bottom w:val="single" w:sz="4" w:space="0" w:color="auto"/>
            </w:tcBorders>
          </w:tcPr>
          <w:p w14:paraId="79403418" w14:textId="236ED9AB" w:rsidR="00925D57" w:rsidRPr="00C40440" w:rsidRDefault="00925D57" w:rsidP="0092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Z</w:t>
            </w:r>
            <w:r w:rsidRPr="007B2370">
              <w:rPr>
                <w:rFonts w:ascii="Times New Roman" w:hAnsi="Times New Roman" w:cs="Times New Roman"/>
              </w:rPr>
              <w:t>miana nie</w:t>
            </w:r>
            <w:r>
              <w:rPr>
                <w:rFonts w:ascii="Times New Roman" w:hAnsi="Times New Roman" w:cs="Times New Roman"/>
              </w:rPr>
              <w:t xml:space="preserve"> ma</w:t>
            </w:r>
            <w:r w:rsidRPr="007B2370">
              <w:rPr>
                <w:rFonts w:ascii="Times New Roman" w:hAnsi="Times New Roman" w:cs="Times New Roman"/>
              </w:rPr>
              <w:t xml:space="preserve"> wpływ</w:t>
            </w:r>
            <w:r>
              <w:rPr>
                <w:rFonts w:ascii="Times New Roman" w:hAnsi="Times New Roman" w:cs="Times New Roman"/>
              </w:rPr>
              <w:t xml:space="preserve">u </w:t>
            </w:r>
            <w:r w:rsidRPr="007B2370">
              <w:rPr>
                <w:rFonts w:ascii="Times New Roman" w:hAnsi="Times New Roman" w:cs="Times New Roman"/>
              </w:rPr>
              <w:t>na DNSH</w:t>
            </w:r>
          </w:p>
        </w:tc>
      </w:tr>
      <w:tr w:rsidR="00925D57" w:rsidRPr="00925D57" w14:paraId="15C89F08" w14:textId="77777777" w:rsidTr="003B4E6E">
        <w:trPr>
          <w:trHeight w:val="283"/>
        </w:trPr>
        <w:tc>
          <w:tcPr>
            <w:tcW w:w="1082" w:type="pct"/>
            <w:tcBorders>
              <w:bottom w:val="single" w:sz="4" w:space="0" w:color="auto"/>
            </w:tcBorders>
          </w:tcPr>
          <w:p w14:paraId="4A863313" w14:textId="77777777" w:rsidR="00925D57" w:rsidRPr="007B2370" w:rsidRDefault="00925D57" w:rsidP="00925D57">
            <w:pPr>
              <w:spacing w:after="120" w:line="240" w:lineRule="auto"/>
              <w:rPr>
                <w:rFonts w:ascii="Times New Roman" w:hAnsi="Times New Roman" w:cs="Times New Roman"/>
              </w:rPr>
            </w:pPr>
            <w:r w:rsidRPr="007B2370">
              <w:rPr>
                <w:rFonts w:ascii="Times New Roman" w:hAnsi="Times New Roman" w:cs="Times New Roman"/>
              </w:rPr>
              <w:t xml:space="preserve">Pomoc publiczna </w:t>
            </w:r>
          </w:p>
        </w:tc>
        <w:tc>
          <w:tcPr>
            <w:tcW w:w="3918" w:type="pct"/>
            <w:gridSpan w:val="2"/>
            <w:tcBorders>
              <w:bottom w:val="single" w:sz="4" w:space="0" w:color="auto"/>
            </w:tcBorders>
          </w:tcPr>
          <w:p w14:paraId="73C10E74" w14:textId="77777777" w:rsidR="00925D57" w:rsidRPr="007B2370" w:rsidRDefault="00925D57" w:rsidP="00925D57">
            <w:pPr>
              <w:spacing w:after="0" w:line="240" w:lineRule="auto"/>
              <w:rPr>
                <w:rFonts w:ascii="Times New Roman" w:hAnsi="Times New Roman" w:cs="Times New Roman"/>
              </w:rPr>
            </w:pPr>
            <w:r w:rsidRPr="007B2370">
              <w:rPr>
                <w:rFonts w:ascii="Times New Roman" w:hAnsi="Times New Roman" w:cs="Times New Roman"/>
              </w:rPr>
              <w:t>Gdańsk: Proponowana zmiana nie wpływa na kwestie dotyczące pomocy publicznej</w:t>
            </w:r>
          </w:p>
          <w:p w14:paraId="3CDA179C" w14:textId="50546922" w:rsidR="00925D57" w:rsidRPr="00C40440" w:rsidRDefault="00925D57" w:rsidP="00925D57">
            <w:pPr>
              <w:rPr>
                <w:rFonts w:ascii="Times New Roman" w:hAnsi="Times New Roman" w:cs="Times New Roman"/>
              </w:rPr>
            </w:pPr>
            <w:r w:rsidRPr="007B2370">
              <w:rPr>
                <w:rFonts w:ascii="Times New Roman" w:hAnsi="Times New Roman" w:cs="Times New Roman"/>
              </w:rPr>
              <w:t>Darłowo: Nie zidentyfikowano ryzyka wystąpienia pomocy publicznej</w:t>
            </w:r>
          </w:p>
        </w:tc>
      </w:tr>
    </w:tbl>
    <w:p w14:paraId="258BF28E" w14:textId="77777777" w:rsidR="00B83234" w:rsidRPr="00925D57" w:rsidRDefault="00B83234" w:rsidP="00111178">
      <w:pPr>
        <w:shd w:val="clear" w:color="auto" w:fill="FFFFFF" w:themeFill="background1"/>
        <w:autoSpaceDE w:val="0"/>
        <w:autoSpaceDN w:val="0"/>
        <w:adjustRightInd w:val="0"/>
        <w:spacing w:after="120" w:line="240" w:lineRule="auto"/>
        <w:rPr>
          <w:rFonts w:ascii="Times New Roman" w:hAnsi="Times New Roman" w:cs="Times New Roman"/>
          <w:b/>
          <w:bCs/>
          <w:sz w:val="26"/>
          <w:szCs w:val="26"/>
        </w:rPr>
      </w:pPr>
    </w:p>
    <w:p w14:paraId="3FAEC156" w14:textId="1F751DF5" w:rsidR="007B2370" w:rsidRPr="00C40440" w:rsidRDefault="007B2370" w:rsidP="00596ECC"/>
    <w:p w14:paraId="5D21FEFF" w14:textId="77777777" w:rsidR="00914858" w:rsidRPr="00C40440" w:rsidRDefault="00914858" w:rsidP="00914858">
      <w:pPr>
        <w:rPr>
          <w:rFonts w:ascii="Times New Roman" w:hAnsi="Times New Roman" w:cs="Times New Roman"/>
          <w:b/>
          <w:bCs/>
          <w:sz w:val="26"/>
          <w:szCs w:val="26"/>
        </w:rPr>
      </w:pPr>
      <w:r w:rsidRPr="00C40440">
        <w:rPr>
          <w:rFonts w:ascii="Times New Roman" w:hAnsi="Times New Roman" w:cs="Times New Roman"/>
          <w:b/>
          <w:bCs/>
          <w:sz w:val="26"/>
          <w:szCs w:val="26"/>
        </w:rPr>
        <w:t>Komponent D Efektywność, dostępność i jakość systemu ochrony zdrowia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5"/>
        <w:gridCol w:w="3398"/>
        <w:gridCol w:w="3599"/>
      </w:tblGrid>
      <w:tr w:rsidR="00175581" w:rsidRPr="003B572A" w14:paraId="660031B1" w14:textId="77777777" w:rsidTr="003B4E6E">
        <w:tc>
          <w:tcPr>
            <w:tcW w:w="1139" w:type="pct"/>
            <w:shd w:val="clear" w:color="auto" w:fill="auto"/>
          </w:tcPr>
          <w:p w14:paraId="5A3C7444" w14:textId="77777777" w:rsidR="00175581" w:rsidRPr="000540E5" w:rsidRDefault="00175581" w:rsidP="003B4E6E">
            <w:pPr>
              <w:spacing w:before="60" w:after="60" w:line="252" w:lineRule="auto"/>
              <w:rPr>
                <w:rFonts w:ascii="Times New Roman" w:hAnsi="Times New Roman" w:cs="Times New Roman"/>
                <w:b/>
                <w:bCs/>
              </w:rPr>
            </w:pPr>
            <w:r w:rsidRPr="000540E5">
              <w:rPr>
                <w:rFonts w:ascii="Times New Roman" w:hAnsi="Times New Roman" w:cs="Times New Roman"/>
                <w:b/>
                <w:bCs/>
              </w:rPr>
              <w:t>Numer inwestycji</w:t>
            </w:r>
          </w:p>
        </w:tc>
        <w:tc>
          <w:tcPr>
            <w:tcW w:w="3861" w:type="pct"/>
            <w:gridSpan w:val="2"/>
            <w:shd w:val="clear" w:color="auto" w:fill="auto"/>
          </w:tcPr>
          <w:p w14:paraId="5C45349C" w14:textId="77777777" w:rsidR="00175581" w:rsidRPr="00C40440" w:rsidRDefault="00175581" w:rsidP="00C40440">
            <w:pPr>
              <w:pStyle w:val="Akapitzlist"/>
              <w:spacing w:before="60" w:after="60" w:line="252" w:lineRule="auto"/>
              <w:ind w:left="0"/>
              <w:rPr>
                <w:b/>
                <w:bCs/>
                <w:sz w:val="22"/>
                <w:szCs w:val="22"/>
              </w:rPr>
            </w:pPr>
            <w:r w:rsidRPr="00C40440">
              <w:rPr>
                <w:b/>
                <w:bCs/>
                <w:sz w:val="22"/>
                <w:szCs w:val="22"/>
              </w:rPr>
              <w:t>D1.1.1</w:t>
            </w:r>
          </w:p>
        </w:tc>
      </w:tr>
      <w:tr w:rsidR="00175581" w:rsidRPr="0020386D" w14:paraId="6D6B4B1C" w14:textId="77777777" w:rsidTr="003B4E6E">
        <w:tc>
          <w:tcPr>
            <w:tcW w:w="1139" w:type="pct"/>
            <w:shd w:val="clear" w:color="auto" w:fill="auto"/>
          </w:tcPr>
          <w:p w14:paraId="307F3828" w14:textId="786D7B09" w:rsidR="00175581" w:rsidRPr="000540E5" w:rsidRDefault="00A218D2" w:rsidP="00C40440">
            <w:pPr>
              <w:pStyle w:val="Akapitzlist"/>
              <w:spacing w:before="60" w:after="60" w:line="252" w:lineRule="auto"/>
              <w:ind w:left="67" w:hanging="67"/>
              <w:rPr>
                <w:b/>
                <w:bCs/>
                <w:sz w:val="22"/>
                <w:szCs w:val="22"/>
              </w:rPr>
            </w:pPr>
            <w:r w:rsidRPr="000540E5">
              <w:rPr>
                <w:b/>
                <w:bCs/>
                <w:sz w:val="22"/>
                <w:szCs w:val="22"/>
              </w:rPr>
              <w:t xml:space="preserve">Nazwa inwestycji </w:t>
            </w:r>
          </w:p>
        </w:tc>
        <w:tc>
          <w:tcPr>
            <w:tcW w:w="3861" w:type="pct"/>
            <w:gridSpan w:val="2"/>
            <w:shd w:val="clear" w:color="auto" w:fill="auto"/>
          </w:tcPr>
          <w:p w14:paraId="024D6012" w14:textId="19DBF2E0" w:rsidR="00175581" w:rsidRPr="00C40440" w:rsidRDefault="00175581" w:rsidP="00C40440">
            <w:pPr>
              <w:pStyle w:val="Akapitzlist"/>
              <w:spacing w:before="60" w:after="60" w:line="252" w:lineRule="auto"/>
              <w:ind w:left="0"/>
              <w:rPr>
                <w:b/>
                <w:bCs/>
                <w:sz w:val="22"/>
                <w:szCs w:val="22"/>
              </w:rPr>
            </w:pPr>
            <w:r w:rsidRPr="00C40440">
              <w:rPr>
                <w:b/>
                <w:bCs/>
                <w:sz w:val="22"/>
                <w:szCs w:val="22"/>
              </w:rPr>
              <w:t>Rozwój i modernizacja infrastruktury centrów opieki wysokospecjalistycznej i innych podmiotów leczniczych</w:t>
            </w:r>
          </w:p>
        </w:tc>
      </w:tr>
      <w:tr w:rsidR="00175581" w:rsidRPr="00D3504C" w14:paraId="254D05CD" w14:textId="77777777" w:rsidTr="00C40440">
        <w:trPr>
          <w:trHeight w:val="708"/>
        </w:trPr>
        <w:tc>
          <w:tcPr>
            <w:tcW w:w="1139" w:type="pct"/>
            <w:shd w:val="clear" w:color="auto" w:fill="auto"/>
          </w:tcPr>
          <w:p w14:paraId="482D5055" w14:textId="77777777" w:rsidR="00175581" w:rsidRPr="000540E5" w:rsidRDefault="00175581" w:rsidP="003B4E6E">
            <w:pPr>
              <w:pStyle w:val="Akapitzlist"/>
              <w:spacing w:before="60" w:after="60" w:line="252" w:lineRule="auto"/>
              <w:ind w:left="67"/>
              <w:rPr>
                <w:sz w:val="22"/>
                <w:szCs w:val="22"/>
              </w:rPr>
            </w:pPr>
            <w:r w:rsidRPr="000540E5">
              <w:rPr>
                <w:sz w:val="22"/>
                <w:szCs w:val="22"/>
              </w:rPr>
              <w:t>Rodzaj wprowadzonej zmiany w odniesieniu do CID</w:t>
            </w:r>
          </w:p>
        </w:tc>
        <w:tc>
          <w:tcPr>
            <w:tcW w:w="3861" w:type="pct"/>
            <w:gridSpan w:val="2"/>
            <w:shd w:val="clear" w:color="auto" w:fill="auto"/>
          </w:tcPr>
          <w:p w14:paraId="0D6FB1A9" w14:textId="77777777" w:rsidR="00175581" w:rsidRPr="00C40440" w:rsidRDefault="00175581" w:rsidP="00C40440">
            <w:pPr>
              <w:pStyle w:val="Akapitzlist"/>
              <w:numPr>
                <w:ilvl w:val="0"/>
                <w:numId w:val="27"/>
              </w:numPr>
              <w:spacing w:before="60" w:after="60" w:line="252" w:lineRule="auto"/>
              <w:ind w:left="0"/>
              <w:rPr>
                <w:sz w:val="22"/>
                <w:szCs w:val="22"/>
              </w:rPr>
            </w:pPr>
            <w:r w:rsidRPr="00C40440">
              <w:rPr>
                <w:sz w:val="22"/>
                <w:szCs w:val="22"/>
              </w:rPr>
              <w:t xml:space="preserve">D9G: Zmiana nazwy i harmonogramu zakończenia i opisu </w:t>
            </w:r>
          </w:p>
          <w:p w14:paraId="10FF5FA3" w14:textId="77777777" w:rsidR="00175581" w:rsidRPr="00C40440" w:rsidRDefault="00175581" w:rsidP="00C40440">
            <w:pPr>
              <w:pStyle w:val="Akapitzlist"/>
              <w:numPr>
                <w:ilvl w:val="0"/>
                <w:numId w:val="27"/>
              </w:numPr>
              <w:spacing w:before="60" w:after="60" w:line="252" w:lineRule="auto"/>
              <w:ind w:left="0"/>
              <w:rPr>
                <w:sz w:val="22"/>
                <w:szCs w:val="22"/>
              </w:rPr>
            </w:pPr>
            <w:r w:rsidRPr="00C40440">
              <w:rPr>
                <w:sz w:val="22"/>
                <w:szCs w:val="22"/>
              </w:rPr>
              <w:t>D10G: Zmiana harmonogramu zakończenia i opisu</w:t>
            </w:r>
          </w:p>
          <w:p w14:paraId="3004AF61" w14:textId="77777777" w:rsidR="00175581" w:rsidRPr="00C40440" w:rsidRDefault="00175581" w:rsidP="00C40440">
            <w:pPr>
              <w:pStyle w:val="Akapitzlist"/>
              <w:numPr>
                <w:ilvl w:val="0"/>
                <w:numId w:val="27"/>
              </w:numPr>
              <w:spacing w:before="60" w:after="60" w:line="252" w:lineRule="auto"/>
              <w:ind w:left="0"/>
              <w:rPr>
                <w:sz w:val="22"/>
                <w:szCs w:val="22"/>
              </w:rPr>
            </w:pPr>
            <w:r w:rsidRPr="00C40440">
              <w:rPr>
                <w:sz w:val="22"/>
                <w:szCs w:val="22"/>
              </w:rPr>
              <w:t>D11G W1: Zmiana terminu realizacji</w:t>
            </w:r>
          </w:p>
          <w:p w14:paraId="3EC8FACC" w14:textId="77777777" w:rsidR="00175581" w:rsidRPr="00C40440" w:rsidRDefault="00175581" w:rsidP="00C40440">
            <w:pPr>
              <w:pStyle w:val="Akapitzlist"/>
              <w:numPr>
                <w:ilvl w:val="0"/>
                <w:numId w:val="27"/>
              </w:numPr>
              <w:spacing w:before="60" w:after="60" w:line="252" w:lineRule="auto"/>
              <w:ind w:left="0"/>
              <w:rPr>
                <w:sz w:val="22"/>
                <w:szCs w:val="22"/>
              </w:rPr>
            </w:pPr>
            <w:r w:rsidRPr="00C40440">
              <w:rPr>
                <w:sz w:val="22"/>
                <w:szCs w:val="22"/>
              </w:rPr>
              <w:t>D12G W2: Zmiana terminu realizacji</w:t>
            </w:r>
          </w:p>
          <w:p w14:paraId="3F4A46CA" w14:textId="77777777" w:rsidR="00175581" w:rsidRPr="00C40440" w:rsidRDefault="00175581" w:rsidP="00C40440">
            <w:pPr>
              <w:pStyle w:val="Akapitzlist"/>
              <w:numPr>
                <w:ilvl w:val="0"/>
                <w:numId w:val="27"/>
              </w:numPr>
              <w:spacing w:before="60" w:after="60" w:line="252" w:lineRule="auto"/>
              <w:ind w:left="0"/>
              <w:rPr>
                <w:sz w:val="22"/>
                <w:szCs w:val="22"/>
              </w:rPr>
            </w:pPr>
            <w:r w:rsidRPr="00C40440">
              <w:rPr>
                <w:sz w:val="22"/>
                <w:szCs w:val="22"/>
              </w:rPr>
              <w:t>D13G: Zmiana nazwy, zmiana wskaźnika ilościowego, zmiana opisu kamienia milowego</w:t>
            </w:r>
          </w:p>
          <w:p w14:paraId="1F8A95B1" w14:textId="77777777" w:rsidR="00175581" w:rsidRPr="00C40440" w:rsidRDefault="00175581" w:rsidP="00C40440">
            <w:pPr>
              <w:pStyle w:val="Akapitzlist"/>
              <w:numPr>
                <w:ilvl w:val="0"/>
                <w:numId w:val="27"/>
              </w:numPr>
              <w:spacing w:before="60" w:after="60" w:line="252" w:lineRule="auto"/>
              <w:ind w:left="0"/>
              <w:rPr>
                <w:sz w:val="22"/>
                <w:szCs w:val="22"/>
              </w:rPr>
            </w:pPr>
            <w:r w:rsidRPr="00C40440">
              <w:rPr>
                <w:sz w:val="22"/>
                <w:szCs w:val="22"/>
              </w:rPr>
              <w:t>D14G: Połączenie z D13G</w:t>
            </w:r>
          </w:p>
          <w:p w14:paraId="59DA4319" w14:textId="33B4E1B5" w:rsidR="00175581" w:rsidRPr="00C40440" w:rsidRDefault="00175581" w:rsidP="00C40440">
            <w:pPr>
              <w:pStyle w:val="Akapitzlist"/>
              <w:numPr>
                <w:ilvl w:val="0"/>
                <w:numId w:val="27"/>
              </w:numPr>
              <w:spacing w:before="60" w:after="60" w:line="252" w:lineRule="auto"/>
              <w:ind w:left="0"/>
              <w:rPr>
                <w:sz w:val="22"/>
                <w:szCs w:val="22"/>
              </w:rPr>
            </w:pPr>
            <w:r w:rsidRPr="00C40440">
              <w:rPr>
                <w:sz w:val="22"/>
                <w:szCs w:val="22"/>
              </w:rPr>
              <w:t>D3L, D4L:</w:t>
            </w:r>
            <w:r w:rsidRPr="00C40440">
              <w:rPr>
                <w:b/>
                <w:bCs/>
                <w:sz w:val="22"/>
                <w:szCs w:val="22"/>
              </w:rPr>
              <w:t xml:space="preserve"> </w:t>
            </w:r>
            <w:r w:rsidRPr="00C40440">
              <w:rPr>
                <w:sz w:val="22"/>
                <w:szCs w:val="22"/>
              </w:rPr>
              <w:t xml:space="preserve">Zmiana terminu realizacji; przeniesienie obecnej  inwestycji </w:t>
            </w:r>
            <w:r w:rsidRPr="000540E5">
              <w:rPr>
                <w:rFonts w:eastAsiaTheme="minorHAnsi"/>
                <w:i/>
                <w:iCs/>
                <w:sz w:val="22"/>
                <w:szCs w:val="22"/>
              </w:rPr>
              <w:t>D1.2.1 Rozwój opieki długoterminowej poprzez modernizację infrastruktury podmiotów leczniczych na poziomie powiatowym</w:t>
            </w:r>
            <w:r w:rsidRPr="00C40440">
              <w:rPr>
                <w:sz w:val="22"/>
                <w:szCs w:val="22"/>
              </w:rPr>
              <w:t xml:space="preserve"> z części pożyczkowej do części grantowej </w:t>
            </w:r>
            <w:r w:rsidR="00A218D2" w:rsidRPr="00C40440">
              <w:rPr>
                <w:sz w:val="22"/>
                <w:szCs w:val="22"/>
              </w:rPr>
              <w:t>i zwiększenie budżetu do 300 mln EUR.</w:t>
            </w:r>
          </w:p>
        </w:tc>
      </w:tr>
      <w:tr w:rsidR="00175581" w:rsidRPr="0020386D" w14:paraId="78D3B32B" w14:textId="77777777" w:rsidTr="003B4E6E">
        <w:tc>
          <w:tcPr>
            <w:tcW w:w="1139" w:type="pct"/>
            <w:shd w:val="clear" w:color="auto" w:fill="auto"/>
          </w:tcPr>
          <w:p w14:paraId="16E45CA5" w14:textId="77777777" w:rsidR="00175581" w:rsidRPr="003B572A" w:rsidRDefault="00175581" w:rsidP="00C40440">
            <w:pPr>
              <w:pStyle w:val="Akapitzlist"/>
              <w:spacing w:before="60" w:after="60" w:line="252" w:lineRule="auto"/>
              <w:ind w:left="67"/>
              <w:rPr>
                <w:sz w:val="22"/>
                <w:szCs w:val="22"/>
              </w:rPr>
            </w:pPr>
            <w:r w:rsidRPr="003B572A">
              <w:rPr>
                <w:sz w:val="22"/>
                <w:szCs w:val="22"/>
              </w:rPr>
              <w:t>Podstawa prawna zmiany</w:t>
            </w:r>
          </w:p>
        </w:tc>
        <w:tc>
          <w:tcPr>
            <w:tcW w:w="3861" w:type="pct"/>
            <w:gridSpan w:val="2"/>
            <w:shd w:val="clear" w:color="auto" w:fill="auto"/>
          </w:tcPr>
          <w:p w14:paraId="2BA1CA1E" w14:textId="7A3687E0" w:rsidR="00175581" w:rsidRPr="00C40440" w:rsidRDefault="00175581" w:rsidP="00C40440">
            <w:pPr>
              <w:pStyle w:val="Akapitzlist"/>
              <w:spacing w:before="60" w:after="60" w:line="252" w:lineRule="auto"/>
              <w:ind w:left="0"/>
              <w:rPr>
                <w:sz w:val="22"/>
                <w:szCs w:val="22"/>
              </w:rPr>
            </w:pPr>
            <w:r w:rsidRPr="00C40440">
              <w:rPr>
                <w:sz w:val="22"/>
                <w:szCs w:val="22"/>
              </w:rPr>
              <w:t>art. 21 rozporządzenia Parlamentu Europejskiego i Rady (UE) 2021/241 z dnia 12 lutego 2021 r. ustanawiające Instrument na rzecz Odbudowy i Zwiększania Odporności</w:t>
            </w:r>
          </w:p>
        </w:tc>
      </w:tr>
      <w:tr w:rsidR="00175581" w:rsidRPr="003B572A" w14:paraId="34461F7E" w14:textId="77777777" w:rsidTr="003B4E6E">
        <w:tc>
          <w:tcPr>
            <w:tcW w:w="1139" w:type="pct"/>
            <w:shd w:val="clear" w:color="auto" w:fill="D9D9D9" w:themeFill="background1" w:themeFillShade="D9"/>
          </w:tcPr>
          <w:p w14:paraId="6C8D6364"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t>Modyfikowany element</w:t>
            </w:r>
          </w:p>
        </w:tc>
        <w:tc>
          <w:tcPr>
            <w:tcW w:w="1875" w:type="pct"/>
            <w:shd w:val="clear" w:color="auto" w:fill="D9D9D9" w:themeFill="background1" w:themeFillShade="D9"/>
          </w:tcPr>
          <w:p w14:paraId="072AED64" w14:textId="77777777" w:rsidR="00175581" w:rsidRPr="003B572A" w:rsidRDefault="00175581" w:rsidP="00C40440">
            <w:pPr>
              <w:spacing w:before="60" w:after="60" w:line="252" w:lineRule="auto"/>
              <w:ind w:left="124"/>
              <w:jc w:val="center"/>
              <w:rPr>
                <w:rFonts w:ascii="Times New Roman" w:hAnsi="Times New Roman" w:cs="Times New Roman"/>
              </w:rPr>
            </w:pPr>
            <w:r w:rsidRPr="003B572A">
              <w:rPr>
                <w:rFonts w:ascii="Times New Roman" w:hAnsi="Times New Roman" w:cs="Times New Roman"/>
                <w:highlight w:val="lightGray"/>
              </w:rPr>
              <w:t>Bieżąca wersja</w:t>
            </w:r>
          </w:p>
        </w:tc>
        <w:tc>
          <w:tcPr>
            <w:tcW w:w="1986" w:type="pct"/>
            <w:shd w:val="clear" w:color="auto" w:fill="D9D9D9" w:themeFill="background1" w:themeFillShade="D9"/>
          </w:tcPr>
          <w:p w14:paraId="14E1C4C3" w14:textId="77777777" w:rsidR="00175581" w:rsidRPr="003B572A" w:rsidRDefault="00175581" w:rsidP="00C40440">
            <w:pPr>
              <w:spacing w:before="60" w:after="60" w:line="252" w:lineRule="auto"/>
              <w:ind w:left="124"/>
              <w:jc w:val="center"/>
              <w:rPr>
                <w:rFonts w:ascii="Times New Roman" w:hAnsi="Times New Roman" w:cs="Times New Roman"/>
              </w:rPr>
            </w:pPr>
            <w:r w:rsidRPr="003B572A">
              <w:rPr>
                <w:rFonts w:ascii="Times New Roman" w:hAnsi="Times New Roman" w:cs="Times New Roman"/>
                <w:highlight w:val="lightGray"/>
              </w:rPr>
              <w:t>Wersja zmieniona</w:t>
            </w:r>
          </w:p>
        </w:tc>
      </w:tr>
      <w:tr w:rsidR="00175581" w:rsidRPr="003B572A" w14:paraId="70C401ED" w14:textId="77777777" w:rsidTr="003B4E6E">
        <w:tc>
          <w:tcPr>
            <w:tcW w:w="1139" w:type="pct"/>
          </w:tcPr>
          <w:p w14:paraId="0132F686" w14:textId="254B5211" w:rsidR="00175581" w:rsidRPr="00C40440" w:rsidRDefault="00E40CF2" w:rsidP="003B4E6E">
            <w:pPr>
              <w:spacing w:before="60" w:after="60" w:line="252" w:lineRule="auto"/>
              <w:rPr>
                <w:rFonts w:ascii="Times New Roman" w:hAnsi="Times New Roman" w:cs="Times New Roman"/>
              </w:rPr>
            </w:pPr>
            <w:r w:rsidRPr="00E85399">
              <w:rPr>
                <w:rFonts w:ascii="Times New Roman" w:hAnsi="Times New Roman" w:cs="Times New Roman"/>
              </w:rPr>
              <w:lastRenderedPageBreak/>
              <w:t>Opis komponentu oraz/lub działania (inwestycji/reformy)</w:t>
            </w:r>
          </w:p>
        </w:tc>
        <w:tc>
          <w:tcPr>
            <w:tcW w:w="1875" w:type="pct"/>
          </w:tcPr>
          <w:p w14:paraId="6F46B2F3" w14:textId="5915532D"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D9G </w:t>
            </w:r>
            <w:r w:rsidRPr="00A218D2">
              <w:rPr>
                <w:rFonts w:ascii="Times New Roman" w:hAnsi="Times New Roman" w:cs="Times New Roman"/>
              </w:rPr>
              <w:t>Wejście w życie aktu prawnego w sprawie wykazu dokładnych kryteriów kwalifikujących szpitale do poszczególnych kategorii, aby pomóc w określeniu potrzeb inwestycyjnych wynikających z reformy</w:t>
            </w:r>
          </w:p>
          <w:p w14:paraId="064C1246" w14:textId="52760633"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Termin realizacji:</w:t>
            </w:r>
            <w:r w:rsidRPr="00A218D2">
              <w:rPr>
                <w:rFonts w:ascii="Times New Roman" w:hAnsi="Times New Roman" w:cs="Times New Roman"/>
              </w:rPr>
              <w:t xml:space="preserve"> </w:t>
            </w:r>
            <w:r w:rsidRPr="00C40440">
              <w:rPr>
                <w:rFonts w:ascii="Times New Roman" w:hAnsi="Times New Roman" w:cs="Times New Roman"/>
              </w:rPr>
              <w:t>IV kw. 2022</w:t>
            </w:r>
            <w:r w:rsidR="00D3504C">
              <w:rPr>
                <w:rFonts w:ascii="Times New Roman" w:hAnsi="Times New Roman" w:cs="Times New Roman"/>
              </w:rPr>
              <w:t>r.</w:t>
            </w:r>
          </w:p>
          <w:p w14:paraId="61869A2B" w14:textId="77777777" w:rsidR="00A218D2" w:rsidRPr="00C40440" w:rsidRDefault="00A218D2" w:rsidP="00C40440">
            <w:pPr>
              <w:spacing w:before="60" w:after="60" w:line="240" w:lineRule="auto"/>
              <w:rPr>
                <w:rFonts w:ascii="Times New Roman" w:hAnsi="Times New Roman" w:cs="Times New Roman"/>
              </w:rPr>
            </w:pPr>
          </w:p>
          <w:p w14:paraId="2F65B836" w14:textId="0A28FD35"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6C58AC9B" w14:textId="77777777" w:rsidR="00175581" w:rsidRPr="00A218D2" w:rsidRDefault="00175581" w:rsidP="00C40440">
            <w:pPr>
              <w:shd w:val="clear" w:color="auto" w:fill="FFFFFF" w:themeFill="background1"/>
              <w:spacing w:before="60" w:after="60" w:line="240" w:lineRule="auto"/>
              <w:rPr>
                <w:rFonts w:ascii="Times New Roman" w:hAnsi="Times New Roman" w:cs="Times New Roman"/>
              </w:rPr>
            </w:pPr>
            <w:r w:rsidRPr="00A218D2">
              <w:rPr>
                <w:rFonts w:ascii="Times New Roman" w:hAnsi="Times New Roman" w:cs="Times New Roman"/>
              </w:rPr>
              <w:t>Wejście w życie aktu prawnego ustalającego listę kryteriów, na podstawie których szpitale będą przydzielane do poszczególnych kategorii, co pozwoli określić potrzeby inwestycyjne wynikające z reformy modernizacji i poprawy efektywności szpitali.</w:t>
            </w:r>
          </w:p>
          <w:p w14:paraId="20E2B0F8" w14:textId="77777777" w:rsidR="00175581" w:rsidRPr="00A218D2" w:rsidRDefault="00175581" w:rsidP="00C40440">
            <w:pPr>
              <w:shd w:val="clear" w:color="auto" w:fill="FFFFFF" w:themeFill="background1"/>
              <w:spacing w:before="60" w:after="60" w:line="240" w:lineRule="auto"/>
              <w:rPr>
                <w:rFonts w:ascii="Times New Roman" w:hAnsi="Times New Roman" w:cs="Times New Roman"/>
              </w:rPr>
            </w:pPr>
            <w:r w:rsidRPr="00A218D2">
              <w:rPr>
                <w:rFonts w:ascii="Times New Roman" w:hAnsi="Times New Roman" w:cs="Times New Roman"/>
              </w:rPr>
              <w:t xml:space="preserve">Kryteria kategoryzacji opierają się na: </w:t>
            </w:r>
          </w:p>
          <w:p w14:paraId="33ABDAE8" w14:textId="77777777" w:rsidR="00175581" w:rsidRPr="00A218D2" w:rsidRDefault="00175581" w:rsidP="00C40440">
            <w:pPr>
              <w:shd w:val="clear" w:color="auto" w:fill="FFFFFF" w:themeFill="background1"/>
              <w:spacing w:before="60" w:after="60" w:line="240" w:lineRule="auto"/>
              <w:rPr>
                <w:rFonts w:ascii="Times New Roman" w:hAnsi="Times New Roman" w:cs="Times New Roman"/>
              </w:rPr>
            </w:pPr>
            <w:r w:rsidRPr="00A218D2">
              <w:rPr>
                <w:rFonts w:ascii="Times New Roman" w:hAnsi="Times New Roman" w:cs="Times New Roman"/>
              </w:rPr>
              <w:t>- zasięgu ( jak objęta populacja, objęte świadczenia, terminowość dostępu do opieki);</w:t>
            </w:r>
          </w:p>
          <w:p w14:paraId="62F9D4B0" w14:textId="77777777" w:rsidR="00175581" w:rsidRPr="00A218D2" w:rsidRDefault="00175581" w:rsidP="00C40440">
            <w:pPr>
              <w:shd w:val="clear" w:color="auto" w:fill="FFFFFF" w:themeFill="background1"/>
              <w:spacing w:before="60" w:after="60" w:line="240" w:lineRule="auto"/>
              <w:rPr>
                <w:rFonts w:ascii="Times New Roman" w:hAnsi="Times New Roman" w:cs="Times New Roman"/>
              </w:rPr>
            </w:pPr>
            <w:r w:rsidRPr="00A218D2">
              <w:rPr>
                <w:rFonts w:ascii="Times New Roman" w:hAnsi="Times New Roman" w:cs="Times New Roman"/>
              </w:rPr>
              <w:t>- słuszności (np. słuszność w finansowaniu, słuszność w dostarczaniu i korzystaniu, słuszność w wynikach leczenia);</w:t>
            </w:r>
          </w:p>
          <w:p w14:paraId="25615F0C" w14:textId="77777777" w:rsidR="00175581" w:rsidRPr="00A218D2" w:rsidRDefault="00175581" w:rsidP="00C40440">
            <w:pPr>
              <w:shd w:val="clear" w:color="auto" w:fill="FFFFFF" w:themeFill="background1"/>
              <w:spacing w:before="60" w:after="60" w:line="240" w:lineRule="auto"/>
              <w:rPr>
                <w:rFonts w:ascii="Times New Roman" w:hAnsi="Times New Roman" w:cs="Times New Roman"/>
              </w:rPr>
            </w:pPr>
            <w:r w:rsidRPr="00A218D2">
              <w:rPr>
                <w:rFonts w:ascii="Times New Roman" w:hAnsi="Times New Roman" w:cs="Times New Roman"/>
              </w:rPr>
              <w:t>- skuteczności, w tym działalność operacyjna (skuteczność w osiąganiu wyników; skuteczność w gromadzeniu środków);</w:t>
            </w:r>
          </w:p>
          <w:p w14:paraId="2388138C" w14:textId="77777777" w:rsidR="00175581" w:rsidRPr="00A218D2" w:rsidRDefault="00175581" w:rsidP="00C40440">
            <w:pPr>
              <w:shd w:val="clear" w:color="auto" w:fill="FFFFFF" w:themeFill="background1"/>
              <w:spacing w:before="60" w:after="60" w:line="240" w:lineRule="auto"/>
              <w:rPr>
                <w:rFonts w:ascii="Times New Roman" w:hAnsi="Times New Roman" w:cs="Times New Roman"/>
              </w:rPr>
            </w:pPr>
            <w:r w:rsidRPr="00A218D2">
              <w:rPr>
                <w:rFonts w:ascii="Times New Roman" w:hAnsi="Times New Roman" w:cs="Times New Roman"/>
              </w:rPr>
              <w:t xml:space="preserve">- jakości opieki; </w:t>
            </w:r>
          </w:p>
          <w:p w14:paraId="3662A093" w14:textId="77777777" w:rsidR="00175581" w:rsidRPr="00A218D2" w:rsidRDefault="00175581" w:rsidP="00C40440">
            <w:pPr>
              <w:shd w:val="clear" w:color="auto" w:fill="FFFFFF" w:themeFill="background1"/>
              <w:spacing w:before="60" w:after="60" w:line="240" w:lineRule="auto"/>
              <w:rPr>
                <w:rFonts w:ascii="Times New Roman" w:hAnsi="Times New Roman" w:cs="Times New Roman"/>
              </w:rPr>
            </w:pPr>
            <w:r w:rsidRPr="00A218D2">
              <w:rPr>
                <w:rFonts w:ascii="Times New Roman" w:hAnsi="Times New Roman" w:cs="Times New Roman"/>
              </w:rPr>
              <w:t>- dostępności zasobów (takich jak: zasoby ludzkie; zasoby finansowe).</w:t>
            </w:r>
          </w:p>
        </w:tc>
        <w:tc>
          <w:tcPr>
            <w:tcW w:w="1986" w:type="pct"/>
          </w:tcPr>
          <w:p w14:paraId="00B70285" w14:textId="74A21C3A"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D9G będzie realizowany przez 3 niezależne </w:t>
            </w:r>
            <w:proofErr w:type="spellStart"/>
            <w:r w:rsidRPr="00C40440">
              <w:rPr>
                <w:rFonts w:ascii="Times New Roman" w:hAnsi="Times New Roman" w:cs="Times New Roman"/>
              </w:rPr>
              <w:t>podkamienie</w:t>
            </w:r>
            <w:proofErr w:type="spellEnd"/>
            <w:r w:rsidRPr="00C40440">
              <w:rPr>
                <w:rFonts w:ascii="Times New Roman" w:hAnsi="Times New Roman" w:cs="Times New Roman"/>
              </w:rPr>
              <w:t xml:space="preserve"> (</w:t>
            </w:r>
            <w:proofErr w:type="spellStart"/>
            <w:r w:rsidRPr="00C40440">
              <w:rPr>
                <w:rFonts w:ascii="Times New Roman" w:hAnsi="Times New Roman" w:cs="Times New Roman"/>
              </w:rPr>
              <w:t>sub-milestones</w:t>
            </w:r>
            <w:proofErr w:type="spellEnd"/>
            <w:r w:rsidRPr="00C40440">
              <w:rPr>
                <w:rFonts w:ascii="Times New Roman" w:hAnsi="Times New Roman" w:cs="Times New Roman"/>
              </w:rPr>
              <w:t>):</w:t>
            </w:r>
          </w:p>
          <w:p w14:paraId="07E85700"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D9Ga</w:t>
            </w:r>
          </w:p>
          <w:p w14:paraId="775E54B1"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Wejście w życie aktu prawnego w sprawie wykazu dokładnych kryteriów kwalifikujących szpitale do poszczególnych poziomów zabezpieczenia opieki onkologicznej Krajowej Sieci Onkologicznej</w:t>
            </w:r>
          </w:p>
          <w:p w14:paraId="78E410C2" w14:textId="5944EDB4"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Termin realizacji: II kw. 2024</w:t>
            </w:r>
            <w:r w:rsidR="00D3504C">
              <w:rPr>
                <w:rFonts w:ascii="Times New Roman" w:hAnsi="Times New Roman" w:cs="Times New Roman"/>
                <w:color w:val="FF0000"/>
              </w:rPr>
              <w:t>r.</w:t>
            </w:r>
          </w:p>
          <w:p w14:paraId="6063CDD9" w14:textId="77777777" w:rsidR="00175581" w:rsidRPr="00C40440" w:rsidRDefault="00175581" w:rsidP="00C40440">
            <w:pPr>
              <w:spacing w:before="60" w:after="60" w:line="240" w:lineRule="auto"/>
              <w:rPr>
                <w:rFonts w:ascii="Times New Roman" w:hAnsi="Times New Roman" w:cs="Times New Roman"/>
                <w:color w:val="FF0000"/>
                <w:highlight w:val="yellow"/>
              </w:rPr>
            </w:pPr>
          </w:p>
          <w:p w14:paraId="6FDCE2E8" w14:textId="77777777" w:rsidR="00175581" w:rsidRPr="00C40440" w:rsidRDefault="00175581" w:rsidP="00C40440">
            <w:pPr>
              <w:spacing w:before="60" w:after="60" w:line="240" w:lineRule="auto"/>
              <w:rPr>
                <w:rFonts w:ascii="Times New Roman" w:hAnsi="Times New Roman" w:cs="Times New Roman"/>
                <w:color w:val="FF0000"/>
                <w:highlight w:val="yellow"/>
              </w:rPr>
            </w:pPr>
            <w:r w:rsidRPr="00C40440">
              <w:rPr>
                <w:rFonts w:ascii="Times New Roman" w:hAnsi="Times New Roman" w:cs="Times New Roman"/>
                <w:color w:val="FF0000"/>
              </w:rPr>
              <w:t>D9Gb</w:t>
            </w:r>
          </w:p>
          <w:p w14:paraId="07F9DFC3"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Wejście w życie ustawy o Krajowej Sieci Kardiologicznej określającej zasady funkcjonowania sieci poprzez wprowadzenie nowej struktury i nowego modelu zarządzania opieką kardiologiczną w Polsce</w:t>
            </w:r>
          </w:p>
          <w:p w14:paraId="1809EA86" w14:textId="32859C1C"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Termin realizacji: IV kw. 2024</w:t>
            </w:r>
            <w:r w:rsidR="00D3504C">
              <w:rPr>
                <w:rFonts w:ascii="Times New Roman" w:hAnsi="Times New Roman" w:cs="Times New Roman"/>
                <w:color w:val="FF0000"/>
              </w:rPr>
              <w:t>r.</w:t>
            </w:r>
          </w:p>
          <w:p w14:paraId="4F76D060" w14:textId="77777777" w:rsidR="00175581" w:rsidRPr="00C40440" w:rsidRDefault="00175581" w:rsidP="00C40440">
            <w:pPr>
              <w:spacing w:before="60" w:after="60" w:line="240" w:lineRule="auto"/>
              <w:rPr>
                <w:rFonts w:ascii="Times New Roman" w:hAnsi="Times New Roman" w:cs="Times New Roman"/>
                <w:color w:val="FF0000"/>
              </w:rPr>
            </w:pPr>
          </w:p>
          <w:p w14:paraId="1C24C779" w14:textId="77777777" w:rsidR="00175581" w:rsidRPr="00C40440" w:rsidRDefault="00175581" w:rsidP="00C40440">
            <w:pPr>
              <w:spacing w:before="60" w:after="60" w:line="240" w:lineRule="auto"/>
              <w:rPr>
                <w:rFonts w:ascii="Times New Roman" w:hAnsi="Times New Roman" w:cs="Times New Roman"/>
                <w:color w:val="FF0000"/>
                <w:highlight w:val="yellow"/>
              </w:rPr>
            </w:pPr>
            <w:r w:rsidRPr="00C40440">
              <w:rPr>
                <w:rFonts w:ascii="Times New Roman" w:hAnsi="Times New Roman" w:cs="Times New Roman"/>
                <w:color w:val="FF0000"/>
              </w:rPr>
              <w:t>D9Gc</w:t>
            </w:r>
          </w:p>
          <w:p w14:paraId="4A052334"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Wejście w życie pakietu legislacyjnego mającego na celu modernizację i poprawę efektywności szpitali</w:t>
            </w:r>
          </w:p>
          <w:p w14:paraId="42246F36" w14:textId="2ABB4108"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Termin realizacji: IV kw. 2024</w:t>
            </w:r>
            <w:r w:rsidR="00D3504C">
              <w:rPr>
                <w:rFonts w:ascii="Times New Roman" w:hAnsi="Times New Roman" w:cs="Times New Roman"/>
                <w:color w:val="FF0000"/>
              </w:rPr>
              <w:t>r.</w:t>
            </w:r>
          </w:p>
          <w:p w14:paraId="0ACB44FC" w14:textId="77777777" w:rsidR="00175581" w:rsidRPr="00C40440" w:rsidRDefault="00175581" w:rsidP="00C40440">
            <w:pPr>
              <w:spacing w:before="60" w:after="60" w:line="240" w:lineRule="auto"/>
              <w:rPr>
                <w:rFonts w:ascii="Times New Roman" w:hAnsi="Times New Roman" w:cs="Times New Roman"/>
                <w:color w:val="FF0000"/>
              </w:rPr>
            </w:pPr>
          </w:p>
          <w:p w14:paraId="33222D46"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412F92F9"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D9Ga</w:t>
            </w:r>
          </w:p>
          <w:p w14:paraId="59262B4E"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xml:space="preserve">Wejście w życie aktu prawnego ustalającego kryteria kwalifikujące szpitale do poszczególnych poziomów zabezpieczenia opieki onkologicznej Krajowej Sieci Onkologicznej, co pozwoli określić potrzeby inwestycyjne wynikające z reformy. </w:t>
            </w:r>
          </w:p>
          <w:p w14:paraId="285828CD"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xml:space="preserve">Kryteria kategoryzacji opierają się na: </w:t>
            </w:r>
          </w:p>
          <w:p w14:paraId="592215AA"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zasięgu (jak objęta populacja, objęte świadczenia, terminowość dostępu do opieki);</w:t>
            </w:r>
          </w:p>
          <w:p w14:paraId="0BA608C2"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słuszności (np. słuszność w finansowaniu, słuszność w dostarczaniu i korzystaniu, słuszność w wynikach leczenia);</w:t>
            </w:r>
          </w:p>
          <w:p w14:paraId="7BAAA076"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skuteczności, w tym działalność operacyjna (skuteczność w osiąganiu wyników; skuteczność w gromadzeniu środków);</w:t>
            </w:r>
          </w:p>
          <w:p w14:paraId="5BDAD297"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lastRenderedPageBreak/>
              <w:t xml:space="preserve">- jakości opieki; </w:t>
            </w:r>
          </w:p>
          <w:p w14:paraId="74CDD148"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dostępności zasobów (takich jak: zasoby ludzkie; zasoby finansowe).</w:t>
            </w:r>
          </w:p>
          <w:p w14:paraId="16E29C9D" w14:textId="77777777" w:rsidR="00175581" w:rsidRPr="00C40440" w:rsidRDefault="00175581" w:rsidP="00C40440">
            <w:pPr>
              <w:spacing w:before="60" w:after="60" w:line="240" w:lineRule="auto"/>
              <w:rPr>
                <w:rFonts w:ascii="Times New Roman" w:hAnsi="Times New Roman" w:cs="Times New Roman"/>
                <w:color w:val="FF0000"/>
              </w:rPr>
            </w:pPr>
          </w:p>
          <w:p w14:paraId="0E9EE46B" w14:textId="77777777" w:rsidR="00175581" w:rsidRPr="00C40440" w:rsidRDefault="00175581" w:rsidP="00C40440">
            <w:pPr>
              <w:spacing w:before="60" w:after="60" w:line="240" w:lineRule="auto"/>
              <w:rPr>
                <w:rFonts w:ascii="Times New Roman" w:hAnsi="Times New Roman" w:cs="Times New Roman"/>
                <w:color w:val="FF0000"/>
                <w:highlight w:val="yellow"/>
              </w:rPr>
            </w:pPr>
            <w:r w:rsidRPr="00C40440">
              <w:rPr>
                <w:rFonts w:ascii="Times New Roman" w:hAnsi="Times New Roman" w:cs="Times New Roman"/>
                <w:color w:val="FF0000"/>
              </w:rPr>
              <w:t>D9Gb</w:t>
            </w:r>
          </w:p>
          <w:p w14:paraId="00AD84E3"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Wejście w życie ustawy o Krajowej Sieci Kardiologicznej określającej zasady funkcjonowania sieci poprzez wprowadzenie nowej struktury i nowego modelu zarządzania opieką kardiologiczną w Polsce.</w:t>
            </w:r>
          </w:p>
          <w:p w14:paraId="1BCFABCB"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Wejście w życie ustawy o Krajowej Sieci Kardiologicznej, która określi nową strukturę szpitali udzielających świadczeń kardiologicznych zakładająca poziomy kompleksowości opieki kardiologicznej.</w:t>
            </w:r>
          </w:p>
          <w:p w14:paraId="08FE4E7C"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xml:space="preserve">Wejście w życie ustawy o Krajowej Sieci Kardiologicznej umożliwi określenie potrzeb inwestycyjnych dla szpitali funkcjonujących w ramach sieci.   </w:t>
            </w:r>
          </w:p>
          <w:p w14:paraId="36BB1B0B" w14:textId="77777777" w:rsidR="00175581" w:rsidRPr="00C40440" w:rsidRDefault="00175581" w:rsidP="00C40440">
            <w:pPr>
              <w:spacing w:before="60" w:after="60" w:line="240" w:lineRule="auto"/>
              <w:rPr>
                <w:rFonts w:ascii="Times New Roman" w:hAnsi="Times New Roman" w:cs="Times New Roman"/>
                <w:color w:val="FF0000"/>
                <w:highlight w:val="yellow"/>
              </w:rPr>
            </w:pPr>
          </w:p>
          <w:p w14:paraId="4309440C" w14:textId="77777777" w:rsidR="00175581" w:rsidRPr="00C40440" w:rsidRDefault="00175581" w:rsidP="00C40440">
            <w:pPr>
              <w:spacing w:before="60" w:after="60" w:line="240" w:lineRule="auto"/>
              <w:rPr>
                <w:rFonts w:ascii="Times New Roman" w:hAnsi="Times New Roman" w:cs="Times New Roman"/>
                <w:color w:val="FF0000"/>
                <w:highlight w:val="yellow"/>
              </w:rPr>
            </w:pPr>
            <w:r w:rsidRPr="00C40440">
              <w:rPr>
                <w:rFonts w:ascii="Times New Roman" w:hAnsi="Times New Roman" w:cs="Times New Roman"/>
                <w:color w:val="FF0000"/>
              </w:rPr>
              <w:t>D9Gc</w:t>
            </w:r>
          </w:p>
          <w:p w14:paraId="55844C09"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Wejście w życie pakietu legislacyjnego mającego na celu modernizację i poprawę efektywności szpitali</w:t>
            </w:r>
          </w:p>
          <w:p w14:paraId="5CCE4899" w14:textId="4B2A0756"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Pakiet pozwoli określić potrzeby inwestycyjne dla szpitali (</w:t>
            </w:r>
            <w:proofErr w:type="spellStart"/>
            <w:r w:rsidRPr="00C40440">
              <w:rPr>
                <w:rFonts w:ascii="Times New Roman" w:hAnsi="Times New Roman" w:cs="Times New Roman"/>
                <w:color w:val="FF0000"/>
              </w:rPr>
              <w:t>general</w:t>
            </w:r>
            <w:proofErr w:type="spellEnd"/>
            <w:r w:rsidRPr="00C40440">
              <w:rPr>
                <w:rFonts w:ascii="Times New Roman" w:hAnsi="Times New Roman" w:cs="Times New Roman"/>
                <w:color w:val="FF0000"/>
              </w:rPr>
              <w:t xml:space="preserve"> </w:t>
            </w:r>
            <w:proofErr w:type="spellStart"/>
            <w:r w:rsidRPr="00C40440">
              <w:rPr>
                <w:rFonts w:ascii="Times New Roman" w:hAnsi="Times New Roman" w:cs="Times New Roman"/>
                <w:color w:val="FF0000"/>
              </w:rPr>
              <w:t>hospitals</w:t>
            </w:r>
            <w:proofErr w:type="spellEnd"/>
            <w:r w:rsidRPr="00C40440">
              <w:rPr>
                <w:rFonts w:ascii="Times New Roman" w:hAnsi="Times New Roman" w:cs="Times New Roman"/>
                <w:color w:val="FF0000"/>
              </w:rPr>
              <w:t xml:space="preserve">) </w:t>
            </w:r>
          </w:p>
        </w:tc>
      </w:tr>
      <w:tr w:rsidR="00175581" w:rsidRPr="003B572A" w14:paraId="781107A9" w14:textId="77777777" w:rsidTr="003B4E6E">
        <w:trPr>
          <w:trHeight w:val="300"/>
        </w:trPr>
        <w:tc>
          <w:tcPr>
            <w:tcW w:w="1139" w:type="pct"/>
            <w:tcBorders>
              <w:top w:val="single" w:sz="4" w:space="0" w:color="auto"/>
              <w:left w:val="single" w:sz="4" w:space="0" w:color="auto"/>
              <w:bottom w:val="single" w:sz="4" w:space="0" w:color="auto"/>
              <w:right w:val="single" w:sz="4" w:space="0" w:color="auto"/>
            </w:tcBorders>
          </w:tcPr>
          <w:p w14:paraId="4A22E87B" w14:textId="77777777" w:rsidR="00175581" w:rsidRPr="00C40440" w:rsidRDefault="00175581" w:rsidP="003B4E6E">
            <w:pPr>
              <w:spacing w:before="60" w:after="60" w:line="252" w:lineRule="auto"/>
              <w:rPr>
                <w:rFonts w:ascii="Times New Roman" w:hAnsi="Times New Roman" w:cs="Times New Roman"/>
              </w:rPr>
            </w:pPr>
          </w:p>
        </w:tc>
        <w:tc>
          <w:tcPr>
            <w:tcW w:w="1875" w:type="pct"/>
            <w:tcBorders>
              <w:top w:val="single" w:sz="4" w:space="0" w:color="auto"/>
              <w:left w:val="single" w:sz="4" w:space="0" w:color="auto"/>
              <w:bottom w:val="single" w:sz="4" w:space="0" w:color="auto"/>
              <w:right w:val="single" w:sz="4" w:space="0" w:color="auto"/>
            </w:tcBorders>
          </w:tcPr>
          <w:p w14:paraId="383D9804" w14:textId="77777777" w:rsidR="00175581" w:rsidRPr="00A218D2" w:rsidRDefault="00175581" w:rsidP="00C40440">
            <w:pPr>
              <w:spacing w:after="120" w:line="240" w:lineRule="auto"/>
              <w:rPr>
                <w:rFonts w:ascii="Times New Roman" w:hAnsi="Times New Roman" w:cs="Times New Roman"/>
              </w:rPr>
            </w:pPr>
            <w:r w:rsidRPr="00C40440">
              <w:rPr>
                <w:rFonts w:ascii="Times New Roman" w:hAnsi="Times New Roman" w:cs="Times New Roman"/>
              </w:rPr>
              <w:t>D10G</w:t>
            </w:r>
            <w:r w:rsidRPr="00A218D2">
              <w:rPr>
                <w:rFonts w:ascii="Times New Roman" w:hAnsi="Times New Roman" w:cs="Times New Roman"/>
              </w:rPr>
              <w:t xml:space="preserve"> </w:t>
            </w:r>
          </w:p>
          <w:p w14:paraId="2DFDA96C"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Pierwszy nabór wniosków dla szpitali ubiegających się o dofinansowanie</w:t>
            </w:r>
          </w:p>
          <w:p w14:paraId="77595126" w14:textId="4D5FD4F8" w:rsidR="00175581" w:rsidRPr="00A218D2" w:rsidRDefault="00175581" w:rsidP="00C40440">
            <w:pPr>
              <w:spacing w:after="120" w:line="240" w:lineRule="auto"/>
              <w:rPr>
                <w:rFonts w:ascii="Times New Roman" w:hAnsi="Times New Roman" w:cs="Times New Roman"/>
              </w:rPr>
            </w:pPr>
            <w:r w:rsidRPr="00C40440">
              <w:rPr>
                <w:rFonts w:ascii="Times New Roman" w:hAnsi="Times New Roman" w:cs="Times New Roman"/>
              </w:rPr>
              <w:t xml:space="preserve">Termin realizacji: </w:t>
            </w:r>
            <w:r w:rsidRPr="00A218D2">
              <w:rPr>
                <w:rFonts w:ascii="Times New Roman" w:hAnsi="Times New Roman" w:cs="Times New Roman"/>
              </w:rPr>
              <w:t>I kw. 2023</w:t>
            </w:r>
            <w:r w:rsidR="00D3504C">
              <w:rPr>
                <w:rFonts w:ascii="Times New Roman" w:hAnsi="Times New Roman" w:cs="Times New Roman"/>
              </w:rPr>
              <w:t>r.</w:t>
            </w:r>
          </w:p>
          <w:p w14:paraId="388B127F" w14:textId="77777777"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4A5156FF"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Uruchomiony zostanie pierwszy nabór wniosków dla szpitali na zakup lub modernizację sprzętu lub infrastruktury. To zaproszenie i wszystkie kolejne zaproszenia opierają się na kryteriach kategoryzacji oraz jasnych i przejrzystych procedurach.</w:t>
            </w:r>
          </w:p>
          <w:p w14:paraId="2D834BB4"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 xml:space="preserve">Rozbudowa sprzętu i infrastruktury medycznej przyczyni się do poprawy jakości opieki, dostępności zasobów oraz zapewnienia </w:t>
            </w:r>
            <w:r w:rsidRPr="00A218D2">
              <w:rPr>
                <w:rFonts w:ascii="Times New Roman" w:hAnsi="Times New Roman" w:cs="Times New Roman"/>
              </w:rPr>
              <w:lastRenderedPageBreak/>
              <w:t>terminowego i kompleksowego dostępu do opieki szpitalnej.</w:t>
            </w:r>
          </w:p>
          <w:p w14:paraId="20FC14C8"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Wsparcie obejmie wyłącznie zakres działalności związanej ze udzielaniem świadczeń zdrowotnych finansowanych przez Narodowy Fundusz Zdrowia i nie obejmie działalności komercyjnej.</w:t>
            </w:r>
          </w:p>
        </w:tc>
        <w:tc>
          <w:tcPr>
            <w:tcW w:w="1986" w:type="pct"/>
            <w:tcBorders>
              <w:top w:val="single" w:sz="4" w:space="0" w:color="auto"/>
              <w:left w:val="single" w:sz="4" w:space="0" w:color="auto"/>
              <w:bottom w:val="single" w:sz="4" w:space="0" w:color="auto"/>
              <w:right w:val="single" w:sz="4" w:space="0" w:color="auto"/>
            </w:tcBorders>
          </w:tcPr>
          <w:p w14:paraId="01B5EEB6" w14:textId="77777777"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lastRenderedPageBreak/>
              <w:t xml:space="preserve">D10G </w:t>
            </w:r>
          </w:p>
          <w:p w14:paraId="7C87896F" w14:textId="26683EF1" w:rsidR="00506FEC" w:rsidRPr="00C40440" w:rsidRDefault="00175581" w:rsidP="00C40440">
            <w:pPr>
              <w:spacing w:after="120" w:line="240" w:lineRule="auto"/>
              <w:rPr>
                <w:rFonts w:ascii="Times New Roman" w:hAnsi="Times New Roman" w:cs="Times New Roman"/>
                <w:color w:val="FF0000"/>
              </w:rPr>
            </w:pPr>
            <w:r w:rsidRPr="00506FEC">
              <w:rPr>
                <w:rFonts w:ascii="Times New Roman" w:hAnsi="Times New Roman" w:cs="Times New Roman"/>
              </w:rPr>
              <w:t>Pierwszy nabór wniosków dla szpitali ubiegających się o dofinansowanie</w:t>
            </w:r>
          </w:p>
          <w:p w14:paraId="241B55A7" w14:textId="77777777" w:rsidR="00175581" w:rsidRPr="00C40440" w:rsidRDefault="00175581" w:rsidP="00C40440">
            <w:pPr>
              <w:spacing w:after="120" w:line="240" w:lineRule="auto"/>
              <w:rPr>
                <w:rFonts w:ascii="Times New Roman" w:hAnsi="Times New Roman" w:cs="Times New Roman"/>
                <w:color w:val="FF0000"/>
              </w:rPr>
            </w:pPr>
          </w:p>
          <w:p w14:paraId="47B19F6A" w14:textId="12A0C3BE" w:rsidR="00175581" w:rsidRPr="00C40440" w:rsidRDefault="00175581" w:rsidP="00C40440">
            <w:pPr>
              <w:spacing w:after="120" w:line="240" w:lineRule="auto"/>
              <w:rPr>
                <w:rFonts w:ascii="Times New Roman" w:hAnsi="Times New Roman" w:cs="Times New Roman"/>
                <w:color w:val="FF0000"/>
              </w:rPr>
            </w:pPr>
            <w:r w:rsidRPr="00C40440">
              <w:rPr>
                <w:rFonts w:ascii="Times New Roman" w:hAnsi="Times New Roman" w:cs="Times New Roman"/>
              </w:rPr>
              <w:t xml:space="preserve">Termin realizacji: </w:t>
            </w:r>
            <w:r w:rsidRPr="00C40440">
              <w:rPr>
                <w:rFonts w:ascii="Times New Roman" w:hAnsi="Times New Roman" w:cs="Times New Roman"/>
                <w:color w:val="FF0000"/>
              </w:rPr>
              <w:t>III kw. 2024</w:t>
            </w:r>
            <w:r w:rsidR="00D3504C">
              <w:rPr>
                <w:rFonts w:ascii="Times New Roman" w:hAnsi="Times New Roman" w:cs="Times New Roman"/>
                <w:color w:val="FF0000"/>
              </w:rPr>
              <w:t>r.</w:t>
            </w:r>
          </w:p>
          <w:p w14:paraId="043D84BF" w14:textId="77777777"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t xml:space="preserve">Opis każdego kamienia milowego i każdej wartości docelowej </w:t>
            </w:r>
          </w:p>
          <w:p w14:paraId="471A41B1" w14:textId="77777777" w:rsidR="00175581" w:rsidRPr="00C40440" w:rsidRDefault="00175581" w:rsidP="00C40440">
            <w:pPr>
              <w:spacing w:after="120" w:line="240" w:lineRule="auto"/>
              <w:rPr>
                <w:rFonts w:ascii="Times New Roman" w:hAnsi="Times New Roman" w:cs="Times New Roman"/>
                <w:color w:val="FF0000"/>
              </w:rPr>
            </w:pPr>
            <w:r w:rsidRPr="00506FEC">
              <w:rPr>
                <w:rFonts w:ascii="Times New Roman" w:hAnsi="Times New Roman" w:cs="Times New Roman"/>
              </w:rPr>
              <w:t xml:space="preserve">Uruchomiony zostanie pierwszy nabór wniosków dla szpitali na zakup lub modernizację sprzętu lub infrastruktury. To zaproszenie i wszystkie kolejne zaproszenia opierają się na kryteriach </w:t>
            </w:r>
            <w:r w:rsidRPr="00C40440">
              <w:rPr>
                <w:rFonts w:ascii="Times New Roman" w:hAnsi="Times New Roman" w:cs="Times New Roman"/>
                <w:color w:val="FF0000"/>
              </w:rPr>
              <w:t>inwestycyjnych (vide D9G) oraz jasnych i przejrzystych procedurach.</w:t>
            </w:r>
          </w:p>
          <w:p w14:paraId="555706E1" w14:textId="77777777" w:rsidR="00175581" w:rsidRPr="00A218D2" w:rsidRDefault="00175581" w:rsidP="00C40440">
            <w:pPr>
              <w:spacing w:after="120" w:line="240" w:lineRule="auto"/>
              <w:rPr>
                <w:rFonts w:ascii="Times New Roman" w:hAnsi="Times New Roman" w:cs="Times New Roman"/>
                <w:i/>
                <w:iCs/>
              </w:rPr>
            </w:pPr>
            <w:r w:rsidRPr="00A218D2">
              <w:rPr>
                <w:rFonts w:ascii="Times New Roman" w:hAnsi="Times New Roman" w:cs="Times New Roman"/>
                <w:i/>
                <w:iCs/>
              </w:rPr>
              <w:t xml:space="preserve">Dalej bez zmian </w:t>
            </w:r>
          </w:p>
          <w:p w14:paraId="06AFCEF1" w14:textId="77777777" w:rsidR="00175581" w:rsidRPr="00A218D2" w:rsidRDefault="00175581" w:rsidP="00C40440">
            <w:pPr>
              <w:spacing w:after="120" w:line="240" w:lineRule="auto"/>
              <w:rPr>
                <w:rFonts w:ascii="Times New Roman" w:hAnsi="Times New Roman" w:cs="Times New Roman"/>
              </w:rPr>
            </w:pPr>
          </w:p>
          <w:p w14:paraId="21A2A7EE" w14:textId="77777777" w:rsidR="00175581" w:rsidRPr="00A218D2" w:rsidRDefault="00175581" w:rsidP="00C40440">
            <w:pPr>
              <w:spacing w:after="120" w:line="240" w:lineRule="auto"/>
              <w:rPr>
                <w:rFonts w:ascii="Times New Roman" w:hAnsi="Times New Roman" w:cs="Times New Roman"/>
              </w:rPr>
            </w:pPr>
          </w:p>
        </w:tc>
      </w:tr>
      <w:tr w:rsidR="00175581" w:rsidRPr="003B572A" w14:paraId="10DA40FD" w14:textId="77777777" w:rsidTr="003B4E6E">
        <w:trPr>
          <w:trHeight w:val="300"/>
        </w:trPr>
        <w:tc>
          <w:tcPr>
            <w:tcW w:w="1139" w:type="pct"/>
            <w:tcBorders>
              <w:top w:val="single" w:sz="4" w:space="0" w:color="auto"/>
              <w:left w:val="single" w:sz="4" w:space="0" w:color="auto"/>
              <w:bottom w:val="single" w:sz="4" w:space="0" w:color="auto"/>
              <w:right w:val="single" w:sz="4" w:space="0" w:color="auto"/>
            </w:tcBorders>
          </w:tcPr>
          <w:p w14:paraId="0F863E77" w14:textId="77777777" w:rsidR="00175581" w:rsidRPr="00BD7EA5" w:rsidRDefault="00175581" w:rsidP="003B4E6E">
            <w:pPr>
              <w:spacing w:before="60" w:after="60" w:line="252" w:lineRule="auto"/>
              <w:rPr>
                <w:rFonts w:ascii="Times New Roman" w:hAnsi="Times New Roman" w:cs="Times New Roman"/>
                <w:lang w:val="en-GB"/>
              </w:rPr>
            </w:pPr>
          </w:p>
        </w:tc>
        <w:tc>
          <w:tcPr>
            <w:tcW w:w="1875" w:type="pct"/>
            <w:tcBorders>
              <w:top w:val="single" w:sz="4" w:space="0" w:color="auto"/>
              <w:left w:val="single" w:sz="4" w:space="0" w:color="auto"/>
              <w:bottom w:val="single" w:sz="4" w:space="0" w:color="auto"/>
              <w:right w:val="single" w:sz="4" w:space="0" w:color="auto"/>
            </w:tcBorders>
          </w:tcPr>
          <w:p w14:paraId="2C17190C" w14:textId="77777777"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t>D11G W1</w:t>
            </w:r>
          </w:p>
          <w:p w14:paraId="0D28B595" w14:textId="77777777" w:rsidR="00175581" w:rsidRPr="00A218D2" w:rsidRDefault="00175581" w:rsidP="00C40440">
            <w:pPr>
              <w:spacing w:after="120" w:line="240" w:lineRule="auto"/>
              <w:rPr>
                <w:rFonts w:ascii="Times New Roman" w:hAnsi="Times New Roman" w:cs="Times New Roman"/>
              </w:rPr>
            </w:pPr>
            <w:r w:rsidRPr="00A218D2">
              <w:rPr>
                <w:rFonts w:ascii="Times New Roman" w:eastAsia="Times New Roman" w:hAnsi="Times New Roman" w:cs="Times New Roman"/>
              </w:rPr>
              <w:t>Umowy podpisane pomiędzy szpitalami a Ministerstwem Zdrowia na zakup sprzętu medycznego lub wsparcie inwestycji infrastrukturalnych</w:t>
            </w:r>
          </w:p>
          <w:p w14:paraId="6DCACEE5" w14:textId="657EF822" w:rsidR="00175581" w:rsidRPr="00A218D2" w:rsidRDefault="00175581" w:rsidP="00C40440">
            <w:pPr>
              <w:spacing w:after="120" w:line="240" w:lineRule="auto"/>
              <w:rPr>
                <w:rFonts w:ascii="Times New Roman" w:hAnsi="Times New Roman" w:cs="Times New Roman"/>
              </w:rPr>
            </w:pPr>
            <w:r w:rsidRPr="00C40440">
              <w:rPr>
                <w:rFonts w:ascii="Times New Roman" w:hAnsi="Times New Roman" w:cs="Times New Roman"/>
              </w:rPr>
              <w:t>Termin realizacji:</w:t>
            </w:r>
            <w:r w:rsidRPr="00A218D2">
              <w:rPr>
                <w:rFonts w:ascii="Times New Roman" w:hAnsi="Times New Roman" w:cs="Times New Roman"/>
              </w:rPr>
              <w:t xml:space="preserve"> IV kw. </w:t>
            </w:r>
            <w:r w:rsidRPr="00A218D2">
              <w:rPr>
                <w:rFonts w:ascii="Times New Roman" w:eastAsia="Times New Roman" w:hAnsi="Times New Roman" w:cs="Times New Roman"/>
              </w:rPr>
              <w:t>2023</w:t>
            </w:r>
            <w:r w:rsidR="00D3504C">
              <w:rPr>
                <w:rFonts w:ascii="Times New Roman" w:eastAsia="Times New Roman" w:hAnsi="Times New Roman" w:cs="Times New Roman"/>
              </w:rPr>
              <w:t>r.</w:t>
            </w:r>
          </w:p>
          <w:p w14:paraId="1870291F" w14:textId="77777777" w:rsidR="00175581" w:rsidRPr="00A218D2" w:rsidRDefault="00175581" w:rsidP="00C40440">
            <w:pPr>
              <w:spacing w:after="120" w:line="240" w:lineRule="auto"/>
              <w:rPr>
                <w:rFonts w:ascii="Times New Roman" w:hAnsi="Times New Roman" w:cs="Times New Roman"/>
              </w:rPr>
            </w:pPr>
            <w:r w:rsidRPr="00C40440">
              <w:rPr>
                <w:rFonts w:ascii="Times New Roman" w:hAnsi="Times New Roman" w:cs="Times New Roman"/>
              </w:rPr>
              <w:t>Wskaźniki ilościowe (dla wartości docelowych)</w:t>
            </w:r>
            <w:r w:rsidRPr="00A218D2">
              <w:rPr>
                <w:rFonts w:ascii="Times New Roman" w:hAnsi="Times New Roman" w:cs="Times New Roman"/>
              </w:rPr>
              <w:t xml:space="preserve"> – cel: 61</w:t>
            </w:r>
          </w:p>
          <w:p w14:paraId="21E63C8A" w14:textId="77777777"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18AD4F67"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Liczba podpisanych umów pomiędzy szpitalami a Ministerstwem Zdrowia (lub inną instytucją wskazaną przez Ministerstwo) na zakup sprzętu medycznego lub na infrastrukturę.</w:t>
            </w:r>
          </w:p>
          <w:p w14:paraId="4BCBF104"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Sprzęt medyczny przyczyni się do poprawy jakości opieki, dostępności zasobów oraz zapewnienia terminowego i kompleksowego dostępu do opieki szpitalnej.</w:t>
            </w:r>
          </w:p>
          <w:p w14:paraId="69EA150C"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Rozbudowa infrastruktury przyczyni się do poprawy jakości opieki, dostępności zasobów oraz zapewnienia terminowego i kompleksowego dostępu do opieki szpitalnej.</w:t>
            </w:r>
          </w:p>
          <w:p w14:paraId="54364B18" w14:textId="77777777" w:rsidR="00175581" w:rsidRPr="00A218D2" w:rsidRDefault="00175581" w:rsidP="00C40440">
            <w:pPr>
              <w:spacing w:after="120" w:line="240" w:lineRule="auto"/>
              <w:rPr>
                <w:rFonts w:ascii="Times New Roman" w:hAnsi="Times New Roman" w:cs="Times New Roman"/>
              </w:rPr>
            </w:pPr>
            <w:r w:rsidRPr="00A218D2">
              <w:rPr>
                <w:rFonts w:ascii="Times New Roman" w:hAnsi="Times New Roman" w:cs="Times New Roman"/>
              </w:rPr>
              <w:t>Wsparcie obejmie wyłącznie zakres działalności związanej ze udzielaniem świadczeń zdrowotnych finansowanych przez Narodowy Fundusz Zdrowia i nie obejmie działalności komercyjnej.</w:t>
            </w:r>
          </w:p>
        </w:tc>
        <w:tc>
          <w:tcPr>
            <w:tcW w:w="1986" w:type="pct"/>
            <w:tcBorders>
              <w:top w:val="single" w:sz="4" w:space="0" w:color="auto"/>
              <w:left w:val="single" w:sz="4" w:space="0" w:color="auto"/>
              <w:bottom w:val="single" w:sz="4" w:space="0" w:color="auto"/>
              <w:right w:val="single" w:sz="4" w:space="0" w:color="auto"/>
            </w:tcBorders>
          </w:tcPr>
          <w:p w14:paraId="41EBBA79" w14:textId="77777777"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t>D11G W1</w:t>
            </w:r>
          </w:p>
          <w:p w14:paraId="0B5D9D3C" w14:textId="77777777" w:rsidR="00175581" w:rsidRPr="0042053C" w:rsidRDefault="00175581" w:rsidP="00C40440">
            <w:pPr>
              <w:spacing w:after="120" w:line="240" w:lineRule="auto"/>
              <w:rPr>
                <w:rFonts w:ascii="Times New Roman" w:hAnsi="Times New Roman" w:cs="Times New Roman"/>
              </w:rPr>
            </w:pPr>
            <w:r w:rsidRPr="0042053C">
              <w:rPr>
                <w:rFonts w:ascii="Times New Roman" w:hAnsi="Times New Roman" w:cs="Times New Roman"/>
              </w:rPr>
              <w:t>Umowy podpisane pomiędzy szpitalami a Ministerstwem Zdrowia na zakup sprzętu medycznego lub wsparcie inwestycji infrastrukturalnych</w:t>
            </w:r>
          </w:p>
          <w:p w14:paraId="2165C224" w14:textId="117E7DC4" w:rsidR="00175581" w:rsidRPr="00C40440" w:rsidRDefault="00175581" w:rsidP="00C40440">
            <w:pPr>
              <w:spacing w:after="120" w:line="240" w:lineRule="auto"/>
              <w:rPr>
                <w:rFonts w:ascii="Times New Roman" w:hAnsi="Times New Roman" w:cs="Times New Roman"/>
                <w:color w:val="FF0000"/>
              </w:rPr>
            </w:pPr>
            <w:r w:rsidRPr="00C40440">
              <w:rPr>
                <w:rFonts w:ascii="Times New Roman" w:hAnsi="Times New Roman" w:cs="Times New Roman"/>
              </w:rPr>
              <w:t>Termin realizacji:</w:t>
            </w:r>
            <w:r w:rsidRPr="0042053C">
              <w:rPr>
                <w:rFonts w:ascii="Times New Roman" w:hAnsi="Times New Roman" w:cs="Times New Roman"/>
              </w:rPr>
              <w:t xml:space="preserve"> </w:t>
            </w:r>
            <w:r w:rsidRPr="00C40440">
              <w:rPr>
                <w:rFonts w:ascii="Times New Roman" w:hAnsi="Times New Roman" w:cs="Times New Roman"/>
                <w:color w:val="FF0000"/>
              </w:rPr>
              <w:t xml:space="preserve">I kw. </w:t>
            </w:r>
            <w:r w:rsidRPr="00C40440">
              <w:rPr>
                <w:rFonts w:ascii="Times New Roman" w:eastAsia="Times New Roman" w:hAnsi="Times New Roman" w:cs="Times New Roman"/>
                <w:color w:val="FF0000"/>
              </w:rPr>
              <w:t>2025</w:t>
            </w:r>
            <w:r w:rsidR="00D3504C">
              <w:rPr>
                <w:rFonts w:ascii="Times New Roman" w:eastAsia="Times New Roman" w:hAnsi="Times New Roman" w:cs="Times New Roman"/>
                <w:color w:val="FF0000"/>
              </w:rPr>
              <w:t>r.</w:t>
            </w:r>
          </w:p>
          <w:p w14:paraId="57D5B385" w14:textId="77777777" w:rsidR="00175581" w:rsidRPr="0042053C" w:rsidRDefault="00175581" w:rsidP="00C40440">
            <w:pPr>
              <w:spacing w:after="120" w:line="240" w:lineRule="auto"/>
              <w:rPr>
                <w:rFonts w:ascii="Times New Roman" w:hAnsi="Times New Roman" w:cs="Times New Roman"/>
              </w:rPr>
            </w:pPr>
            <w:r w:rsidRPr="00C40440">
              <w:rPr>
                <w:rFonts w:ascii="Times New Roman" w:hAnsi="Times New Roman" w:cs="Times New Roman"/>
              </w:rPr>
              <w:t>Wskaźniki ilościowe (dla wartości docelowych)</w:t>
            </w:r>
            <w:r w:rsidRPr="0042053C">
              <w:rPr>
                <w:rFonts w:ascii="Times New Roman" w:hAnsi="Times New Roman" w:cs="Times New Roman"/>
              </w:rPr>
              <w:t xml:space="preserve"> – cel: bez zmian</w:t>
            </w:r>
          </w:p>
          <w:p w14:paraId="3C54EA5B" w14:textId="77777777"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20AF7443" w14:textId="1D29EC0E" w:rsidR="00175581" w:rsidRPr="00C40440" w:rsidRDefault="00D3504C" w:rsidP="00C40440">
            <w:pPr>
              <w:spacing w:after="120" w:line="240" w:lineRule="auto"/>
              <w:rPr>
                <w:rFonts w:ascii="Times New Roman" w:hAnsi="Times New Roman" w:cs="Times New Roman"/>
                <w:i/>
                <w:iCs/>
              </w:rPr>
            </w:pPr>
            <w:r>
              <w:rPr>
                <w:rFonts w:ascii="Times New Roman" w:hAnsi="Times New Roman" w:cs="Times New Roman"/>
                <w:i/>
                <w:iCs/>
              </w:rPr>
              <w:t>B</w:t>
            </w:r>
            <w:r w:rsidR="00175581" w:rsidRPr="00C40440">
              <w:rPr>
                <w:rFonts w:ascii="Times New Roman" w:hAnsi="Times New Roman" w:cs="Times New Roman"/>
                <w:i/>
                <w:iCs/>
              </w:rPr>
              <w:t>ez zmian</w:t>
            </w:r>
          </w:p>
          <w:p w14:paraId="060BE198" w14:textId="77777777" w:rsidR="00175581" w:rsidRPr="00A218D2" w:rsidRDefault="00175581" w:rsidP="00C40440">
            <w:pPr>
              <w:spacing w:after="120" w:line="240" w:lineRule="auto"/>
              <w:rPr>
                <w:rFonts w:ascii="Times New Roman" w:hAnsi="Times New Roman" w:cs="Times New Roman"/>
              </w:rPr>
            </w:pPr>
          </w:p>
        </w:tc>
      </w:tr>
      <w:tr w:rsidR="00175581" w:rsidRPr="003B572A" w14:paraId="4730A33A" w14:textId="77777777" w:rsidTr="003B4E6E">
        <w:trPr>
          <w:trHeight w:val="300"/>
        </w:trPr>
        <w:tc>
          <w:tcPr>
            <w:tcW w:w="1139" w:type="pct"/>
            <w:tcBorders>
              <w:top w:val="single" w:sz="4" w:space="0" w:color="auto"/>
              <w:left w:val="single" w:sz="4" w:space="0" w:color="auto"/>
              <w:bottom w:val="single" w:sz="4" w:space="0" w:color="auto"/>
              <w:right w:val="single" w:sz="4" w:space="0" w:color="auto"/>
            </w:tcBorders>
          </w:tcPr>
          <w:p w14:paraId="15E3FF8A" w14:textId="77777777" w:rsidR="00175581" w:rsidRPr="003B572A" w:rsidRDefault="00175581" w:rsidP="003B4E6E">
            <w:pPr>
              <w:spacing w:before="60" w:after="60" w:line="252" w:lineRule="auto"/>
              <w:rPr>
                <w:rFonts w:ascii="Times New Roman" w:hAnsi="Times New Roman" w:cs="Times New Roman"/>
              </w:rPr>
            </w:pPr>
          </w:p>
        </w:tc>
        <w:tc>
          <w:tcPr>
            <w:tcW w:w="1875" w:type="pct"/>
            <w:tcBorders>
              <w:top w:val="single" w:sz="4" w:space="0" w:color="auto"/>
              <w:left w:val="single" w:sz="4" w:space="0" w:color="auto"/>
              <w:bottom w:val="single" w:sz="4" w:space="0" w:color="auto"/>
              <w:right w:val="single" w:sz="4" w:space="0" w:color="auto"/>
            </w:tcBorders>
          </w:tcPr>
          <w:p w14:paraId="66CF1D8F"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D12G W2</w:t>
            </w:r>
          </w:p>
          <w:p w14:paraId="32ADDB48"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Umowy podpisane pomiędzy szpitalami a Ministerstwem Zdrowia na zakup sprzętu medycznego lub wsparcie inwestycji infrastrukturalnych</w:t>
            </w:r>
          </w:p>
          <w:p w14:paraId="52C214F3" w14:textId="77777777"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Termin realizacji:</w:t>
            </w:r>
            <w:r w:rsidRPr="00A218D2">
              <w:rPr>
                <w:rFonts w:ascii="Times New Roman" w:hAnsi="Times New Roman" w:cs="Times New Roman"/>
              </w:rPr>
              <w:t xml:space="preserve"> IV kw. </w:t>
            </w:r>
            <w:r w:rsidRPr="00A218D2">
              <w:rPr>
                <w:rFonts w:ascii="Times New Roman" w:eastAsia="Times New Roman" w:hAnsi="Times New Roman" w:cs="Times New Roman"/>
              </w:rPr>
              <w:t>2024</w:t>
            </w:r>
          </w:p>
          <w:p w14:paraId="7AAA862A" w14:textId="77777777"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lastRenderedPageBreak/>
              <w:t>Wskaźniki ilościowe (dla wartości docelowych)</w:t>
            </w:r>
            <w:r w:rsidRPr="00A218D2">
              <w:rPr>
                <w:rFonts w:ascii="Times New Roman" w:hAnsi="Times New Roman" w:cs="Times New Roman"/>
              </w:rPr>
              <w:t xml:space="preserve"> – cel: 249</w:t>
            </w:r>
          </w:p>
          <w:p w14:paraId="7AE9FBEE"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7D72D145"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Liczba podpisanych umów pomiędzy szpitalem a Ministerstwem Zdrowia (lub inną instytucją wskazaną przez Ministerstwo) na zakup sprzętu medycznego lub rozbudowę infrastruktury.</w:t>
            </w:r>
          </w:p>
          <w:p w14:paraId="38D32EFD"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Sprzęt medyczny przyczyni się do poprawy jakości opieki, dostępności zasobów oraz zapewnienia terminowego i kompleksowego dostępu do opieki zdrowotnej.</w:t>
            </w:r>
          </w:p>
          <w:p w14:paraId="18BE818B"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Rozbudowa infrastruktury przyczyni się do poprawy jakości opieki, dostępności zasobów oraz zapewnienia terminowego i kompleksowego dostępu do opieki zdrowotnej.</w:t>
            </w:r>
          </w:p>
          <w:p w14:paraId="461FE941" w14:textId="0758B01E"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Wsparcie obejmuje wyłącznie zakres działalności związanej ze udzielaniem świadczeń zdrowotnych finansowanych przez Narodowy Fundusz Zdrowia i nie obejmuje działalności komercyjnej.</w:t>
            </w:r>
          </w:p>
        </w:tc>
        <w:tc>
          <w:tcPr>
            <w:tcW w:w="1986" w:type="pct"/>
            <w:tcBorders>
              <w:top w:val="single" w:sz="4" w:space="0" w:color="auto"/>
              <w:left w:val="single" w:sz="4" w:space="0" w:color="auto"/>
              <w:bottom w:val="single" w:sz="4" w:space="0" w:color="auto"/>
              <w:right w:val="single" w:sz="4" w:space="0" w:color="auto"/>
            </w:tcBorders>
          </w:tcPr>
          <w:p w14:paraId="51443170"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lastRenderedPageBreak/>
              <w:t>D12G W2</w:t>
            </w:r>
          </w:p>
          <w:p w14:paraId="402972D3" w14:textId="77777777" w:rsidR="00175581" w:rsidRPr="0042053C" w:rsidRDefault="00175581" w:rsidP="00C40440">
            <w:pPr>
              <w:spacing w:before="60" w:after="60" w:line="240" w:lineRule="auto"/>
              <w:rPr>
                <w:rFonts w:ascii="Times New Roman" w:hAnsi="Times New Roman" w:cs="Times New Roman"/>
              </w:rPr>
            </w:pPr>
            <w:r w:rsidRPr="0042053C">
              <w:rPr>
                <w:rFonts w:ascii="Times New Roman" w:hAnsi="Times New Roman" w:cs="Times New Roman"/>
              </w:rPr>
              <w:t>Umowy podpisane pomiędzy szpitalami a Ministerstwem Zdrowia na zakup sprzętu medycznego lub wsparcie inwestycji infrastrukturalnych.</w:t>
            </w:r>
          </w:p>
          <w:p w14:paraId="1126DA07"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rPr>
              <w:t>Termin realizacji:</w:t>
            </w:r>
            <w:r w:rsidRPr="0042053C">
              <w:rPr>
                <w:rFonts w:ascii="Times New Roman" w:hAnsi="Times New Roman" w:cs="Times New Roman"/>
              </w:rPr>
              <w:t xml:space="preserve"> </w:t>
            </w:r>
            <w:r w:rsidRPr="00C40440">
              <w:rPr>
                <w:rFonts w:ascii="Times New Roman" w:hAnsi="Times New Roman" w:cs="Times New Roman"/>
                <w:color w:val="FF0000"/>
              </w:rPr>
              <w:t xml:space="preserve">II kw. </w:t>
            </w:r>
            <w:r w:rsidRPr="00C40440">
              <w:rPr>
                <w:rFonts w:ascii="Times New Roman" w:eastAsia="Times New Roman" w:hAnsi="Times New Roman" w:cs="Times New Roman"/>
                <w:color w:val="FF0000"/>
              </w:rPr>
              <w:t>2025</w:t>
            </w:r>
          </w:p>
          <w:p w14:paraId="1A86FC10" w14:textId="0C2D9B99" w:rsidR="00175581" w:rsidRPr="0042053C"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lastRenderedPageBreak/>
              <w:t>Wskaźniki ilościowe (dla wartości docelowych)</w:t>
            </w:r>
            <w:r w:rsidRPr="0042053C">
              <w:rPr>
                <w:rFonts w:ascii="Times New Roman" w:hAnsi="Times New Roman" w:cs="Times New Roman"/>
              </w:rPr>
              <w:t xml:space="preserve"> – cel: </w:t>
            </w:r>
            <w:r w:rsidR="00D3504C">
              <w:rPr>
                <w:rFonts w:ascii="Times New Roman" w:hAnsi="Times New Roman" w:cs="Times New Roman"/>
              </w:rPr>
              <w:t>B</w:t>
            </w:r>
            <w:r w:rsidRPr="00C40440">
              <w:rPr>
                <w:rFonts w:ascii="Times New Roman" w:hAnsi="Times New Roman" w:cs="Times New Roman"/>
                <w:i/>
                <w:iCs/>
              </w:rPr>
              <w:t>ez zmian</w:t>
            </w:r>
          </w:p>
          <w:p w14:paraId="4780AA29"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2E0CB126" w14:textId="0E611474" w:rsidR="00175581" w:rsidRPr="00C40440" w:rsidRDefault="00D3504C" w:rsidP="00C40440">
            <w:pPr>
              <w:spacing w:before="60" w:after="60" w:line="240" w:lineRule="auto"/>
              <w:rPr>
                <w:rFonts w:ascii="Times New Roman" w:hAnsi="Times New Roman" w:cs="Times New Roman"/>
                <w:i/>
                <w:iCs/>
              </w:rPr>
            </w:pPr>
            <w:r>
              <w:rPr>
                <w:rFonts w:ascii="Times New Roman" w:hAnsi="Times New Roman" w:cs="Times New Roman"/>
                <w:i/>
                <w:iCs/>
              </w:rPr>
              <w:t>B</w:t>
            </w:r>
            <w:r w:rsidR="00175581" w:rsidRPr="00C40440">
              <w:rPr>
                <w:rFonts w:ascii="Times New Roman" w:hAnsi="Times New Roman" w:cs="Times New Roman"/>
                <w:i/>
                <w:iCs/>
              </w:rPr>
              <w:t>ez zmian</w:t>
            </w:r>
          </w:p>
          <w:p w14:paraId="37F4D8DF" w14:textId="77777777" w:rsidR="00175581" w:rsidRPr="00A218D2" w:rsidRDefault="00175581" w:rsidP="00C40440">
            <w:pPr>
              <w:spacing w:before="60" w:after="60" w:line="240" w:lineRule="auto"/>
              <w:rPr>
                <w:rFonts w:ascii="Times New Roman" w:hAnsi="Times New Roman" w:cs="Times New Roman"/>
              </w:rPr>
            </w:pPr>
          </w:p>
        </w:tc>
      </w:tr>
      <w:tr w:rsidR="00175581" w:rsidRPr="003B572A" w14:paraId="58BD89F9" w14:textId="77777777" w:rsidTr="00C40440">
        <w:trPr>
          <w:trHeight w:val="850"/>
        </w:trPr>
        <w:tc>
          <w:tcPr>
            <w:tcW w:w="1139" w:type="pct"/>
            <w:tcBorders>
              <w:top w:val="single" w:sz="4" w:space="0" w:color="auto"/>
              <w:left w:val="single" w:sz="4" w:space="0" w:color="auto"/>
              <w:bottom w:val="single" w:sz="4" w:space="0" w:color="auto"/>
              <w:right w:val="single" w:sz="4" w:space="0" w:color="auto"/>
            </w:tcBorders>
          </w:tcPr>
          <w:p w14:paraId="20FFC594" w14:textId="77777777" w:rsidR="00175581" w:rsidRPr="003B572A" w:rsidRDefault="00175581" w:rsidP="003B4E6E">
            <w:pPr>
              <w:spacing w:before="60" w:after="60" w:line="252" w:lineRule="auto"/>
              <w:rPr>
                <w:rFonts w:ascii="Times New Roman" w:hAnsi="Times New Roman" w:cs="Times New Roman"/>
              </w:rPr>
            </w:pPr>
          </w:p>
        </w:tc>
        <w:tc>
          <w:tcPr>
            <w:tcW w:w="1875" w:type="pct"/>
            <w:tcBorders>
              <w:top w:val="single" w:sz="4" w:space="0" w:color="auto"/>
              <w:left w:val="single" w:sz="4" w:space="0" w:color="auto"/>
              <w:bottom w:val="single" w:sz="4" w:space="0" w:color="auto"/>
              <w:right w:val="single" w:sz="4" w:space="0" w:color="auto"/>
            </w:tcBorders>
          </w:tcPr>
          <w:p w14:paraId="0F4B8CC5" w14:textId="77777777"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D13G</w:t>
            </w:r>
            <w:r w:rsidRPr="00A218D2">
              <w:rPr>
                <w:rFonts w:ascii="Times New Roman" w:hAnsi="Times New Roman" w:cs="Times New Roman"/>
              </w:rPr>
              <w:t xml:space="preserve"> </w:t>
            </w:r>
          </w:p>
          <w:p w14:paraId="6064186A"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Szpitale z nowym sprzętem medycznym zakupionym w związku z ich restrukturyzacją lub ich wprowadzeniem do Krajowej Sieci Onkologicznej.</w:t>
            </w:r>
          </w:p>
          <w:p w14:paraId="7B0972D8" w14:textId="503DBC46"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Termin realizacji:</w:t>
            </w:r>
            <w:r w:rsidRPr="00A218D2">
              <w:rPr>
                <w:rFonts w:ascii="Times New Roman" w:hAnsi="Times New Roman" w:cs="Times New Roman"/>
              </w:rPr>
              <w:t xml:space="preserve"> II kw. 2026</w:t>
            </w:r>
            <w:r w:rsidR="00D3504C">
              <w:rPr>
                <w:rFonts w:ascii="Times New Roman" w:hAnsi="Times New Roman" w:cs="Times New Roman"/>
              </w:rPr>
              <w:t>r.</w:t>
            </w:r>
            <w:r w:rsidRPr="00A218D2">
              <w:rPr>
                <w:rFonts w:ascii="Times New Roman" w:hAnsi="Times New Roman" w:cs="Times New Roman"/>
              </w:rPr>
              <w:t xml:space="preserve"> </w:t>
            </w:r>
          </w:p>
          <w:p w14:paraId="3487CE97" w14:textId="77777777"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Wskaźniki ilościowe (dla wartości docelowych)</w:t>
            </w:r>
            <w:r w:rsidRPr="00A218D2">
              <w:rPr>
                <w:rFonts w:ascii="Times New Roman" w:hAnsi="Times New Roman" w:cs="Times New Roman"/>
              </w:rPr>
              <w:t xml:space="preserve"> – cel: 226</w:t>
            </w:r>
          </w:p>
          <w:p w14:paraId="590D5617"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6FAC8506"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Liczba szpitali, w których zakupiono nowy sprzęt medyczny w związku z ich restrukturyzacją lub ich wprowadzeniem do Krajowej Sieci Onkologicznej.</w:t>
            </w:r>
          </w:p>
          <w:p w14:paraId="48781AC2"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Zakupiony sprzęt medyczny przyczyni się do poprawy jakości opieki, dostępności zasobów oraz zapewnienia terminowego i kompleksowego dostępu do opieki zdrowotnej.</w:t>
            </w:r>
          </w:p>
          <w:p w14:paraId="2C2A4075" w14:textId="51B1B0FF"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lastRenderedPageBreak/>
              <w:t>Wsparcie obejmuje wyłącznie zakres działalności związanej ze udzielaniem świadczeń zdrowotnych finansowanych przez Narodowy Fundusz Zdrowia i nie obejmuje działalności komercyjnej.</w:t>
            </w:r>
          </w:p>
        </w:tc>
        <w:tc>
          <w:tcPr>
            <w:tcW w:w="1986" w:type="pct"/>
            <w:tcBorders>
              <w:top w:val="single" w:sz="4" w:space="0" w:color="auto"/>
              <w:left w:val="single" w:sz="4" w:space="0" w:color="auto"/>
              <w:bottom w:val="single" w:sz="4" w:space="0" w:color="auto"/>
              <w:right w:val="single" w:sz="4" w:space="0" w:color="auto"/>
            </w:tcBorders>
          </w:tcPr>
          <w:p w14:paraId="6BF79CF2"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rPr>
              <w:lastRenderedPageBreak/>
              <w:t>D13G</w:t>
            </w:r>
            <w:r w:rsidRPr="00C40440">
              <w:rPr>
                <w:rFonts w:ascii="Times New Roman" w:hAnsi="Times New Roman" w:cs="Times New Roman"/>
                <w:color w:val="FF0000"/>
              </w:rPr>
              <w:t xml:space="preserve"> </w:t>
            </w:r>
          </w:p>
          <w:p w14:paraId="154CE4F4"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xml:space="preserve">Szpitale z nowym sprzętem medycznym lub zrealizowanymi inwestycjami infrastrukturalnymi </w:t>
            </w:r>
          </w:p>
          <w:p w14:paraId="41F833FD" w14:textId="00764519" w:rsidR="00175581" w:rsidRPr="0042053C"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Termin realizacji:</w:t>
            </w:r>
            <w:r w:rsidRPr="0042053C">
              <w:rPr>
                <w:rFonts w:ascii="Times New Roman" w:hAnsi="Times New Roman" w:cs="Times New Roman"/>
              </w:rPr>
              <w:t xml:space="preserve"> </w:t>
            </w:r>
            <w:r w:rsidR="00D3504C" w:rsidRPr="00A218D2">
              <w:rPr>
                <w:rFonts w:ascii="Times New Roman" w:hAnsi="Times New Roman" w:cs="Times New Roman"/>
              </w:rPr>
              <w:t xml:space="preserve"> II kw. 2026</w:t>
            </w:r>
            <w:r w:rsidR="00D3504C">
              <w:rPr>
                <w:rFonts w:ascii="Times New Roman" w:hAnsi="Times New Roman" w:cs="Times New Roman"/>
              </w:rPr>
              <w:t>r.</w:t>
            </w:r>
          </w:p>
          <w:p w14:paraId="69EF5875" w14:textId="77777777" w:rsidR="00175581" w:rsidRPr="0042053C"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Wskaźniki ilościowe (dla wartości docelowych)</w:t>
            </w:r>
            <w:r w:rsidRPr="0042053C">
              <w:rPr>
                <w:rFonts w:ascii="Times New Roman" w:hAnsi="Times New Roman" w:cs="Times New Roman"/>
              </w:rPr>
              <w:t xml:space="preserve"> – cel: 226</w:t>
            </w:r>
          </w:p>
          <w:p w14:paraId="1E2181C2"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067BAF9E" w14:textId="77777777"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Liczba szpitali, w których zakupiono nowy sprzęt medyczny lub wsparto inwestycje infrastrukturalne.</w:t>
            </w:r>
          </w:p>
          <w:p w14:paraId="520D0675" w14:textId="77777777" w:rsidR="00175581" w:rsidRPr="00A218D2" w:rsidRDefault="00175581" w:rsidP="00C40440">
            <w:pPr>
              <w:spacing w:before="60" w:after="60" w:line="240" w:lineRule="auto"/>
              <w:rPr>
                <w:rFonts w:ascii="Times New Roman" w:hAnsi="Times New Roman" w:cs="Times New Roman"/>
              </w:rPr>
            </w:pPr>
            <w:r w:rsidRPr="00506FEC">
              <w:rPr>
                <w:rFonts w:ascii="Times New Roman" w:hAnsi="Times New Roman" w:cs="Times New Roman"/>
                <w:i/>
                <w:iCs/>
              </w:rPr>
              <w:t>Dalej bez zmian</w:t>
            </w:r>
          </w:p>
        </w:tc>
      </w:tr>
      <w:tr w:rsidR="00175581" w:rsidRPr="003B572A" w14:paraId="57D5660D" w14:textId="77777777" w:rsidTr="003B4E6E">
        <w:trPr>
          <w:trHeight w:val="300"/>
        </w:trPr>
        <w:tc>
          <w:tcPr>
            <w:tcW w:w="1139" w:type="pct"/>
            <w:tcBorders>
              <w:top w:val="single" w:sz="4" w:space="0" w:color="auto"/>
              <w:left w:val="single" w:sz="4" w:space="0" w:color="auto"/>
              <w:bottom w:val="single" w:sz="4" w:space="0" w:color="auto"/>
              <w:right w:val="single" w:sz="4" w:space="0" w:color="auto"/>
            </w:tcBorders>
          </w:tcPr>
          <w:p w14:paraId="56DBE11C" w14:textId="1E092FB4" w:rsidR="00175581" w:rsidRPr="00BD7EA5" w:rsidRDefault="00175581" w:rsidP="003B4E6E">
            <w:pPr>
              <w:spacing w:before="60" w:after="60" w:line="252" w:lineRule="auto"/>
              <w:rPr>
                <w:rFonts w:ascii="Times New Roman" w:hAnsi="Times New Roman" w:cs="Times New Roman"/>
                <w:lang w:val="en-GB"/>
              </w:rPr>
            </w:pPr>
          </w:p>
        </w:tc>
        <w:tc>
          <w:tcPr>
            <w:tcW w:w="1875" w:type="pct"/>
            <w:tcBorders>
              <w:top w:val="single" w:sz="4" w:space="0" w:color="auto"/>
              <w:left w:val="single" w:sz="4" w:space="0" w:color="auto"/>
              <w:bottom w:val="single" w:sz="4" w:space="0" w:color="auto"/>
              <w:right w:val="single" w:sz="4" w:space="0" w:color="auto"/>
            </w:tcBorders>
          </w:tcPr>
          <w:p w14:paraId="4C57D67F"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D14G </w:t>
            </w:r>
          </w:p>
          <w:p w14:paraId="27E80B8D" w14:textId="379E368E"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Szpitale z rozbudowaną infrastrukturą w związku z ich restrukturyzacją lub ich wprowadzeniem do Krajowej Sieci Onkologicznej.</w:t>
            </w:r>
          </w:p>
          <w:p w14:paraId="0C0FE529" w14:textId="2032CBFD"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Termin realizacji:</w:t>
            </w:r>
            <w:r w:rsidRPr="00A218D2">
              <w:rPr>
                <w:rFonts w:ascii="Times New Roman" w:hAnsi="Times New Roman" w:cs="Times New Roman"/>
              </w:rPr>
              <w:t xml:space="preserve"> II kw. 2026</w:t>
            </w:r>
            <w:r w:rsidR="00D3504C">
              <w:rPr>
                <w:rFonts w:ascii="Times New Roman" w:hAnsi="Times New Roman" w:cs="Times New Roman"/>
              </w:rPr>
              <w:t>r.</w:t>
            </w:r>
            <w:r w:rsidRPr="00A218D2">
              <w:rPr>
                <w:rFonts w:ascii="Times New Roman" w:hAnsi="Times New Roman" w:cs="Times New Roman"/>
              </w:rPr>
              <w:t xml:space="preserve"> </w:t>
            </w:r>
          </w:p>
          <w:p w14:paraId="58D70D91" w14:textId="77777777"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Wskaźniki ilościowe (dla wartości docelowych)</w:t>
            </w:r>
            <w:r w:rsidRPr="00A218D2">
              <w:rPr>
                <w:rFonts w:ascii="Times New Roman" w:hAnsi="Times New Roman" w:cs="Times New Roman"/>
              </w:rPr>
              <w:t xml:space="preserve"> – cel: 211</w:t>
            </w:r>
          </w:p>
          <w:p w14:paraId="4D304BF1"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50DE3557"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Liczba szpitali ze zwiększonymi inwestycjami infrastrukturalnymi w związku z ich restrukturyzacją lub ich wprowadzeniem do Krajowej Sieci Onkologicznej.</w:t>
            </w:r>
          </w:p>
          <w:p w14:paraId="77B12DCF"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Rozbudowana infrastruktura przyczyni się do poprawy jakości opieki, dostępności zasobów oraz zapewnienia terminowego i kompleksowego dostępu do opieki zdrowotnej.</w:t>
            </w:r>
          </w:p>
          <w:p w14:paraId="5B4208CA" w14:textId="3409564C"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 xml:space="preserve"> Wsparcie obejmuje wyłącznie zakres działalności związanej ze udzielaniem świadczeń zdrowotnych finansowanych przez Narodowy Fundusz Zdrowia i nie obejmuje działalności komercyjnej.</w:t>
            </w:r>
          </w:p>
        </w:tc>
        <w:tc>
          <w:tcPr>
            <w:tcW w:w="1986" w:type="pct"/>
            <w:tcBorders>
              <w:top w:val="single" w:sz="4" w:space="0" w:color="auto"/>
              <w:left w:val="single" w:sz="4" w:space="0" w:color="auto"/>
              <w:bottom w:val="single" w:sz="4" w:space="0" w:color="auto"/>
              <w:right w:val="single" w:sz="4" w:space="0" w:color="auto"/>
            </w:tcBorders>
          </w:tcPr>
          <w:p w14:paraId="0F580B0C"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D14G</w:t>
            </w:r>
          </w:p>
          <w:p w14:paraId="3FAC80C9" w14:textId="77777777" w:rsidR="00175581" w:rsidRPr="00A218D2" w:rsidRDefault="00175581" w:rsidP="00C40440">
            <w:pPr>
              <w:spacing w:before="60" w:after="60" w:line="240" w:lineRule="auto"/>
              <w:rPr>
                <w:rFonts w:ascii="Times New Roman" w:hAnsi="Times New Roman" w:cs="Times New Roman"/>
              </w:rPr>
            </w:pPr>
            <w:r w:rsidRPr="00C40440">
              <w:rPr>
                <w:rFonts w:ascii="Times New Roman" w:hAnsi="Times New Roman" w:cs="Times New Roman"/>
                <w:color w:val="FF0000"/>
              </w:rPr>
              <w:t xml:space="preserve">Wskaźnik proponowany połączenia z D13G. </w:t>
            </w:r>
          </w:p>
        </w:tc>
      </w:tr>
      <w:tr w:rsidR="00175581" w:rsidRPr="00D3504C" w14:paraId="220EF2E7" w14:textId="77777777" w:rsidTr="003B4E6E">
        <w:trPr>
          <w:trHeight w:val="300"/>
        </w:trPr>
        <w:tc>
          <w:tcPr>
            <w:tcW w:w="1139" w:type="pct"/>
            <w:tcBorders>
              <w:top w:val="single" w:sz="4" w:space="0" w:color="auto"/>
              <w:left w:val="single" w:sz="4" w:space="0" w:color="auto"/>
              <w:bottom w:val="single" w:sz="4" w:space="0" w:color="auto"/>
              <w:right w:val="single" w:sz="4" w:space="0" w:color="auto"/>
            </w:tcBorders>
          </w:tcPr>
          <w:p w14:paraId="49677556" w14:textId="77777777" w:rsidR="00175581" w:rsidRPr="00C40440" w:rsidRDefault="00175581" w:rsidP="003B4E6E">
            <w:pPr>
              <w:spacing w:before="60" w:after="60" w:line="252" w:lineRule="auto"/>
              <w:rPr>
                <w:rFonts w:ascii="Times New Roman" w:hAnsi="Times New Roman" w:cs="Times New Roman"/>
              </w:rPr>
            </w:pPr>
          </w:p>
        </w:tc>
        <w:tc>
          <w:tcPr>
            <w:tcW w:w="1875" w:type="pct"/>
            <w:tcBorders>
              <w:top w:val="single" w:sz="4" w:space="0" w:color="auto"/>
              <w:left w:val="single" w:sz="4" w:space="0" w:color="auto"/>
              <w:bottom w:val="single" w:sz="4" w:space="0" w:color="auto"/>
              <w:right w:val="single" w:sz="4" w:space="0" w:color="auto"/>
            </w:tcBorders>
          </w:tcPr>
          <w:p w14:paraId="210D3431"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D3L </w:t>
            </w:r>
          </w:p>
          <w:p w14:paraId="12980E60"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Lista szpitali powiatowych wybranych do dodatkowego wsparcia tworzenia łóżek długoterminowych i geriatrycznych, na podstawie określonych kryteriów wyboru</w:t>
            </w:r>
          </w:p>
          <w:p w14:paraId="62C15ACB" w14:textId="15B89CBD"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Termin realizacji: </w:t>
            </w:r>
            <w:r w:rsidR="00D3504C" w:rsidRPr="00C40440">
              <w:rPr>
                <w:rFonts w:ascii="Times New Roman" w:hAnsi="Times New Roman" w:cs="Times New Roman"/>
              </w:rPr>
              <w:t xml:space="preserve">II kw. </w:t>
            </w:r>
            <w:r w:rsidRPr="00C40440">
              <w:rPr>
                <w:rFonts w:ascii="Times New Roman" w:hAnsi="Times New Roman" w:cs="Times New Roman"/>
              </w:rPr>
              <w:t>2023</w:t>
            </w:r>
            <w:r w:rsidR="00D3504C" w:rsidRPr="00C40440">
              <w:rPr>
                <w:rFonts w:ascii="Times New Roman" w:hAnsi="Times New Roman" w:cs="Times New Roman"/>
              </w:rPr>
              <w:t>r.</w:t>
            </w:r>
          </w:p>
        </w:tc>
        <w:tc>
          <w:tcPr>
            <w:tcW w:w="1986" w:type="pct"/>
            <w:tcBorders>
              <w:top w:val="single" w:sz="4" w:space="0" w:color="auto"/>
              <w:left w:val="single" w:sz="4" w:space="0" w:color="auto"/>
              <w:bottom w:val="single" w:sz="4" w:space="0" w:color="auto"/>
              <w:right w:val="single" w:sz="4" w:space="0" w:color="auto"/>
            </w:tcBorders>
          </w:tcPr>
          <w:p w14:paraId="2EC513E9"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D3L </w:t>
            </w:r>
          </w:p>
          <w:p w14:paraId="59999647" w14:textId="77777777" w:rsidR="00175581" w:rsidRPr="00C40440" w:rsidRDefault="00175581" w:rsidP="00C40440">
            <w:pPr>
              <w:spacing w:before="60" w:after="60" w:line="240" w:lineRule="auto"/>
              <w:rPr>
                <w:rFonts w:ascii="Times New Roman" w:hAnsi="Times New Roman" w:cs="Times New Roman"/>
                <w:i/>
                <w:iCs/>
              </w:rPr>
            </w:pPr>
            <w:r w:rsidRPr="00C40440">
              <w:rPr>
                <w:rFonts w:ascii="Times New Roman" w:hAnsi="Times New Roman" w:cs="Times New Roman"/>
                <w:i/>
                <w:iCs/>
              </w:rPr>
              <w:t>Bez zmian</w:t>
            </w:r>
          </w:p>
          <w:p w14:paraId="74270A51" w14:textId="77777777" w:rsidR="00175581" w:rsidRPr="00C40440" w:rsidRDefault="00175581" w:rsidP="00C40440">
            <w:pPr>
              <w:spacing w:before="60" w:after="60" w:line="240" w:lineRule="auto"/>
              <w:rPr>
                <w:rFonts w:ascii="Times New Roman" w:hAnsi="Times New Roman" w:cs="Times New Roman"/>
                <w:color w:val="FF0000"/>
              </w:rPr>
            </w:pPr>
          </w:p>
          <w:p w14:paraId="18C3AE2E" w14:textId="77777777" w:rsidR="00175581" w:rsidRPr="00C40440" w:rsidRDefault="00175581" w:rsidP="00C40440">
            <w:pPr>
              <w:spacing w:before="60" w:after="60" w:line="240" w:lineRule="auto"/>
              <w:rPr>
                <w:rFonts w:ascii="Times New Roman" w:hAnsi="Times New Roman" w:cs="Times New Roman"/>
                <w:color w:val="FF0000"/>
              </w:rPr>
            </w:pPr>
          </w:p>
          <w:p w14:paraId="25FDCBCA" w14:textId="77777777" w:rsidR="00175581" w:rsidRPr="00C40440" w:rsidRDefault="00175581" w:rsidP="00C40440">
            <w:pPr>
              <w:spacing w:before="60" w:after="60" w:line="240" w:lineRule="auto"/>
              <w:rPr>
                <w:rFonts w:ascii="Times New Roman" w:hAnsi="Times New Roman" w:cs="Times New Roman"/>
                <w:color w:val="FF0000"/>
              </w:rPr>
            </w:pPr>
          </w:p>
          <w:p w14:paraId="147FDD40" w14:textId="77777777" w:rsidR="00175581" w:rsidRPr="00C40440" w:rsidRDefault="00175581" w:rsidP="00C40440">
            <w:pPr>
              <w:spacing w:before="60" w:after="60" w:line="240" w:lineRule="auto"/>
              <w:rPr>
                <w:rFonts w:ascii="Times New Roman" w:hAnsi="Times New Roman" w:cs="Times New Roman"/>
                <w:color w:val="FF0000"/>
              </w:rPr>
            </w:pPr>
          </w:p>
          <w:p w14:paraId="6BB53714" w14:textId="06E2A254"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color w:val="FF0000"/>
              </w:rPr>
              <w:t xml:space="preserve">Termin realizacji: </w:t>
            </w:r>
            <w:r w:rsidR="00D3504C">
              <w:rPr>
                <w:rFonts w:ascii="Times New Roman" w:hAnsi="Times New Roman" w:cs="Times New Roman"/>
                <w:color w:val="FF0000"/>
              </w:rPr>
              <w:t xml:space="preserve">IV kw. </w:t>
            </w:r>
            <w:r w:rsidRPr="00C40440">
              <w:rPr>
                <w:rFonts w:ascii="Times New Roman" w:hAnsi="Times New Roman" w:cs="Times New Roman"/>
                <w:color w:val="FF0000"/>
              </w:rPr>
              <w:t>2024</w:t>
            </w:r>
            <w:r w:rsidR="00D3504C">
              <w:rPr>
                <w:rFonts w:ascii="Times New Roman" w:hAnsi="Times New Roman" w:cs="Times New Roman"/>
                <w:color w:val="FF0000"/>
              </w:rPr>
              <w:t>r.</w:t>
            </w:r>
            <w:r w:rsidRPr="00C40440">
              <w:rPr>
                <w:rFonts w:ascii="Times New Roman" w:hAnsi="Times New Roman" w:cs="Times New Roman"/>
                <w:color w:val="FF0000"/>
              </w:rPr>
              <w:t xml:space="preserve"> </w:t>
            </w:r>
          </w:p>
        </w:tc>
      </w:tr>
      <w:tr w:rsidR="00175581" w:rsidRPr="00D3504C" w14:paraId="43F98ED7" w14:textId="77777777" w:rsidTr="003B4E6E">
        <w:trPr>
          <w:trHeight w:val="300"/>
        </w:trPr>
        <w:tc>
          <w:tcPr>
            <w:tcW w:w="1139" w:type="pct"/>
            <w:tcBorders>
              <w:top w:val="single" w:sz="4" w:space="0" w:color="auto"/>
              <w:left w:val="single" w:sz="4" w:space="0" w:color="auto"/>
              <w:bottom w:val="single" w:sz="4" w:space="0" w:color="auto"/>
              <w:right w:val="single" w:sz="4" w:space="0" w:color="auto"/>
            </w:tcBorders>
          </w:tcPr>
          <w:p w14:paraId="32894C7A" w14:textId="77777777" w:rsidR="00175581" w:rsidRPr="00C40440" w:rsidRDefault="00175581" w:rsidP="003B4E6E">
            <w:pPr>
              <w:spacing w:before="60" w:after="60" w:line="252" w:lineRule="auto"/>
              <w:rPr>
                <w:rFonts w:ascii="Times New Roman" w:hAnsi="Times New Roman" w:cs="Times New Roman"/>
              </w:rPr>
            </w:pPr>
          </w:p>
        </w:tc>
        <w:tc>
          <w:tcPr>
            <w:tcW w:w="1875" w:type="pct"/>
            <w:tcBorders>
              <w:top w:val="single" w:sz="4" w:space="0" w:color="auto"/>
              <w:left w:val="single" w:sz="4" w:space="0" w:color="auto"/>
              <w:bottom w:val="single" w:sz="4" w:space="0" w:color="auto"/>
              <w:right w:val="single" w:sz="4" w:space="0" w:color="auto"/>
            </w:tcBorders>
          </w:tcPr>
          <w:p w14:paraId="5847C5E0"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D4L </w:t>
            </w:r>
          </w:p>
          <w:p w14:paraId="547F0F3F"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Podpisane umowy pomiędzy szpitalami powiatowymi a Ministerstwem Zdrowia (lub inną instytucją wskazaną przez Ministerstwo) na wsparcie inwestycyjne w tworzeniu jednostek/ośrodków opieki długoterminowej i geriatrycznej</w:t>
            </w:r>
          </w:p>
          <w:p w14:paraId="11700854" w14:textId="6177D345"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lastRenderedPageBreak/>
              <w:t>Termin realizacji: II kw</w:t>
            </w:r>
            <w:r w:rsidR="0042053C" w:rsidRPr="00C40440">
              <w:rPr>
                <w:rFonts w:ascii="Times New Roman" w:hAnsi="Times New Roman" w:cs="Times New Roman"/>
              </w:rPr>
              <w:t>.</w:t>
            </w:r>
            <w:r w:rsidRPr="00C40440">
              <w:rPr>
                <w:rFonts w:ascii="Times New Roman" w:hAnsi="Times New Roman" w:cs="Times New Roman"/>
              </w:rPr>
              <w:t xml:space="preserve"> 2023</w:t>
            </w:r>
            <w:r w:rsidR="00D3504C" w:rsidRPr="00C40440">
              <w:rPr>
                <w:rFonts w:ascii="Times New Roman" w:hAnsi="Times New Roman" w:cs="Times New Roman"/>
              </w:rPr>
              <w:t>r.</w:t>
            </w:r>
          </w:p>
        </w:tc>
        <w:tc>
          <w:tcPr>
            <w:tcW w:w="1986" w:type="pct"/>
            <w:tcBorders>
              <w:top w:val="single" w:sz="4" w:space="0" w:color="auto"/>
              <w:left w:val="single" w:sz="4" w:space="0" w:color="auto"/>
              <w:bottom w:val="single" w:sz="4" w:space="0" w:color="auto"/>
              <w:right w:val="single" w:sz="4" w:space="0" w:color="auto"/>
            </w:tcBorders>
          </w:tcPr>
          <w:p w14:paraId="11FC3A3D"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lastRenderedPageBreak/>
              <w:t>D4L</w:t>
            </w:r>
          </w:p>
          <w:p w14:paraId="1452E0B9" w14:textId="77777777" w:rsidR="00175581" w:rsidRPr="00C40440" w:rsidRDefault="00175581" w:rsidP="00C40440">
            <w:pPr>
              <w:spacing w:before="60" w:after="60" w:line="240" w:lineRule="auto"/>
              <w:rPr>
                <w:rFonts w:ascii="Times New Roman" w:hAnsi="Times New Roman" w:cs="Times New Roman"/>
                <w:i/>
                <w:iCs/>
              </w:rPr>
            </w:pPr>
            <w:r w:rsidRPr="00C40440">
              <w:rPr>
                <w:rFonts w:ascii="Times New Roman" w:hAnsi="Times New Roman" w:cs="Times New Roman"/>
                <w:i/>
                <w:iCs/>
              </w:rPr>
              <w:t>Bez zmian</w:t>
            </w:r>
          </w:p>
          <w:p w14:paraId="4A83D347" w14:textId="77777777" w:rsidR="00175581" w:rsidRPr="00C40440" w:rsidRDefault="00175581" w:rsidP="00C40440">
            <w:pPr>
              <w:spacing w:before="60" w:after="60" w:line="240" w:lineRule="auto"/>
              <w:rPr>
                <w:rFonts w:ascii="Times New Roman" w:hAnsi="Times New Roman" w:cs="Times New Roman"/>
                <w:color w:val="FF0000"/>
              </w:rPr>
            </w:pPr>
          </w:p>
          <w:p w14:paraId="3E4D1BDE" w14:textId="77777777" w:rsidR="00175581" w:rsidRPr="00C40440" w:rsidRDefault="00175581" w:rsidP="00C40440">
            <w:pPr>
              <w:spacing w:before="60" w:after="60" w:line="240" w:lineRule="auto"/>
              <w:rPr>
                <w:rFonts w:ascii="Times New Roman" w:hAnsi="Times New Roman" w:cs="Times New Roman"/>
                <w:color w:val="FF0000"/>
              </w:rPr>
            </w:pPr>
          </w:p>
          <w:p w14:paraId="2F32DBA8" w14:textId="77777777" w:rsidR="00175581" w:rsidRPr="00C40440" w:rsidRDefault="00175581" w:rsidP="00C40440">
            <w:pPr>
              <w:spacing w:before="60" w:after="60" w:line="240" w:lineRule="auto"/>
              <w:rPr>
                <w:rFonts w:ascii="Times New Roman" w:hAnsi="Times New Roman" w:cs="Times New Roman"/>
                <w:color w:val="FF0000"/>
              </w:rPr>
            </w:pPr>
          </w:p>
          <w:p w14:paraId="4D2184DC" w14:textId="77777777" w:rsidR="00175581" w:rsidRPr="00C40440" w:rsidRDefault="00175581" w:rsidP="00C40440">
            <w:pPr>
              <w:spacing w:before="60" w:after="60" w:line="240" w:lineRule="auto"/>
              <w:rPr>
                <w:rFonts w:ascii="Times New Roman" w:hAnsi="Times New Roman" w:cs="Times New Roman"/>
                <w:color w:val="FF0000"/>
              </w:rPr>
            </w:pPr>
          </w:p>
          <w:p w14:paraId="1BE3CB0B" w14:textId="77777777" w:rsidR="00D3504C" w:rsidRPr="00C40440" w:rsidRDefault="00D3504C" w:rsidP="00C40440">
            <w:pPr>
              <w:spacing w:before="60" w:after="60" w:line="240" w:lineRule="auto"/>
              <w:rPr>
                <w:rFonts w:ascii="Times New Roman" w:hAnsi="Times New Roman" w:cs="Times New Roman"/>
                <w:color w:val="FF0000"/>
              </w:rPr>
            </w:pPr>
          </w:p>
          <w:p w14:paraId="71D2EDCC" w14:textId="4CF0F7D3" w:rsidR="00175581" w:rsidRPr="00C40440" w:rsidRDefault="00175581" w:rsidP="00C40440">
            <w:pPr>
              <w:spacing w:before="60" w:after="60" w:line="240" w:lineRule="auto"/>
              <w:rPr>
                <w:rFonts w:ascii="Times New Roman" w:hAnsi="Times New Roman" w:cs="Times New Roman"/>
                <w:color w:val="FF0000"/>
              </w:rPr>
            </w:pPr>
            <w:r w:rsidRPr="00C40440">
              <w:rPr>
                <w:rFonts w:ascii="Times New Roman" w:hAnsi="Times New Roman" w:cs="Times New Roman"/>
              </w:rPr>
              <w:lastRenderedPageBreak/>
              <w:t xml:space="preserve">Termin realizacji: </w:t>
            </w:r>
            <w:r w:rsidRPr="00C40440">
              <w:rPr>
                <w:rFonts w:ascii="Times New Roman" w:hAnsi="Times New Roman" w:cs="Times New Roman"/>
                <w:color w:val="FF0000"/>
              </w:rPr>
              <w:t>II kw</w:t>
            </w:r>
            <w:r w:rsidR="0042053C">
              <w:rPr>
                <w:rFonts w:ascii="Times New Roman" w:hAnsi="Times New Roman" w:cs="Times New Roman"/>
                <w:color w:val="FF0000"/>
              </w:rPr>
              <w:t xml:space="preserve">. </w:t>
            </w:r>
            <w:r w:rsidRPr="00C40440">
              <w:rPr>
                <w:rFonts w:ascii="Times New Roman" w:hAnsi="Times New Roman" w:cs="Times New Roman"/>
                <w:color w:val="FF0000"/>
              </w:rPr>
              <w:t>2025</w:t>
            </w:r>
            <w:r w:rsidR="00D3504C">
              <w:rPr>
                <w:rFonts w:ascii="Times New Roman" w:hAnsi="Times New Roman" w:cs="Times New Roman"/>
                <w:color w:val="FF0000"/>
              </w:rPr>
              <w:t>r.</w:t>
            </w:r>
          </w:p>
        </w:tc>
      </w:tr>
      <w:tr w:rsidR="00175581" w:rsidRPr="00A26E88" w14:paraId="24946FBD" w14:textId="77777777" w:rsidTr="003B4E6E">
        <w:tc>
          <w:tcPr>
            <w:tcW w:w="1139" w:type="pct"/>
          </w:tcPr>
          <w:p w14:paraId="57E99EF4"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lastRenderedPageBreak/>
              <w:t>Uzasadnienie</w:t>
            </w:r>
          </w:p>
        </w:tc>
        <w:tc>
          <w:tcPr>
            <w:tcW w:w="3861" w:type="pct"/>
            <w:gridSpan w:val="2"/>
          </w:tcPr>
          <w:p w14:paraId="33D37101" w14:textId="77777777" w:rsidR="00175581" w:rsidRPr="00C40440" w:rsidRDefault="00175581" w:rsidP="00C40440">
            <w:pPr>
              <w:spacing w:before="60" w:after="60" w:line="240" w:lineRule="auto"/>
              <w:rPr>
                <w:rFonts w:ascii="Times New Roman" w:hAnsi="Times New Roman" w:cs="Times New Roman"/>
              </w:rPr>
            </w:pPr>
            <w:r w:rsidRPr="00C40440">
              <w:rPr>
                <w:rFonts w:ascii="Times New Roman" w:hAnsi="Times New Roman" w:cs="Times New Roman"/>
              </w:rPr>
              <w:t xml:space="preserve">Inwestycja </w:t>
            </w:r>
            <w:r w:rsidRPr="00C40440">
              <w:rPr>
                <w:rFonts w:ascii="Times New Roman" w:hAnsi="Times New Roman" w:cs="Times New Roman"/>
                <w:i/>
                <w:iCs/>
              </w:rPr>
              <w:t>D1.1.1 Rozwój i modernizacja infrastruktury centrów opieki wysokospecjalistycznej i innych podmiotów leczniczych</w:t>
            </w:r>
            <w:r w:rsidRPr="00C40440">
              <w:rPr>
                <w:rFonts w:ascii="Times New Roman" w:hAnsi="Times New Roman" w:cs="Times New Roman"/>
              </w:rPr>
              <w:t xml:space="preserve"> </w:t>
            </w:r>
          </w:p>
          <w:p w14:paraId="51A2FAFE" w14:textId="77777777" w:rsidR="00175581" w:rsidRPr="00A218D2" w:rsidRDefault="00175581" w:rsidP="00C40440">
            <w:pPr>
              <w:spacing w:before="60" w:after="60" w:line="240" w:lineRule="auto"/>
              <w:rPr>
                <w:rFonts w:ascii="Times New Roman" w:hAnsi="Times New Roman" w:cs="Times New Roman"/>
                <w:i/>
                <w:iCs/>
              </w:rPr>
            </w:pPr>
            <w:r w:rsidRPr="00A218D2">
              <w:rPr>
                <w:rFonts w:ascii="Times New Roman" w:hAnsi="Times New Roman" w:cs="Times New Roman"/>
              </w:rPr>
              <w:t xml:space="preserve">Reforma </w:t>
            </w:r>
            <w:r w:rsidRPr="00A218D2">
              <w:rPr>
                <w:rFonts w:ascii="Times New Roman" w:hAnsi="Times New Roman" w:cs="Times New Roman"/>
                <w:i/>
                <w:iCs/>
              </w:rPr>
              <w:t>D1.1 Zwiększenie efektywności, dostępności i jakości świadczeń zdrowotnych</w:t>
            </w:r>
            <w:r w:rsidRPr="00A218D2">
              <w:rPr>
                <w:rFonts w:ascii="Times New Roman" w:hAnsi="Times New Roman" w:cs="Times New Roman"/>
              </w:rPr>
              <w:t xml:space="preserve"> została już częściowo zrealizowana przez Ministerstwo Zdrowia poprzez wypełnienie mierników: </w:t>
            </w:r>
            <w:r w:rsidRPr="00A218D2">
              <w:rPr>
                <w:rFonts w:ascii="Times New Roman" w:hAnsi="Times New Roman" w:cs="Times New Roman"/>
                <w:i/>
                <w:iCs/>
              </w:rPr>
              <w:t>D2G Wejście w życie Zarządzenia Prezesa NFZ o wzmocnieniu podstawowej opieki zdrowotnej i opieki koordynowanej</w:t>
            </w:r>
            <w:r w:rsidRPr="00A218D2">
              <w:rPr>
                <w:rFonts w:ascii="Times New Roman" w:hAnsi="Times New Roman" w:cs="Times New Roman"/>
              </w:rPr>
              <w:t xml:space="preserve"> (…), </w:t>
            </w:r>
            <w:r w:rsidRPr="00A218D2">
              <w:rPr>
                <w:rFonts w:ascii="Times New Roman" w:hAnsi="Times New Roman" w:cs="Times New Roman"/>
                <w:i/>
                <w:iCs/>
              </w:rPr>
              <w:t>D3G Wejście w życie ustawy o jakości w ochronie zdrowia i bezpieczeństwie pacjenta</w:t>
            </w:r>
            <w:r w:rsidRPr="00A218D2">
              <w:rPr>
                <w:rFonts w:ascii="Times New Roman" w:hAnsi="Times New Roman" w:cs="Times New Roman"/>
              </w:rPr>
              <w:t xml:space="preserve"> oraz </w:t>
            </w:r>
            <w:r w:rsidRPr="00A218D2">
              <w:rPr>
                <w:rFonts w:ascii="Times New Roman" w:hAnsi="Times New Roman" w:cs="Times New Roman"/>
                <w:i/>
                <w:iCs/>
              </w:rPr>
              <w:t>D4G Wejście w życie ustawy o Krajowej Sieci Onkologicznej.</w:t>
            </w:r>
          </w:p>
          <w:p w14:paraId="7483D4FC"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 xml:space="preserve">Ostatnie 4 lata bardzo poważnie doświadczyły polski system ochrony zdrowia. Wybuch pandemii COVID-19 w 2020 r. i wojny w Ukrainie w 2022 r. w istotny sposób wpłynęły na funkcjonowanie polskiego systemu ochrony zdrowia, w tym z obszaru szpitalnictwa. Zapewnienie odpowiedniej efektywności, dostępności i jakości udzielanych świadczeń zdrowotnych w dalszym ciągu wymaga podjęcia kompleksowych działań, które powinny zostać wsparte inwestycjami infrastrukturalnymi celem wsparcia i przygotowania szpitali do wdrożenia reform i zapewnienia jak najlepszej opieki pacjentom. Oczekiwania i potrzeby społeczne, ukierunkowane na poszerzenie dostępu do nowoczesnych form leczenia zapewniających skuteczną diagnostykę i leczenie, również na poziomie opieki szpitalnej uzasadniają one rozpoczęcie inwestycji jednoczasowo z realizacją kolejnych reform w ochronie zdrowia. </w:t>
            </w:r>
          </w:p>
          <w:p w14:paraId="008ECB46"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 xml:space="preserve">Podział inwestycji na trzy niezależne </w:t>
            </w:r>
            <w:proofErr w:type="spellStart"/>
            <w:r w:rsidRPr="00A218D2">
              <w:rPr>
                <w:rFonts w:ascii="Times New Roman" w:hAnsi="Times New Roman" w:cs="Times New Roman"/>
              </w:rPr>
              <w:t>podkamienie</w:t>
            </w:r>
            <w:proofErr w:type="spellEnd"/>
            <w:r w:rsidRPr="00A218D2">
              <w:rPr>
                <w:rFonts w:ascii="Times New Roman" w:hAnsi="Times New Roman" w:cs="Times New Roman"/>
              </w:rPr>
              <w:t xml:space="preserve"> określające obszary inwestycji korespondujące odpowiednio z reformami w tych obszarach jest alternatywną propozycją realizacji kamienia D9G, która umożliwi osiągnięcie zakładanych celów reformy i poziomów ich ambicji. Nowe podejście do realizacji kamienia D9G zapewni bardziej efektywną alokację środków inwestycyjnych, przy zachowaniu ich wspólnego celu realizacji tj. poprawy odporności, efektywności, jakości i dostępności świadczeń opieki zdrowotnej, w tym przez racjonalizację piramidy świadczeń. </w:t>
            </w:r>
          </w:p>
          <w:p w14:paraId="0118FC7F"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 xml:space="preserve">Proponowane zmiany terminów wskaźników wynikają z uwarunkowań rynkowych i regulacji związanych z prawem zamówień publicznych. Wydłużenie terminów realizacji wynika z potrzeby zapewnienia dłuższego okresu na postępowania przetargowe niż pierwotnie zaplanowano. </w:t>
            </w:r>
          </w:p>
          <w:p w14:paraId="369B533A"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 xml:space="preserve">W zakresie połączenia wskaźnika D13G i D14G, Ministerstwo Zdrowia proponuje powrót do pierwszych założeń negocjowanych w ramach RRF. Obecne zapisy wskazują, że zrealizowane inwestycje należy identyfikować po elemencie doposażenia w sprzęt oraz elementy modernizacji infrastruktury. Efektem realizowanych inwestycji powinien być wskaźnik produktu - zrealizowane umowy łącznie nakierowane na elementy doposażeniowe oraz modernizacji infrastruktury. Powyższa propozycja odnosi się do obiektywnych przesłanek wynikających z doświadczenia MZ w realizacji inwestycji oraz ma na celu jak najbardziej efektywne wykorzystania środków RRF. </w:t>
            </w:r>
          </w:p>
          <w:p w14:paraId="7FD4BB28" w14:textId="77777777" w:rsidR="00175581" w:rsidRPr="00A218D2"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W zakresie przesunięcia terminu realizacji wskaźnika D3L i D4L, wnioskowane przedłużenie terminu realizacji dwóch wskaźników jest podyktowane obiektywnymi uwarunkowaniami prawnymi i regulacyjnymi związanymi z ogłaszaniem naborów i przeprowadzaniem postępowań w ramach zamówień publicznych.</w:t>
            </w:r>
          </w:p>
          <w:p w14:paraId="65B67ADD" w14:textId="4E78795D" w:rsidR="00175581" w:rsidRPr="00C40440" w:rsidRDefault="00175581" w:rsidP="00C40440">
            <w:pPr>
              <w:spacing w:before="60" w:after="60" w:line="240" w:lineRule="auto"/>
              <w:rPr>
                <w:rFonts w:ascii="Times New Roman" w:hAnsi="Times New Roman" w:cs="Times New Roman"/>
              </w:rPr>
            </w:pPr>
            <w:r w:rsidRPr="00A218D2">
              <w:rPr>
                <w:rFonts w:ascii="Times New Roman" w:hAnsi="Times New Roman" w:cs="Times New Roman"/>
              </w:rPr>
              <w:t xml:space="preserve">Ponadto proponowane jest przeniesienie inwestycji z </w:t>
            </w:r>
            <w:r w:rsidRPr="00A218D2">
              <w:rPr>
                <w:rFonts w:ascii="Times New Roman" w:hAnsi="Times New Roman" w:cs="Times New Roman"/>
                <w:i/>
                <w:iCs/>
              </w:rPr>
              <w:t>D1.2.1 Rozwój opieki długoterminowej poprzez modernizację infrastruktury podmiotów leczniczych na poziomie powiatowym</w:t>
            </w:r>
            <w:r w:rsidRPr="00A218D2">
              <w:rPr>
                <w:rFonts w:ascii="Times New Roman" w:hAnsi="Times New Roman" w:cs="Times New Roman"/>
              </w:rPr>
              <w:t xml:space="preserve"> części pożyczkowej do części grantowej z uwagi na </w:t>
            </w:r>
            <w:r w:rsidRPr="00A218D2">
              <w:rPr>
                <w:rFonts w:ascii="Times New Roman" w:hAnsi="Times New Roman" w:cs="Times New Roman"/>
              </w:rPr>
              <w:lastRenderedPageBreak/>
              <w:t xml:space="preserve">fakt, że reforma D1.1 musi być traktowana całościowo i obejmuje również istotny obszar jakim jest opieka długoterminowa. </w:t>
            </w:r>
            <w:r w:rsidR="00A218D2">
              <w:rPr>
                <w:rFonts w:ascii="Times New Roman" w:hAnsi="Times New Roman" w:cs="Times New Roman"/>
              </w:rPr>
              <w:t>W ramach przesunięcia planowane jest zwiększenie budżetu inwestycji do 300 mln EUR.</w:t>
            </w:r>
          </w:p>
        </w:tc>
      </w:tr>
      <w:tr w:rsidR="00175581" w:rsidRPr="003B572A" w14:paraId="7700F416" w14:textId="77777777" w:rsidTr="003B4E6E">
        <w:tc>
          <w:tcPr>
            <w:tcW w:w="1139" w:type="pct"/>
          </w:tcPr>
          <w:p w14:paraId="6D8F7E5F"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lastRenderedPageBreak/>
              <w:t>Szacowany koszt</w:t>
            </w:r>
          </w:p>
        </w:tc>
        <w:tc>
          <w:tcPr>
            <w:tcW w:w="3861" w:type="pct"/>
            <w:gridSpan w:val="2"/>
          </w:tcPr>
          <w:p w14:paraId="34F0051D" w14:textId="1FDB1E6D" w:rsidR="00175581" w:rsidRPr="003B572A" w:rsidRDefault="00175581" w:rsidP="003B4E6E">
            <w:pPr>
              <w:spacing w:before="60" w:after="60" w:line="252" w:lineRule="auto"/>
              <w:rPr>
                <w:rFonts w:ascii="Times New Roman" w:hAnsi="Times New Roman" w:cs="Times New Roman"/>
                <w:b/>
                <w:bCs/>
              </w:rPr>
            </w:pPr>
            <w:r>
              <w:rPr>
                <w:rFonts w:ascii="Times New Roman" w:hAnsi="Times New Roman" w:cs="Times New Roman"/>
              </w:rPr>
              <w:t>Przeniesienie inwestycji D1.2.1</w:t>
            </w:r>
            <w:r w:rsidR="00E40CF2">
              <w:rPr>
                <w:rFonts w:ascii="Times New Roman" w:hAnsi="Times New Roman" w:cs="Times New Roman"/>
              </w:rPr>
              <w:t>.</w:t>
            </w:r>
            <w:r>
              <w:rPr>
                <w:rFonts w:ascii="Times New Roman" w:hAnsi="Times New Roman" w:cs="Times New Roman"/>
              </w:rPr>
              <w:t xml:space="preserve"> z części pożyczkowej do części grantowej</w:t>
            </w:r>
            <w:r w:rsidR="00E40CF2">
              <w:rPr>
                <w:rFonts w:ascii="Times New Roman" w:hAnsi="Times New Roman" w:cs="Times New Roman"/>
              </w:rPr>
              <w:t xml:space="preserve">  i zwiększenie jej budżetu do 300 mln EUR nie zmienia pierwotnego budżetu inwestycji D1.1.1</w:t>
            </w:r>
            <w:r>
              <w:rPr>
                <w:rFonts w:ascii="Times New Roman" w:hAnsi="Times New Roman" w:cs="Times New Roman"/>
              </w:rPr>
              <w:t>.</w:t>
            </w:r>
            <w:r w:rsidRPr="003B572A">
              <w:rPr>
                <w:rFonts w:ascii="Times New Roman" w:hAnsi="Times New Roman" w:cs="Times New Roman"/>
              </w:rPr>
              <w:t xml:space="preserve"> </w:t>
            </w:r>
          </w:p>
        </w:tc>
      </w:tr>
      <w:tr w:rsidR="00175581" w:rsidRPr="003B572A" w14:paraId="1B2B22EE" w14:textId="77777777" w:rsidTr="003B4E6E">
        <w:tc>
          <w:tcPr>
            <w:tcW w:w="1139" w:type="pct"/>
          </w:tcPr>
          <w:p w14:paraId="7AA0E5ED"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t xml:space="preserve">Cyfrowy i klimatyczny </w:t>
            </w:r>
            <w:proofErr w:type="spellStart"/>
            <w:r w:rsidRPr="003B572A">
              <w:rPr>
                <w:rFonts w:ascii="Times New Roman" w:hAnsi="Times New Roman" w:cs="Times New Roman"/>
              </w:rPr>
              <w:t>tagging</w:t>
            </w:r>
            <w:proofErr w:type="spellEnd"/>
            <w:r w:rsidRPr="003B572A">
              <w:rPr>
                <w:rFonts w:ascii="Times New Roman" w:hAnsi="Times New Roman" w:cs="Times New Roman"/>
              </w:rPr>
              <w:t xml:space="preserve"> </w:t>
            </w:r>
          </w:p>
        </w:tc>
        <w:tc>
          <w:tcPr>
            <w:tcW w:w="3861" w:type="pct"/>
            <w:gridSpan w:val="2"/>
          </w:tcPr>
          <w:p w14:paraId="09A1B1B5"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t xml:space="preserve">Zmiana nie ma wpływu na </w:t>
            </w:r>
            <w:proofErr w:type="spellStart"/>
            <w:r w:rsidRPr="003B572A">
              <w:rPr>
                <w:rFonts w:ascii="Times New Roman" w:hAnsi="Times New Roman" w:cs="Times New Roman"/>
              </w:rPr>
              <w:t>tagging</w:t>
            </w:r>
            <w:proofErr w:type="spellEnd"/>
            <w:r w:rsidRPr="003B572A">
              <w:rPr>
                <w:rFonts w:ascii="Times New Roman" w:hAnsi="Times New Roman" w:cs="Times New Roman"/>
              </w:rPr>
              <w:t xml:space="preserve"> klimatyczny i cyfrowy</w:t>
            </w:r>
          </w:p>
        </w:tc>
      </w:tr>
      <w:tr w:rsidR="00175581" w:rsidRPr="003B572A" w14:paraId="5A8F3C0D" w14:textId="77777777" w:rsidTr="003B4E6E">
        <w:tc>
          <w:tcPr>
            <w:tcW w:w="1139" w:type="pct"/>
            <w:tcBorders>
              <w:bottom w:val="single" w:sz="4" w:space="0" w:color="auto"/>
            </w:tcBorders>
          </w:tcPr>
          <w:p w14:paraId="60E7C473"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t xml:space="preserve">Zasada DNSH </w:t>
            </w:r>
          </w:p>
        </w:tc>
        <w:tc>
          <w:tcPr>
            <w:tcW w:w="3861" w:type="pct"/>
            <w:gridSpan w:val="2"/>
            <w:tcBorders>
              <w:bottom w:val="single" w:sz="4" w:space="0" w:color="auto"/>
            </w:tcBorders>
          </w:tcPr>
          <w:p w14:paraId="36684E43"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t>Zmiana nie ma wpływu na DNSH</w:t>
            </w:r>
          </w:p>
        </w:tc>
      </w:tr>
      <w:tr w:rsidR="00175581" w:rsidRPr="003B572A" w14:paraId="6ECB2391" w14:textId="77777777" w:rsidTr="003B4E6E">
        <w:tc>
          <w:tcPr>
            <w:tcW w:w="1139" w:type="pct"/>
            <w:tcBorders>
              <w:bottom w:val="single" w:sz="4" w:space="0" w:color="auto"/>
            </w:tcBorders>
          </w:tcPr>
          <w:p w14:paraId="43FFA526"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t xml:space="preserve">Pomoc publiczna </w:t>
            </w:r>
          </w:p>
        </w:tc>
        <w:tc>
          <w:tcPr>
            <w:tcW w:w="3861" w:type="pct"/>
            <w:gridSpan w:val="2"/>
            <w:tcBorders>
              <w:bottom w:val="single" w:sz="4" w:space="0" w:color="auto"/>
            </w:tcBorders>
          </w:tcPr>
          <w:p w14:paraId="416F8842" w14:textId="77777777" w:rsidR="00175581" w:rsidRPr="003B572A" w:rsidRDefault="00175581" w:rsidP="003B4E6E">
            <w:pPr>
              <w:spacing w:before="60" w:after="60" w:line="252" w:lineRule="auto"/>
              <w:rPr>
                <w:rFonts w:ascii="Times New Roman" w:hAnsi="Times New Roman" w:cs="Times New Roman"/>
              </w:rPr>
            </w:pPr>
            <w:r w:rsidRPr="003B572A">
              <w:rPr>
                <w:rFonts w:ascii="Times New Roman" w:hAnsi="Times New Roman" w:cs="Times New Roman"/>
              </w:rPr>
              <w:t>Zmiana nie ma wpływu na pomoc publiczną</w:t>
            </w:r>
          </w:p>
        </w:tc>
      </w:tr>
    </w:tbl>
    <w:p w14:paraId="1D79CA66" w14:textId="77777777" w:rsidR="004C656B" w:rsidRDefault="004C656B" w:rsidP="00175581">
      <w:pPr>
        <w:spacing w:before="60" w:after="60" w:line="252" w:lineRule="auto"/>
        <w:rPr>
          <w:rFonts w:ascii="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5"/>
        <w:gridCol w:w="3398"/>
        <w:gridCol w:w="3599"/>
      </w:tblGrid>
      <w:tr w:rsidR="00175581" w:rsidRPr="00430CEC" w14:paraId="442C1F43" w14:textId="77777777" w:rsidTr="003B4E6E">
        <w:tc>
          <w:tcPr>
            <w:tcW w:w="1139" w:type="pct"/>
            <w:shd w:val="clear" w:color="auto" w:fill="auto"/>
          </w:tcPr>
          <w:p w14:paraId="2DEF2241" w14:textId="77777777" w:rsidR="00175581" w:rsidRPr="00430CEC" w:rsidRDefault="00175581" w:rsidP="003B4E6E">
            <w:pPr>
              <w:spacing w:after="120" w:line="240" w:lineRule="auto"/>
              <w:rPr>
                <w:rFonts w:ascii="Times New Roman" w:hAnsi="Times New Roman" w:cs="Times New Roman"/>
                <w:b/>
                <w:bCs/>
              </w:rPr>
            </w:pPr>
            <w:r w:rsidRPr="00430CEC">
              <w:rPr>
                <w:rFonts w:ascii="Times New Roman" w:hAnsi="Times New Roman" w:cs="Times New Roman"/>
                <w:b/>
                <w:bCs/>
              </w:rPr>
              <w:t>Numer inwestycji</w:t>
            </w:r>
          </w:p>
        </w:tc>
        <w:tc>
          <w:tcPr>
            <w:tcW w:w="3861" w:type="pct"/>
            <w:gridSpan w:val="2"/>
            <w:shd w:val="clear" w:color="auto" w:fill="auto"/>
          </w:tcPr>
          <w:p w14:paraId="4A01DA9A" w14:textId="661CD2FD" w:rsidR="00175581" w:rsidRPr="00C40440" w:rsidRDefault="00175581" w:rsidP="00C40440">
            <w:pPr>
              <w:spacing w:after="120"/>
              <w:rPr>
                <w:b/>
                <w:bCs/>
              </w:rPr>
            </w:pPr>
            <w:r w:rsidRPr="00C40440">
              <w:rPr>
                <w:rFonts w:ascii="Times New Roman" w:hAnsi="Times New Roman" w:cs="Times New Roman"/>
                <w:b/>
                <w:bCs/>
              </w:rPr>
              <w:t>D1.1.2</w:t>
            </w:r>
            <w:r w:rsidR="0020386D" w:rsidRPr="00C40440">
              <w:rPr>
                <w:rFonts w:ascii="Times New Roman" w:hAnsi="Times New Roman" w:cs="Times New Roman"/>
                <w:b/>
                <w:bCs/>
              </w:rPr>
              <w:t>.</w:t>
            </w:r>
          </w:p>
        </w:tc>
      </w:tr>
      <w:tr w:rsidR="00175581" w:rsidRPr="0020386D" w14:paraId="1063FCF5" w14:textId="77777777" w:rsidTr="003B4E6E">
        <w:tc>
          <w:tcPr>
            <w:tcW w:w="1139" w:type="pct"/>
            <w:shd w:val="clear" w:color="auto" w:fill="auto"/>
          </w:tcPr>
          <w:p w14:paraId="6BB81498" w14:textId="77777777" w:rsidR="00175581" w:rsidRPr="00430CEC" w:rsidRDefault="00175581" w:rsidP="00C40440">
            <w:pPr>
              <w:pStyle w:val="Akapitzlist"/>
              <w:spacing w:after="120"/>
              <w:ind w:left="67" w:hanging="67"/>
              <w:rPr>
                <w:b/>
                <w:bCs/>
                <w:sz w:val="22"/>
                <w:szCs w:val="22"/>
              </w:rPr>
            </w:pPr>
            <w:r w:rsidRPr="00430CEC">
              <w:rPr>
                <w:b/>
                <w:bCs/>
                <w:sz w:val="22"/>
                <w:szCs w:val="22"/>
              </w:rPr>
              <w:t xml:space="preserve">Nazwa inwestycji </w:t>
            </w:r>
          </w:p>
        </w:tc>
        <w:tc>
          <w:tcPr>
            <w:tcW w:w="3861" w:type="pct"/>
            <w:gridSpan w:val="2"/>
            <w:shd w:val="clear" w:color="auto" w:fill="auto"/>
          </w:tcPr>
          <w:p w14:paraId="2B73B142" w14:textId="7AA93920" w:rsidR="00175581" w:rsidRPr="00C40440" w:rsidRDefault="00175581" w:rsidP="00C40440">
            <w:pPr>
              <w:spacing w:after="120" w:line="240" w:lineRule="auto"/>
              <w:rPr>
                <w:b/>
                <w:bCs/>
                <w:lang w:eastAsia="pl-PL"/>
              </w:rPr>
            </w:pPr>
            <w:r w:rsidRPr="00C40440">
              <w:rPr>
                <w:rFonts w:ascii="Times New Roman" w:hAnsi="Times New Roman" w:cs="Times New Roman"/>
                <w:b/>
                <w:bCs/>
                <w:lang w:eastAsia="pl-PL"/>
              </w:rPr>
              <w:t>Przyspieszenie procesów transformacji cyfrowej ochrony zdrowia poprzez dalszy rozwój usług cyfrowych w ochronie zdrowia</w:t>
            </w:r>
          </w:p>
        </w:tc>
      </w:tr>
      <w:tr w:rsidR="00175581" w:rsidRPr="00A26E88" w14:paraId="205A3FF4" w14:textId="77777777" w:rsidTr="003B4E6E">
        <w:trPr>
          <w:trHeight w:val="1212"/>
        </w:trPr>
        <w:tc>
          <w:tcPr>
            <w:tcW w:w="1139" w:type="pct"/>
            <w:shd w:val="clear" w:color="auto" w:fill="auto"/>
          </w:tcPr>
          <w:p w14:paraId="66EBFD85" w14:textId="77777777" w:rsidR="00175581" w:rsidRPr="00430CEC" w:rsidRDefault="00175581" w:rsidP="00C40440">
            <w:pPr>
              <w:pStyle w:val="Akapitzlist"/>
              <w:spacing w:after="120"/>
              <w:ind w:left="0"/>
              <w:rPr>
                <w:sz w:val="22"/>
                <w:szCs w:val="22"/>
              </w:rPr>
            </w:pPr>
            <w:r w:rsidRPr="00430CEC">
              <w:rPr>
                <w:sz w:val="22"/>
                <w:szCs w:val="22"/>
              </w:rPr>
              <w:t>Rodzaj wprowadzonej zmiany w odniesieniu do CID</w:t>
            </w:r>
          </w:p>
        </w:tc>
        <w:tc>
          <w:tcPr>
            <w:tcW w:w="3861" w:type="pct"/>
            <w:gridSpan w:val="2"/>
            <w:shd w:val="clear" w:color="auto" w:fill="auto"/>
          </w:tcPr>
          <w:p w14:paraId="24B1C42C" w14:textId="58D93533" w:rsidR="00175581" w:rsidRPr="00C40440" w:rsidRDefault="00175581" w:rsidP="00C40440">
            <w:pPr>
              <w:pStyle w:val="Akapitzlist"/>
              <w:spacing w:after="0" w:line="240" w:lineRule="auto"/>
              <w:ind w:left="0"/>
              <w:rPr>
                <w:sz w:val="22"/>
                <w:szCs w:val="22"/>
              </w:rPr>
            </w:pPr>
            <w:r w:rsidRPr="00C40440">
              <w:rPr>
                <w:sz w:val="22"/>
                <w:szCs w:val="22"/>
              </w:rPr>
              <w:t xml:space="preserve">Zmiany w zakresie mierników: </w:t>
            </w:r>
          </w:p>
          <w:p w14:paraId="52BF9710" w14:textId="77777777" w:rsidR="00175581" w:rsidRPr="00C40440" w:rsidRDefault="00175581" w:rsidP="00C40440">
            <w:pPr>
              <w:spacing w:after="0" w:line="240" w:lineRule="auto"/>
              <w:rPr>
                <w:rFonts w:ascii="Times New Roman" w:hAnsi="Times New Roman" w:cs="Times New Roman"/>
              </w:rPr>
            </w:pPr>
            <w:r w:rsidRPr="00C40440">
              <w:rPr>
                <w:rFonts w:ascii="Times New Roman" w:hAnsi="Times New Roman" w:cs="Times New Roman"/>
              </w:rPr>
              <w:t xml:space="preserve">D19G W1: </w:t>
            </w:r>
            <w:r w:rsidRPr="00C40440">
              <w:rPr>
                <w:rFonts w:ascii="Times New Roman" w:hAnsi="Times New Roman" w:cs="Times New Roman"/>
                <w:color w:val="000000" w:themeColor="text1"/>
              </w:rPr>
              <w:t xml:space="preserve">Zmiana opisu oraz </w:t>
            </w:r>
            <w:r w:rsidRPr="00C40440">
              <w:rPr>
                <w:rFonts w:ascii="Times New Roman" w:hAnsi="Times New Roman" w:cs="Times New Roman"/>
              </w:rPr>
              <w:t xml:space="preserve">jednostki miary miernika. </w:t>
            </w:r>
          </w:p>
          <w:p w14:paraId="3944D2DD" w14:textId="28742CDE" w:rsidR="00175581" w:rsidRPr="00C40440" w:rsidRDefault="00175581" w:rsidP="00C40440">
            <w:pPr>
              <w:spacing w:after="0" w:line="240" w:lineRule="auto"/>
              <w:rPr>
                <w:rFonts w:ascii="Times New Roman" w:hAnsi="Times New Roman" w:cs="Times New Roman"/>
              </w:rPr>
            </w:pPr>
            <w:r w:rsidRPr="00C40440">
              <w:rPr>
                <w:rFonts w:ascii="Times New Roman" w:hAnsi="Times New Roman" w:cs="Times New Roman"/>
                <w:color w:val="000000" w:themeColor="text1"/>
              </w:rPr>
              <w:t xml:space="preserve">D20G W2: Zmiana opisu oraz </w:t>
            </w:r>
            <w:r w:rsidRPr="00C40440">
              <w:rPr>
                <w:rFonts w:ascii="Times New Roman" w:hAnsi="Times New Roman" w:cs="Times New Roman"/>
              </w:rPr>
              <w:t xml:space="preserve">jednostki miary miernika. </w:t>
            </w:r>
          </w:p>
        </w:tc>
      </w:tr>
      <w:tr w:rsidR="00175581" w:rsidRPr="0020386D" w14:paraId="13A3B8F8" w14:textId="77777777" w:rsidTr="003B4E6E">
        <w:tc>
          <w:tcPr>
            <w:tcW w:w="1139" w:type="pct"/>
            <w:shd w:val="clear" w:color="auto" w:fill="auto"/>
          </w:tcPr>
          <w:p w14:paraId="41543B0C" w14:textId="77777777" w:rsidR="00175581" w:rsidRPr="00430CEC" w:rsidRDefault="00175581" w:rsidP="00C40440">
            <w:pPr>
              <w:pStyle w:val="Akapitzlist"/>
              <w:spacing w:after="120"/>
              <w:ind w:left="0"/>
              <w:rPr>
                <w:sz w:val="22"/>
                <w:szCs w:val="22"/>
              </w:rPr>
            </w:pPr>
            <w:r w:rsidRPr="00430CEC">
              <w:rPr>
                <w:sz w:val="22"/>
                <w:szCs w:val="22"/>
              </w:rPr>
              <w:t>Podstawa prawna zmiany</w:t>
            </w:r>
          </w:p>
        </w:tc>
        <w:tc>
          <w:tcPr>
            <w:tcW w:w="3861" w:type="pct"/>
            <w:gridSpan w:val="2"/>
            <w:shd w:val="clear" w:color="auto" w:fill="auto"/>
          </w:tcPr>
          <w:p w14:paraId="77A51857" w14:textId="46320C71" w:rsidR="00175581" w:rsidRPr="00C40440" w:rsidRDefault="00175581" w:rsidP="00C40440">
            <w:pPr>
              <w:pStyle w:val="Akapitzlist"/>
              <w:spacing w:after="120" w:line="240" w:lineRule="auto"/>
              <w:ind w:left="0"/>
              <w:rPr>
                <w:sz w:val="22"/>
                <w:szCs w:val="22"/>
              </w:rPr>
            </w:pPr>
            <w:r w:rsidRPr="00430CEC">
              <w:rPr>
                <w:sz w:val="22"/>
                <w:szCs w:val="22"/>
              </w:rPr>
              <w:t>art. 21 rozporządzenia Parlamentu Europejskiego i Rady (UE) 2021/241 z dnia 12 lutego 2021 r. ustanawiające Instrument na rzecz Odbudowy i Zwiększania Odporności</w:t>
            </w:r>
          </w:p>
        </w:tc>
      </w:tr>
      <w:tr w:rsidR="00175581" w:rsidRPr="00430CEC" w14:paraId="0A88DC6F" w14:textId="77777777" w:rsidTr="003B4E6E">
        <w:tc>
          <w:tcPr>
            <w:tcW w:w="1139" w:type="pct"/>
            <w:shd w:val="clear" w:color="auto" w:fill="D9D9D9" w:themeFill="background1" w:themeFillShade="D9"/>
          </w:tcPr>
          <w:p w14:paraId="0AFBC336"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Modyfikowany element</w:t>
            </w:r>
          </w:p>
        </w:tc>
        <w:tc>
          <w:tcPr>
            <w:tcW w:w="1875" w:type="pct"/>
            <w:shd w:val="clear" w:color="auto" w:fill="D9D9D9" w:themeFill="background1" w:themeFillShade="D9"/>
          </w:tcPr>
          <w:p w14:paraId="777C9C2C" w14:textId="77777777" w:rsidR="00175581" w:rsidRPr="00430CEC" w:rsidRDefault="00175581">
            <w:pPr>
              <w:spacing w:after="120" w:line="240" w:lineRule="auto"/>
              <w:jc w:val="center"/>
              <w:rPr>
                <w:rFonts w:ascii="Times New Roman" w:hAnsi="Times New Roman" w:cs="Times New Roman"/>
              </w:rPr>
            </w:pPr>
            <w:r w:rsidRPr="00430CEC">
              <w:rPr>
                <w:rFonts w:ascii="Times New Roman" w:hAnsi="Times New Roman" w:cs="Times New Roman"/>
              </w:rPr>
              <w:t>Bieżąca wersja</w:t>
            </w:r>
          </w:p>
        </w:tc>
        <w:tc>
          <w:tcPr>
            <w:tcW w:w="1986" w:type="pct"/>
            <w:shd w:val="clear" w:color="auto" w:fill="D9D9D9" w:themeFill="background1" w:themeFillShade="D9"/>
          </w:tcPr>
          <w:p w14:paraId="02802E9D" w14:textId="77777777" w:rsidR="00175581" w:rsidRPr="00430CEC" w:rsidRDefault="00175581">
            <w:pPr>
              <w:spacing w:after="120" w:line="240" w:lineRule="auto"/>
              <w:jc w:val="center"/>
              <w:rPr>
                <w:rFonts w:ascii="Times New Roman" w:hAnsi="Times New Roman" w:cs="Times New Roman"/>
              </w:rPr>
            </w:pPr>
            <w:r w:rsidRPr="00430CEC">
              <w:rPr>
                <w:rFonts w:ascii="Times New Roman" w:hAnsi="Times New Roman" w:cs="Times New Roman"/>
              </w:rPr>
              <w:t>Wersja zmieniona</w:t>
            </w:r>
          </w:p>
        </w:tc>
      </w:tr>
      <w:tr w:rsidR="00175581" w:rsidRPr="00430CEC" w14:paraId="158001DA" w14:textId="77777777" w:rsidTr="003B4E6E">
        <w:tc>
          <w:tcPr>
            <w:tcW w:w="1139" w:type="pct"/>
          </w:tcPr>
          <w:p w14:paraId="1DAB08ED" w14:textId="559809CD" w:rsidR="00175581" w:rsidRPr="00C40440" w:rsidRDefault="00E40CF2" w:rsidP="003B4E6E">
            <w:pPr>
              <w:spacing w:after="120" w:line="240" w:lineRule="auto"/>
              <w:rPr>
                <w:rFonts w:ascii="Times New Roman" w:hAnsi="Times New Roman" w:cs="Times New Roman"/>
              </w:rPr>
            </w:pPr>
            <w:r w:rsidRPr="00E85399">
              <w:rPr>
                <w:rFonts w:ascii="Times New Roman" w:hAnsi="Times New Roman" w:cs="Times New Roman"/>
              </w:rPr>
              <w:t>Opis komponentu oraz/lub działania (inwestycji/reformy)</w:t>
            </w:r>
          </w:p>
        </w:tc>
        <w:tc>
          <w:tcPr>
            <w:tcW w:w="1875" w:type="pct"/>
          </w:tcPr>
          <w:p w14:paraId="45822E42" w14:textId="77777777" w:rsidR="00175581" w:rsidRPr="00E40CF2" w:rsidRDefault="00175581">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D19G </w:t>
            </w:r>
            <w:r w:rsidRPr="00E40CF2">
              <w:rPr>
                <w:rFonts w:ascii="Times New Roman" w:hAnsi="Times New Roman" w:cs="Times New Roman"/>
              </w:rPr>
              <w:t xml:space="preserve">W1 </w:t>
            </w:r>
          </w:p>
          <w:p w14:paraId="55E4F0DC" w14:textId="09989BD3" w:rsidR="00175581" w:rsidRPr="00E40CF2" w:rsidRDefault="00175581" w:rsidP="00C40440">
            <w:pPr>
              <w:autoSpaceDE w:val="0"/>
              <w:autoSpaceDN w:val="0"/>
              <w:adjustRightInd w:val="0"/>
              <w:spacing w:after="0" w:line="240" w:lineRule="auto"/>
              <w:rPr>
                <w:rFonts w:ascii="Times New Roman" w:hAnsi="Times New Roman" w:cs="Times New Roman"/>
              </w:rPr>
            </w:pPr>
            <w:r w:rsidRPr="00E40CF2">
              <w:rPr>
                <w:rFonts w:ascii="Times New Roman" w:hAnsi="Times New Roman" w:cs="Times New Roman"/>
              </w:rPr>
              <w:t>Cyfryzacja</w:t>
            </w:r>
            <w:r w:rsidR="00B904D0">
              <w:rPr>
                <w:rFonts w:ascii="Times New Roman" w:hAnsi="Times New Roman" w:cs="Times New Roman"/>
              </w:rPr>
              <w:t xml:space="preserve"> </w:t>
            </w:r>
            <w:r w:rsidRPr="00E40CF2">
              <w:rPr>
                <w:rFonts w:ascii="Times New Roman" w:hAnsi="Times New Roman" w:cs="Times New Roman"/>
              </w:rPr>
              <w:t>dokumentów medycznych</w:t>
            </w:r>
          </w:p>
          <w:p w14:paraId="4AF91937" w14:textId="77777777" w:rsidR="00175581" w:rsidRPr="00E40CF2" w:rsidRDefault="00175581">
            <w:pPr>
              <w:spacing w:after="0" w:line="240" w:lineRule="auto"/>
              <w:rPr>
                <w:rFonts w:ascii="Times New Roman" w:hAnsi="Times New Roman" w:cs="Times New Roman"/>
              </w:rPr>
            </w:pPr>
          </w:p>
          <w:p w14:paraId="51491F08" w14:textId="77777777" w:rsidR="00175581" w:rsidRPr="00C40440" w:rsidRDefault="00175581">
            <w:pPr>
              <w:spacing w:after="0" w:line="240" w:lineRule="auto"/>
              <w:rPr>
                <w:rFonts w:ascii="Times New Roman" w:hAnsi="Times New Roman" w:cs="Times New Roman"/>
              </w:rPr>
            </w:pPr>
            <w:r w:rsidRPr="00C40440">
              <w:rPr>
                <w:rFonts w:ascii="Times New Roman" w:hAnsi="Times New Roman" w:cs="Times New Roman"/>
              </w:rPr>
              <w:t xml:space="preserve">Opis wskaźnika: </w:t>
            </w:r>
          </w:p>
          <w:p w14:paraId="7D385DC1" w14:textId="77777777" w:rsidR="00175581" w:rsidRPr="00E40CF2" w:rsidRDefault="00175581">
            <w:pPr>
              <w:autoSpaceDE w:val="0"/>
              <w:autoSpaceDN w:val="0"/>
              <w:adjustRightInd w:val="0"/>
              <w:spacing w:after="0" w:line="240" w:lineRule="auto"/>
              <w:rPr>
                <w:rFonts w:ascii="Times New Roman" w:hAnsi="Times New Roman" w:cs="Times New Roman"/>
              </w:rPr>
            </w:pPr>
            <w:proofErr w:type="spellStart"/>
            <w:r w:rsidRPr="00E40CF2">
              <w:rPr>
                <w:rFonts w:ascii="Times New Roman" w:hAnsi="Times New Roman" w:cs="Times New Roman"/>
              </w:rPr>
              <w:t>Ucyfrowionych</w:t>
            </w:r>
            <w:proofErr w:type="spellEnd"/>
            <w:r w:rsidRPr="00E40CF2">
              <w:rPr>
                <w:rFonts w:ascii="Times New Roman" w:hAnsi="Times New Roman" w:cs="Times New Roman"/>
              </w:rPr>
              <w:t xml:space="preserve"> zostanie 30% ogólnej liczby rodzajów dokumentów medycznych.</w:t>
            </w:r>
          </w:p>
          <w:p w14:paraId="7671ABDF" w14:textId="77777777" w:rsidR="00175581" w:rsidRPr="00E40CF2" w:rsidRDefault="00175581">
            <w:pPr>
              <w:autoSpaceDE w:val="0"/>
              <w:autoSpaceDN w:val="0"/>
              <w:adjustRightInd w:val="0"/>
              <w:spacing w:after="0" w:line="240" w:lineRule="auto"/>
              <w:rPr>
                <w:rFonts w:ascii="Times New Roman" w:hAnsi="Times New Roman" w:cs="Times New Roman"/>
              </w:rPr>
            </w:pPr>
          </w:p>
          <w:p w14:paraId="01DB8679" w14:textId="77777777" w:rsidR="00175581" w:rsidRPr="00C40440" w:rsidRDefault="00175581">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Wskaźniki ilościowe: </w:t>
            </w:r>
            <w:r w:rsidRPr="00E40CF2">
              <w:rPr>
                <w:rFonts w:ascii="Times New Roman" w:hAnsi="Times New Roman" w:cs="Times New Roman"/>
              </w:rPr>
              <w:t>30%</w:t>
            </w:r>
          </w:p>
          <w:p w14:paraId="5DC27831" w14:textId="77777777" w:rsidR="00175581" w:rsidRPr="00C40440" w:rsidRDefault="00175581">
            <w:pPr>
              <w:autoSpaceDE w:val="0"/>
              <w:autoSpaceDN w:val="0"/>
              <w:adjustRightInd w:val="0"/>
              <w:spacing w:after="0" w:line="240" w:lineRule="auto"/>
              <w:rPr>
                <w:rFonts w:ascii="Times New Roman" w:hAnsi="Times New Roman" w:cs="Times New Roman"/>
              </w:rPr>
            </w:pPr>
          </w:p>
          <w:p w14:paraId="3EE0FEA7" w14:textId="77777777" w:rsidR="00175581" w:rsidRPr="00C40440" w:rsidRDefault="00175581">
            <w:pPr>
              <w:autoSpaceDE w:val="0"/>
              <w:autoSpaceDN w:val="0"/>
              <w:adjustRightInd w:val="0"/>
              <w:spacing w:after="0" w:line="240" w:lineRule="auto"/>
              <w:rPr>
                <w:rFonts w:ascii="Times New Roman" w:hAnsi="Times New Roman" w:cs="Times New Roman"/>
              </w:rPr>
            </w:pPr>
          </w:p>
          <w:p w14:paraId="1000210E" w14:textId="2D16DB3D" w:rsidR="00175581" w:rsidRPr="00C40440" w:rsidRDefault="00175581" w:rsidP="00C40440">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Termin realizacji: </w:t>
            </w:r>
            <w:r w:rsidR="00D3504C">
              <w:rPr>
                <w:rFonts w:ascii="Times New Roman" w:hAnsi="Times New Roman" w:cs="Times New Roman"/>
              </w:rPr>
              <w:t xml:space="preserve">I kw. </w:t>
            </w:r>
            <w:r w:rsidRPr="00E40CF2">
              <w:rPr>
                <w:rFonts w:ascii="Times New Roman" w:hAnsi="Times New Roman" w:cs="Times New Roman"/>
              </w:rPr>
              <w:t>2025</w:t>
            </w:r>
            <w:r w:rsidR="00D3504C">
              <w:rPr>
                <w:rFonts w:ascii="Times New Roman" w:hAnsi="Times New Roman" w:cs="Times New Roman"/>
              </w:rPr>
              <w:t>r.</w:t>
            </w:r>
          </w:p>
        </w:tc>
        <w:tc>
          <w:tcPr>
            <w:tcW w:w="1986" w:type="pct"/>
          </w:tcPr>
          <w:p w14:paraId="7000BD32" w14:textId="77777777" w:rsidR="00175581" w:rsidRPr="00E40CF2" w:rsidRDefault="00175581">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D19G </w:t>
            </w:r>
            <w:r w:rsidRPr="00E40CF2">
              <w:rPr>
                <w:rFonts w:ascii="Times New Roman" w:hAnsi="Times New Roman" w:cs="Times New Roman"/>
              </w:rPr>
              <w:t xml:space="preserve">W1 </w:t>
            </w:r>
          </w:p>
          <w:p w14:paraId="7A4FDF0C" w14:textId="18726D28" w:rsidR="00175581" w:rsidRPr="00C40440" w:rsidRDefault="00175581">
            <w:pPr>
              <w:autoSpaceDE w:val="0"/>
              <w:autoSpaceDN w:val="0"/>
              <w:adjustRightInd w:val="0"/>
              <w:spacing w:after="0" w:line="240" w:lineRule="auto"/>
              <w:rPr>
                <w:rFonts w:ascii="Times New Roman" w:hAnsi="Times New Roman" w:cs="Times New Roman"/>
              </w:rPr>
            </w:pPr>
            <w:r w:rsidRPr="00E40CF2">
              <w:rPr>
                <w:rFonts w:ascii="Times New Roman" w:hAnsi="Times New Roman" w:cs="Times New Roman"/>
              </w:rPr>
              <w:t>Cyfryzacja</w:t>
            </w:r>
            <w:r w:rsidR="00B904D0">
              <w:rPr>
                <w:rFonts w:ascii="Times New Roman" w:hAnsi="Times New Roman" w:cs="Times New Roman"/>
              </w:rPr>
              <w:t xml:space="preserve"> </w:t>
            </w:r>
            <w:r w:rsidRPr="00E40CF2">
              <w:rPr>
                <w:rFonts w:ascii="Times New Roman" w:hAnsi="Times New Roman" w:cs="Times New Roman"/>
              </w:rPr>
              <w:t>dokumentów medycznych</w:t>
            </w:r>
          </w:p>
          <w:p w14:paraId="652CD9D3" w14:textId="77777777" w:rsidR="00175581" w:rsidRPr="00C40440" w:rsidRDefault="00175581">
            <w:pPr>
              <w:autoSpaceDE w:val="0"/>
              <w:autoSpaceDN w:val="0"/>
              <w:adjustRightInd w:val="0"/>
              <w:spacing w:after="0" w:line="240" w:lineRule="auto"/>
              <w:rPr>
                <w:rFonts w:ascii="Times New Roman" w:hAnsi="Times New Roman" w:cs="Times New Roman"/>
                <w:color w:val="FF0000"/>
              </w:rPr>
            </w:pPr>
          </w:p>
          <w:p w14:paraId="04AD6745" w14:textId="77777777" w:rsidR="00175581" w:rsidRPr="00C40440" w:rsidRDefault="00175581">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Opis wskaźnika: </w:t>
            </w:r>
          </w:p>
          <w:p w14:paraId="0B5F7FF6" w14:textId="77777777" w:rsidR="00175581" w:rsidRPr="00C40440" w:rsidRDefault="00175581">
            <w:pPr>
              <w:autoSpaceDE w:val="0"/>
              <w:autoSpaceDN w:val="0"/>
              <w:adjustRightInd w:val="0"/>
              <w:spacing w:after="0" w:line="240" w:lineRule="auto"/>
              <w:rPr>
                <w:rFonts w:ascii="Times New Roman" w:hAnsi="Times New Roman" w:cs="Times New Roman"/>
                <w:color w:val="FF0000"/>
              </w:rPr>
            </w:pPr>
            <w:r w:rsidRPr="00C40440">
              <w:rPr>
                <w:rFonts w:ascii="Times New Roman" w:hAnsi="Times New Roman" w:cs="Times New Roman"/>
                <w:color w:val="FF0000"/>
              </w:rPr>
              <w:t>Ucyfrowienie nowych dokumentów medycznych</w:t>
            </w:r>
          </w:p>
          <w:p w14:paraId="077FF4D1" w14:textId="77777777" w:rsidR="00175581" w:rsidRPr="00C40440" w:rsidRDefault="00175581">
            <w:pPr>
              <w:autoSpaceDE w:val="0"/>
              <w:autoSpaceDN w:val="0"/>
              <w:adjustRightInd w:val="0"/>
              <w:spacing w:after="0" w:line="240" w:lineRule="auto"/>
              <w:rPr>
                <w:rFonts w:ascii="Times New Roman" w:hAnsi="Times New Roman" w:cs="Times New Roman"/>
                <w:color w:val="000000"/>
              </w:rPr>
            </w:pPr>
          </w:p>
          <w:p w14:paraId="52DFAB80" w14:textId="77777777" w:rsidR="00175581" w:rsidRPr="00C40440" w:rsidRDefault="00175581">
            <w:pPr>
              <w:autoSpaceDE w:val="0"/>
              <w:autoSpaceDN w:val="0"/>
              <w:adjustRightInd w:val="0"/>
              <w:spacing w:after="0" w:line="240" w:lineRule="auto"/>
              <w:rPr>
                <w:rFonts w:ascii="Times New Roman" w:hAnsi="Times New Roman" w:cs="Times New Roman"/>
                <w:color w:val="000000"/>
              </w:rPr>
            </w:pPr>
            <w:r w:rsidRPr="00C40440">
              <w:rPr>
                <w:rFonts w:ascii="Times New Roman" w:hAnsi="Times New Roman" w:cs="Times New Roman"/>
                <w:color w:val="000000"/>
              </w:rPr>
              <w:t xml:space="preserve">Wskaźniki ilościowe: </w:t>
            </w:r>
          </w:p>
          <w:p w14:paraId="69C32277" w14:textId="77777777" w:rsidR="00175581" w:rsidRPr="00C40440" w:rsidRDefault="00175581">
            <w:pPr>
              <w:autoSpaceDE w:val="0"/>
              <w:autoSpaceDN w:val="0"/>
              <w:adjustRightInd w:val="0"/>
              <w:spacing w:after="0" w:line="240" w:lineRule="auto"/>
              <w:rPr>
                <w:rFonts w:ascii="Times New Roman" w:hAnsi="Times New Roman" w:cs="Times New Roman"/>
                <w:color w:val="FF0000"/>
              </w:rPr>
            </w:pPr>
            <w:r w:rsidRPr="00C40440">
              <w:rPr>
                <w:rFonts w:ascii="Times New Roman" w:hAnsi="Times New Roman" w:cs="Times New Roman"/>
                <w:color w:val="FF0000"/>
              </w:rPr>
              <w:t>Jednostka miary: Liczba dokumentów</w:t>
            </w:r>
          </w:p>
          <w:p w14:paraId="7E0E2EAE" w14:textId="77777777" w:rsidR="00175581" w:rsidRPr="00C40440" w:rsidRDefault="00175581">
            <w:pPr>
              <w:autoSpaceDE w:val="0"/>
              <w:autoSpaceDN w:val="0"/>
              <w:adjustRightInd w:val="0"/>
              <w:spacing w:after="0" w:line="240" w:lineRule="auto"/>
              <w:rPr>
                <w:rFonts w:ascii="Times New Roman" w:hAnsi="Times New Roman" w:cs="Times New Roman"/>
                <w:color w:val="FF0000"/>
              </w:rPr>
            </w:pPr>
            <w:r w:rsidRPr="00C40440">
              <w:rPr>
                <w:rFonts w:ascii="Times New Roman" w:hAnsi="Times New Roman" w:cs="Times New Roman"/>
                <w:color w:val="FF0000"/>
              </w:rPr>
              <w:t>Poziom bazowy: 9</w:t>
            </w:r>
          </w:p>
          <w:p w14:paraId="080D9B20" w14:textId="6661C22B" w:rsidR="00175581" w:rsidRPr="00C40440" w:rsidRDefault="00175581">
            <w:pPr>
              <w:autoSpaceDE w:val="0"/>
              <w:autoSpaceDN w:val="0"/>
              <w:adjustRightInd w:val="0"/>
              <w:spacing w:after="0" w:line="240" w:lineRule="auto"/>
              <w:rPr>
                <w:rFonts w:ascii="Times New Roman" w:hAnsi="Times New Roman" w:cs="Times New Roman"/>
                <w:color w:val="FF0000"/>
              </w:rPr>
            </w:pPr>
            <w:r w:rsidRPr="00C40440">
              <w:rPr>
                <w:rFonts w:ascii="Times New Roman" w:hAnsi="Times New Roman" w:cs="Times New Roman"/>
                <w:color w:val="FF0000"/>
              </w:rPr>
              <w:t>Cel: 12</w:t>
            </w:r>
          </w:p>
          <w:p w14:paraId="65285136" w14:textId="77777777" w:rsidR="00B904D0" w:rsidRDefault="00B904D0">
            <w:pPr>
              <w:autoSpaceDE w:val="0"/>
              <w:autoSpaceDN w:val="0"/>
              <w:adjustRightInd w:val="0"/>
              <w:spacing w:after="0" w:line="240" w:lineRule="auto"/>
              <w:rPr>
                <w:rFonts w:ascii="Times New Roman" w:hAnsi="Times New Roman" w:cs="Times New Roman"/>
                <w:color w:val="000000"/>
              </w:rPr>
            </w:pPr>
          </w:p>
          <w:p w14:paraId="0A165322" w14:textId="3E9E978A" w:rsidR="00175581" w:rsidRPr="00C40440" w:rsidRDefault="00175581">
            <w:pPr>
              <w:autoSpaceDE w:val="0"/>
              <w:autoSpaceDN w:val="0"/>
              <w:adjustRightInd w:val="0"/>
              <w:spacing w:after="0" w:line="240" w:lineRule="auto"/>
              <w:rPr>
                <w:rFonts w:ascii="Times New Roman" w:hAnsi="Times New Roman" w:cs="Times New Roman"/>
                <w:color w:val="000000"/>
              </w:rPr>
            </w:pPr>
            <w:r w:rsidRPr="00C40440">
              <w:rPr>
                <w:rFonts w:ascii="Times New Roman" w:hAnsi="Times New Roman" w:cs="Times New Roman"/>
                <w:color w:val="000000"/>
              </w:rPr>
              <w:t xml:space="preserve">Termin realizacji: </w:t>
            </w:r>
            <w:r w:rsidR="00D3504C">
              <w:rPr>
                <w:rFonts w:ascii="Times New Roman" w:hAnsi="Times New Roman" w:cs="Times New Roman"/>
                <w:color w:val="000000"/>
              </w:rPr>
              <w:t>I</w:t>
            </w:r>
            <w:r w:rsidR="00D3504C">
              <w:rPr>
                <w:rFonts w:ascii="Times New Roman" w:hAnsi="Times New Roman" w:cs="Times New Roman"/>
              </w:rPr>
              <w:t xml:space="preserve"> kw. </w:t>
            </w:r>
            <w:r w:rsidR="00D3504C" w:rsidRPr="00E40CF2">
              <w:rPr>
                <w:rFonts w:ascii="Times New Roman" w:hAnsi="Times New Roman" w:cs="Times New Roman"/>
              </w:rPr>
              <w:t>2025</w:t>
            </w:r>
            <w:r w:rsidR="00D3504C">
              <w:rPr>
                <w:rFonts w:ascii="Times New Roman" w:hAnsi="Times New Roman" w:cs="Times New Roman"/>
              </w:rPr>
              <w:t>r.</w:t>
            </w:r>
          </w:p>
        </w:tc>
      </w:tr>
      <w:tr w:rsidR="00175581" w:rsidRPr="00430CEC" w14:paraId="08056BB6" w14:textId="77777777" w:rsidTr="003B4E6E">
        <w:tc>
          <w:tcPr>
            <w:tcW w:w="1139" w:type="pct"/>
          </w:tcPr>
          <w:p w14:paraId="47CF990A" w14:textId="77777777" w:rsidR="00175581" w:rsidRPr="00C40440" w:rsidRDefault="00175581" w:rsidP="003B4E6E">
            <w:pPr>
              <w:spacing w:after="120" w:line="240" w:lineRule="auto"/>
              <w:rPr>
                <w:rFonts w:ascii="Times New Roman" w:hAnsi="Times New Roman" w:cs="Times New Roman"/>
              </w:rPr>
            </w:pPr>
          </w:p>
        </w:tc>
        <w:tc>
          <w:tcPr>
            <w:tcW w:w="1875" w:type="pct"/>
          </w:tcPr>
          <w:p w14:paraId="2D05C1C3" w14:textId="7967F959" w:rsidR="00175581" w:rsidRPr="00C40440" w:rsidRDefault="00175581">
            <w:pPr>
              <w:spacing w:after="0" w:line="240" w:lineRule="auto"/>
              <w:rPr>
                <w:rFonts w:ascii="Times New Roman" w:hAnsi="Times New Roman" w:cs="Times New Roman"/>
              </w:rPr>
            </w:pPr>
            <w:r w:rsidRPr="00C40440">
              <w:rPr>
                <w:rFonts w:ascii="Times New Roman" w:hAnsi="Times New Roman" w:cs="Times New Roman"/>
              </w:rPr>
              <w:t>D20G W2</w:t>
            </w:r>
            <w:r w:rsidR="004C656B">
              <w:rPr>
                <w:rFonts w:ascii="Times New Roman" w:hAnsi="Times New Roman" w:cs="Times New Roman"/>
              </w:rPr>
              <w:t xml:space="preserve"> </w:t>
            </w:r>
            <w:r w:rsidRPr="00E40CF2">
              <w:rPr>
                <w:rFonts w:ascii="Times New Roman" w:hAnsi="Times New Roman" w:cs="Times New Roman"/>
              </w:rPr>
              <w:t>Cyfryzacja dokumentów medycznych</w:t>
            </w:r>
          </w:p>
          <w:p w14:paraId="50E71B4C" w14:textId="77777777" w:rsidR="00175581" w:rsidRPr="00C40440" w:rsidRDefault="00175581">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Opis wskaźnika: </w:t>
            </w:r>
          </w:p>
          <w:p w14:paraId="4D0F1B0F" w14:textId="77777777" w:rsidR="00175581" w:rsidRPr="00C40440" w:rsidRDefault="00175581">
            <w:pPr>
              <w:autoSpaceDE w:val="0"/>
              <w:autoSpaceDN w:val="0"/>
              <w:adjustRightInd w:val="0"/>
              <w:spacing w:after="0" w:line="240" w:lineRule="auto"/>
              <w:rPr>
                <w:rFonts w:ascii="Times New Roman" w:hAnsi="Times New Roman" w:cs="Times New Roman"/>
              </w:rPr>
            </w:pPr>
            <w:proofErr w:type="spellStart"/>
            <w:r w:rsidRPr="00E40CF2">
              <w:rPr>
                <w:rFonts w:ascii="Times New Roman" w:hAnsi="Times New Roman" w:cs="Times New Roman"/>
              </w:rPr>
              <w:t>Ucyfrowionych</w:t>
            </w:r>
            <w:proofErr w:type="spellEnd"/>
            <w:r w:rsidRPr="00E40CF2">
              <w:rPr>
                <w:rFonts w:ascii="Times New Roman" w:hAnsi="Times New Roman" w:cs="Times New Roman"/>
              </w:rPr>
              <w:t xml:space="preserve"> zostanie 60% ogólnej liczby rodzajów dokumentów medycznych.</w:t>
            </w:r>
          </w:p>
          <w:p w14:paraId="578DF03B" w14:textId="77777777" w:rsidR="00175581" w:rsidRPr="00C40440" w:rsidRDefault="00175581">
            <w:pPr>
              <w:autoSpaceDE w:val="0"/>
              <w:autoSpaceDN w:val="0"/>
              <w:adjustRightInd w:val="0"/>
              <w:spacing w:after="0" w:line="240" w:lineRule="auto"/>
              <w:rPr>
                <w:rFonts w:ascii="Times New Roman" w:hAnsi="Times New Roman" w:cs="Times New Roman"/>
              </w:rPr>
            </w:pPr>
          </w:p>
          <w:p w14:paraId="7B45E2D8" w14:textId="77777777" w:rsidR="00175581" w:rsidRPr="00C40440" w:rsidRDefault="00175581">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Wskaźniki ilościowe: </w:t>
            </w:r>
            <w:r w:rsidRPr="00E40CF2">
              <w:rPr>
                <w:rFonts w:ascii="Times New Roman" w:hAnsi="Times New Roman" w:cs="Times New Roman"/>
              </w:rPr>
              <w:t>60%</w:t>
            </w:r>
          </w:p>
          <w:p w14:paraId="651B94CB" w14:textId="6E28265B" w:rsidR="00B904D0" w:rsidRDefault="00B904D0">
            <w:pPr>
              <w:autoSpaceDE w:val="0"/>
              <w:autoSpaceDN w:val="0"/>
              <w:adjustRightInd w:val="0"/>
              <w:spacing w:after="0" w:line="240" w:lineRule="auto"/>
              <w:rPr>
                <w:rFonts w:ascii="Times New Roman" w:hAnsi="Times New Roman" w:cs="Times New Roman"/>
              </w:rPr>
            </w:pPr>
          </w:p>
          <w:p w14:paraId="15545F81" w14:textId="77777777" w:rsidR="00B904D0" w:rsidRPr="00C40440" w:rsidRDefault="00B904D0">
            <w:pPr>
              <w:autoSpaceDE w:val="0"/>
              <w:autoSpaceDN w:val="0"/>
              <w:adjustRightInd w:val="0"/>
              <w:spacing w:after="0" w:line="240" w:lineRule="auto"/>
              <w:rPr>
                <w:rFonts w:ascii="Times New Roman" w:hAnsi="Times New Roman" w:cs="Times New Roman"/>
              </w:rPr>
            </w:pPr>
          </w:p>
          <w:p w14:paraId="6D6182B1" w14:textId="7DFFBBBF" w:rsidR="00175581" w:rsidRPr="00C40440" w:rsidRDefault="00175581">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Termin realizacji: </w:t>
            </w:r>
            <w:r w:rsidR="00D3504C">
              <w:rPr>
                <w:rFonts w:ascii="Times New Roman" w:hAnsi="Times New Roman" w:cs="Times New Roman"/>
              </w:rPr>
              <w:t>I kw. 2026r.</w:t>
            </w:r>
          </w:p>
        </w:tc>
        <w:tc>
          <w:tcPr>
            <w:tcW w:w="1986" w:type="pct"/>
          </w:tcPr>
          <w:p w14:paraId="38D22942" w14:textId="31330F4B" w:rsidR="00175581" w:rsidRPr="00C40440" w:rsidRDefault="00175581" w:rsidP="00C40440">
            <w:pPr>
              <w:spacing w:after="0" w:line="240" w:lineRule="auto"/>
              <w:rPr>
                <w:rFonts w:ascii="Times New Roman" w:hAnsi="Times New Roman" w:cs="Times New Roman"/>
              </w:rPr>
            </w:pPr>
            <w:r w:rsidRPr="00C40440">
              <w:rPr>
                <w:rFonts w:ascii="Times New Roman" w:hAnsi="Times New Roman" w:cs="Times New Roman"/>
              </w:rPr>
              <w:t>D20G W2</w:t>
            </w:r>
            <w:r w:rsidR="00B904D0">
              <w:rPr>
                <w:rFonts w:ascii="Times New Roman" w:hAnsi="Times New Roman" w:cs="Times New Roman"/>
              </w:rPr>
              <w:t xml:space="preserve"> </w:t>
            </w:r>
            <w:r w:rsidRPr="00E40CF2">
              <w:rPr>
                <w:rFonts w:ascii="Times New Roman" w:hAnsi="Times New Roman" w:cs="Times New Roman"/>
              </w:rPr>
              <w:t>Cyfryzacja dokumentów medycznych</w:t>
            </w:r>
          </w:p>
          <w:p w14:paraId="71858D02" w14:textId="77777777" w:rsidR="00175581" w:rsidRPr="00C40440" w:rsidRDefault="00175581">
            <w:pPr>
              <w:autoSpaceDE w:val="0"/>
              <w:autoSpaceDN w:val="0"/>
              <w:adjustRightInd w:val="0"/>
              <w:spacing w:after="0" w:line="240" w:lineRule="auto"/>
              <w:rPr>
                <w:rFonts w:ascii="Times New Roman" w:hAnsi="Times New Roman" w:cs="Times New Roman"/>
                <w:color w:val="000000"/>
              </w:rPr>
            </w:pPr>
            <w:r w:rsidRPr="00C40440">
              <w:rPr>
                <w:rFonts w:ascii="Times New Roman" w:hAnsi="Times New Roman" w:cs="Times New Roman"/>
                <w:color w:val="000000"/>
              </w:rPr>
              <w:t xml:space="preserve">Opis wskaźnika: </w:t>
            </w:r>
          </w:p>
          <w:p w14:paraId="2B7F833C" w14:textId="77777777" w:rsidR="00175581" w:rsidRPr="00C40440" w:rsidRDefault="00175581">
            <w:pPr>
              <w:spacing w:after="0" w:line="240" w:lineRule="auto"/>
              <w:rPr>
                <w:rFonts w:ascii="Times New Roman" w:hAnsi="Times New Roman" w:cs="Times New Roman"/>
                <w:color w:val="FF0000"/>
              </w:rPr>
            </w:pPr>
            <w:r w:rsidRPr="00C40440">
              <w:rPr>
                <w:rFonts w:ascii="Times New Roman" w:hAnsi="Times New Roman" w:cs="Times New Roman"/>
                <w:color w:val="FF0000"/>
              </w:rPr>
              <w:t>Ucyfrowienie nowych dokumentów medycznych</w:t>
            </w:r>
          </w:p>
          <w:p w14:paraId="55DA51DD" w14:textId="77777777" w:rsidR="00175581" w:rsidRPr="00430CEC" w:rsidRDefault="00175581">
            <w:pPr>
              <w:autoSpaceDE w:val="0"/>
              <w:autoSpaceDN w:val="0"/>
              <w:adjustRightInd w:val="0"/>
              <w:spacing w:after="0" w:line="240" w:lineRule="auto"/>
              <w:rPr>
                <w:rFonts w:ascii="Times New Roman" w:hAnsi="Times New Roman" w:cs="Times New Roman"/>
                <w:b/>
                <w:bCs/>
                <w:color w:val="000000"/>
              </w:rPr>
            </w:pPr>
          </w:p>
          <w:p w14:paraId="5301EBD7" w14:textId="77777777" w:rsidR="00175581" w:rsidRPr="00C40440" w:rsidRDefault="00175581">
            <w:pPr>
              <w:autoSpaceDE w:val="0"/>
              <w:autoSpaceDN w:val="0"/>
              <w:adjustRightInd w:val="0"/>
              <w:spacing w:after="0" w:line="240" w:lineRule="auto"/>
              <w:rPr>
                <w:rFonts w:ascii="Times New Roman" w:hAnsi="Times New Roman" w:cs="Times New Roman"/>
                <w:color w:val="000000"/>
              </w:rPr>
            </w:pPr>
            <w:r w:rsidRPr="00C40440">
              <w:rPr>
                <w:rFonts w:ascii="Times New Roman" w:hAnsi="Times New Roman" w:cs="Times New Roman"/>
                <w:color w:val="000000"/>
              </w:rPr>
              <w:t>Wskaźniki ilościowe:</w:t>
            </w:r>
          </w:p>
          <w:p w14:paraId="0BC16EED" w14:textId="77777777" w:rsidR="00175581" w:rsidRPr="00C40440" w:rsidRDefault="00175581">
            <w:pPr>
              <w:spacing w:after="0" w:line="240" w:lineRule="auto"/>
              <w:rPr>
                <w:rFonts w:ascii="Times New Roman" w:hAnsi="Times New Roman" w:cs="Times New Roman"/>
                <w:color w:val="FF0000"/>
              </w:rPr>
            </w:pPr>
            <w:r w:rsidRPr="00C40440">
              <w:rPr>
                <w:rFonts w:ascii="Times New Roman" w:hAnsi="Times New Roman" w:cs="Times New Roman"/>
                <w:color w:val="FF0000"/>
              </w:rPr>
              <w:t>Jednostka miary: Liczba dokumentów</w:t>
            </w:r>
          </w:p>
          <w:p w14:paraId="16C92915" w14:textId="77777777" w:rsidR="00175581" w:rsidRPr="00C40440" w:rsidRDefault="00175581">
            <w:pPr>
              <w:autoSpaceDE w:val="0"/>
              <w:autoSpaceDN w:val="0"/>
              <w:adjustRightInd w:val="0"/>
              <w:spacing w:after="0" w:line="240" w:lineRule="auto"/>
              <w:rPr>
                <w:rFonts w:ascii="Times New Roman" w:hAnsi="Times New Roman" w:cs="Times New Roman"/>
                <w:color w:val="FF0000"/>
              </w:rPr>
            </w:pPr>
            <w:r w:rsidRPr="00C40440">
              <w:rPr>
                <w:rFonts w:ascii="Times New Roman" w:hAnsi="Times New Roman" w:cs="Times New Roman"/>
                <w:color w:val="FF0000"/>
              </w:rPr>
              <w:t>Poziom bazowy: 12</w:t>
            </w:r>
          </w:p>
          <w:p w14:paraId="4DB8F72A" w14:textId="24D5C1F2" w:rsidR="00E40CF2" w:rsidRPr="00C40440" w:rsidRDefault="00175581" w:rsidP="00C40440">
            <w:pPr>
              <w:autoSpaceDE w:val="0"/>
              <w:autoSpaceDN w:val="0"/>
              <w:adjustRightInd w:val="0"/>
              <w:spacing w:after="0" w:line="240" w:lineRule="auto"/>
              <w:rPr>
                <w:rFonts w:ascii="Times New Roman" w:hAnsi="Times New Roman" w:cs="Times New Roman"/>
                <w:color w:val="FF0000"/>
              </w:rPr>
            </w:pPr>
            <w:r w:rsidRPr="00C40440">
              <w:rPr>
                <w:rFonts w:ascii="Times New Roman" w:hAnsi="Times New Roman" w:cs="Times New Roman"/>
                <w:color w:val="FF0000"/>
              </w:rPr>
              <w:t>Cel: 18</w:t>
            </w:r>
          </w:p>
          <w:p w14:paraId="62162E91" w14:textId="57911F17" w:rsidR="00175581" w:rsidRPr="00C40440" w:rsidRDefault="00175581">
            <w:pPr>
              <w:spacing w:after="0" w:line="240" w:lineRule="auto"/>
              <w:rPr>
                <w:rFonts w:ascii="Times New Roman" w:hAnsi="Times New Roman" w:cs="Times New Roman"/>
              </w:rPr>
            </w:pPr>
            <w:r w:rsidRPr="00C40440">
              <w:rPr>
                <w:rFonts w:ascii="Times New Roman" w:hAnsi="Times New Roman" w:cs="Times New Roman"/>
              </w:rPr>
              <w:t xml:space="preserve">Termin realizacji: </w:t>
            </w:r>
            <w:r w:rsidR="00B904D0">
              <w:rPr>
                <w:rFonts w:ascii="Times New Roman" w:hAnsi="Times New Roman" w:cs="Times New Roman"/>
              </w:rPr>
              <w:t>I kw. 2026r.</w:t>
            </w:r>
          </w:p>
        </w:tc>
      </w:tr>
      <w:tr w:rsidR="00175581" w:rsidRPr="00A26E88" w14:paraId="748FB461" w14:textId="77777777" w:rsidTr="003B4E6E">
        <w:tc>
          <w:tcPr>
            <w:tcW w:w="1139" w:type="pct"/>
          </w:tcPr>
          <w:p w14:paraId="00DCACA5" w14:textId="77777777" w:rsidR="00175581" w:rsidRPr="00E40CF2" w:rsidRDefault="00175581" w:rsidP="003B4E6E">
            <w:pPr>
              <w:spacing w:after="120" w:line="240" w:lineRule="auto"/>
              <w:rPr>
                <w:rFonts w:ascii="Times New Roman" w:hAnsi="Times New Roman" w:cs="Times New Roman"/>
              </w:rPr>
            </w:pPr>
            <w:r w:rsidRPr="00E40CF2">
              <w:rPr>
                <w:rFonts w:ascii="Times New Roman" w:hAnsi="Times New Roman" w:cs="Times New Roman"/>
              </w:rPr>
              <w:lastRenderedPageBreak/>
              <w:t>Uzasadnienie</w:t>
            </w:r>
          </w:p>
        </w:tc>
        <w:tc>
          <w:tcPr>
            <w:tcW w:w="3861" w:type="pct"/>
            <w:gridSpan w:val="2"/>
          </w:tcPr>
          <w:p w14:paraId="325B5319" w14:textId="432F0EC2" w:rsidR="00175581" w:rsidRPr="00C40440" w:rsidRDefault="00175581" w:rsidP="00C40440">
            <w:pPr>
              <w:autoSpaceDE w:val="0"/>
              <w:autoSpaceDN w:val="0"/>
              <w:adjustRightInd w:val="0"/>
              <w:spacing w:after="120" w:line="240" w:lineRule="auto"/>
              <w:rPr>
                <w:rFonts w:ascii="Times New Roman" w:hAnsi="Times New Roman" w:cs="Times New Roman"/>
              </w:rPr>
            </w:pPr>
            <w:r w:rsidRPr="00C40440">
              <w:rPr>
                <w:rFonts w:ascii="Times New Roman" w:hAnsi="Times New Roman" w:cs="Times New Roman"/>
              </w:rPr>
              <w:t>D19G, D20G</w:t>
            </w:r>
            <w:r w:rsidRPr="00E40CF2">
              <w:rPr>
                <w:rFonts w:ascii="Times New Roman" w:hAnsi="Times New Roman" w:cs="Times New Roman"/>
              </w:rPr>
              <w:t xml:space="preserve"> - Proponowana jest zmiana opisu wskaźnika ilościowego poprzez odejście od wskaźnika procentowego na rzecz wskaźnika opartego na liczbie </w:t>
            </w:r>
            <w:proofErr w:type="spellStart"/>
            <w:r w:rsidRPr="00E40CF2">
              <w:rPr>
                <w:rFonts w:ascii="Times New Roman" w:hAnsi="Times New Roman" w:cs="Times New Roman"/>
              </w:rPr>
              <w:t>ucyfrowionych</w:t>
            </w:r>
            <w:proofErr w:type="spellEnd"/>
            <w:r w:rsidRPr="00E40CF2">
              <w:rPr>
                <w:rFonts w:ascii="Times New Roman" w:hAnsi="Times New Roman" w:cs="Times New Roman"/>
              </w:rPr>
              <w:t xml:space="preserve"> dokumentów oraz odniesienie tego wskaźnika do istniejących aktów prawnych. Zmiany mają na celu wprowadzenie przejrzystego mechanizmu umożliwiającego efektywne zmierzenie rezultatu wraz z jednoczesnym doprecyzowaniem podstawy obliczeń wskaźnika.</w:t>
            </w:r>
          </w:p>
        </w:tc>
      </w:tr>
      <w:tr w:rsidR="00175581" w:rsidRPr="00430CEC" w14:paraId="2E881BFC" w14:textId="77777777" w:rsidTr="003B4E6E">
        <w:tc>
          <w:tcPr>
            <w:tcW w:w="1139" w:type="pct"/>
          </w:tcPr>
          <w:p w14:paraId="4807E652"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Szacowany koszt</w:t>
            </w:r>
          </w:p>
        </w:tc>
        <w:tc>
          <w:tcPr>
            <w:tcW w:w="3861" w:type="pct"/>
            <w:gridSpan w:val="2"/>
          </w:tcPr>
          <w:p w14:paraId="721BC601" w14:textId="77777777" w:rsidR="00175581" w:rsidRPr="00430CEC" w:rsidRDefault="00175581" w:rsidP="003B4E6E">
            <w:pPr>
              <w:spacing w:after="120" w:line="240" w:lineRule="auto"/>
              <w:rPr>
                <w:rFonts w:ascii="Times New Roman" w:hAnsi="Times New Roman" w:cs="Times New Roman"/>
                <w:b/>
                <w:bCs/>
              </w:rPr>
            </w:pPr>
            <w:r w:rsidRPr="00430CEC">
              <w:rPr>
                <w:rFonts w:ascii="Times New Roman" w:hAnsi="Times New Roman" w:cs="Times New Roman"/>
              </w:rPr>
              <w:t xml:space="preserve">Zmiana nie ma wpływu na szacowany koszt </w:t>
            </w:r>
          </w:p>
        </w:tc>
      </w:tr>
      <w:tr w:rsidR="00175581" w:rsidRPr="00430CEC" w14:paraId="7179C249" w14:textId="77777777" w:rsidTr="003B4E6E">
        <w:tc>
          <w:tcPr>
            <w:tcW w:w="1139" w:type="pct"/>
          </w:tcPr>
          <w:p w14:paraId="36A663B2"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 xml:space="preserve">Cyfrowy i klimatyczny </w:t>
            </w:r>
            <w:proofErr w:type="spellStart"/>
            <w:r w:rsidRPr="00430CEC">
              <w:rPr>
                <w:rFonts w:ascii="Times New Roman" w:hAnsi="Times New Roman" w:cs="Times New Roman"/>
              </w:rPr>
              <w:t>tagging</w:t>
            </w:r>
            <w:proofErr w:type="spellEnd"/>
            <w:r w:rsidRPr="00430CEC">
              <w:rPr>
                <w:rFonts w:ascii="Times New Roman" w:hAnsi="Times New Roman" w:cs="Times New Roman"/>
              </w:rPr>
              <w:t xml:space="preserve"> </w:t>
            </w:r>
          </w:p>
        </w:tc>
        <w:tc>
          <w:tcPr>
            <w:tcW w:w="3861" w:type="pct"/>
            <w:gridSpan w:val="2"/>
          </w:tcPr>
          <w:p w14:paraId="284B72A4"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 xml:space="preserve">Zmiana nie ma wpływu na </w:t>
            </w:r>
            <w:proofErr w:type="spellStart"/>
            <w:r w:rsidRPr="00430CEC">
              <w:rPr>
                <w:rFonts w:ascii="Times New Roman" w:hAnsi="Times New Roman" w:cs="Times New Roman"/>
              </w:rPr>
              <w:t>tagging</w:t>
            </w:r>
            <w:proofErr w:type="spellEnd"/>
            <w:r w:rsidRPr="00430CEC">
              <w:rPr>
                <w:rFonts w:ascii="Times New Roman" w:hAnsi="Times New Roman" w:cs="Times New Roman"/>
              </w:rPr>
              <w:t xml:space="preserve"> klimatyczny i cyfrowy</w:t>
            </w:r>
          </w:p>
        </w:tc>
      </w:tr>
      <w:tr w:rsidR="00175581" w:rsidRPr="00430CEC" w14:paraId="2CFAAF83" w14:textId="77777777" w:rsidTr="003B4E6E">
        <w:tc>
          <w:tcPr>
            <w:tcW w:w="1139" w:type="pct"/>
            <w:tcBorders>
              <w:bottom w:val="single" w:sz="4" w:space="0" w:color="auto"/>
            </w:tcBorders>
          </w:tcPr>
          <w:p w14:paraId="671F5A03"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 xml:space="preserve">Zasada DNSH </w:t>
            </w:r>
          </w:p>
        </w:tc>
        <w:tc>
          <w:tcPr>
            <w:tcW w:w="3861" w:type="pct"/>
            <w:gridSpan w:val="2"/>
            <w:tcBorders>
              <w:bottom w:val="single" w:sz="4" w:space="0" w:color="auto"/>
            </w:tcBorders>
          </w:tcPr>
          <w:p w14:paraId="38CD09B8"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Zmiana nie ma wpływu na DNSH</w:t>
            </w:r>
          </w:p>
        </w:tc>
      </w:tr>
      <w:tr w:rsidR="00175581" w:rsidRPr="006954CE" w14:paraId="597B5623" w14:textId="77777777" w:rsidTr="003B4E6E">
        <w:tc>
          <w:tcPr>
            <w:tcW w:w="1139" w:type="pct"/>
            <w:tcBorders>
              <w:bottom w:val="single" w:sz="4" w:space="0" w:color="auto"/>
            </w:tcBorders>
          </w:tcPr>
          <w:p w14:paraId="282BFC00"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 xml:space="preserve">Pomoc publiczna </w:t>
            </w:r>
          </w:p>
        </w:tc>
        <w:tc>
          <w:tcPr>
            <w:tcW w:w="3861" w:type="pct"/>
            <w:gridSpan w:val="2"/>
            <w:tcBorders>
              <w:bottom w:val="single" w:sz="4" w:space="0" w:color="auto"/>
            </w:tcBorders>
          </w:tcPr>
          <w:p w14:paraId="3A6F4373" w14:textId="77777777" w:rsidR="00175581" w:rsidRPr="00430CEC" w:rsidRDefault="00175581" w:rsidP="003B4E6E">
            <w:pPr>
              <w:spacing w:after="120" w:line="240" w:lineRule="auto"/>
              <w:rPr>
                <w:rFonts w:ascii="Times New Roman" w:hAnsi="Times New Roman" w:cs="Times New Roman"/>
              </w:rPr>
            </w:pPr>
            <w:r w:rsidRPr="00430CEC">
              <w:rPr>
                <w:rFonts w:ascii="Times New Roman" w:hAnsi="Times New Roman" w:cs="Times New Roman"/>
              </w:rPr>
              <w:t>Zmiana nie ma wpływu na pomoc publiczną</w:t>
            </w:r>
          </w:p>
        </w:tc>
      </w:tr>
    </w:tbl>
    <w:p w14:paraId="1C4B63BB" w14:textId="77777777" w:rsidR="00175581" w:rsidRPr="00050E14" w:rsidRDefault="00175581" w:rsidP="00175581">
      <w:pPr>
        <w:spacing w:after="120" w:line="240" w:lineRule="auto"/>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3317"/>
        <w:gridCol w:w="3681"/>
      </w:tblGrid>
      <w:tr w:rsidR="00175581" w:rsidRPr="00EF63DD" w14:paraId="60378D3C" w14:textId="77777777" w:rsidTr="003B4E6E">
        <w:tc>
          <w:tcPr>
            <w:tcW w:w="1139" w:type="pct"/>
            <w:shd w:val="clear" w:color="auto" w:fill="auto"/>
          </w:tcPr>
          <w:p w14:paraId="133DCDEF" w14:textId="77777777" w:rsidR="00175581" w:rsidRPr="00EF63DD" w:rsidRDefault="00175581" w:rsidP="003B4E6E">
            <w:pPr>
              <w:spacing w:after="120" w:line="240" w:lineRule="auto"/>
              <w:rPr>
                <w:rFonts w:ascii="Times New Roman" w:hAnsi="Times New Roman" w:cs="Times New Roman"/>
                <w:b/>
                <w:bCs/>
              </w:rPr>
            </w:pPr>
            <w:r w:rsidRPr="00EF63DD">
              <w:rPr>
                <w:rFonts w:ascii="Times New Roman" w:hAnsi="Times New Roman" w:cs="Times New Roman"/>
                <w:b/>
                <w:bCs/>
              </w:rPr>
              <w:t>Numer inwestycji</w:t>
            </w:r>
          </w:p>
        </w:tc>
        <w:tc>
          <w:tcPr>
            <w:tcW w:w="3861" w:type="pct"/>
            <w:gridSpan w:val="2"/>
            <w:shd w:val="clear" w:color="auto" w:fill="auto"/>
          </w:tcPr>
          <w:p w14:paraId="45120ADD" w14:textId="77777777" w:rsidR="00175581" w:rsidRPr="00EF63DD" w:rsidRDefault="00175581" w:rsidP="00C40440">
            <w:pPr>
              <w:pStyle w:val="Akapitzlist"/>
              <w:spacing w:after="120"/>
              <w:ind w:left="0"/>
              <w:rPr>
                <w:b/>
                <w:bCs/>
                <w:sz w:val="22"/>
                <w:szCs w:val="22"/>
              </w:rPr>
            </w:pPr>
            <w:r>
              <w:rPr>
                <w:b/>
                <w:bCs/>
              </w:rPr>
              <w:t>D3.1.1</w:t>
            </w:r>
          </w:p>
        </w:tc>
      </w:tr>
      <w:tr w:rsidR="00175581" w:rsidRPr="0020386D" w14:paraId="6CAB4F5A" w14:textId="77777777" w:rsidTr="003B4E6E">
        <w:tc>
          <w:tcPr>
            <w:tcW w:w="1139" w:type="pct"/>
            <w:shd w:val="clear" w:color="auto" w:fill="auto"/>
          </w:tcPr>
          <w:p w14:paraId="4E32258A" w14:textId="77777777" w:rsidR="00175581" w:rsidRPr="00C40440" w:rsidRDefault="00175581" w:rsidP="00C40440">
            <w:pPr>
              <w:spacing w:after="120"/>
              <w:rPr>
                <w:b/>
                <w:bCs/>
              </w:rPr>
            </w:pPr>
            <w:r w:rsidRPr="00C40440">
              <w:rPr>
                <w:rFonts w:ascii="Times New Roman" w:hAnsi="Times New Roman" w:cs="Times New Roman"/>
                <w:b/>
                <w:bCs/>
              </w:rPr>
              <w:t xml:space="preserve">Nazwa inwestycji </w:t>
            </w:r>
          </w:p>
        </w:tc>
        <w:tc>
          <w:tcPr>
            <w:tcW w:w="3861" w:type="pct"/>
            <w:gridSpan w:val="2"/>
            <w:shd w:val="clear" w:color="auto" w:fill="auto"/>
          </w:tcPr>
          <w:p w14:paraId="78C65B59" w14:textId="2B48681E" w:rsidR="00175581" w:rsidRPr="00C40440" w:rsidRDefault="00175581" w:rsidP="00C40440">
            <w:pPr>
              <w:pStyle w:val="Akapitzlist"/>
              <w:spacing w:after="120" w:line="240" w:lineRule="auto"/>
              <w:ind w:left="0"/>
              <w:rPr>
                <w:b/>
                <w:bCs/>
                <w:sz w:val="22"/>
                <w:szCs w:val="22"/>
              </w:rPr>
            </w:pPr>
            <w:r w:rsidRPr="004A2A21">
              <w:rPr>
                <w:b/>
                <w:bCs/>
                <w:sz w:val="22"/>
                <w:szCs w:val="22"/>
              </w:rPr>
              <w:t>Kompleksowy rozwój badań w zakresie nauk medycznych i nauk o zdrowiu</w:t>
            </w:r>
          </w:p>
        </w:tc>
      </w:tr>
      <w:tr w:rsidR="00175581" w:rsidRPr="00A26E88" w14:paraId="61FDD34E" w14:textId="77777777" w:rsidTr="003B4E6E">
        <w:trPr>
          <w:trHeight w:val="1212"/>
        </w:trPr>
        <w:tc>
          <w:tcPr>
            <w:tcW w:w="1139" w:type="pct"/>
            <w:shd w:val="clear" w:color="auto" w:fill="auto"/>
          </w:tcPr>
          <w:p w14:paraId="031030CD" w14:textId="77777777" w:rsidR="00175581" w:rsidRPr="00EF63DD" w:rsidRDefault="00175581" w:rsidP="00C40440">
            <w:pPr>
              <w:pStyle w:val="Akapitzlist"/>
              <w:spacing w:after="120"/>
              <w:ind w:left="0"/>
              <w:rPr>
                <w:sz w:val="22"/>
                <w:szCs w:val="22"/>
              </w:rPr>
            </w:pPr>
            <w:r w:rsidRPr="00EF63DD">
              <w:rPr>
                <w:sz w:val="22"/>
                <w:szCs w:val="22"/>
              </w:rPr>
              <w:t>Rodzaj wprowadzonej zmiany w odniesieniu do CID</w:t>
            </w:r>
          </w:p>
        </w:tc>
        <w:tc>
          <w:tcPr>
            <w:tcW w:w="3861" w:type="pct"/>
            <w:gridSpan w:val="2"/>
            <w:shd w:val="clear" w:color="auto" w:fill="auto"/>
          </w:tcPr>
          <w:p w14:paraId="1F2CDAC0" w14:textId="77777777" w:rsidR="00175581" w:rsidRPr="00C40440" w:rsidRDefault="00175581" w:rsidP="00C40440">
            <w:pPr>
              <w:spacing w:after="120" w:line="240" w:lineRule="auto"/>
            </w:pPr>
            <w:r w:rsidRPr="00C40440">
              <w:rPr>
                <w:rFonts w:ascii="Times New Roman" w:hAnsi="Times New Roman" w:cs="Times New Roman"/>
              </w:rPr>
              <w:t>D35G: Zmiana opisu miernika.</w:t>
            </w:r>
          </w:p>
          <w:p w14:paraId="16D0CD06" w14:textId="77777777" w:rsidR="00175581" w:rsidRPr="004C2A8D" w:rsidRDefault="00175581" w:rsidP="00C40440">
            <w:pPr>
              <w:spacing w:after="120" w:line="240" w:lineRule="auto"/>
            </w:pPr>
            <w:r w:rsidRPr="00C40440">
              <w:rPr>
                <w:rFonts w:ascii="Times New Roman" w:hAnsi="Times New Roman" w:cs="Times New Roman"/>
              </w:rPr>
              <w:t>D36G: Zmiana nazwy, opisu wskaźnika Liczba dofinansowanych projektów dla jednostek naukowych i przedsiębiorców z sektora biomedycznego i zmiana opisu miernika oraz zmniejszenie wartości z 80 na 50.</w:t>
            </w:r>
          </w:p>
          <w:p w14:paraId="233276A1" w14:textId="3B7F0B98" w:rsidR="00175581" w:rsidRPr="00C40440" w:rsidRDefault="00175581" w:rsidP="00C40440">
            <w:pPr>
              <w:spacing w:after="120" w:line="240" w:lineRule="auto"/>
            </w:pPr>
            <w:r w:rsidRPr="00C40440">
              <w:rPr>
                <w:rFonts w:ascii="Times New Roman" w:hAnsi="Times New Roman" w:cs="Times New Roman"/>
              </w:rPr>
              <w:t>D37G:</w:t>
            </w:r>
            <w:r w:rsidRPr="00C40440">
              <w:rPr>
                <w:rFonts w:ascii="Times New Roman" w:hAnsi="Times New Roman" w:cs="Times New Roman"/>
                <w:b/>
                <w:bCs/>
              </w:rPr>
              <w:t xml:space="preserve"> </w:t>
            </w:r>
            <w:r w:rsidRPr="00C40440">
              <w:rPr>
                <w:rFonts w:ascii="Times New Roman" w:hAnsi="Times New Roman" w:cs="Times New Roman"/>
              </w:rPr>
              <w:t>Zmiana nazwy, opisu i zmniejszenie wartości wskaźnika</w:t>
            </w:r>
            <w:r w:rsidRPr="00C40440">
              <w:rPr>
                <w:rFonts w:ascii="Times New Roman" w:hAnsi="Times New Roman" w:cs="Times New Roman"/>
                <w:b/>
                <w:bCs/>
              </w:rPr>
              <w:t xml:space="preserve"> </w:t>
            </w:r>
            <w:r w:rsidRPr="00C40440">
              <w:rPr>
                <w:rFonts w:ascii="Times New Roman" w:hAnsi="Times New Roman" w:cs="Times New Roman"/>
              </w:rPr>
              <w:t>Liczba utworzonych Centrów Wsparcia Badań Klinicznych - zmiana zakresu miernika i opisu miernika polegająca na znaczącym ograniczeniu liczby</w:t>
            </w:r>
            <w:r w:rsidRPr="00605AC7">
              <w:t xml:space="preserve"> </w:t>
            </w:r>
            <w:r w:rsidRPr="00C40440">
              <w:rPr>
                <w:rFonts w:ascii="Times New Roman" w:hAnsi="Times New Roman" w:cs="Times New Roman"/>
              </w:rPr>
              <w:t>planowanych do utworzenia nowych CWBK na rzecz utworzenia części CWBK na bazie istniejących - z 33 nowych CWBK na 33 CWBK (w tym 10 nowych oraz 23 na bazie istniejących).</w:t>
            </w:r>
          </w:p>
        </w:tc>
      </w:tr>
      <w:tr w:rsidR="00175581" w:rsidRPr="0020386D" w14:paraId="1A971E1A" w14:textId="77777777" w:rsidTr="003B4E6E">
        <w:tc>
          <w:tcPr>
            <w:tcW w:w="1139" w:type="pct"/>
            <w:shd w:val="clear" w:color="auto" w:fill="auto"/>
          </w:tcPr>
          <w:p w14:paraId="61A048DA" w14:textId="77777777" w:rsidR="00175581" w:rsidRPr="00EF63DD" w:rsidRDefault="00175581" w:rsidP="00C40440">
            <w:pPr>
              <w:pStyle w:val="Akapitzlist"/>
              <w:spacing w:after="120"/>
              <w:ind w:left="0"/>
              <w:rPr>
                <w:sz w:val="22"/>
                <w:szCs w:val="22"/>
              </w:rPr>
            </w:pPr>
            <w:r w:rsidRPr="00EF63DD">
              <w:rPr>
                <w:sz w:val="22"/>
                <w:szCs w:val="22"/>
              </w:rPr>
              <w:t>Podstawa prawna zmiany</w:t>
            </w:r>
          </w:p>
        </w:tc>
        <w:tc>
          <w:tcPr>
            <w:tcW w:w="3861" w:type="pct"/>
            <w:gridSpan w:val="2"/>
            <w:shd w:val="clear" w:color="auto" w:fill="auto"/>
          </w:tcPr>
          <w:p w14:paraId="6A8F6809" w14:textId="7A63BE48" w:rsidR="00175581" w:rsidRPr="00C40440" w:rsidRDefault="00175581" w:rsidP="00C40440">
            <w:pPr>
              <w:pStyle w:val="Akapitzlist"/>
              <w:spacing w:line="240" w:lineRule="auto"/>
              <w:ind w:left="0"/>
              <w:rPr>
                <w:sz w:val="22"/>
                <w:szCs w:val="22"/>
              </w:rPr>
            </w:pPr>
            <w:r w:rsidRPr="00C40440">
              <w:rPr>
                <w:sz w:val="22"/>
                <w:szCs w:val="22"/>
              </w:rPr>
              <w:t>art. 21 rozporządzenia Parlamentu Europejskiego i Rady (UE) 2021/241 z dnia 12 lutego 2021 r. ustanawiające Instrument na rzecz Odbudowy i Zwiększania Odporności</w:t>
            </w:r>
          </w:p>
        </w:tc>
      </w:tr>
      <w:tr w:rsidR="00175581" w:rsidRPr="00EF63DD" w14:paraId="3D8875E1" w14:textId="77777777" w:rsidTr="003B4E6E">
        <w:tc>
          <w:tcPr>
            <w:tcW w:w="1139" w:type="pct"/>
            <w:shd w:val="clear" w:color="auto" w:fill="D9D9D9" w:themeFill="background1" w:themeFillShade="D9"/>
          </w:tcPr>
          <w:p w14:paraId="326A9673" w14:textId="77777777" w:rsidR="00175581" w:rsidRPr="00EF63DD" w:rsidRDefault="00175581" w:rsidP="003B4E6E">
            <w:pPr>
              <w:spacing w:after="120" w:line="240" w:lineRule="auto"/>
              <w:rPr>
                <w:rFonts w:ascii="Times New Roman" w:hAnsi="Times New Roman" w:cs="Times New Roman"/>
              </w:rPr>
            </w:pPr>
            <w:r w:rsidRPr="00EF63DD">
              <w:rPr>
                <w:rFonts w:ascii="Times New Roman" w:hAnsi="Times New Roman" w:cs="Times New Roman"/>
              </w:rPr>
              <w:t>Modyfikowany element</w:t>
            </w:r>
          </w:p>
        </w:tc>
        <w:tc>
          <w:tcPr>
            <w:tcW w:w="1830" w:type="pct"/>
            <w:shd w:val="clear" w:color="auto" w:fill="D9D9D9" w:themeFill="background1" w:themeFillShade="D9"/>
          </w:tcPr>
          <w:p w14:paraId="3E1A8CCC" w14:textId="77777777" w:rsidR="00175581" w:rsidRPr="00EF63DD" w:rsidRDefault="00175581">
            <w:pPr>
              <w:spacing w:after="120" w:line="240" w:lineRule="auto"/>
              <w:jc w:val="center"/>
              <w:rPr>
                <w:rFonts w:ascii="Times New Roman" w:hAnsi="Times New Roman" w:cs="Times New Roman"/>
              </w:rPr>
            </w:pPr>
            <w:r w:rsidRPr="00496F64">
              <w:rPr>
                <w:rFonts w:ascii="Times New Roman" w:hAnsi="Times New Roman" w:cs="Times New Roman"/>
                <w:highlight w:val="lightGray"/>
              </w:rPr>
              <w:t>Bieżąca wersja</w:t>
            </w:r>
          </w:p>
        </w:tc>
        <w:tc>
          <w:tcPr>
            <w:tcW w:w="2031" w:type="pct"/>
            <w:shd w:val="clear" w:color="auto" w:fill="D9D9D9" w:themeFill="background1" w:themeFillShade="D9"/>
          </w:tcPr>
          <w:p w14:paraId="1B9851D7" w14:textId="77777777" w:rsidR="00175581" w:rsidRPr="00EF63DD" w:rsidRDefault="00175581">
            <w:pPr>
              <w:spacing w:after="120" w:line="240" w:lineRule="auto"/>
              <w:jc w:val="center"/>
              <w:rPr>
                <w:rFonts w:ascii="Times New Roman" w:hAnsi="Times New Roman" w:cs="Times New Roman"/>
              </w:rPr>
            </w:pPr>
            <w:r w:rsidRPr="00496F64">
              <w:rPr>
                <w:rFonts w:ascii="Times New Roman" w:hAnsi="Times New Roman" w:cs="Times New Roman"/>
                <w:highlight w:val="lightGray"/>
              </w:rPr>
              <w:t>Wersja zmieniona</w:t>
            </w:r>
          </w:p>
        </w:tc>
      </w:tr>
      <w:tr w:rsidR="00175581" w:rsidRPr="00EF63DD" w14:paraId="31248B29" w14:textId="77777777" w:rsidTr="003B4E6E">
        <w:tc>
          <w:tcPr>
            <w:tcW w:w="1139" w:type="pct"/>
          </w:tcPr>
          <w:p w14:paraId="371F0B3C" w14:textId="77777777" w:rsidR="00175581" w:rsidRPr="009C1A5A" w:rsidRDefault="00175581" w:rsidP="003B4E6E">
            <w:pPr>
              <w:spacing w:after="120" w:line="240" w:lineRule="auto"/>
              <w:rPr>
                <w:rFonts w:ascii="Times New Roman" w:hAnsi="Times New Roman" w:cs="Times New Roman"/>
              </w:rPr>
            </w:pPr>
            <w:r w:rsidRPr="009C1A5A">
              <w:rPr>
                <w:rFonts w:ascii="Times New Roman" w:hAnsi="Times New Roman" w:cs="Times New Roman"/>
              </w:rPr>
              <w:t>Opis inwestycji/ kamienia milowego/ wskaźnika</w:t>
            </w:r>
          </w:p>
        </w:tc>
        <w:tc>
          <w:tcPr>
            <w:tcW w:w="1830" w:type="pct"/>
            <w:shd w:val="clear" w:color="auto" w:fill="auto"/>
          </w:tcPr>
          <w:p w14:paraId="3CFED61D" w14:textId="77777777" w:rsidR="00175581" w:rsidRPr="00C40440" w:rsidRDefault="00175581">
            <w:pPr>
              <w:spacing w:after="120" w:line="240" w:lineRule="auto"/>
              <w:rPr>
                <w:rFonts w:ascii="Times New Roman" w:hAnsi="Times New Roman" w:cs="Times New Roman"/>
              </w:rPr>
            </w:pPr>
            <w:r w:rsidRPr="00C40440">
              <w:rPr>
                <w:rFonts w:ascii="Times New Roman" w:hAnsi="Times New Roman" w:cs="Times New Roman"/>
              </w:rPr>
              <w:t xml:space="preserve">D35G </w:t>
            </w:r>
          </w:p>
          <w:p w14:paraId="1768DDCB" w14:textId="77777777" w:rsidR="00175581" w:rsidRPr="0020386D" w:rsidRDefault="00175581">
            <w:pPr>
              <w:spacing w:after="120" w:line="240" w:lineRule="auto"/>
              <w:rPr>
                <w:rFonts w:ascii="Times New Roman" w:hAnsi="Times New Roman" w:cs="Times New Roman"/>
              </w:rPr>
            </w:pPr>
            <w:r w:rsidRPr="0020386D">
              <w:rPr>
                <w:rFonts w:ascii="Times New Roman" w:hAnsi="Times New Roman" w:cs="Times New Roman"/>
              </w:rPr>
              <w:t>Ustanowienie specjalistycznego Centrum Badawczo-Analitycznego</w:t>
            </w:r>
          </w:p>
          <w:p w14:paraId="2D11849F" w14:textId="0C9D2ACD" w:rsidR="00175581" w:rsidRPr="0020386D" w:rsidRDefault="00175581">
            <w:pPr>
              <w:spacing w:after="120" w:line="240" w:lineRule="auto"/>
              <w:rPr>
                <w:rFonts w:ascii="Times New Roman" w:hAnsi="Times New Roman" w:cs="Times New Roman"/>
              </w:rPr>
            </w:pPr>
            <w:r w:rsidRPr="00C40440">
              <w:rPr>
                <w:rFonts w:ascii="Times New Roman" w:hAnsi="Times New Roman" w:cs="Times New Roman"/>
              </w:rPr>
              <w:t>Termin realizacji:</w:t>
            </w:r>
            <w:r w:rsidRPr="0020386D">
              <w:rPr>
                <w:rFonts w:ascii="Times New Roman" w:hAnsi="Times New Roman" w:cs="Times New Roman"/>
              </w:rPr>
              <w:t xml:space="preserve"> II kw. 2026</w:t>
            </w:r>
            <w:r w:rsidR="00B904D0">
              <w:rPr>
                <w:rFonts w:ascii="Times New Roman" w:hAnsi="Times New Roman" w:cs="Times New Roman"/>
              </w:rPr>
              <w:t>r.</w:t>
            </w:r>
          </w:p>
          <w:p w14:paraId="1419935E" w14:textId="77777777" w:rsidR="00175581" w:rsidRPr="00C40440" w:rsidRDefault="00175581">
            <w:pPr>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34373B31" w14:textId="77777777" w:rsidR="00175581" w:rsidRPr="0020386D" w:rsidRDefault="001755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rPr>
              <w:t xml:space="preserve">Zakończona zostanie budowa infrastruktury Centrum Badawczo-Analitycznego. Zakończenie następuje po stwierdzeniu zgodności ze specyfikacjami technicznymi i zobowiązaniami umownymi projektu prowadzonego zgodnie z ustawą o zamówieniach </w:t>
            </w:r>
            <w:r w:rsidRPr="0020386D">
              <w:rPr>
                <w:rFonts w:ascii="Times New Roman" w:hAnsi="Times New Roman" w:cs="Times New Roman"/>
                <w:color w:val="202124"/>
              </w:rPr>
              <w:lastRenderedPageBreak/>
              <w:t xml:space="preserve">publicznych. Dostarczona infrastruktura obejmuje: </w:t>
            </w:r>
          </w:p>
          <w:p w14:paraId="45E68990" w14:textId="77777777" w:rsidR="00175581" w:rsidRPr="0020386D" w:rsidRDefault="001755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color w:val="202124"/>
              </w:rPr>
              <w:t xml:space="preserve">- Centrum Badawczo-Analityczne, mający status Państwowego Instytutu Badawczego klasy A, na nieruchomości będącej własnością Narodowego Instytutu Zdrowia Publicznego PZH – Państwowego Instytutu Badawczego przy ul. Powsińskiej 61/63 w Warszawie, </w:t>
            </w:r>
          </w:p>
          <w:p w14:paraId="38382D15" w14:textId="77777777" w:rsidR="00175581" w:rsidRPr="0020386D" w:rsidRDefault="001755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color w:val="202124"/>
              </w:rPr>
              <w:t xml:space="preserve">- co najmniej 41 laboratoriów o poziomie bezpieczeństwa biologicznego, w tym 20 laboratoriów BSL-1, 19 laboratoriów BSL-2, jedno laboratorium BSL-3 do badań środowiskowych i jedno laboratorium BSL-3+ do badań na materiale ludzkim, w tym laboratoria do celów diagnostycznych. Zostanie zawarta umowa o współpracy z europejskim laboratorium bezpieczeństwa biologicznego w celu budowania zdolności krajowych ekspertów z laboratoriów technicznych, oraz </w:t>
            </w:r>
          </w:p>
          <w:p w14:paraId="5E265B50" w14:textId="77777777" w:rsidR="00175581" w:rsidRPr="0020386D" w:rsidRDefault="00175581">
            <w:pPr>
              <w:spacing w:after="120" w:line="240" w:lineRule="auto"/>
              <w:rPr>
                <w:rFonts w:ascii="Times New Roman" w:hAnsi="Times New Roman" w:cs="Times New Roman"/>
                <w:color w:val="202124"/>
              </w:rPr>
            </w:pPr>
            <w:r w:rsidRPr="0020386D">
              <w:rPr>
                <w:rFonts w:ascii="Times New Roman" w:hAnsi="Times New Roman" w:cs="Times New Roman"/>
                <w:color w:val="202124"/>
              </w:rPr>
              <w:t>- kampus o powierzchni około 3000 m</w:t>
            </w:r>
            <w:r w:rsidRPr="0020386D">
              <w:rPr>
                <w:rFonts w:ascii="Times New Roman" w:hAnsi="Times New Roman" w:cs="Times New Roman"/>
                <w:color w:val="202124"/>
                <w:vertAlign w:val="superscript"/>
              </w:rPr>
              <w:t>2</w:t>
            </w:r>
            <w:r w:rsidRPr="0020386D">
              <w:rPr>
                <w:rFonts w:ascii="Times New Roman" w:hAnsi="Times New Roman" w:cs="Times New Roman"/>
                <w:color w:val="202124"/>
              </w:rPr>
              <w:t xml:space="preserve"> przeznaczony na szkolenia.</w:t>
            </w:r>
          </w:p>
        </w:tc>
        <w:tc>
          <w:tcPr>
            <w:tcW w:w="2031" w:type="pct"/>
          </w:tcPr>
          <w:p w14:paraId="008A005B" w14:textId="77777777" w:rsidR="00175581" w:rsidRPr="00C40440" w:rsidRDefault="00175581">
            <w:pPr>
              <w:spacing w:after="120" w:line="240" w:lineRule="auto"/>
              <w:rPr>
                <w:rFonts w:ascii="Times New Roman" w:hAnsi="Times New Roman" w:cs="Times New Roman"/>
              </w:rPr>
            </w:pPr>
            <w:r w:rsidRPr="00C40440">
              <w:rPr>
                <w:rFonts w:ascii="Times New Roman" w:hAnsi="Times New Roman" w:cs="Times New Roman"/>
              </w:rPr>
              <w:lastRenderedPageBreak/>
              <w:t>D35G</w:t>
            </w:r>
          </w:p>
          <w:p w14:paraId="493C52F0" w14:textId="77777777" w:rsidR="00175581" w:rsidRPr="0020386D" w:rsidRDefault="00175581">
            <w:pPr>
              <w:spacing w:after="120" w:line="240" w:lineRule="auto"/>
              <w:rPr>
                <w:rFonts w:ascii="Times New Roman" w:hAnsi="Times New Roman" w:cs="Times New Roman"/>
              </w:rPr>
            </w:pPr>
            <w:r w:rsidRPr="0020386D">
              <w:rPr>
                <w:rFonts w:ascii="Times New Roman" w:hAnsi="Times New Roman" w:cs="Times New Roman"/>
              </w:rPr>
              <w:t>Ustanowienie specjalistycznego Centrum Badawczo-Analitycznego</w:t>
            </w:r>
          </w:p>
          <w:p w14:paraId="2A469DA7" w14:textId="32608805" w:rsidR="00175581" w:rsidRPr="0020386D" w:rsidRDefault="00175581">
            <w:pPr>
              <w:spacing w:after="120" w:line="240" w:lineRule="auto"/>
              <w:rPr>
                <w:rFonts w:ascii="Times New Roman" w:hAnsi="Times New Roman" w:cs="Times New Roman"/>
              </w:rPr>
            </w:pPr>
            <w:r w:rsidRPr="00C40440">
              <w:rPr>
                <w:rFonts w:ascii="Times New Roman" w:hAnsi="Times New Roman" w:cs="Times New Roman"/>
              </w:rPr>
              <w:t>Termin realizacji:</w:t>
            </w:r>
            <w:r w:rsidRPr="0020386D">
              <w:rPr>
                <w:rFonts w:ascii="Times New Roman" w:hAnsi="Times New Roman" w:cs="Times New Roman"/>
              </w:rPr>
              <w:t xml:space="preserve"> II kw. 2026</w:t>
            </w:r>
            <w:r w:rsidR="00B904D0">
              <w:rPr>
                <w:rFonts w:ascii="Times New Roman" w:hAnsi="Times New Roman" w:cs="Times New Roman"/>
              </w:rPr>
              <w:t>r.</w:t>
            </w:r>
          </w:p>
          <w:p w14:paraId="721AD426" w14:textId="77777777" w:rsidR="00175581" w:rsidRPr="00C40440" w:rsidRDefault="00175581">
            <w:pPr>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0A49B6C3" w14:textId="77777777" w:rsidR="00175581" w:rsidRPr="0020386D" w:rsidRDefault="00175581">
            <w:pPr>
              <w:spacing w:after="120" w:line="240" w:lineRule="auto"/>
              <w:rPr>
                <w:rFonts w:ascii="Times New Roman" w:hAnsi="Times New Roman" w:cs="Times New Roman"/>
              </w:rPr>
            </w:pPr>
            <w:r w:rsidRPr="0020386D">
              <w:rPr>
                <w:rFonts w:ascii="Times New Roman" w:hAnsi="Times New Roman" w:cs="Times New Roman"/>
              </w:rPr>
              <w:t>Zakończona zostanie budowa infrastruktury Centrum Badawczo-Analitycznego. Zakończenie następuje po stwierdzeniu zgodności ze specyfikacjami technicznymi i zobowiązaniami umownymi projektu prowadzonego zgodnie z ustawą o zamówieniach publicznych. Dostarczona infrastruktura obejmuje:</w:t>
            </w:r>
          </w:p>
          <w:p w14:paraId="48F4FB2E" w14:textId="77777777" w:rsidR="00175581" w:rsidRPr="00C40440" w:rsidRDefault="00175581">
            <w:pPr>
              <w:spacing w:after="120" w:line="240" w:lineRule="auto"/>
              <w:rPr>
                <w:rFonts w:ascii="Times New Roman" w:hAnsi="Times New Roman" w:cs="Times New Roman"/>
                <w:color w:val="FF0000"/>
              </w:rPr>
            </w:pPr>
            <w:r w:rsidRPr="00C40440">
              <w:rPr>
                <w:rFonts w:ascii="Times New Roman" w:hAnsi="Times New Roman" w:cs="Times New Roman"/>
                <w:color w:val="FF0000"/>
              </w:rPr>
              <w:lastRenderedPageBreak/>
              <w:t xml:space="preserve">- modernizacja wraz z rozbudową budynku głównego Narodowego Instytutu Zdrowia Publicznego  PZH – Państwowego Instytutu Badawczego </w:t>
            </w:r>
          </w:p>
          <w:p w14:paraId="7954F138" w14:textId="77777777" w:rsidR="00175581" w:rsidRPr="00C40440" w:rsidRDefault="00175581">
            <w:pPr>
              <w:spacing w:after="120" w:line="240" w:lineRule="auto"/>
              <w:rPr>
                <w:rFonts w:ascii="Times New Roman" w:hAnsi="Times New Roman" w:cs="Times New Roman"/>
                <w:color w:val="FF0000"/>
              </w:rPr>
            </w:pPr>
            <w:r w:rsidRPr="00C40440">
              <w:rPr>
                <w:rFonts w:ascii="Times New Roman" w:hAnsi="Times New Roman" w:cs="Times New Roman"/>
                <w:color w:val="FF0000"/>
              </w:rPr>
              <w:t xml:space="preserve">- Centrum Badawczo-Analityczne, mający status Państwowego Instytutu Badawczego klasy A, na nieruchomości będącej własnością Narodowego Instytutu Zdrowia Publicznego PZH – Państwowego Instytutu Badawczego w Warszawie, </w:t>
            </w:r>
          </w:p>
          <w:p w14:paraId="4AB6E58F" w14:textId="77777777" w:rsidR="00175581" w:rsidRPr="00C40440" w:rsidRDefault="00175581">
            <w:pPr>
              <w:spacing w:after="120" w:line="240" w:lineRule="auto"/>
              <w:rPr>
                <w:rFonts w:ascii="Times New Roman" w:hAnsi="Times New Roman" w:cs="Times New Roman"/>
                <w:color w:val="FF0000"/>
              </w:rPr>
            </w:pPr>
            <w:r w:rsidRPr="00C40440">
              <w:rPr>
                <w:rFonts w:ascii="Times New Roman" w:hAnsi="Times New Roman" w:cs="Times New Roman"/>
                <w:color w:val="FF0000"/>
              </w:rPr>
              <w:t>- docelowa struktura to laboratoria: co najmniej 39 laboratoriów BSL-1/BSL-2, jedno laboratorium BSL-3 i jedno laboratorium BSL-3+</w:t>
            </w:r>
          </w:p>
          <w:p w14:paraId="65916E4C" w14:textId="77777777" w:rsidR="00175581" w:rsidRPr="00C40440" w:rsidRDefault="00175581">
            <w:pPr>
              <w:spacing w:after="120" w:line="240" w:lineRule="auto"/>
              <w:rPr>
                <w:rFonts w:ascii="Times New Roman" w:hAnsi="Times New Roman" w:cs="Times New Roman"/>
                <w:color w:val="FF0000"/>
              </w:rPr>
            </w:pPr>
            <w:r w:rsidRPr="00C40440">
              <w:rPr>
                <w:rFonts w:ascii="Times New Roman" w:hAnsi="Times New Roman" w:cs="Times New Roman"/>
                <w:color w:val="FF0000"/>
              </w:rPr>
              <w:t>- docelowo zostanie zawarta umowa o współpracy z europejskim laboratorium bezpieczeństwa biologicznego w celu budowania zdolności krajowych ekspertów z laboratoriów technicznych.</w:t>
            </w:r>
          </w:p>
          <w:p w14:paraId="1741412A" w14:textId="77777777" w:rsidR="00175581" w:rsidRPr="0020386D" w:rsidRDefault="00175581">
            <w:pPr>
              <w:spacing w:after="120" w:line="240" w:lineRule="auto"/>
              <w:rPr>
                <w:rFonts w:ascii="Times New Roman" w:hAnsi="Times New Roman" w:cs="Times New Roman"/>
              </w:rPr>
            </w:pPr>
          </w:p>
          <w:p w14:paraId="3D6D9CC8" w14:textId="77777777" w:rsidR="00175581" w:rsidRPr="0020386D" w:rsidRDefault="00175581">
            <w:pPr>
              <w:spacing w:after="120" w:line="240" w:lineRule="auto"/>
              <w:rPr>
                <w:rFonts w:ascii="Times New Roman" w:hAnsi="Times New Roman" w:cs="Times New Roman"/>
              </w:rPr>
            </w:pPr>
          </w:p>
        </w:tc>
      </w:tr>
      <w:tr w:rsidR="00175581" w:rsidRPr="00EF63DD" w14:paraId="50AE3E5A" w14:textId="77777777" w:rsidTr="003B4E6E">
        <w:tc>
          <w:tcPr>
            <w:tcW w:w="1139" w:type="pct"/>
            <w:vMerge w:val="restart"/>
          </w:tcPr>
          <w:p w14:paraId="07A2F318" w14:textId="77777777" w:rsidR="00175581" w:rsidRPr="00C40440" w:rsidRDefault="00175581" w:rsidP="003B4E6E">
            <w:pPr>
              <w:spacing w:after="120" w:line="240" w:lineRule="auto"/>
              <w:rPr>
                <w:rFonts w:ascii="Times New Roman" w:hAnsi="Times New Roman" w:cs="Times New Roman"/>
              </w:rPr>
            </w:pPr>
          </w:p>
        </w:tc>
        <w:tc>
          <w:tcPr>
            <w:tcW w:w="1830" w:type="pct"/>
            <w:shd w:val="clear" w:color="auto" w:fill="auto"/>
          </w:tcPr>
          <w:p w14:paraId="115492E6" w14:textId="77777777" w:rsidR="00175581" w:rsidRPr="00C40440" w:rsidRDefault="00175581" w:rsidP="003B4E6E">
            <w:pPr>
              <w:spacing w:after="120" w:line="240" w:lineRule="auto"/>
              <w:rPr>
                <w:rFonts w:ascii="Times New Roman" w:hAnsi="Times New Roman" w:cs="Times New Roman"/>
              </w:rPr>
            </w:pPr>
            <w:r w:rsidRPr="00C40440">
              <w:rPr>
                <w:rFonts w:ascii="Times New Roman" w:hAnsi="Times New Roman" w:cs="Times New Roman"/>
              </w:rPr>
              <w:t xml:space="preserve">D36G </w:t>
            </w:r>
          </w:p>
          <w:p w14:paraId="7494375A"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sidRPr="0020386D">
              <w:rPr>
                <w:rFonts w:ascii="Times New Roman" w:hAnsi="Times New Roman" w:cs="Times New Roman"/>
              </w:rPr>
              <w:t>Liczba dofinansowanych projektów dla jednostek naukowych i przedsiębiorców z sektora biomedycznego</w:t>
            </w:r>
          </w:p>
          <w:p w14:paraId="751C6191" w14:textId="790922E3"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sidRPr="00C40440">
              <w:rPr>
                <w:rFonts w:ascii="Times New Roman" w:hAnsi="Times New Roman" w:cs="Times New Roman"/>
              </w:rPr>
              <w:t>Termin realizacji:</w:t>
            </w:r>
            <w:r w:rsidRPr="0020386D">
              <w:rPr>
                <w:rFonts w:ascii="Times New Roman" w:hAnsi="Times New Roman" w:cs="Times New Roman"/>
              </w:rPr>
              <w:t xml:space="preserve"> II kw. 2026</w:t>
            </w:r>
            <w:r w:rsidR="0020386D">
              <w:rPr>
                <w:rFonts w:ascii="Times New Roman" w:hAnsi="Times New Roman" w:cs="Times New Roman"/>
              </w:rPr>
              <w:t>r.</w:t>
            </w:r>
          </w:p>
          <w:p w14:paraId="5CD7EAD7"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C40440">
              <w:rPr>
                <w:rFonts w:ascii="Times New Roman" w:hAnsi="Times New Roman" w:cs="Times New Roman"/>
                <w:color w:val="202124"/>
              </w:rPr>
              <w:t>Wskaźniki ilościowe (dla wartości docelowych)</w:t>
            </w:r>
            <w:r w:rsidRPr="0020386D">
              <w:rPr>
                <w:rFonts w:ascii="Times New Roman" w:hAnsi="Times New Roman" w:cs="Times New Roman"/>
                <w:color w:val="202124"/>
              </w:rPr>
              <w:t xml:space="preserve"> – cel: 80</w:t>
            </w:r>
          </w:p>
          <w:p w14:paraId="62591AFC"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C40440">
              <w:rPr>
                <w:rFonts w:ascii="Times New Roman" w:hAnsi="Times New Roman" w:cs="Times New Roman"/>
                <w:color w:val="202124"/>
              </w:rPr>
              <w:t>Opis każdego kamienia milowego i każdej wartości docelowej:</w:t>
            </w:r>
          </w:p>
          <w:p w14:paraId="0F6D306F"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color w:val="202124"/>
              </w:rPr>
              <w:t>Zatwierdzane będą raporty końcowe z realizacji 80 wspieranych projektów. Wsparcie zostanie udzielone jednostkom naukowym i przedsiębiorcom w zakresie innowacji farmaceutycznych, wyrobów medycznych i rozwiązań informatycznych, zgodnie ze Strategicznym Planem Rozwoju Sektora Biomedycznego w Polsce.</w:t>
            </w:r>
          </w:p>
          <w:p w14:paraId="6AE7C19A"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color w:val="202124"/>
              </w:rPr>
              <w:lastRenderedPageBreak/>
              <w:t>Tematyka konkursów będzie koncentrować się na innowacjach produktowych, takich jak leki, rozwój urządzeń medycznych, w szczególności do zastosowań mobilnych, a także rozwój i wdrażanie narzędzi teleinformatycznych do celów medycznych i zdrowotnych.</w:t>
            </w:r>
          </w:p>
          <w:p w14:paraId="57FB2263"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color w:val="202124"/>
              </w:rPr>
              <w:t>Projekty wyłaniane będą w drodze otwartych i zlecanych konkursów grantowych.</w:t>
            </w:r>
          </w:p>
          <w:p w14:paraId="58630A1A" w14:textId="77777777" w:rsidR="00175581" w:rsidRPr="0020386D" w:rsidRDefault="00175581" w:rsidP="003B4E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color w:val="202124"/>
              </w:rPr>
              <w:t>Każda umowa o dotację zawiera otrzymaną kwotę finansową oraz szczegóły projektu.</w:t>
            </w:r>
          </w:p>
        </w:tc>
        <w:tc>
          <w:tcPr>
            <w:tcW w:w="2031" w:type="pct"/>
            <w:shd w:val="clear" w:color="auto" w:fill="auto"/>
          </w:tcPr>
          <w:p w14:paraId="6A8774FD" w14:textId="77777777" w:rsidR="00175581" w:rsidRPr="00C40440" w:rsidRDefault="00175581" w:rsidP="003B4E6E">
            <w:pPr>
              <w:spacing w:after="120" w:line="240" w:lineRule="auto"/>
              <w:rPr>
                <w:rFonts w:ascii="Times New Roman" w:hAnsi="Times New Roman" w:cs="Times New Roman"/>
              </w:rPr>
            </w:pPr>
            <w:r w:rsidRPr="00C40440">
              <w:rPr>
                <w:rFonts w:ascii="Times New Roman" w:hAnsi="Times New Roman" w:cs="Times New Roman"/>
              </w:rPr>
              <w:lastRenderedPageBreak/>
              <w:t>D36G</w:t>
            </w:r>
          </w:p>
          <w:p w14:paraId="39C09D6F" w14:textId="0264AF37" w:rsidR="00175581" w:rsidRPr="0020386D" w:rsidRDefault="00175581" w:rsidP="00C40440">
            <w:pPr>
              <w:spacing w:after="120" w:line="240" w:lineRule="auto"/>
              <w:rPr>
                <w:rFonts w:ascii="Times New Roman" w:hAnsi="Times New Roman" w:cs="Times New Roman"/>
              </w:rPr>
            </w:pPr>
            <w:r w:rsidRPr="0020386D">
              <w:rPr>
                <w:rFonts w:ascii="Times New Roman" w:hAnsi="Times New Roman" w:cs="Times New Roman"/>
              </w:rPr>
              <w:t>Liczba dofinansowanych projektów badawczych dla jednostek</w:t>
            </w:r>
            <w:r w:rsidR="0020386D">
              <w:rPr>
                <w:rFonts w:ascii="Times New Roman" w:hAnsi="Times New Roman" w:cs="Times New Roman"/>
              </w:rPr>
              <w:t xml:space="preserve"> </w:t>
            </w:r>
            <w:r w:rsidRPr="0020386D">
              <w:rPr>
                <w:rFonts w:ascii="Times New Roman" w:hAnsi="Times New Roman" w:cs="Times New Roman"/>
              </w:rPr>
              <w:t>naukowych i przedsiębiorców z sektora biomedycznego</w:t>
            </w:r>
          </w:p>
          <w:p w14:paraId="2D648F5B" w14:textId="1BCAA46B"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sidRPr="00C40440">
              <w:rPr>
                <w:rFonts w:ascii="Times New Roman" w:hAnsi="Times New Roman" w:cs="Times New Roman"/>
              </w:rPr>
              <w:t>Termin realizacji:</w:t>
            </w:r>
            <w:r w:rsidRPr="0020386D">
              <w:rPr>
                <w:rFonts w:ascii="Times New Roman" w:hAnsi="Times New Roman" w:cs="Times New Roman"/>
              </w:rPr>
              <w:t xml:space="preserve"> II kw. 2026</w:t>
            </w:r>
            <w:r w:rsidR="0020386D">
              <w:rPr>
                <w:rFonts w:ascii="Times New Roman" w:hAnsi="Times New Roman" w:cs="Times New Roman"/>
              </w:rPr>
              <w:t>r.</w:t>
            </w:r>
          </w:p>
          <w:p w14:paraId="05DC5C58"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sidRPr="00C40440">
              <w:rPr>
                <w:rFonts w:ascii="Times New Roman" w:hAnsi="Times New Roman" w:cs="Times New Roman"/>
              </w:rPr>
              <w:t>Wskaźniki ilościowe (dla wartości docelowych)</w:t>
            </w:r>
            <w:r w:rsidRPr="0020386D">
              <w:rPr>
                <w:rFonts w:ascii="Times New Roman" w:hAnsi="Times New Roman" w:cs="Times New Roman"/>
              </w:rPr>
              <w:t xml:space="preserve"> – cel: </w:t>
            </w:r>
            <w:r w:rsidRPr="00C40440">
              <w:rPr>
                <w:rFonts w:ascii="Times New Roman" w:hAnsi="Times New Roman" w:cs="Times New Roman"/>
                <w:color w:val="FF0000"/>
              </w:rPr>
              <w:t>50</w:t>
            </w:r>
          </w:p>
          <w:p w14:paraId="71CF5DFA"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3B5540FF"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color w:val="202124"/>
              </w:rPr>
            </w:pPr>
            <w:r w:rsidRPr="0020386D">
              <w:rPr>
                <w:rFonts w:ascii="Times New Roman" w:hAnsi="Times New Roman" w:cs="Times New Roman"/>
                <w:color w:val="202124"/>
              </w:rPr>
              <w:t xml:space="preserve">Zatwierdzane będą raporty końcowe z realizacji </w:t>
            </w:r>
            <w:r w:rsidRPr="00C40440">
              <w:rPr>
                <w:rFonts w:ascii="Times New Roman" w:hAnsi="Times New Roman" w:cs="Times New Roman"/>
                <w:color w:val="FF0000"/>
              </w:rPr>
              <w:t>50</w:t>
            </w:r>
            <w:r w:rsidRPr="0020386D">
              <w:rPr>
                <w:rFonts w:ascii="Times New Roman" w:hAnsi="Times New Roman" w:cs="Times New Roman"/>
                <w:color w:val="202124"/>
              </w:rPr>
              <w:t xml:space="preserve"> wspieranych projektów. </w:t>
            </w:r>
          </w:p>
          <w:p w14:paraId="50AB562B"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i/>
                <w:iCs/>
              </w:rPr>
            </w:pPr>
            <w:r w:rsidRPr="0020386D">
              <w:rPr>
                <w:rFonts w:ascii="Times New Roman" w:hAnsi="Times New Roman" w:cs="Times New Roman"/>
                <w:i/>
                <w:iCs/>
              </w:rPr>
              <w:t>Dalej bez zmian</w:t>
            </w:r>
          </w:p>
          <w:p w14:paraId="5815A02A" w14:textId="77777777" w:rsidR="00175581" w:rsidRPr="0020386D" w:rsidRDefault="00175581" w:rsidP="003B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p>
        </w:tc>
      </w:tr>
      <w:tr w:rsidR="00175581" w:rsidRPr="00EF63DD" w14:paraId="77FF6341" w14:textId="77777777" w:rsidTr="003B4E6E">
        <w:tc>
          <w:tcPr>
            <w:tcW w:w="1139" w:type="pct"/>
            <w:vMerge/>
          </w:tcPr>
          <w:p w14:paraId="2E0BC36B" w14:textId="77777777" w:rsidR="00175581" w:rsidRPr="00380109" w:rsidRDefault="00175581" w:rsidP="003B4E6E">
            <w:pPr>
              <w:spacing w:after="120" w:line="240" w:lineRule="auto"/>
              <w:rPr>
                <w:rFonts w:ascii="Times New Roman" w:hAnsi="Times New Roman" w:cs="Times New Roman"/>
                <w:lang w:val="en-GB"/>
              </w:rPr>
            </w:pPr>
          </w:p>
        </w:tc>
        <w:tc>
          <w:tcPr>
            <w:tcW w:w="1830" w:type="pct"/>
          </w:tcPr>
          <w:p w14:paraId="1454BB36" w14:textId="77777777" w:rsidR="00175581" w:rsidRPr="00C40440" w:rsidRDefault="00175581" w:rsidP="003B4E6E">
            <w:pPr>
              <w:spacing w:after="120" w:line="240" w:lineRule="auto"/>
              <w:rPr>
                <w:rFonts w:ascii="Times New Roman" w:hAnsi="Times New Roman" w:cs="Times New Roman"/>
              </w:rPr>
            </w:pPr>
            <w:r w:rsidRPr="00C40440">
              <w:rPr>
                <w:rFonts w:ascii="Times New Roman" w:hAnsi="Times New Roman" w:cs="Times New Roman"/>
              </w:rPr>
              <w:t xml:space="preserve">D37G </w:t>
            </w:r>
          </w:p>
          <w:p w14:paraId="119ECA35" w14:textId="77777777" w:rsidR="00175581" w:rsidRPr="0020386D" w:rsidRDefault="00175581" w:rsidP="003B4E6E">
            <w:pPr>
              <w:spacing w:after="120" w:line="240" w:lineRule="auto"/>
              <w:rPr>
                <w:rFonts w:ascii="Times New Roman" w:hAnsi="Times New Roman" w:cs="Times New Roman"/>
              </w:rPr>
            </w:pPr>
            <w:r w:rsidRPr="0020386D">
              <w:rPr>
                <w:rFonts w:ascii="Times New Roman" w:hAnsi="Times New Roman" w:cs="Times New Roman"/>
              </w:rPr>
              <w:t>Liczba utworzonych Centrów Wsparcia Badań Klinicznych (</w:t>
            </w:r>
            <w:proofErr w:type="spellStart"/>
            <w:r w:rsidRPr="0020386D">
              <w:rPr>
                <w:rFonts w:ascii="Times New Roman" w:hAnsi="Times New Roman" w:cs="Times New Roman"/>
              </w:rPr>
              <w:t>Number</w:t>
            </w:r>
            <w:proofErr w:type="spellEnd"/>
            <w:r w:rsidRPr="0020386D">
              <w:rPr>
                <w:rFonts w:ascii="Times New Roman" w:hAnsi="Times New Roman" w:cs="Times New Roman"/>
              </w:rPr>
              <w:t xml:space="preserve"> of </w:t>
            </w:r>
            <w:proofErr w:type="spellStart"/>
            <w:r w:rsidRPr="0020386D">
              <w:rPr>
                <w:rFonts w:ascii="Times New Roman" w:hAnsi="Times New Roman" w:cs="Times New Roman"/>
              </w:rPr>
              <w:t>created</w:t>
            </w:r>
            <w:proofErr w:type="spellEnd"/>
            <w:r w:rsidRPr="0020386D">
              <w:rPr>
                <w:rFonts w:ascii="Times New Roman" w:hAnsi="Times New Roman" w:cs="Times New Roman"/>
              </w:rPr>
              <w:t xml:space="preserve"> </w:t>
            </w:r>
            <w:proofErr w:type="spellStart"/>
            <w:r w:rsidRPr="0020386D">
              <w:rPr>
                <w:rFonts w:ascii="Times New Roman" w:hAnsi="Times New Roman" w:cs="Times New Roman"/>
              </w:rPr>
              <w:t>Clinical</w:t>
            </w:r>
            <w:proofErr w:type="spellEnd"/>
            <w:r w:rsidRPr="0020386D">
              <w:rPr>
                <w:rFonts w:ascii="Times New Roman" w:hAnsi="Times New Roman" w:cs="Times New Roman"/>
              </w:rPr>
              <w:t xml:space="preserve"> Trial </w:t>
            </w:r>
            <w:proofErr w:type="spellStart"/>
            <w:r w:rsidRPr="0020386D">
              <w:rPr>
                <w:rFonts w:ascii="Times New Roman" w:hAnsi="Times New Roman" w:cs="Times New Roman"/>
              </w:rPr>
              <w:t>Support</w:t>
            </w:r>
            <w:proofErr w:type="spellEnd"/>
            <w:r w:rsidRPr="0020386D">
              <w:rPr>
                <w:rFonts w:ascii="Times New Roman" w:hAnsi="Times New Roman" w:cs="Times New Roman"/>
              </w:rPr>
              <w:t xml:space="preserve"> </w:t>
            </w:r>
            <w:proofErr w:type="spellStart"/>
            <w:r w:rsidRPr="0020386D">
              <w:rPr>
                <w:rFonts w:ascii="Times New Roman" w:hAnsi="Times New Roman" w:cs="Times New Roman"/>
              </w:rPr>
              <w:t>Centres</w:t>
            </w:r>
            <w:proofErr w:type="spellEnd"/>
            <w:r w:rsidRPr="0020386D">
              <w:rPr>
                <w:rFonts w:ascii="Times New Roman" w:hAnsi="Times New Roman" w:cs="Times New Roman"/>
              </w:rPr>
              <w:t>)</w:t>
            </w:r>
          </w:p>
          <w:p w14:paraId="13C00097" w14:textId="7D6ED134" w:rsidR="00175581" w:rsidRPr="0020386D" w:rsidRDefault="00175581" w:rsidP="003B4E6E">
            <w:pPr>
              <w:spacing w:after="120" w:line="240" w:lineRule="auto"/>
              <w:rPr>
                <w:rFonts w:ascii="Times New Roman" w:hAnsi="Times New Roman" w:cs="Times New Roman"/>
              </w:rPr>
            </w:pPr>
            <w:r w:rsidRPr="00C40440">
              <w:rPr>
                <w:rFonts w:ascii="Times New Roman" w:hAnsi="Times New Roman" w:cs="Times New Roman"/>
              </w:rPr>
              <w:t>Termin realizacji:</w:t>
            </w:r>
            <w:r w:rsidRPr="0020386D">
              <w:rPr>
                <w:rFonts w:ascii="Times New Roman" w:hAnsi="Times New Roman" w:cs="Times New Roman"/>
              </w:rPr>
              <w:t xml:space="preserve"> II kw. 2026</w:t>
            </w:r>
            <w:r w:rsidR="0020386D">
              <w:rPr>
                <w:rFonts w:ascii="Times New Roman" w:hAnsi="Times New Roman" w:cs="Times New Roman"/>
              </w:rPr>
              <w:t>r.</w:t>
            </w:r>
          </w:p>
          <w:p w14:paraId="47E35036" w14:textId="77777777" w:rsidR="00175581" w:rsidRPr="0020386D" w:rsidRDefault="00175581" w:rsidP="003B4E6E">
            <w:pPr>
              <w:spacing w:after="120" w:line="240" w:lineRule="auto"/>
              <w:rPr>
                <w:rFonts w:ascii="Times New Roman" w:hAnsi="Times New Roman" w:cs="Times New Roman"/>
              </w:rPr>
            </w:pPr>
            <w:r w:rsidRPr="00C40440">
              <w:rPr>
                <w:rFonts w:ascii="Times New Roman" w:hAnsi="Times New Roman" w:cs="Times New Roman"/>
              </w:rPr>
              <w:t>Wskaźniki ilościowe (dla wartości docelowych)</w:t>
            </w:r>
            <w:r w:rsidRPr="0020386D">
              <w:rPr>
                <w:rFonts w:ascii="Times New Roman" w:hAnsi="Times New Roman" w:cs="Times New Roman"/>
              </w:rPr>
              <w:t xml:space="preserve"> – cel: 43</w:t>
            </w:r>
          </w:p>
          <w:p w14:paraId="7688F9A9" w14:textId="77777777" w:rsidR="00175581" w:rsidRPr="0020386D" w:rsidRDefault="00175581" w:rsidP="003B4E6E">
            <w:pPr>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7FDEC49F" w14:textId="77777777" w:rsidR="00175581" w:rsidRPr="0020386D" w:rsidRDefault="00175581" w:rsidP="003B4E6E">
            <w:pPr>
              <w:spacing w:after="120" w:line="240" w:lineRule="auto"/>
              <w:rPr>
                <w:rFonts w:ascii="Times New Roman" w:hAnsi="Times New Roman" w:cs="Times New Roman"/>
              </w:rPr>
            </w:pPr>
            <w:r w:rsidRPr="0020386D">
              <w:rPr>
                <w:rFonts w:ascii="Times New Roman" w:hAnsi="Times New Roman" w:cs="Times New Roman"/>
              </w:rPr>
              <w:t>W ramach realizacji zadania zostanie utworzone dodatkowych 40 centrów Wsparcia Badań Klinicznych. Zlokalizowane będą w strukturze mniejszych i lokalnych podmiotów opieki zdrowotnej, pełniąc kluczową rolę w zapewnieniu profesjonalnego wsparcia (od strony szpitalnej) organizacjom prowadzącym badania kliniczne i sponsorom badań klinicznych (firmom farmaceutycznym) sprzyjającym negocjacjom, kontraktowaniu i rozpoczynaniu badań klinicznych (BK). Pozyskają one środki na inwestycje i rozwój instytucjonalny. Zobowiązani są do prowadzenia szkoleń dla personelu medycznego oraz działań mających na celu podniesienie świadomości pacjentów w zakresie badań klinicznych.</w:t>
            </w:r>
          </w:p>
          <w:p w14:paraId="202A0E43" w14:textId="77777777" w:rsidR="00175581" w:rsidRPr="0020386D" w:rsidRDefault="00175581" w:rsidP="003B4E6E">
            <w:pPr>
              <w:spacing w:after="120" w:line="240" w:lineRule="auto"/>
              <w:rPr>
                <w:rFonts w:ascii="Times New Roman" w:hAnsi="Times New Roman" w:cs="Times New Roman"/>
              </w:rPr>
            </w:pPr>
            <w:r w:rsidRPr="0020386D">
              <w:rPr>
                <w:rFonts w:ascii="Times New Roman" w:hAnsi="Times New Roman" w:cs="Times New Roman"/>
              </w:rPr>
              <w:lastRenderedPageBreak/>
              <w:t>Każda umowa o dotację zawiera otrzymaną kwotę finansową oraz szczegóły projektu.</w:t>
            </w:r>
          </w:p>
        </w:tc>
        <w:tc>
          <w:tcPr>
            <w:tcW w:w="2031" w:type="pct"/>
          </w:tcPr>
          <w:p w14:paraId="0871D59E" w14:textId="77777777" w:rsidR="00175581" w:rsidRPr="00C40440" w:rsidRDefault="00175581" w:rsidP="003B4E6E">
            <w:pPr>
              <w:spacing w:after="120" w:line="240" w:lineRule="auto"/>
              <w:rPr>
                <w:rFonts w:ascii="Times New Roman" w:hAnsi="Times New Roman" w:cs="Times New Roman"/>
              </w:rPr>
            </w:pPr>
            <w:r w:rsidRPr="00C40440">
              <w:rPr>
                <w:rFonts w:ascii="Times New Roman" w:hAnsi="Times New Roman" w:cs="Times New Roman"/>
              </w:rPr>
              <w:lastRenderedPageBreak/>
              <w:t>D37G</w:t>
            </w:r>
          </w:p>
          <w:p w14:paraId="751E1658" w14:textId="52EEA321"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Liczba utworzonych oraz rozwój i modernizacja istniejących</w:t>
            </w:r>
            <w:r w:rsidR="0020386D" w:rsidRPr="00C40440">
              <w:rPr>
                <w:rFonts w:ascii="Times New Roman" w:hAnsi="Times New Roman" w:cs="Times New Roman"/>
                <w:color w:val="FF0000"/>
              </w:rPr>
              <w:t xml:space="preserve"> </w:t>
            </w:r>
            <w:r w:rsidRPr="00C40440">
              <w:rPr>
                <w:rFonts w:ascii="Times New Roman" w:hAnsi="Times New Roman" w:cs="Times New Roman"/>
                <w:color w:val="FF0000"/>
              </w:rPr>
              <w:t>Centrów Wsparcia Badań Klinicznych</w:t>
            </w:r>
          </w:p>
          <w:p w14:paraId="1E4C2B8D" w14:textId="3FB6A901" w:rsidR="00175581" w:rsidRPr="0020386D" w:rsidRDefault="00175581" w:rsidP="003B4E6E">
            <w:pPr>
              <w:spacing w:after="120" w:line="240" w:lineRule="auto"/>
              <w:rPr>
                <w:rFonts w:ascii="Times New Roman" w:hAnsi="Times New Roman" w:cs="Times New Roman"/>
              </w:rPr>
            </w:pPr>
            <w:r w:rsidRPr="00C40440">
              <w:rPr>
                <w:rFonts w:ascii="Times New Roman" w:hAnsi="Times New Roman" w:cs="Times New Roman"/>
              </w:rPr>
              <w:t>Termin realizacji:</w:t>
            </w:r>
            <w:r w:rsidRPr="0020386D">
              <w:rPr>
                <w:rFonts w:ascii="Times New Roman" w:hAnsi="Times New Roman" w:cs="Times New Roman"/>
              </w:rPr>
              <w:t xml:space="preserve"> II kw. 2026</w:t>
            </w:r>
            <w:r w:rsidR="0020386D">
              <w:rPr>
                <w:rFonts w:ascii="Times New Roman" w:hAnsi="Times New Roman" w:cs="Times New Roman"/>
              </w:rPr>
              <w:t>r.</w:t>
            </w:r>
          </w:p>
          <w:p w14:paraId="6B2F842E" w14:textId="77777777" w:rsidR="00175581" w:rsidRPr="0020386D" w:rsidRDefault="00175581" w:rsidP="003B4E6E">
            <w:pPr>
              <w:spacing w:after="120" w:line="240" w:lineRule="auto"/>
              <w:rPr>
                <w:rFonts w:ascii="Times New Roman" w:hAnsi="Times New Roman" w:cs="Times New Roman"/>
              </w:rPr>
            </w:pPr>
            <w:r w:rsidRPr="00C40440">
              <w:rPr>
                <w:rFonts w:ascii="Times New Roman" w:hAnsi="Times New Roman" w:cs="Times New Roman"/>
              </w:rPr>
              <w:t>Wskaźniki ilościowe (dla wartości docelowych)</w:t>
            </w:r>
            <w:r w:rsidRPr="0020386D">
              <w:rPr>
                <w:rFonts w:ascii="Times New Roman" w:hAnsi="Times New Roman" w:cs="Times New Roman"/>
              </w:rPr>
              <w:t xml:space="preserve"> – cel: </w:t>
            </w:r>
            <w:r w:rsidRPr="00C40440">
              <w:rPr>
                <w:rFonts w:ascii="Times New Roman" w:hAnsi="Times New Roman" w:cs="Times New Roman"/>
                <w:color w:val="FF0000"/>
              </w:rPr>
              <w:t>33</w:t>
            </w:r>
          </w:p>
          <w:p w14:paraId="18EECF40" w14:textId="77777777" w:rsidR="00175581" w:rsidRPr="0020386D" w:rsidRDefault="00175581" w:rsidP="003B4E6E">
            <w:pPr>
              <w:spacing w:after="120" w:line="240" w:lineRule="auto"/>
              <w:rPr>
                <w:rFonts w:ascii="Times New Roman" w:hAnsi="Times New Roman" w:cs="Times New Roman"/>
              </w:rPr>
            </w:pPr>
            <w:r w:rsidRPr="00C40440">
              <w:rPr>
                <w:rFonts w:ascii="Times New Roman" w:hAnsi="Times New Roman" w:cs="Times New Roman"/>
              </w:rPr>
              <w:t>Opis każdego kamienia milowego i każdej wartości docelowej:</w:t>
            </w:r>
          </w:p>
          <w:p w14:paraId="1C918B84" w14:textId="77777777" w:rsidR="00175581" w:rsidRPr="0020386D" w:rsidRDefault="00175581" w:rsidP="003B4E6E">
            <w:pPr>
              <w:spacing w:after="120" w:line="240" w:lineRule="auto"/>
              <w:rPr>
                <w:rFonts w:ascii="Times New Roman" w:hAnsi="Times New Roman" w:cs="Times New Roman"/>
              </w:rPr>
            </w:pPr>
            <w:r w:rsidRPr="0020386D">
              <w:rPr>
                <w:rFonts w:ascii="Times New Roman" w:hAnsi="Times New Roman" w:cs="Times New Roman"/>
              </w:rPr>
              <w:t xml:space="preserve">W ramach realizacji zadania zostaną utworzone dodatkowe </w:t>
            </w:r>
            <w:r w:rsidRPr="00C40440">
              <w:rPr>
                <w:rFonts w:ascii="Times New Roman" w:hAnsi="Times New Roman" w:cs="Times New Roman"/>
                <w:color w:val="FF0000"/>
              </w:rPr>
              <w:t xml:space="preserve">23 </w:t>
            </w:r>
            <w:r w:rsidRPr="0020386D">
              <w:rPr>
                <w:rFonts w:ascii="Times New Roman" w:hAnsi="Times New Roman" w:cs="Times New Roman"/>
              </w:rPr>
              <w:t>Centra Wsparcia Badań Klinicznych. Zlokalizowane będą w strukturze podmiotów opieki zdrowotnej, pełniąc kluczową</w:t>
            </w:r>
            <w:r w:rsidRPr="0020386D">
              <w:t xml:space="preserve"> </w:t>
            </w:r>
            <w:r w:rsidRPr="0020386D">
              <w:rPr>
                <w:rFonts w:ascii="Times New Roman" w:hAnsi="Times New Roman" w:cs="Times New Roman"/>
              </w:rPr>
              <w:t>rolę w zapewnieniu profesjonalnego wsparcia (od strony szpitalnej) organizacjom prowadzącym badania kliniczne i sponsorom badań klinicznych (firmom farmaceutycznym) sprzyjającym negocjacjom, kontraktowaniu i rozpoczynaniu badań klinicznych (BK).</w:t>
            </w:r>
          </w:p>
          <w:p w14:paraId="16A20273"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Ponadto 10 już istniejących Centrów Wsparcia Badań Klinicznych otrzymają możliwość złożenia wniosku o otrzymanie dofinansowania na wybrane działania związane z:</w:t>
            </w:r>
          </w:p>
          <w:p w14:paraId="6044B1CB"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 edukacją i szkoleniami dla co najmniej 1 z 3 grup odbiorców:</w:t>
            </w:r>
          </w:p>
          <w:p w14:paraId="4665A58B"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zespołów zarządzających, naukowców oraz pacjentów,</w:t>
            </w:r>
          </w:p>
          <w:p w14:paraId="448C9572"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 xml:space="preserve">- przygotowaniem tychże ośrodków do realizacji badań zdecentralizowanych </w:t>
            </w:r>
            <w:r w:rsidRPr="00C40440">
              <w:rPr>
                <w:rFonts w:ascii="Times New Roman" w:hAnsi="Times New Roman" w:cs="Times New Roman"/>
                <w:color w:val="FF0000"/>
              </w:rPr>
              <w:lastRenderedPageBreak/>
              <w:t>(pacjent w centrum uwagi a nie ośrodek),</w:t>
            </w:r>
          </w:p>
          <w:p w14:paraId="604E08FC"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 promocją badań klinicznych w społeczeństwie,</w:t>
            </w:r>
          </w:p>
          <w:p w14:paraId="2CBB8BD5"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 rozwojem systemów IT,</w:t>
            </w:r>
          </w:p>
          <w:p w14:paraId="31F02D84"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 modernizacją lub adaptacją istniejącej infrastruktury,</w:t>
            </w:r>
          </w:p>
          <w:p w14:paraId="660EF133" w14:textId="77777777" w:rsidR="00175581" w:rsidRPr="00C40440" w:rsidRDefault="00175581" w:rsidP="003B4E6E">
            <w:pPr>
              <w:spacing w:after="120" w:line="240" w:lineRule="auto"/>
              <w:rPr>
                <w:rFonts w:ascii="Times New Roman" w:hAnsi="Times New Roman" w:cs="Times New Roman"/>
                <w:color w:val="FF0000"/>
              </w:rPr>
            </w:pPr>
            <w:r w:rsidRPr="00C40440">
              <w:rPr>
                <w:rFonts w:ascii="Times New Roman" w:hAnsi="Times New Roman" w:cs="Times New Roman"/>
                <w:color w:val="FF0000"/>
              </w:rPr>
              <w:t>- opracowanie nowych procesów, procedur oraz modyfikacją struktury organizacyjnej w instytucjach oraz wynagrodzenia dla kadry.</w:t>
            </w:r>
          </w:p>
          <w:p w14:paraId="66481FF8" w14:textId="77777777" w:rsidR="00175581" w:rsidRPr="0020386D" w:rsidRDefault="00175581" w:rsidP="003B4E6E">
            <w:pPr>
              <w:spacing w:after="120" w:line="240" w:lineRule="auto"/>
              <w:rPr>
                <w:rFonts w:ascii="Times New Roman" w:hAnsi="Times New Roman" w:cs="Times New Roman"/>
              </w:rPr>
            </w:pPr>
            <w:r w:rsidRPr="0020386D">
              <w:rPr>
                <w:rFonts w:ascii="Times New Roman" w:hAnsi="Times New Roman" w:cs="Times New Roman"/>
              </w:rPr>
              <w:t>Każda umowa o dotację zawiera otrzymaną kwotę finansową oraz szczegóły projektu.</w:t>
            </w:r>
          </w:p>
        </w:tc>
      </w:tr>
      <w:tr w:rsidR="00175581" w:rsidRPr="00A26E88" w14:paraId="70612B22" w14:textId="77777777" w:rsidTr="003B4E6E">
        <w:tc>
          <w:tcPr>
            <w:tcW w:w="1139" w:type="pct"/>
          </w:tcPr>
          <w:p w14:paraId="274923D2" w14:textId="77777777" w:rsidR="00175581" w:rsidRPr="00EF63DD" w:rsidRDefault="00175581" w:rsidP="003B4E6E">
            <w:pPr>
              <w:spacing w:after="120" w:line="240" w:lineRule="auto"/>
              <w:rPr>
                <w:rFonts w:ascii="Times New Roman" w:hAnsi="Times New Roman" w:cs="Times New Roman"/>
              </w:rPr>
            </w:pPr>
            <w:r w:rsidRPr="00EF63DD">
              <w:rPr>
                <w:rFonts w:ascii="Times New Roman" w:hAnsi="Times New Roman" w:cs="Times New Roman"/>
              </w:rPr>
              <w:lastRenderedPageBreak/>
              <w:t>Uzasadnienie</w:t>
            </w:r>
          </w:p>
        </w:tc>
        <w:tc>
          <w:tcPr>
            <w:tcW w:w="3861" w:type="pct"/>
            <w:gridSpan w:val="2"/>
          </w:tcPr>
          <w:p w14:paraId="3BEFF832" w14:textId="77777777" w:rsidR="00175581" w:rsidRPr="00C40440" w:rsidRDefault="00175581" w:rsidP="003B4E6E">
            <w:pPr>
              <w:spacing w:after="0" w:line="240" w:lineRule="auto"/>
              <w:rPr>
                <w:rFonts w:ascii="Times New Roman" w:hAnsi="Times New Roman" w:cs="Times New Roman"/>
              </w:rPr>
            </w:pPr>
            <w:r w:rsidRPr="00C40440">
              <w:rPr>
                <w:rFonts w:ascii="Times New Roman" w:hAnsi="Times New Roman" w:cs="Times New Roman"/>
              </w:rPr>
              <w:t xml:space="preserve">D35G i D36G </w:t>
            </w:r>
          </w:p>
          <w:p w14:paraId="001165E4" w14:textId="77777777" w:rsidR="00175581" w:rsidRDefault="00175581" w:rsidP="00C40440">
            <w:pPr>
              <w:spacing w:after="120" w:line="240" w:lineRule="auto"/>
              <w:rPr>
                <w:rFonts w:ascii="Times New Roman" w:hAnsi="Times New Roman" w:cs="Times New Roman"/>
              </w:rPr>
            </w:pPr>
            <w:r w:rsidRPr="00CF3003">
              <w:rPr>
                <w:rFonts w:ascii="Times New Roman" w:hAnsi="Times New Roman" w:cs="Times New Roman"/>
              </w:rPr>
              <w:t xml:space="preserve">Proponowane zmiany podyktowane są obiektywnymi przesłankami wynikającymi z </w:t>
            </w:r>
            <w:r>
              <w:rPr>
                <w:rFonts w:ascii="Times New Roman" w:hAnsi="Times New Roman" w:cs="Times New Roman"/>
              </w:rPr>
              <w:t xml:space="preserve">uwarunkowań rynkowych niższego popytu na granty niż pierwotnie zakładano i dłuższych procedur zamówień publicznych. </w:t>
            </w:r>
          </w:p>
          <w:p w14:paraId="367E997F" w14:textId="77777777" w:rsidR="00175581" w:rsidRDefault="00175581" w:rsidP="00C40440">
            <w:pPr>
              <w:spacing w:after="120" w:line="240" w:lineRule="auto"/>
              <w:rPr>
                <w:rFonts w:ascii="Times New Roman" w:hAnsi="Times New Roman" w:cs="Times New Roman"/>
              </w:rPr>
            </w:pPr>
            <w:r w:rsidRPr="00CF3003">
              <w:rPr>
                <w:rFonts w:ascii="Times New Roman" w:hAnsi="Times New Roman" w:cs="Times New Roman"/>
              </w:rPr>
              <w:t xml:space="preserve">Zmiany w zakresie wartości wskaźnika związane są ze </w:t>
            </w:r>
            <w:r w:rsidRPr="004646F0">
              <w:rPr>
                <w:rFonts w:ascii="Times New Roman" w:hAnsi="Times New Roman" w:cs="Times New Roman"/>
              </w:rPr>
              <w:t>zbyt krótkim czasem</w:t>
            </w:r>
            <w:r>
              <w:rPr>
                <w:rFonts w:ascii="Times New Roman" w:hAnsi="Times New Roman" w:cs="Times New Roman"/>
              </w:rPr>
              <w:t xml:space="preserve"> na realizację</w:t>
            </w:r>
            <w:r w:rsidRPr="004646F0">
              <w:rPr>
                <w:rFonts w:ascii="Times New Roman" w:hAnsi="Times New Roman" w:cs="Times New Roman"/>
              </w:rPr>
              <w:t xml:space="preserve"> </w:t>
            </w:r>
            <w:r w:rsidRPr="00CF3003">
              <w:rPr>
                <w:rFonts w:ascii="Times New Roman" w:hAnsi="Times New Roman" w:cs="Times New Roman"/>
              </w:rPr>
              <w:t>projektów badawczych. Pierwotnie założenia dotyczyły bowiem</w:t>
            </w:r>
            <w:r>
              <w:rPr>
                <w:rFonts w:ascii="Times New Roman" w:hAnsi="Times New Roman" w:cs="Times New Roman"/>
              </w:rPr>
              <w:t xml:space="preserve"> </w:t>
            </w:r>
            <w:r w:rsidRPr="00CF3003">
              <w:rPr>
                <w:rFonts w:ascii="Times New Roman" w:hAnsi="Times New Roman" w:cs="Times New Roman"/>
              </w:rPr>
              <w:t>projektów długoterminowych (kilkuletnich) z elementami komercjalizacji wyników badań naukowych i prac rozwojowych lub prowadzeniem badań klinicznych.</w:t>
            </w:r>
            <w:r>
              <w:rPr>
                <w:rFonts w:ascii="Times New Roman" w:hAnsi="Times New Roman" w:cs="Times New Roman"/>
              </w:rPr>
              <w:t xml:space="preserve"> </w:t>
            </w:r>
          </w:p>
          <w:p w14:paraId="5C86F8E2" w14:textId="1DAA3ED2" w:rsidR="0020386D" w:rsidRPr="00C40440" w:rsidRDefault="00175581" w:rsidP="00C40440">
            <w:pPr>
              <w:spacing w:after="120" w:line="240" w:lineRule="auto"/>
              <w:rPr>
                <w:rFonts w:ascii="Times New Roman" w:hAnsi="Times New Roman" w:cs="Times New Roman"/>
              </w:rPr>
            </w:pPr>
            <w:r w:rsidRPr="00CF3003">
              <w:rPr>
                <w:rFonts w:ascii="Times New Roman" w:hAnsi="Times New Roman" w:cs="Times New Roman"/>
              </w:rPr>
              <w:t>W związku z powyższym proponowane jest ograniczenie nie tylko liczby projektów dla jednostek naukowych i przedsiębiorstw do 50 (tj.</w:t>
            </w:r>
            <w:r>
              <w:rPr>
                <w:rFonts w:ascii="Times New Roman" w:hAnsi="Times New Roman" w:cs="Times New Roman"/>
              </w:rPr>
              <w:t xml:space="preserve"> </w:t>
            </w:r>
            <w:r w:rsidRPr="00CF3003">
              <w:rPr>
                <w:rFonts w:ascii="Times New Roman" w:hAnsi="Times New Roman" w:cs="Times New Roman"/>
              </w:rPr>
              <w:t>liczba projektów refinansowanych i projektów wyłonionych w drodze konkursu), ale również czasu trwania projektów realizowanych przez naukowców i zespoły</w:t>
            </w:r>
            <w:r>
              <w:rPr>
                <w:rFonts w:ascii="Times New Roman" w:hAnsi="Times New Roman" w:cs="Times New Roman"/>
              </w:rPr>
              <w:t xml:space="preserve"> </w:t>
            </w:r>
            <w:r w:rsidRPr="00CF3003">
              <w:rPr>
                <w:rFonts w:ascii="Times New Roman" w:hAnsi="Times New Roman" w:cs="Times New Roman"/>
              </w:rPr>
              <w:t>badawcze oraz przedsiębiorców do max. 18 miesięcy, przy czym</w:t>
            </w:r>
            <w:r>
              <w:rPr>
                <w:rFonts w:ascii="Times New Roman" w:hAnsi="Times New Roman" w:cs="Times New Roman"/>
              </w:rPr>
              <w:t xml:space="preserve"> ze względu na wysoki poziom inflacji (wzrost kosztów materiałów, surowców, kadry) w ostatnich latach</w:t>
            </w:r>
            <w:r w:rsidRPr="00CF3003">
              <w:rPr>
                <w:rFonts w:ascii="Times New Roman" w:hAnsi="Times New Roman" w:cs="Times New Roman"/>
              </w:rPr>
              <w:t xml:space="preserve"> zwiększony zostanie budżet per projekt. </w:t>
            </w:r>
          </w:p>
          <w:p w14:paraId="1599F5E3" w14:textId="20118E26" w:rsidR="00175581" w:rsidRPr="00C40440" w:rsidRDefault="00175581" w:rsidP="00C40440">
            <w:pPr>
              <w:spacing w:after="120" w:line="240" w:lineRule="auto"/>
              <w:rPr>
                <w:rFonts w:ascii="Times New Roman" w:hAnsi="Times New Roman" w:cs="Times New Roman"/>
              </w:rPr>
            </w:pPr>
            <w:r w:rsidRPr="00C40440">
              <w:rPr>
                <w:rFonts w:ascii="Times New Roman" w:hAnsi="Times New Roman" w:cs="Times New Roman"/>
              </w:rPr>
              <w:t>D37G</w:t>
            </w:r>
          </w:p>
          <w:p w14:paraId="4E7ABC29" w14:textId="77777777" w:rsidR="00175581" w:rsidRPr="00E43CAF" w:rsidRDefault="00175581" w:rsidP="00C40440">
            <w:pPr>
              <w:spacing w:after="120" w:line="240" w:lineRule="auto"/>
              <w:rPr>
                <w:rFonts w:ascii="Times New Roman" w:hAnsi="Times New Roman" w:cs="Times New Roman"/>
              </w:rPr>
            </w:pPr>
            <w:r w:rsidRPr="00E43CAF">
              <w:rPr>
                <w:rFonts w:ascii="Times New Roman" w:hAnsi="Times New Roman" w:cs="Times New Roman"/>
              </w:rPr>
              <w:t>Argumentem za zmniejszeniem wartości wskaźnika jest to, że pandemia COVID-19 wpłynęła na obszar badań klinicznych nie tylko w obszarach finansowych, ale też</w:t>
            </w:r>
            <w:r>
              <w:rPr>
                <w:rFonts w:ascii="Times New Roman" w:hAnsi="Times New Roman" w:cs="Times New Roman"/>
              </w:rPr>
              <w:t xml:space="preserve"> </w:t>
            </w:r>
            <w:r w:rsidRPr="00E43CAF">
              <w:rPr>
                <w:rFonts w:ascii="Times New Roman" w:hAnsi="Times New Roman" w:cs="Times New Roman"/>
              </w:rPr>
              <w:t xml:space="preserve">zmieniła podejście badaczy i pozostałego personelu do </w:t>
            </w:r>
            <w:r>
              <w:rPr>
                <w:rFonts w:ascii="Times New Roman" w:hAnsi="Times New Roman" w:cs="Times New Roman"/>
              </w:rPr>
              <w:t>ich prowadzenia</w:t>
            </w:r>
            <w:r w:rsidRPr="00E43CAF">
              <w:rPr>
                <w:rFonts w:ascii="Times New Roman" w:hAnsi="Times New Roman" w:cs="Times New Roman"/>
              </w:rPr>
              <w:t xml:space="preserve">. </w:t>
            </w:r>
            <w:r>
              <w:rPr>
                <w:rFonts w:ascii="Times New Roman" w:hAnsi="Times New Roman" w:cs="Times New Roman"/>
              </w:rPr>
              <w:t>W wyniku procesu zmian w ostatnich latach b</w:t>
            </w:r>
            <w:r w:rsidRPr="00E43CAF">
              <w:rPr>
                <w:rFonts w:ascii="Times New Roman" w:hAnsi="Times New Roman" w:cs="Times New Roman"/>
              </w:rPr>
              <w:t xml:space="preserve">adania </w:t>
            </w:r>
            <w:r>
              <w:rPr>
                <w:rFonts w:ascii="Times New Roman" w:hAnsi="Times New Roman" w:cs="Times New Roman"/>
              </w:rPr>
              <w:t>są</w:t>
            </w:r>
            <w:r w:rsidRPr="00E43CAF">
              <w:rPr>
                <w:rFonts w:ascii="Times New Roman" w:hAnsi="Times New Roman" w:cs="Times New Roman"/>
              </w:rPr>
              <w:t xml:space="preserve"> prowadzone z sposób zdecentralizowany, skoncentrowany na pacjencie. Zmniejszyła się potrzeba osobistych wizyt w ośrodkach, wiele </w:t>
            </w:r>
            <w:r>
              <w:rPr>
                <w:rFonts w:ascii="Times New Roman" w:hAnsi="Times New Roman" w:cs="Times New Roman"/>
              </w:rPr>
              <w:t>czynności</w:t>
            </w:r>
            <w:r w:rsidRPr="00E43CAF">
              <w:rPr>
                <w:rFonts w:ascii="Times New Roman" w:hAnsi="Times New Roman" w:cs="Times New Roman"/>
              </w:rPr>
              <w:t xml:space="preserve"> </w:t>
            </w:r>
            <w:r>
              <w:rPr>
                <w:rFonts w:ascii="Times New Roman" w:hAnsi="Times New Roman" w:cs="Times New Roman"/>
              </w:rPr>
              <w:t>prowadzonych jest</w:t>
            </w:r>
            <w:r w:rsidRPr="00E43CAF">
              <w:rPr>
                <w:rFonts w:ascii="Times New Roman" w:hAnsi="Times New Roman" w:cs="Times New Roman"/>
              </w:rPr>
              <w:t xml:space="preserve"> przy użyciu</w:t>
            </w:r>
            <w:r>
              <w:rPr>
                <w:rFonts w:ascii="Times New Roman" w:hAnsi="Times New Roman" w:cs="Times New Roman"/>
              </w:rPr>
              <w:t xml:space="preserve"> </w:t>
            </w:r>
            <w:r w:rsidRPr="00E43CAF">
              <w:rPr>
                <w:rFonts w:ascii="Times New Roman" w:hAnsi="Times New Roman" w:cs="Times New Roman"/>
              </w:rPr>
              <w:t xml:space="preserve">rozwiązań </w:t>
            </w:r>
            <w:proofErr w:type="spellStart"/>
            <w:r w:rsidRPr="00E43CAF">
              <w:rPr>
                <w:rFonts w:ascii="Times New Roman" w:hAnsi="Times New Roman" w:cs="Times New Roman"/>
              </w:rPr>
              <w:t>telemedyc</w:t>
            </w:r>
            <w:r>
              <w:rPr>
                <w:rFonts w:ascii="Times New Roman" w:hAnsi="Times New Roman" w:cs="Times New Roman"/>
              </w:rPr>
              <w:t>znych</w:t>
            </w:r>
            <w:proofErr w:type="spellEnd"/>
            <w:r w:rsidRPr="00E43CAF">
              <w:rPr>
                <w:rFonts w:ascii="Times New Roman" w:hAnsi="Times New Roman" w:cs="Times New Roman"/>
              </w:rPr>
              <w:t>. Zdecentralizowane badania kliniczne odnoszą się do strategii prowadzenia badań klinicznych, w których</w:t>
            </w:r>
            <w:r>
              <w:rPr>
                <w:rFonts w:ascii="Times New Roman" w:hAnsi="Times New Roman" w:cs="Times New Roman"/>
              </w:rPr>
              <w:t xml:space="preserve"> </w:t>
            </w:r>
            <w:r w:rsidRPr="00E43CAF">
              <w:rPr>
                <w:rFonts w:ascii="Times New Roman" w:hAnsi="Times New Roman" w:cs="Times New Roman"/>
              </w:rPr>
              <w:t>część lub wszystkie etapy procesu badawczego odbywają się poza tradycyjnymi placówkami badawczymi, takimi jak szpitale czy ośrodki badawcze. W porównaniu z</w:t>
            </w:r>
            <w:r>
              <w:rPr>
                <w:rFonts w:ascii="Times New Roman" w:hAnsi="Times New Roman" w:cs="Times New Roman"/>
              </w:rPr>
              <w:t xml:space="preserve"> </w:t>
            </w:r>
            <w:r w:rsidRPr="00E43CAF">
              <w:rPr>
                <w:rFonts w:ascii="Times New Roman" w:hAnsi="Times New Roman" w:cs="Times New Roman"/>
              </w:rPr>
              <w:t>tradycyjnymi badaniami klinicznymi, ZBK wykorzystują technologie cyfrowe i zdalne monitorowanie, co może przyczynić się do zwiększenia dostępności, obniżenia</w:t>
            </w:r>
            <w:r w:rsidRPr="00E43CAF">
              <w:t xml:space="preserve"> </w:t>
            </w:r>
            <w:r w:rsidRPr="00E43CAF">
              <w:rPr>
                <w:rFonts w:ascii="Times New Roman" w:hAnsi="Times New Roman" w:cs="Times New Roman"/>
              </w:rPr>
              <w:t>kosztów oraz zwiększenia wygody zarówno dla pacjentów, jak i badaczy.</w:t>
            </w:r>
          </w:p>
          <w:p w14:paraId="559161A9" w14:textId="77777777" w:rsidR="00175581" w:rsidRDefault="00175581" w:rsidP="00C40440">
            <w:pPr>
              <w:spacing w:after="120" w:line="240" w:lineRule="auto"/>
              <w:rPr>
                <w:rFonts w:ascii="Times New Roman" w:hAnsi="Times New Roman" w:cs="Times New Roman"/>
              </w:rPr>
            </w:pPr>
            <w:r w:rsidRPr="00E43CAF">
              <w:rPr>
                <w:rFonts w:ascii="Times New Roman" w:hAnsi="Times New Roman" w:cs="Times New Roman"/>
              </w:rPr>
              <w:t>Badania kliniczne stają się również coraz bardziej wyspecjalizowane i wymagają najnowocześniejszego sprzętu diagnostycznego, dostępnego najczęściej wyłącznie</w:t>
            </w:r>
            <w:r>
              <w:rPr>
                <w:rFonts w:ascii="Times New Roman" w:hAnsi="Times New Roman" w:cs="Times New Roman"/>
              </w:rPr>
              <w:t xml:space="preserve"> </w:t>
            </w:r>
            <w:r w:rsidRPr="00E43CAF">
              <w:rPr>
                <w:rFonts w:ascii="Times New Roman" w:hAnsi="Times New Roman" w:cs="Times New Roman"/>
              </w:rPr>
              <w:t xml:space="preserve">na terenie uniwersyteckich szpitali klinicznych lub instytutów naukowych. W związku z powyższym realizacja zadania w </w:t>
            </w:r>
            <w:r>
              <w:rPr>
                <w:rFonts w:ascii="Times New Roman" w:hAnsi="Times New Roman" w:cs="Times New Roman"/>
              </w:rPr>
              <w:lastRenderedPageBreak/>
              <w:t>kształcie</w:t>
            </w:r>
            <w:r w:rsidRPr="00E43CAF">
              <w:rPr>
                <w:rFonts w:ascii="Times New Roman" w:hAnsi="Times New Roman" w:cs="Times New Roman"/>
              </w:rPr>
              <w:t xml:space="preserve"> </w:t>
            </w:r>
            <w:r>
              <w:rPr>
                <w:rFonts w:ascii="Times New Roman" w:hAnsi="Times New Roman" w:cs="Times New Roman"/>
              </w:rPr>
              <w:t>pierwotnie</w:t>
            </w:r>
            <w:r w:rsidRPr="00E43CAF">
              <w:rPr>
                <w:rFonts w:ascii="Times New Roman" w:hAnsi="Times New Roman" w:cs="Times New Roman"/>
              </w:rPr>
              <w:t xml:space="preserve"> zakładan</w:t>
            </w:r>
            <w:r>
              <w:rPr>
                <w:rFonts w:ascii="Times New Roman" w:hAnsi="Times New Roman" w:cs="Times New Roman"/>
              </w:rPr>
              <w:t>ym</w:t>
            </w:r>
            <w:r w:rsidRPr="00E43CAF">
              <w:rPr>
                <w:rFonts w:ascii="Times New Roman" w:hAnsi="Times New Roman" w:cs="Times New Roman"/>
              </w:rPr>
              <w:t xml:space="preserve"> (tj. stworzenie 33</w:t>
            </w:r>
            <w:r>
              <w:rPr>
                <w:rFonts w:ascii="Times New Roman" w:hAnsi="Times New Roman" w:cs="Times New Roman"/>
              </w:rPr>
              <w:t xml:space="preserve"> </w:t>
            </w:r>
            <w:r w:rsidRPr="00E43CAF">
              <w:rPr>
                <w:rFonts w:ascii="Times New Roman" w:hAnsi="Times New Roman" w:cs="Times New Roman"/>
              </w:rPr>
              <w:t xml:space="preserve">nowych mniejszych jednostek do łącznej liczby 43), </w:t>
            </w:r>
            <w:r>
              <w:rPr>
                <w:rFonts w:ascii="Times New Roman" w:hAnsi="Times New Roman" w:cs="Times New Roman"/>
              </w:rPr>
              <w:t>nie jest możliwa w obliczu obiektywnych zmian i uwarunkowań rynkowych</w:t>
            </w:r>
            <w:r w:rsidRPr="00E43CAF">
              <w:rPr>
                <w:rFonts w:ascii="Times New Roman" w:hAnsi="Times New Roman" w:cs="Times New Roman"/>
              </w:rPr>
              <w:t xml:space="preserve">. </w:t>
            </w:r>
          </w:p>
          <w:p w14:paraId="70EA879B" w14:textId="22B33CAA" w:rsidR="00175581" w:rsidRPr="00C40440" w:rsidRDefault="00175581" w:rsidP="00C40440">
            <w:pPr>
              <w:spacing w:after="0" w:line="240" w:lineRule="auto"/>
              <w:rPr>
                <w:rFonts w:ascii="Times New Roman" w:hAnsi="Times New Roman" w:cs="Times New Roman"/>
              </w:rPr>
            </w:pPr>
            <w:r w:rsidRPr="00E43CAF">
              <w:rPr>
                <w:rFonts w:ascii="Times New Roman" w:hAnsi="Times New Roman" w:cs="Times New Roman"/>
              </w:rPr>
              <w:t>Duże jednostki są w stanie dotrzeć bezpośrednio do pacjenta osobiście, wysyłając</w:t>
            </w:r>
            <w:r>
              <w:rPr>
                <w:rFonts w:ascii="Times New Roman" w:hAnsi="Times New Roman" w:cs="Times New Roman"/>
              </w:rPr>
              <w:t xml:space="preserve"> </w:t>
            </w:r>
            <w:r w:rsidRPr="00E43CAF">
              <w:rPr>
                <w:rFonts w:ascii="Times New Roman" w:hAnsi="Times New Roman" w:cs="Times New Roman"/>
              </w:rPr>
              <w:t xml:space="preserve">swojego przedstawiciela lub drogą elektroniczną. Stworzenie 23 nowych CWBK i rozwój 10 istniejących </w:t>
            </w:r>
            <w:r>
              <w:rPr>
                <w:rFonts w:ascii="Times New Roman" w:hAnsi="Times New Roman" w:cs="Times New Roman"/>
              </w:rPr>
              <w:t>umożliwi</w:t>
            </w:r>
            <w:r w:rsidRPr="00E43CAF">
              <w:rPr>
                <w:rFonts w:ascii="Times New Roman" w:hAnsi="Times New Roman" w:cs="Times New Roman"/>
              </w:rPr>
              <w:t xml:space="preserve"> stworzenia </w:t>
            </w:r>
            <w:r>
              <w:rPr>
                <w:rFonts w:ascii="Times New Roman" w:hAnsi="Times New Roman" w:cs="Times New Roman"/>
              </w:rPr>
              <w:t xml:space="preserve">stabilnych finansowo </w:t>
            </w:r>
            <w:r w:rsidRPr="00E43CAF">
              <w:rPr>
                <w:rFonts w:ascii="Times New Roman" w:hAnsi="Times New Roman" w:cs="Times New Roman"/>
              </w:rPr>
              <w:t>jednostek, które będą</w:t>
            </w:r>
            <w:r>
              <w:rPr>
                <w:rFonts w:ascii="Times New Roman" w:hAnsi="Times New Roman" w:cs="Times New Roman"/>
              </w:rPr>
              <w:t xml:space="preserve"> </w:t>
            </w:r>
            <w:r w:rsidRPr="00E43CAF">
              <w:rPr>
                <w:rFonts w:ascii="Times New Roman" w:hAnsi="Times New Roman" w:cs="Times New Roman"/>
              </w:rPr>
              <w:t xml:space="preserve">w stanie samodzielnie </w:t>
            </w:r>
            <w:r>
              <w:rPr>
                <w:rFonts w:ascii="Times New Roman" w:hAnsi="Times New Roman" w:cs="Times New Roman"/>
              </w:rPr>
              <w:t>funkcjonować</w:t>
            </w:r>
            <w:r w:rsidRPr="00E43CAF">
              <w:rPr>
                <w:rFonts w:ascii="Times New Roman" w:hAnsi="Times New Roman" w:cs="Times New Roman"/>
              </w:rPr>
              <w:t xml:space="preserve"> </w:t>
            </w:r>
            <w:r>
              <w:rPr>
                <w:rFonts w:ascii="Times New Roman" w:hAnsi="Times New Roman" w:cs="Times New Roman"/>
              </w:rPr>
              <w:t xml:space="preserve">również </w:t>
            </w:r>
            <w:r w:rsidRPr="00E43CAF">
              <w:rPr>
                <w:rFonts w:ascii="Times New Roman" w:hAnsi="Times New Roman" w:cs="Times New Roman"/>
              </w:rPr>
              <w:t xml:space="preserve">po okresie realizacji projektu. </w:t>
            </w:r>
          </w:p>
        </w:tc>
      </w:tr>
      <w:tr w:rsidR="00175581" w:rsidRPr="00EF63DD" w14:paraId="5AB5F18C" w14:textId="77777777" w:rsidTr="003B4E6E">
        <w:tc>
          <w:tcPr>
            <w:tcW w:w="1139" w:type="pct"/>
          </w:tcPr>
          <w:p w14:paraId="5AC0B1DC" w14:textId="77777777" w:rsidR="00175581" w:rsidRPr="00EF63DD" w:rsidRDefault="00175581" w:rsidP="003B4E6E">
            <w:pPr>
              <w:spacing w:after="120" w:line="240" w:lineRule="auto"/>
              <w:rPr>
                <w:rFonts w:ascii="Times New Roman" w:hAnsi="Times New Roman" w:cs="Times New Roman"/>
              </w:rPr>
            </w:pPr>
            <w:r w:rsidRPr="00EF63DD">
              <w:rPr>
                <w:rFonts w:ascii="Times New Roman" w:hAnsi="Times New Roman" w:cs="Times New Roman"/>
              </w:rPr>
              <w:lastRenderedPageBreak/>
              <w:t>Szacowany koszt</w:t>
            </w:r>
          </w:p>
        </w:tc>
        <w:tc>
          <w:tcPr>
            <w:tcW w:w="3861" w:type="pct"/>
            <w:gridSpan w:val="2"/>
          </w:tcPr>
          <w:p w14:paraId="2D741E2A" w14:textId="77777777" w:rsidR="00175581" w:rsidRPr="002F53BC" w:rsidRDefault="00175581" w:rsidP="003B4E6E">
            <w:pPr>
              <w:spacing w:after="120" w:line="240" w:lineRule="auto"/>
              <w:rPr>
                <w:rFonts w:ascii="Times New Roman" w:hAnsi="Times New Roman" w:cs="Times New Roman"/>
                <w:b/>
                <w:bCs/>
              </w:rPr>
            </w:pPr>
            <w:r w:rsidRPr="002F53BC">
              <w:rPr>
                <w:rFonts w:ascii="Times New Roman" w:hAnsi="Times New Roman" w:cs="Times New Roman"/>
              </w:rPr>
              <w:t xml:space="preserve">Zmiana nie ma wpływu na szacowany koszt </w:t>
            </w:r>
          </w:p>
        </w:tc>
      </w:tr>
      <w:tr w:rsidR="00175581" w:rsidRPr="00EF63DD" w14:paraId="415B25F2" w14:textId="77777777" w:rsidTr="003B4E6E">
        <w:tc>
          <w:tcPr>
            <w:tcW w:w="1139" w:type="pct"/>
          </w:tcPr>
          <w:p w14:paraId="11005BDB" w14:textId="77777777" w:rsidR="00175581" w:rsidRPr="00EF63DD" w:rsidRDefault="00175581" w:rsidP="003B4E6E">
            <w:pPr>
              <w:spacing w:after="120" w:line="240" w:lineRule="auto"/>
              <w:rPr>
                <w:rFonts w:ascii="Times New Roman" w:hAnsi="Times New Roman" w:cs="Times New Roman"/>
              </w:rPr>
            </w:pPr>
            <w:r w:rsidRPr="00EF63DD">
              <w:rPr>
                <w:rFonts w:ascii="Times New Roman" w:hAnsi="Times New Roman" w:cs="Times New Roman"/>
              </w:rPr>
              <w:t xml:space="preserve">Cyfrowy i klimatyczny </w:t>
            </w:r>
            <w:proofErr w:type="spellStart"/>
            <w:r w:rsidRPr="00EF63DD">
              <w:rPr>
                <w:rFonts w:ascii="Times New Roman" w:hAnsi="Times New Roman" w:cs="Times New Roman"/>
              </w:rPr>
              <w:t>tagging</w:t>
            </w:r>
            <w:proofErr w:type="spellEnd"/>
            <w:r w:rsidRPr="00EF63DD">
              <w:rPr>
                <w:rFonts w:ascii="Times New Roman" w:hAnsi="Times New Roman" w:cs="Times New Roman"/>
              </w:rPr>
              <w:t xml:space="preserve"> </w:t>
            </w:r>
          </w:p>
        </w:tc>
        <w:tc>
          <w:tcPr>
            <w:tcW w:w="3861" w:type="pct"/>
            <w:gridSpan w:val="2"/>
          </w:tcPr>
          <w:p w14:paraId="55D0ABC9" w14:textId="77777777" w:rsidR="00175581" w:rsidRPr="002F53BC" w:rsidRDefault="00175581" w:rsidP="003B4E6E">
            <w:pPr>
              <w:spacing w:after="120" w:line="240" w:lineRule="auto"/>
              <w:rPr>
                <w:rFonts w:ascii="Times New Roman" w:hAnsi="Times New Roman" w:cs="Times New Roman"/>
              </w:rPr>
            </w:pPr>
            <w:r w:rsidRPr="002F53BC">
              <w:rPr>
                <w:rFonts w:ascii="Times New Roman" w:hAnsi="Times New Roman" w:cs="Times New Roman"/>
              </w:rPr>
              <w:t xml:space="preserve">Zmiana nie ma wpływu na </w:t>
            </w:r>
            <w:proofErr w:type="spellStart"/>
            <w:r w:rsidRPr="002F53BC">
              <w:rPr>
                <w:rFonts w:ascii="Times New Roman" w:hAnsi="Times New Roman" w:cs="Times New Roman"/>
              </w:rPr>
              <w:t>tagging</w:t>
            </w:r>
            <w:proofErr w:type="spellEnd"/>
            <w:r w:rsidRPr="002F53BC">
              <w:rPr>
                <w:rFonts w:ascii="Times New Roman" w:hAnsi="Times New Roman" w:cs="Times New Roman"/>
              </w:rPr>
              <w:t xml:space="preserve"> klimatyczny i cyfrowy</w:t>
            </w:r>
          </w:p>
        </w:tc>
      </w:tr>
      <w:tr w:rsidR="00175581" w:rsidRPr="00EF63DD" w14:paraId="2DF77905" w14:textId="77777777" w:rsidTr="003B4E6E">
        <w:tc>
          <w:tcPr>
            <w:tcW w:w="1139" w:type="pct"/>
            <w:tcBorders>
              <w:bottom w:val="single" w:sz="4" w:space="0" w:color="auto"/>
            </w:tcBorders>
          </w:tcPr>
          <w:p w14:paraId="60CB8C47" w14:textId="77777777" w:rsidR="00175581" w:rsidRPr="00EF63DD" w:rsidRDefault="00175581" w:rsidP="003B4E6E">
            <w:pPr>
              <w:spacing w:after="120" w:line="240" w:lineRule="auto"/>
              <w:rPr>
                <w:rFonts w:ascii="Times New Roman" w:hAnsi="Times New Roman" w:cs="Times New Roman"/>
              </w:rPr>
            </w:pPr>
            <w:r w:rsidRPr="00EF63DD">
              <w:rPr>
                <w:rFonts w:ascii="Times New Roman" w:hAnsi="Times New Roman" w:cs="Times New Roman"/>
              </w:rPr>
              <w:t xml:space="preserve">Zasada DNSH </w:t>
            </w:r>
          </w:p>
        </w:tc>
        <w:tc>
          <w:tcPr>
            <w:tcW w:w="3861" w:type="pct"/>
            <w:gridSpan w:val="2"/>
            <w:tcBorders>
              <w:bottom w:val="single" w:sz="4" w:space="0" w:color="auto"/>
            </w:tcBorders>
          </w:tcPr>
          <w:p w14:paraId="7BD1780D" w14:textId="77777777" w:rsidR="00175581" w:rsidRPr="002F53BC" w:rsidRDefault="00175581" w:rsidP="003B4E6E">
            <w:pPr>
              <w:spacing w:after="120" w:line="240" w:lineRule="auto"/>
              <w:rPr>
                <w:rFonts w:ascii="Times New Roman" w:hAnsi="Times New Roman" w:cs="Times New Roman"/>
              </w:rPr>
            </w:pPr>
            <w:r w:rsidRPr="002F53BC">
              <w:rPr>
                <w:rFonts w:ascii="Times New Roman" w:hAnsi="Times New Roman" w:cs="Times New Roman"/>
              </w:rPr>
              <w:t>Zmiana nie ma wpływu na DNSH</w:t>
            </w:r>
          </w:p>
        </w:tc>
      </w:tr>
      <w:tr w:rsidR="00175581" w:rsidRPr="00EF63DD" w14:paraId="29A439C5" w14:textId="77777777" w:rsidTr="003B4E6E">
        <w:tc>
          <w:tcPr>
            <w:tcW w:w="1139" w:type="pct"/>
            <w:tcBorders>
              <w:bottom w:val="single" w:sz="4" w:space="0" w:color="auto"/>
            </w:tcBorders>
          </w:tcPr>
          <w:p w14:paraId="09EA76AF" w14:textId="77777777" w:rsidR="00175581" w:rsidRPr="00EF63DD" w:rsidRDefault="00175581" w:rsidP="003B4E6E">
            <w:pPr>
              <w:spacing w:after="120" w:line="240" w:lineRule="auto"/>
              <w:rPr>
                <w:rFonts w:ascii="Times New Roman" w:hAnsi="Times New Roman" w:cs="Times New Roman"/>
              </w:rPr>
            </w:pPr>
            <w:r w:rsidRPr="00EF63DD">
              <w:rPr>
                <w:rFonts w:ascii="Times New Roman" w:hAnsi="Times New Roman" w:cs="Times New Roman"/>
              </w:rPr>
              <w:t xml:space="preserve">Pomoc publiczna </w:t>
            </w:r>
          </w:p>
        </w:tc>
        <w:tc>
          <w:tcPr>
            <w:tcW w:w="3861" w:type="pct"/>
            <w:gridSpan w:val="2"/>
            <w:tcBorders>
              <w:bottom w:val="single" w:sz="4" w:space="0" w:color="auto"/>
            </w:tcBorders>
          </w:tcPr>
          <w:p w14:paraId="02D7BE17" w14:textId="77777777" w:rsidR="00175581" w:rsidRPr="002F53BC" w:rsidRDefault="00175581" w:rsidP="003B4E6E">
            <w:pPr>
              <w:spacing w:after="120" w:line="240" w:lineRule="auto"/>
              <w:rPr>
                <w:rFonts w:ascii="Times New Roman" w:hAnsi="Times New Roman" w:cs="Times New Roman"/>
              </w:rPr>
            </w:pPr>
            <w:r w:rsidRPr="002F53BC">
              <w:rPr>
                <w:rFonts w:ascii="Times New Roman" w:hAnsi="Times New Roman" w:cs="Times New Roman"/>
              </w:rPr>
              <w:t>Zmiana nie ma wpływu na pomoc publiczną</w:t>
            </w:r>
          </w:p>
        </w:tc>
      </w:tr>
    </w:tbl>
    <w:p w14:paraId="0F8AD7B1" w14:textId="77777777" w:rsidR="00C96DAC" w:rsidRPr="00EF63DD" w:rsidRDefault="00C96DAC">
      <w:pPr>
        <w:rPr>
          <w:rFonts w:ascii="Times New Roman" w:hAnsi="Times New Roman" w:cs="Times New Roman"/>
          <w:b/>
          <w:bCs/>
          <w:sz w:val="26"/>
          <w:szCs w:val="26"/>
        </w:rPr>
      </w:pPr>
    </w:p>
    <w:p w14:paraId="461EB4C6" w14:textId="536039DC" w:rsidR="000036A0" w:rsidRDefault="007B2370">
      <w:pPr>
        <w:rPr>
          <w:rFonts w:ascii="Times New Roman" w:hAnsi="Times New Roman" w:cs="Times New Roman"/>
          <w:b/>
          <w:bCs/>
          <w:sz w:val="26"/>
          <w:szCs w:val="26"/>
        </w:rPr>
      </w:pPr>
      <w:r w:rsidRPr="007B2370">
        <w:rPr>
          <w:rFonts w:ascii="Times New Roman" w:hAnsi="Times New Roman" w:cs="Times New Roman"/>
          <w:b/>
          <w:bCs/>
          <w:sz w:val="26"/>
          <w:szCs w:val="26"/>
        </w:rPr>
        <w:t>Komponent E Zielona, inteligentna mobilność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10"/>
        <w:gridCol w:w="3438"/>
        <w:gridCol w:w="3688"/>
      </w:tblGrid>
      <w:tr w:rsidR="000036A0" w:rsidRPr="00B67C14" w14:paraId="27C18B19" w14:textId="77777777" w:rsidTr="000036A0">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F0FB3" w14:textId="77777777" w:rsidR="000036A0" w:rsidRPr="000036A0" w:rsidRDefault="000036A0" w:rsidP="00144E7D">
            <w:pPr>
              <w:spacing w:after="0" w:line="240" w:lineRule="auto"/>
              <w:rPr>
                <w:rFonts w:ascii="Times New Roman" w:hAnsi="Times New Roman" w:cs="Times New Roman"/>
                <w:b/>
                <w:bCs/>
              </w:rPr>
            </w:pPr>
            <w:r w:rsidRPr="000036A0">
              <w:rPr>
                <w:rFonts w:ascii="Times New Roman" w:hAnsi="Times New Roman" w:cs="Times New Roman"/>
                <w:b/>
                <w:bCs/>
              </w:rPr>
              <w:t>Numer inwestycji</w:t>
            </w:r>
          </w:p>
        </w:tc>
        <w:tc>
          <w:tcPr>
            <w:tcW w:w="39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5A281D" w14:textId="77777777" w:rsidR="000036A0" w:rsidRPr="00B67C14" w:rsidRDefault="000036A0" w:rsidP="00C40440">
            <w:pPr>
              <w:pStyle w:val="Akapitzlist"/>
              <w:ind w:left="34"/>
              <w:rPr>
                <w:b/>
                <w:bCs/>
                <w:sz w:val="22"/>
                <w:szCs w:val="22"/>
              </w:rPr>
            </w:pPr>
            <w:r w:rsidRPr="00B67C14">
              <w:rPr>
                <w:b/>
                <w:bCs/>
                <w:sz w:val="22"/>
                <w:szCs w:val="22"/>
              </w:rPr>
              <w:t>E1.1.1</w:t>
            </w:r>
          </w:p>
        </w:tc>
      </w:tr>
      <w:tr w:rsidR="000036A0" w:rsidRPr="00B67C14" w14:paraId="72972F87" w14:textId="77777777" w:rsidTr="000036A0">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01F827" w14:textId="77777777" w:rsidR="000036A0" w:rsidRPr="000036A0" w:rsidRDefault="000036A0" w:rsidP="000036A0">
            <w:pPr>
              <w:rPr>
                <w:rFonts w:ascii="Times New Roman" w:hAnsi="Times New Roman" w:cs="Times New Roman"/>
                <w:b/>
                <w:bCs/>
              </w:rPr>
            </w:pPr>
            <w:r w:rsidRPr="000036A0">
              <w:rPr>
                <w:rFonts w:ascii="Times New Roman" w:hAnsi="Times New Roman" w:cs="Times New Roman"/>
                <w:b/>
                <w:bCs/>
              </w:rPr>
              <w:t xml:space="preserve">Nazwa inwestycji </w:t>
            </w:r>
          </w:p>
        </w:tc>
        <w:tc>
          <w:tcPr>
            <w:tcW w:w="39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9C13E" w14:textId="77777777" w:rsidR="000036A0" w:rsidRPr="000036A0" w:rsidRDefault="000036A0" w:rsidP="00144E7D">
            <w:pPr>
              <w:pStyle w:val="Akapitzlist"/>
              <w:ind w:left="34"/>
              <w:rPr>
                <w:b/>
                <w:bCs/>
                <w:sz w:val="22"/>
                <w:szCs w:val="22"/>
              </w:rPr>
            </w:pPr>
            <w:r w:rsidRPr="000036A0">
              <w:rPr>
                <w:b/>
                <w:bCs/>
                <w:sz w:val="22"/>
                <w:szCs w:val="22"/>
              </w:rPr>
              <w:t>Wsparcie dla gospodarki niskoemisyjnej</w:t>
            </w:r>
          </w:p>
        </w:tc>
      </w:tr>
      <w:tr w:rsidR="000036A0" w:rsidRPr="00B67C14" w14:paraId="68E69A28" w14:textId="77777777" w:rsidTr="000036A0">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073D3D" w14:textId="77777777" w:rsidR="000036A0" w:rsidRPr="00C40440" w:rsidRDefault="000036A0" w:rsidP="000036A0">
            <w:pPr>
              <w:rPr>
                <w:rFonts w:ascii="Times New Roman" w:hAnsi="Times New Roman" w:cs="Times New Roman"/>
              </w:rPr>
            </w:pPr>
            <w:r w:rsidRPr="00C40440">
              <w:rPr>
                <w:rFonts w:ascii="Times New Roman" w:hAnsi="Times New Roman" w:cs="Times New Roman"/>
              </w:rPr>
              <w:t>Rodzaj wprowadzonej zmiany w odniesieniu do CID</w:t>
            </w:r>
          </w:p>
        </w:tc>
        <w:tc>
          <w:tcPr>
            <w:tcW w:w="39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515EB" w14:textId="50C42982" w:rsidR="000036A0" w:rsidRPr="00C40440" w:rsidRDefault="000036A0" w:rsidP="00144E7D">
            <w:pPr>
              <w:pStyle w:val="Akapitzlist"/>
              <w:ind w:left="34"/>
              <w:rPr>
                <w:sz w:val="22"/>
                <w:szCs w:val="22"/>
              </w:rPr>
            </w:pPr>
            <w:r w:rsidRPr="00C40440">
              <w:rPr>
                <w:sz w:val="22"/>
                <w:szCs w:val="22"/>
              </w:rPr>
              <w:t xml:space="preserve">Przeniesienie </w:t>
            </w:r>
            <w:r w:rsidR="00A106E1">
              <w:rPr>
                <w:sz w:val="22"/>
                <w:szCs w:val="22"/>
              </w:rPr>
              <w:t xml:space="preserve">inwestycji </w:t>
            </w:r>
            <w:r w:rsidRPr="00C40440">
              <w:rPr>
                <w:sz w:val="22"/>
                <w:szCs w:val="22"/>
              </w:rPr>
              <w:t>do części pożyczkowej KPO oraz zmiana kamienia milowego E9G oraz wskaźników E10G, E11G, E12G</w:t>
            </w:r>
            <w:r w:rsidR="00A106E1">
              <w:rPr>
                <w:sz w:val="22"/>
                <w:szCs w:val="22"/>
              </w:rPr>
              <w:t xml:space="preserve"> </w:t>
            </w:r>
            <w:r w:rsidRPr="00C40440">
              <w:rPr>
                <w:sz w:val="22"/>
                <w:szCs w:val="22"/>
              </w:rPr>
              <w:t>przypisanych do inwestycji.</w:t>
            </w:r>
            <w:r w:rsidR="008E2DC2">
              <w:rPr>
                <w:sz w:val="22"/>
                <w:szCs w:val="22"/>
              </w:rPr>
              <w:t xml:space="preserve"> Przesunięcie terminu realizacji inwestycji oraz wskaźników E9G, E10G i E12G.</w:t>
            </w:r>
            <w:r w:rsidRPr="00C40440">
              <w:rPr>
                <w:sz w:val="22"/>
                <w:szCs w:val="22"/>
              </w:rPr>
              <w:t xml:space="preserve"> </w:t>
            </w:r>
          </w:p>
        </w:tc>
      </w:tr>
      <w:tr w:rsidR="000036A0" w:rsidRPr="00B67C14" w14:paraId="65BA5591" w14:textId="77777777" w:rsidTr="000036A0">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B4DCCD" w14:textId="77777777" w:rsidR="000036A0" w:rsidRPr="00C40440" w:rsidRDefault="000036A0" w:rsidP="000036A0">
            <w:pPr>
              <w:rPr>
                <w:rFonts w:ascii="Times New Roman" w:hAnsi="Times New Roman" w:cs="Times New Roman"/>
              </w:rPr>
            </w:pPr>
            <w:r w:rsidRPr="00C40440">
              <w:rPr>
                <w:rFonts w:ascii="Times New Roman" w:hAnsi="Times New Roman" w:cs="Times New Roman"/>
              </w:rPr>
              <w:t>Podstawa prawna zmiany</w:t>
            </w:r>
          </w:p>
        </w:tc>
        <w:tc>
          <w:tcPr>
            <w:tcW w:w="39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87905F" w14:textId="18BD8CEF" w:rsidR="000036A0" w:rsidRPr="00C40440" w:rsidRDefault="00A106E1" w:rsidP="000036A0">
            <w:pPr>
              <w:pStyle w:val="Akapitzlist"/>
              <w:ind w:left="34"/>
              <w:rPr>
                <w:sz w:val="22"/>
                <w:szCs w:val="22"/>
              </w:rPr>
            </w:pPr>
            <w:r w:rsidRPr="007A6145">
              <w:rPr>
                <w:sz w:val="22"/>
                <w:szCs w:val="22"/>
              </w:rPr>
              <w:t>art. 21 rozporządzenia Parlamentu Europejskiego i Rady (UE) 2021/241 z dnia 12 lutego 2021 r. ustanawiające Instrument na rzecz Odbudowy i Zwiększania Odporności</w:t>
            </w:r>
            <w:r w:rsidRPr="000036A0" w:rsidDel="00A106E1">
              <w:rPr>
                <w:sz w:val="22"/>
                <w:szCs w:val="22"/>
              </w:rPr>
              <w:t xml:space="preserve"> </w:t>
            </w:r>
          </w:p>
        </w:tc>
      </w:tr>
      <w:tr w:rsidR="000036A0" w:rsidRPr="00B67C14" w14:paraId="4833A185" w14:textId="77777777" w:rsidTr="00C40440">
        <w:tc>
          <w:tcPr>
            <w:tcW w:w="1063" w:type="pct"/>
            <w:shd w:val="clear" w:color="auto" w:fill="D9D9D9" w:themeFill="background1" w:themeFillShade="D9"/>
          </w:tcPr>
          <w:p w14:paraId="38717956" w14:textId="77777777" w:rsidR="000036A0" w:rsidRPr="00C40440" w:rsidRDefault="000036A0" w:rsidP="00144E7D">
            <w:pPr>
              <w:spacing w:after="0" w:line="240" w:lineRule="auto"/>
              <w:rPr>
                <w:rFonts w:ascii="Times New Roman" w:hAnsi="Times New Roman" w:cs="Times New Roman"/>
                <w:highlight w:val="lightGray"/>
              </w:rPr>
            </w:pPr>
            <w:r w:rsidRPr="00C40440">
              <w:rPr>
                <w:rFonts w:ascii="Times New Roman" w:hAnsi="Times New Roman" w:cs="Times New Roman"/>
                <w:highlight w:val="lightGray"/>
              </w:rPr>
              <w:t>Modyfikowany element</w:t>
            </w:r>
          </w:p>
        </w:tc>
        <w:tc>
          <w:tcPr>
            <w:tcW w:w="1902" w:type="pct"/>
            <w:gridSpan w:val="2"/>
            <w:shd w:val="clear" w:color="auto" w:fill="D9D9D9" w:themeFill="background1" w:themeFillShade="D9"/>
          </w:tcPr>
          <w:p w14:paraId="7448B407" w14:textId="77777777" w:rsidR="000036A0" w:rsidRPr="00C40440" w:rsidRDefault="000036A0" w:rsidP="00144E7D">
            <w:pPr>
              <w:spacing w:after="0" w:line="240" w:lineRule="auto"/>
              <w:jc w:val="center"/>
              <w:rPr>
                <w:rFonts w:ascii="Times New Roman" w:hAnsi="Times New Roman" w:cs="Times New Roman"/>
                <w:highlight w:val="lightGray"/>
              </w:rPr>
            </w:pPr>
            <w:r w:rsidRPr="00C40440">
              <w:rPr>
                <w:rFonts w:ascii="Times New Roman" w:hAnsi="Times New Roman" w:cs="Times New Roman"/>
                <w:highlight w:val="lightGray"/>
              </w:rPr>
              <w:t>Wersja aktualna</w:t>
            </w:r>
          </w:p>
        </w:tc>
        <w:tc>
          <w:tcPr>
            <w:tcW w:w="2010" w:type="pct"/>
            <w:shd w:val="clear" w:color="auto" w:fill="D9D9D9" w:themeFill="background1" w:themeFillShade="D9"/>
          </w:tcPr>
          <w:p w14:paraId="242F5DF1" w14:textId="77777777" w:rsidR="000036A0" w:rsidRPr="00C40440" w:rsidRDefault="000036A0" w:rsidP="00144E7D">
            <w:pPr>
              <w:spacing w:after="0" w:line="240" w:lineRule="auto"/>
              <w:jc w:val="center"/>
              <w:rPr>
                <w:rFonts w:ascii="Times New Roman" w:hAnsi="Times New Roman" w:cs="Times New Roman"/>
                <w:highlight w:val="lightGray"/>
              </w:rPr>
            </w:pPr>
            <w:r w:rsidRPr="00C40440">
              <w:rPr>
                <w:rFonts w:ascii="Times New Roman" w:hAnsi="Times New Roman" w:cs="Times New Roman"/>
                <w:highlight w:val="lightGray"/>
              </w:rPr>
              <w:t>Wersja zmieniona</w:t>
            </w:r>
          </w:p>
        </w:tc>
      </w:tr>
      <w:tr w:rsidR="000036A0" w:rsidRPr="00B67C14" w14:paraId="4544EC7D" w14:textId="77777777" w:rsidTr="00C40440">
        <w:tc>
          <w:tcPr>
            <w:tcW w:w="1063" w:type="pct"/>
          </w:tcPr>
          <w:p w14:paraId="7FC84347"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Opis inwestycji </w:t>
            </w:r>
          </w:p>
          <w:p w14:paraId="40CA0470" w14:textId="3AD45FB4" w:rsidR="000036A0" w:rsidRPr="00C40440" w:rsidRDefault="000036A0" w:rsidP="00144E7D">
            <w:pPr>
              <w:spacing w:after="0" w:line="240" w:lineRule="auto"/>
              <w:rPr>
                <w:rFonts w:ascii="Times New Roman" w:hAnsi="Times New Roman" w:cs="Times New Roman"/>
              </w:rPr>
            </w:pPr>
          </w:p>
        </w:tc>
        <w:tc>
          <w:tcPr>
            <w:tcW w:w="1902" w:type="pct"/>
            <w:gridSpan w:val="2"/>
          </w:tcPr>
          <w:p w14:paraId="58A4E02F"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Ogólnym celem inwestycji jest przyczynianie się do rozwoju gospodarki niskoemisyjnej i zeroemisyjnej przez wspieranie przemysłu z myślą o sektorze czystej mobilności i sektorze energetycznym. </w:t>
            </w:r>
          </w:p>
          <w:p w14:paraId="48393E05"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Celem szczegółowym inwestycji jest zwiększenie potencjału wybranych sektorów w zakresie opracowywania zeroemisyjnych i niskoemisyjnych rozwiązań produktowych.</w:t>
            </w:r>
          </w:p>
          <w:p w14:paraId="570D2294"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Cele te będą realizowane przez ustanowienie specjalnego instrumentu finansowego (funduszu) dla wspomnianych powyżej projektów przemysłowych. Wspierane produkty i technologie mogą w szczególności obejmować procesy badawcze i innowacyjne, transfer technologii i współpracę </w:t>
            </w:r>
            <w:r w:rsidRPr="00C40440">
              <w:rPr>
                <w:rFonts w:ascii="Times New Roman" w:hAnsi="Times New Roman" w:cs="Times New Roman"/>
              </w:rPr>
              <w:lastRenderedPageBreak/>
              <w:t>między przedsiębiorstwami koncentrującymi się na gospodarce niskoemisyjnej, ze szczególnym uwzględnieniem nisko- i zeroemisyjnych rozwiązań innowacyjnych w dziedzinie zrównoważonej mobilności oraz nisko- i zeroemisyjnych źródeł energii.</w:t>
            </w:r>
          </w:p>
          <w:p w14:paraId="2DF45CA9"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Beneficjentami wsparcia będą przede wszystkim MŚP i spółki o średniej kapitalizacji.</w:t>
            </w:r>
          </w:p>
          <w:p w14:paraId="12939185"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Fundusz, wraz z jego strategią inwestycyjną, zostanie ustanowiony do dnia 30 czerwca 2022 r.</w:t>
            </w:r>
          </w:p>
          <w:p w14:paraId="424251CA"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Wyniki funduszu w stosunku do jego celów będą monitorowane za pomocą konkretnych wartości docelowych dotyczących zdolności produkcyjnej nowych pojazdów zeroemisyjnych oraz zdolności w zakresie produkcji i magazynowania zeroemisyjnych/niskoemisyjnych instalacji magazynowych, a także za pomocą rozwiązań w zakresie zrównoważonej mobilności oraz zeroemisyjnych i niskoemisyjnych źródeł energii (z wyłączeniem sprężonego gazu ziemnego i skroplonego gazu ziemnego). Aby zapewnić zgodność środka z wytycznymi technicznymi dotyczącymi stosowania zasady „nie czyń poważnych szkód” (2021/C 58/01), kryteria kwalifikacji w odniesieniu do tego instrumentu finansowego wykluczają następujący wykaz działań: (i) działania związane z paliwami kopalnymi, w tym zastosowania niższego szczebla30; (ii) działania w ramach unijnego systemu handlu uprawnieniami do emisji (ETS) prowadzące do osiągnięcia prognozowanych emisji gazów cieplarnianych nie niższych niż odpowiednie wskaźniki emisyjności31; (iii) działalność związana ze składowiskami odpadów, spalarniami32 i zakładami mechaniczno-biologicznego przetwarzania odpadów33 oraz (iv) działania, w przypadku których długoterminowe unieszkodliwianie odpadów może szkodzić środowisku </w:t>
            </w:r>
            <w:r w:rsidRPr="00C40440">
              <w:rPr>
                <w:rFonts w:ascii="Times New Roman" w:hAnsi="Times New Roman" w:cs="Times New Roman"/>
              </w:rPr>
              <w:lastRenderedPageBreak/>
              <w:t>naturalnemu. W zakresie zadań znajduje się dodatkowy wymóg, aby wybierane były tylko te działania, które są zgodne z odpowiednimi unijnymi i krajowymi przepisami dotyczącymi ochrony środowiska.</w:t>
            </w:r>
          </w:p>
          <w:p w14:paraId="5C512246" w14:textId="77777777" w:rsidR="00A106E1" w:rsidRDefault="00A106E1" w:rsidP="00144E7D">
            <w:pPr>
              <w:spacing w:after="0" w:line="240" w:lineRule="auto"/>
              <w:rPr>
                <w:rFonts w:ascii="Times New Roman" w:hAnsi="Times New Roman" w:cs="Times New Roman"/>
              </w:rPr>
            </w:pPr>
          </w:p>
          <w:p w14:paraId="2CAAAED0" w14:textId="77777777" w:rsidR="00A106E1" w:rsidRDefault="00A106E1" w:rsidP="00144E7D">
            <w:pPr>
              <w:spacing w:after="0" w:line="240" w:lineRule="auto"/>
              <w:rPr>
                <w:rFonts w:ascii="Times New Roman" w:hAnsi="Times New Roman" w:cs="Times New Roman"/>
              </w:rPr>
            </w:pPr>
          </w:p>
          <w:p w14:paraId="6753E6FA" w14:textId="77777777" w:rsidR="00A106E1" w:rsidRDefault="00A106E1" w:rsidP="00144E7D">
            <w:pPr>
              <w:spacing w:after="0" w:line="240" w:lineRule="auto"/>
              <w:rPr>
                <w:rFonts w:ascii="Times New Roman" w:hAnsi="Times New Roman" w:cs="Times New Roman"/>
              </w:rPr>
            </w:pPr>
          </w:p>
          <w:p w14:paraId="25BD68B9" w14:textId="77777777" w:rsidR="00A106E1" w:rsidRDefault="00A106E1" w:rsidP="00144E7D">
            <w:pPr>
              <w:spacing w:after="0" w:line="240" w:lineRule="auto"/>
              <w:rPr>
                <w:rFonts w:ascii="Times New Roman" w:hAnsi="Times New Roman" w:cs="Times New Roman"/>
              </w:rPr>
            </w:pPr>
          </w:p>
          <w:p w14:paraId="0D6D54EC" w14:textId="77777777" w:rsidR="00A106E1" w:rsidRDefault="00A106E1" w:rsidP="00144E7D">
            <w:pPr>
              <w:spacing w:after="0" w:line="240" w:lineRule="auto"/>
              <w:rPr>
                <w:rFonts w:ascii="Times New Roman" w:hAnsi="Times New Roman" w:cs="Times New Roman"/>
              </w:rPr>
            </w:pPr>
          </w:p>
          <w:p w14:paraId="0F0B2657" w14:textId="77777777" w:rsidR="00A106E1" w:rsidRDefault="00A106E1" w:rsidP="00144E7D">
            <w:pPr>
              <w:spacing w:after="0" w:line="240" w:lineRule="auto"/>
              <w:rPr>
                <w:rFonts w:ascii="Times New Roman" w:hAnsi="Times New Roman" w:cs="Times New Roman"/>
              </w:rPr>
            </w:pPr>
          </w:p>
          <w:p w14:paraId="2AFE6E07" w14:textId="77777777" w:rsidR="00A106E1" w:rsidRDefault="00A106E1" w:rsidP="00144E7D">
            <w:pPr>
              <w:spacing w:after="0" w:line="240" w:lineRule="auto"/>
              <w:rPr>
                <w:rFonts w:ascii="Times New Roman" w:hAnsi="Times New Roman" w:cs="Times New Roman"/>
              </w:rPr>
            </w:pPr>
          </w:p>
          <w:p w14:paraId="252D67FD" w14:textId="77777777" w:rsidR="00A106E1" w:rsidRDefault="00A106E1" w:rsidP="00144E7D">
            <w:pPr>
              <w:spacing w:after="0" w:line="240" w:lineRule="auto"/>
              <w:rPr>
                <w:rFonts w:ascii="Times New Roman" w:hAnsi="Times New Roman" w:cs="Times New Roman"/>
              </w:rPr>
            </w:pPr>
          </w:p>
          <w:p w14:paraId="12D8DD76" w14:textId="77777777" w:rsidR="00A106E1" w:rsidRDefault="00A106E1" w:rsidP="00144E7D">
            <w:pPr>
              <w:spacing w:after="0" w:line="240" w:lineRule="auto"/>
              <w:rPr>
                <w:rFonts w:ascii="Times New Roman" w:hAnsi="Times New Roman" w:cs="Times New Roman"/>
              </w:rPr>
            </w:pPr>
          </w:p>
          <w:p w14:paraId="43E44C35" w14:textId="77777777" w:rsidR="00A106E1" w:rsidRDefault="00A106E1" w:rsidP="00144E7D">
            <w:pPr>
              <w:spacing w:after="0" w:line="240" w:lineRule="auto"/>
              <w:rPr>
                <w:rFonts w:ascii="Times New Roman" w:hAnsi="Times New Roman" w:cs="Times New Roman"/>
              </w:rPr>
            </w:pPr>
          </w:p>
          <w:p w14:paraId="1632D45C" w14:textId="77777777" w:rsidR="00A106E1" w:rsidRDefault="00A106E1" w:rsidP="00144E7D">
            <w:pPr>
              <w:spacing w:after="0" w:line="240" w:lineRule="auto"/>
              <w:rPr>
                <w:rFonts w:ascii="Times New Roman" w:hAnsi="Times New Roman" w:cs="Times New Roman"/>
              </w:rPr>
            </w:pPr>
          </w:p>
          <w:p w14:paraId="036080B2" w14:textId="77777777" w:rsidR="00A106E1" w:rsidRDefault="00A106E1" w:rsidP="00144E7D">
            <w:pPr>
              <w:spacing w:after="0" w:line="240" w:lineRule="auto"/>
              <w:rPr>
                <w:rFonts w:ascii="Times New Roman" w:hAnsi="Times New Roman" w:cs="Times New Roman"/>
              </w:rPr>
            </w:pPr>
          </w:p>
          <w:p w14:paraId="354F1D7A" w14:textId="77777777" w:rsidR="00A106E1" w:rsidRDefault="00A106E1" w:rsidP="00144E7D">
            <w:pPr>
              <w:spacing w:after="0" w:line="240" w:lineRule="auto"/>
              <w:rPr>
                <w:rFonts w:ascii="Times New Roman" w:hAnsi="Times New Roman" w:cs="Times New Roman"/>
              </w:rPr>
            </w:pPr>
          </w:p>
          <w:p w14:paraId="788271C2" w14:textId="77777777" w:rsidR="00A106E1" w:rsidRDefault="00A106E1" w:rsidP="00144E7D">
            <w:pPr>
              <w:spacing w:after="0" w:line="240" w:lineRule="auto"/>
              <w:rPr>
                <w:rFonts w:ascii="Times New Roman" w:hAnsi="Times New Roman" w:cs="Times New Roman"/>
              </w:rPr>
            </w:pPr>
          </w:p>
          <w:p w14:paraId="6F894F45" w14:textId="77777777" w:rsidR="00A106E1" w:rsidRDefault="00A106E1" w:rsidP="00144E7D">
            <w:pPr>
              <w:spacing w:after="0" w:line="240" w:lineRule="auto"/>
              <w:rPr>
                <w:rFonts w:ascii="Times New Roman" w:hAnsi="Times New Roman" w:cs="Times New Roman"/>
              </w:rPr>
            </w:pPr>
          </w:p>
          <w:p w14:paraId="4B9DF666" w14:textId="77777777" w:rsidR="00A106E1" w:rsidRDefault="00A106E1" w:rsidP="00144E7D">
            <w:pPr>
              <w:spacing w:after="0" w:line="240" w:lineRule="auto"/>
              <w:rPr>
                <w:rFonts w:ascii="Times New Roman" w:hAnsi="Times New Roman" w:cs="Times New Roman"/>
              </w:rPr>
            </w:pPr>
          </w:p>
          <w:p w14:paraId="28965FB0" w14:textId="77777777" w:rsidR="00A106E1" w:rsidRDefault="00A106E1" w:rsidP="00144E7D">
            <w:pPr>
              <w:spacing w:after="0" w:line="240" w:lineRule="auto"/>
              <w:rPr>
                <w:rFonts w:ascii="Times New Roman" w:hAnsi="Times New Roman" w:cs="Times New Roman"/>
              </w:rPr>
            </w:pPr>
          </w:p>
          <w:p w14:paraId="0BB28B63" w14:textId="77777777" w:rsidR="00A106E1" w:rsidRDefault="00A106E1" w:rsidP="00144E7D">
            <w:pPr>
              <w:spacing w:after="0" w:line="240" w:lineRule="auto"/>
              <w:rPr>
                <w:rFonts w:ascii="Times New Roman" w:hAnsi="Times New Roman" w:cs="Times New Roman"/>
              </w:rPr>
            </w:pPr>
          </w:p>
          <w:p w14:paraId="3DE3F880" w14:textId="77777777" w:rsidR="00A106E1" w:rsidRDefault="00A106E1" w:rsidP="00144E7D">
            <w:pPr>
              <w:spacing w:after="0" w:line="240" w:lineRule="auto"/>
              <w:rPr>
                <w:rFonts w:ascii="Times New Roman" w:hAnsi="Times New Roman" w:cs="Times New Roman"/>
              </w:rPr>
            </w:pPr>
          </w:p>
          <w:p w14:paraId="258C7512" w14:textId="77777777" w:rsidR="00A106E1" w:rsidRDefault="00A106E1" w:rsidP="00144E7D">
            <w:pPr>
              <w:spacing w:after="0" w:line="240" w:lineRule="auto"/>
              <w:rPr>
                <w:rFonts w:ascii="Times New Roman" w:hAnsi="Times New Roman" w:cs="Times New Roman"/>
              </w:rPr>
            </w:pPr>
          </w:p>
          <w:p w14:paraId="36409EC6" w14:textId="77777777" w:rsidR="00A106E1" w:rsidRDefault="00A106E1" w:rsidP="00144E7D">
            <w:pPr>
              <w:spacing w:after="0" w:line="240" w:lineRule="auto"/>
              <w:rPr>
                <w:rFonts w:ascii="Times New Roman" w:hAnsi="Times New Roman" w:cs="Times New Roman"/>
              </w:rPr>
            </w:pPr>
          </w:p>
          <w:p w14:paraId="78CDF576" w14:textId="77777777" w:rsidR="00A106E1" w:rsidRDefault="00A106E1" w:rsidP="00144E7D">
            <w:pPr>
              <w:spacing w:after="0" w:line="240" w:lineRule="auto"/>
              <w:rPr>
                <w:rFonts w:ascii="Times New Roman" w:hAnsi="Times New Roman" w:cs="Times New Roman"/>
              </w:rPr>
            </w:pPr>
          </w:p>
          <w:p w14:paraId="31FF9FBE" w14:textId="77777777" w:rsidR="00A106E1" w:rsidRDefault="00A106E1" w:rsidP="00144E7D">
            <w:pPr>
              <w:spacing w:after="0" w:line="240" w:lineRule="auto"/>
              <w:rPr>
                <w:rFonts w:ascii="Times New Roman" w:hAnsi="Times New Roman" w:cs="Times New Roman"/>
              </w:rPr>
            </w:pPr>
          </w:p>
          <w:p w14:paraId="3237E1B7" w14:textId="77777777" w:rsidR="00A106E1" w:rsidRDefault="00A106E1" w:rsidP="00144E7D">
            <w:pPr>
              <w:spacing w:after="0" w:line="240" w:lineRule="auto"/>
              <w:rPr>
                <w:rFonts w:ascii="Times New Roman" w:hAnsi="Times New Roman" w:cs="Times New Roman"/>
              </w:rPr>
            </w:pPr>
          </w:p>
          <w:p w14:paraId="7E273478" w14:textId="77777777" w:rsidR="00A106E1" w:rsidRDefault="00A106E1" w:rsidP="00144E7D">
            <w:pPr>
              <w:spacing w:after="0" w:line="240" w:lineRule="auto"/>
              <w:rPr>
                <w:rFonts w:ascii="Times New Roman" w:hAnsi="Times New Roman" w:cs="Times New Roman"/>
              </w:rPr>
            </w:pPr>
          </w:p>
          <w:p w14:paraId="5A3BF706" w14:textId="77777777" w:rsidR="00A106E1" w:rsidRDefault="00A106E1" w:rsidP="00144E7D">
            <w:pPr>
              <w:spacing w:after="0" w:line="240" w:lineRule="auto"/>
              <w:rPr>
                <w:rFonts w:ascii="Times New Roman" w:hAnsi="Times New Roman" w:cs="Times New Roman"/>
              </w:rPr>
            </w:pPr>
          </w:p>
          <w:p w14:paraId="61C8574E" w14:textId="77777777" w:rsidR="00A106E1" w:rsidRDefault="00A106E1" w:rsidP="00144E7D">
            <w:pPr>
              <w:spacing w:after="0" w:line="240" w:lineRule="auto"/>
              <w:rPr>
                <w:rFonts w:ascii="Times New Roman" w:hAnsi="Times New Roman" w:cs="Times New Roman"/>
              </w:rPr>
            </w:pPr>
          </w:p>
          <w:p w14:paraId="3114C918" w14:textId="77777777" w:rsidR="00A106E1" w:rsidRDefault="00A106E1" w:rsidP="00144E7D">
            <w:pPr>
              <w:spacing w:after="0" w:line="240" w:lineRule="auto"/>
              <w:rPr>
                <w:rFonts w:ascii="Times New Roman" w:hAnsi="Times New Roman" w:cs="Times New Roman"/>
              </w:rPr>
            </w:pPr>
          </w:p>
          <w:p w14:paraId="3A6812FE" w14:textId="77777777" w:rsidR="00A106E1" w:rsidRDefault="00A106E1" w:rsidP="00144E7D">
            <w:pPr>
              <w:spacing w:after="0" w:line="240" w:lineRule="auto"/>
              <w:rPr>
                <w:rFonts w:ascii="Times New Roman" w:hAnsi="Times New Roman" w:cs="Times New Roman"/>
              </w:rPr>
            </w:pPr>
          </w:p>
          <w:p w14:paraId="2849C55C" w14:textId="77777777" w:rsidR="00A106E1" w:rsidRDefault="00A106E1" w:rsidP="00144E7D">
            <w:pPr>
              <w:spacing w:after="0" w:line="240" w:lineRule="auto"/>
              <w:rPr>
                <w:rFonts w:ascii="Times New Roman" w:hAnsi="Times New Roman" w:cs="Times New Roman"/>
              </w:rPr>
            </w:pPr>
          </w:p>
          <w:p w14:paraId="76D213DE" w14:textId="77777777" w:rsidR="00A106E1" w:rsidRDefault="00A106E1" w:rsidP="00144E7D">
            <w:pPr>
              <w:spacing w:after="0" w:line="240" w:lineRule="auto"/>
              <w:rPr>
                <w:rFonts w:ascii="Times New Roman" w:hAnsi="Times New Roman" w:cs="Times New Roman"/>
              </w:rPr>
            </w:pPr>
          </w:p>
          <w:p w14:paraId="696AF799" w14:textId="77777777" w:rsidR="00A106E1" w:rsidRDefault="00A106E1" w:rsidP="00144E7D">
            <w:pPr>
              <w:spacing w:after="0" w:line="240" w:lineRule="auto"/>
              <w:rPr>
                <w:rFonts w:ascii="Times New Roman" w:hAnsi="Times New Roman" w:cs="Times New Roman"/>
              </w:rPr>
            </w:pPr>
          </w:p>
          <w:p w14:paraId="4F8C9D6B" w14:textId="77777777" w:rsidR="00A106E1" w:rsidRDefault="00A106E1" w:rsidP="00144E7D">
            <w:pPr>
              <w:spacing w:after="0" w:line="240" w:lineRule="auto"/>
              <w:rPr>
                <w:rFonts w:ascii="Times New Roman" w:hAnsi="Times New Roman" w:cs="Times New Roman"/>
              </w:rPr>
            </w:pPr>
          </w:p>
          <w:p w14:paraId="295C95F1" w14:textId="77777777" w:rsidR="00A106E1" w:rsidRDefault="00A106E1" w:rsidP="00144E7D">
            <w:pPr>
              <w:spacing w:after="0" w:line="240" w:lineRule="auto"/>
              <w:rPr>
                <w:rFonts w:ascii="Times New Roman" w:hAnsi="Times New Roman" w:cs="Times New Roman"/>
              </w:rPr>
            </w:pPr>
          </w:p>
          <w:p w14:paraId="3D8C99A8" w14:textId="77777777" w:rsidR="00A106E1" w:rsidRDefault="00A106E1" w:rsidP="00144E7D">
            <w:pPr>
              <w:spacing w:after="0" w:line="240" w:lineRule="auto"/>
              <w:rPr>
                <w:rFonts w:ascii="Times New Roman" w:hAnsi="Times New Roman" w:cs="Times New Roman"/>
              </w:rPr>
            </w:pPr>
          </w:p>
          <w:p w14:paraId="660D36BB" w14:textId="77777777" w:rsidR="00A106E1" w:rsidRDefault="00A106E1" w:rsidP="00144E7D">
            <w:pPr>
              <w:spacing w:after="0" w:line="240" w:lineRule="auto"/>
              <w:rPr>
                <w:rFonts w:ascii="Times New Roman" w:hAnsi="Times New Roman" w:cs="Times New Roman"/>
              </w:rPr>
            </w:pPr>
          </w:p>
          <w:p w14:paraId="38B93FCE" w14:textId="77777777" w:rsidR="00A106E1" w:rsidRDefault="00A106E1" w:rsidP="00144E7D">
            <w:pPr>
              <w:spacing w:after="0" w:line="240" w:lineRule="auto"/>
              <w:rPr>
                <w:rFonts w:ascii="Times New Roman" w:hAnsi="Times New Roman" w:cs="Times New Roman"/>
              </w:rPr>
            </w:pPr>
          </w:p>
          <w:p w14:paraId="43EF5D4C" w14:textId="77777777" w:rsidR="00A106E1" w:rsidRDefault="00A106E1" w:rsidP="00144E7D">
            <w:pPr>
              <w:spacing w:after="0" w:line="240" w:lineRule="auto"/>
              <w:rPr>
                <w:rFonts w:ascii="Times New Roman" w:hAnsi="Times New Roman" w:cs="Times New Roman"/>
              </w:rPr>
            </w:pPr>
          </w:p>
          <w:p w14:paraId="7E1D353D" w14:textId="77777777" w:rsidR="00A106E1" w:rsidRDefault="00A106E1" w:rsidP="00144E7D">
            <w:pPr>
              <w:spacing w:after="0" w:line="240" w:lineRule="auto"/>
              <w:rPr>
                <w:rFonts w:ascii="Times New Roman" w:hAnsi="Times New Roman" w:cs="Times New Roman"/>
              </w:rPr>
            </w:pPr>
          </w:p>
          <w:p w14:paraId="5A963DA7" w14:textId="77777777" w:rsidR="00A106E1" w:rsidRDefault="00A106E1" w:rsidP="00144E7D">
            <w:pPr>
              <w:spacing w:after="0" w:line="240" w:lineRule="auto"/>
              <w:rPr>
                <w:rFonts w:ascii="Times New Roman" w:hAnsi="Times New Roman" w:cs="Times New Roman"/>
              </w:rPr>
            </w:pPr>
          </w:p>
          <w:p w14:paraId="277A56DF" w14:textId="77777777" w:rsidR="00A106E1" w:rsidRDefault="00A106E1" w:rsidP="00144E7D">
            <w:pPr>
              <w:spacing w:after="0" w:line="240" w:lineRule="auto"/>
              <w:rPr>
                <w:rFonts w:ascii="Times New Roman" w:hAnsi="Times New Roman" w:cs="Times New Roman"/>
              </w:rPr>
            </w:pPr>
          </w:p>
          <w:p w14:paraId="50F67584" w14:textId="77777777" w:rsidR="00A106E1" w:rsidRDefault="00A106E1" w:rsidP="00144E7D">
            <w:pPr>
              <w:spacing w:after="0" w:line="240" w:lineRule="auto"/>
              <w:rPr>
                <w:rFonts w:ascii="Times New Roman" w:hAnsi="Times New Roman" w:cs="Times New Roman"/>
              </w:rPr>
            </w:pPr>
          </w:p>
          <w:p w14:paraId="2160D9CE" w14:textId="77777777" w:rsidR="00A106E1" w:rsidRDefault="00A106E1" w:rsidP="00144E7D">
            <w:pPr>
              <w:spacing w:after="0" w:line="240" w:lineRule="auto"/>
              <w:rPr>
                <w:rFonts w:ascii="Times New Roman" w:hAnsi="Times New Roman" w:cs="Times New Roman"/>
              </w:rPr>
            </w:pPr>
          </w:p>
          <w:p w14:paraId="10144000" w14:textId="77777777" w:rsidR="00A106E1" w:rsidRDefault="00A106E1" w:rsidP="00144E7D">
            <w:pPr>
              <w:spacing w:after="0" w:line="240" w:lineRule="auto"/>
              <w:rPr>
                <w:rFonts w:ascii="Times New Roman" w:hAnsi="Times New Roman" w:cs="Times New Roman"/>
              </w:rPr>
            </w:pPr>
          </w:p>
          <w:p w14:paraId="27F81884" w14:textId="77777777" w:rsidR="00A106E1" w:rsidRDefault="00A106E1" w:rsidP="00144E7D">
            <w:pPr>
              <w:spacing w:after="0" w:line="240" w:lineRule="auto"/>
              <w:rPr>
                <w:rFonts w:ascii="Times New Roman" w:hAnsi="Times New Roman" w:cs="Times New Roman"/>
              </w:rPr>
            </w:pPr>
          </w:p>
          <w:p w14:paraId="3DCB3C52" w14:textId="77777777" w:rsidR="00A106E1" w:rsidRDefault="00A106E1" w:rsidP="00144E7D">
            <w:pPr>
              <w:spacing w:after="0" w:line="240" w:lineRule="auto"/>
              <w:rPr>
                <w:rFonts w:ascii="Times New Roman" w:hAnsi="Times New Roman" w:cs="Times New Roman"/>
              </w:rPr>
            </w:pPr>
          </w:p>
          <w:p w14:paraId="012BD29D" w14:textId="77777777" w:rsidR="00A106E1" w:rsidRDefault="00A106E1" w:rsidP="00144E7D">
            <w:pPr>
              <w:spacing w:after="0" w:line="240" w:lineRule="auto"/>
              <w:rPr>
                <w:rFonts w:ascii="Times New Roman" w:hAnsi="Times New Roman" w:cs="Times New Roman"/>
              </w:rPr>
            </w:pPr>
          </w:p>
          <w:p w14:paraId="4C431CA8" w14:textId="77777777" w:rsidR="00A106E1" w:rsidRDefault="00A106E1" w:rsidP="00144E7D">
            <w:pPr>
              <w:spacing w:after="0" w:line="240" w:lineRule="auto"/>
              <w:rPr>
                <w:rFonts w:ascii="Times New Roman" w:hAnsi="Times New Roman" w:cs="Times New Roman"/>
              </w:rPr>
            </w:pPr>
          </w:p>
          <w:p w14:paraId="700116F8" w14:textId="77777777" w:rsidR="00A106E1" w:rsidRDefault="00A106E1" w:rsidP="00144E7D">
            <w:pPr>
              <w:spacing w:after="0" w:line="240" w:lineRule="auto"/>
              <w:rPr>
                <w:rFonts w:ascii="Times New Roman" w:hAnsi="Times New Roman" w:cs="Times New Roman"/>
              </w:rPr>
            </w:pPr>
          </w:p>
          <w:p w14:paraId="14F690C2" w14:textId="77777777" w:rsidR="00A106E1" w:rsidRDefault="00A106E1" w:rsidP="00144E7D">
            <w:pPr>
              <w:spacing w:after="0" w:line="240" w:lineRule="auto"/>
              <w:rPr>
                <w:rFonts w:ascii="Times New Roman" w:hAnsi="Times New Roman" w:cs="Times New Roman"/>
              </w:rPr>
            </w:pPr>
          </w:p>
          <w:p w14:paraId="1C26B06F" w14:textId="77777777" w:rsidR="00A106E1" w:rsidRDefault="00A106E1" w:rsidP="00144E7D">
            <w:pPr>
              <w:spacing w:after="0" w:line="240" w:lineRule="auto"/>
              <w:rPr>
                <w:rFonts w:ascii="Times New Roman" w:hAnsi="Times New Roman" w:cs="Times New Roman"/>
              </w:rPr>
            </w:pPr>
          </w:p>
          <w:p w14:paraId="4B8206F8" w14:textId="77777777" w:rsidR="00A106E1" w:rsidRDefault="00A106E1" w:rsidP="00144E7D">
            <w:pPr>
              <w:spacing w:after="0" w:line="240" w:lineRule="auto"/>
              <w:rPr>
                <w:rFonts w:ascii="Times New Roman" w:hAnsi="Times New Roman" w:cs="Times New Roman"/>
              </w:rPr>
            </w:pPr>
          </w:p>
          <w:p w14:paraId="2BA5A03D" w14:textId="77777777" w:rsidR="00A106E1" w:rsidRDefault="00A106E1" w:rsidP="00144E7D">
            <w:pPr>
              <w:spacing w:after="0" w:line="240" w:lineRule="auto"/>
              <w:rPr>
                <w:rFonts w:ascii="Times New Roman" w:hAnsi="Times New Roman" w:cs="Times New Roman"/>
              </w:rPr>
            </w:pPr>
          </w:p>
          <w:p w14:paraId="1DF4E532" w14:textId="77777777" w:rsidR="00A106E1" w:rsidRDefault="00A106E1" w:rsidP="00144E7D">
            <w:pPr>
              <w:spacing w:after="0" w:line="240" w:lineRule="auto"/>
              <w:rPr>
                <w:rFonts w:ascii="Times New Roman" w:hAnsi="Times New Roman" w:cs="Times New Roman"/>
              </w:rPr>
            </w:pPr>
          </w:p>
          <w:p w14:paraId="22B48A3A" w14:textId="77777777" w:rsidR="00A106E1" w:rsidRDefault="00A106E1" w:rsidP="00144E7D">
            <w:pPr>
              <w:spacing w:after="0" w:line="240" w:lineRule="auto"/>
              <w:rPr>
                <w:rFonts w:ascii="Times New Roman" w:hAnsi="Times New Roman" w:cs="Times New Roman"/>
              </w:rPr>
            </w:pPr>
          </w:p>
          <w:p w14:paraId="23D0BBF1" w14:textId="77777777" w:rsidR="00A106E1" w:rsidRDefault="00A106E1" w:rsidP="00144E7D">
            <w:pPr>
              <w:spacing w:after="0" w:line="240" w:lineRule="auto"/>
              <w:rPr>
                <w:rFonts w:ascii="Times New Roman" w:hAnsi="Times New Roman" w:cs="Times New Roman"/>
              </w:rPr>
            </w:pPr>
          </w:p>
          <w:p w14:paraId="78BBF579" w14:textId="77777777" w:rsidR="00A106E1" w:rsidRDefault="00A106E1" w:rsidP="00144E7D">
            <w:pPr>
              <w:spacing w:after="0" w:line="240" w:lineRule="auto"/>
              <w:rPr>
                <w:rFonts w:ascii="Times New Roman" w:hAnsi="Times New Roman" w:cs="Times New Roman"/>
              </w:rPr>
            </w:pPr>
          </w:p>
          <w:p w14:paraId="6EB1CFEA" w14:textId="77777777" w:rsidR="00A106E1" w:rsidRDefault="00A106E1" w:rsidP="00144E7D">
            <w:pPr>
              <w:spacing w:after="0" w:line="240" w:lineRule="auto"/>
              <w:rPr>
                <w:rFonts w:ascii="Times New Roman" w:hAnsi="Times New Roman" w:cs="Times New Roman"/>
              </w:rPr>
            </w:pPr>
          </w:p>
          <w:p w14:paraId="39C573E3" w14:textId="77777777" w:rsidR="00A106E1" w:rsidRDefault="00A106E1" w:rsidP="00144E7D">
            <w:pPr>
              <w:spacing w:after="0" w:line="240" w:lineRule="auto"/>
              <w:rPr>
                <w:rFonts w:ascii="Times New Roman" w:hAnsi="Times New Roman" w:cs="Times New Roman"/>
              </w:rPr>
            </w:pPr>
          </w:p>
          <w:p w14:paraId="5C91AF12" w14:textId="77777777" w:rsidR="00A106E1" w:rsidRDefault="00A106E1" w:rsidP="00144E7D">
            <w:pPr>
              <w:spacing w:after="0" w:line="240" w:lineRule="auto"/>
              <w:rPr>
                <w:rFonts w:ascii="Times New Roman" w:hAnsi="Times New Roman" w:cs="Times New Roman"/>
              </w:rPr>
            </w:pPr>
          </w:p>
          <w:p w14:paraId="0DD66A20" w14:textId="77777777" w:rsidR="00A106E1" w:rsidRDefault="00A106E1" w:rsidP="00144E7D">
            <w:pPr>
              <w:spacing w:after="0" w:line="240" w:lineRule="auto"/>
              <w:rPr>
                <w:rFonts w:ascii="Times New Roman" w:hAnsi="Times New Roman" w:cs="Times New Roman"/>
              </w:rPr>
            </w:pPr>
          </w:p>
          <w:p w14:paraId="4C0E8F84" w14:textId="77777777" w:rsidR="00A106E1" w:rsidRDefault="00A106E1" w:rsidP="00144E7D">
            <w:pPr>
              <w:spacing w:after="0" w:line="240" w:lineRule="auto"/>
              <w:rPr>
                <w:rFonts w:ascii="Times New Roman" w:hAnsi="Times New Roman" w:cs="Times New Roman"/>
              </w:rPr>
            </w:pPr>
          </w:p>
          <w:p w14:paraId="79511A5C" w14:textId="77777777" w:rsidR="00A106E1" w:rsidRDefault="00A106E1" w:rsidP="00144E7D">
            <w:pPr>
              <w:spacing w:after="0" w:line="240" w:lineRule="auto"/>
              <w:rPr>
                <w:rFonts w:ascii="Times New Roman" w:hAnsi="Times New Roman" w:cs="Times New Roman"/>
              </w:rPr>
            </w:pPr>
          </w:p>
          <w:p w14:paraId="71FA58DF" w14:textId="77777777" w:rsidR="00A106E1" w:rsidRDefault="00A106E1" w:rsidP="00144E7D">
            <w:pPr>
              <w:spacing w:after="0" w:line="240" w:lineRule="auto"/>
              <w:rPr>
                <w:rFonts w:ascii="Times New Roman" w:hAnsi="Times New Roman" w:cs="Times New Roman"/>
              </w:rPr>
            </w:pPr>
          </w:p>
          <w:p w14:paraId="57E220B9" w14:textId="77777777" w:rsidR="00A106E1" w:rsidRDefault="00A106E1" w:rsidP="00144E7D">
            <w:pPr>
              <w:spacing w:after="0" w:line="240" w:lineRule="auto"/>
              <w:rPr>
                <w:rFonts w:ascii="Times New Roman" w:hAnsi="Times New Roman" w:cs="Times New Roman"/>
              </w:rPr>
            </w:pPr>
          </w:p>
          <w:p w14:paraId="5286B0FC" w14:textId="77777777" w:rsidR="00A106E1" w:rsidRDefault="00A106E1" w:rsidP="00144E7D">
            <w:pPr>
              <w:spacing w:after="0" w:line="240" w:lineRule="auto"/>
              <w:rPr>
                <w:rFonts w:ascii="Times New Roman" w:hAnsi="Times New Roman" w:cs="Times New Roman"/>
              </w:rPr>
            </w:pPr>
          </w:p>
          <w:p w14:paraId="0D6E2A44" w14:textId="77777777" w:rsidR="00A106E1" w:rsidRDefault="00A106E1" w:rsidP="00144E7D">
            <w:pPr>
              <w:spacing w:after="0" w:line="240" w:lineRule="auto"/>
              <w:rPr>
                <w:rFonts w:ascii="Times New Roman" w:hAnsi="Times New Roman" w:cs="Times New Roman"/>
              </w:rPr>
            </w:pPr>
          </w:p>
          <w:p w14:paraId="1110899E" w14:textId="77777777" w:rsidR="00A106E1" w:rsidRDefault="00A106E1" w:rsidP="00144E7D">
            <w:pPr>
              <w:spacing w:after="0" w:line="240" w:lineRule="auto"/>
              <w:rPr>
                <w:rFonts w:ascii="Times New Roman" w:hAnsi="Times New Roman" w:cs="Times New Roman"/>
              </w:rPr>
            </w:pPr>
          </w:p>
          <w:p w14:paraId="2E58C479" w14:textId="77777777" w:rsidR="00A106E1" w:rsidRDefault="00A106E1" w:rsidP="00144E7D">
            <w:pPr>
              <w:spacing w:after="0" w:line="240" w:lineRule="auto"/>
              <w:rPr>
                <w:rFonts w:ascii="Times New Roman" w:hAnsi="Times New Roman" w:cs="Times New Roman"/>
              </w:rPr>
            </w:pPr>
          </w:p>
          <w:p w14:paraId="34F52F3A" w14:textId="77777777" w:rsidR="00A106E1" w:rsidRDefault="00A106E1" w:rsidP="00144E7D">
            <w:pPr>
              <w:spacing w:after="0" w:line="240" w:lineRule="auto"/>
              <w:rPr>
                <w:rFonts w:ascii="Times New Roman" w:hAnsi="Times New Roman" w:cs="Times New Roman"/>
              </w:rPr>
            </w:pPr>
          </w:p>
          <w:p w14:paraId="49A05443" w14:textId="77777777" w:rsidR="00A106E1" w:rsidRDefault="00A106E1" w:rsidP="00144E7D">
            <w:pPr>
              <w:spacing w:after="0" w:line="240" w:lineRule="auto"/>
              <w:rPr>
                <w:rFonts w:ascii="Times New Roman" w:hAnsi="Times New Roman" w:cs="Times New Roman"/>
              </w:rPr>
            </w:pPr>
          </w:p>
          <w:p w14:paraId="31089F8C" w14:textId="77777777" w:rsidR="00A106E1" w:rsidRDefault="00A106E1" w:rsidP="00144E7D">
            <w:pPr>
              <w:spacing w:after="0" w:line="240" w:lineRule="auto"/>
              <w:rPr>
                <w:rFonts w:ascii="Times New Roman" w:hAnsi="Times New Roman" w:cs="Times New Roman"/>
              </w:rPr>
            </w:pPr>
          </w:p>
          <w:p w14:paraId="79CF62AC" w14:textId="77777777" w:rsidR="00A106E1" w:rsidRDefault="00A106E1" w:rsidP="00144E7D">
            <w:pPr>
              <w:spacing w:after="0" w:line="240" w:lineRule="auto"/>
              <w:rPr>
                <w:rFonts w:ascii="Times New Roman" w:hAnsi="Times New Roman" w:cs="Times New Roman"/>
              </w:rPr>
            </w:pPr>
          </w:p>
          <w:p w14:paraId="13B2D596" w14:textId="77777777" w:rsidR="00A106E1" w:rsidRDefault="00A106E1" w:rsidP="00144E7D">
            <w:pPr>
              <w:spacing w:after="0" w:line="240" w:lineRule="auto"/>
              <w:rPr>
                <w:rFonts w:ascii="Times New Roman" w:hAnsi="Times New Roman" w:cs="Times New Roman"/>
              </w:rPr>
            </w:pPr>
          </w:p>
          <w:p w14:paraId="79BED073" w14:textId="77777777" w:rsidR="00A106E1" w:rsidRDefault="00A106E1" w:rsidP="00144E7D">
            <w:pPr>
              <w:spacing w:after="0" w:line="240" w:lineRule="auto"/>
              <w:rPr>
                <w:rFonts w:ascii="Times New Roman" w:hAnsi="Times New Roman" w:cs="Times New Roman"/>
              </w:rPr>
            </w:pPr>
          </w:p>
          <w:p w14:paraId="17909686" w14:textId="77777777" w:rsidR="00A106E1" w:rsidRDefault="00A106E1" w:rsidP="00144E7D">
            <w:pPr>
              <w:spacing w:after="0" w:line="240" w:lineRule="auto"/>
              <w:rPr>
                <w:rFonts w:ascii="Times New Roman" w:hAnsi="Times New Roman" w:cs="Times New Roman"/>
              </w:rPr>
            </w:pPr>
          </w:p>
          <w:p w14:paraId="05488E40" w14:textId="284FC6F6"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Realizacja inwestycji zostanie zakończona do dnia 30 czerwca 2026 r.</w:t>
            </w:r>
          </w:p>
        </w:tc>
        <w:tc>
          <w:tcPr>
            <w:tcW w:w="2010" w:type="pct"/>
          </w:tcPr>
          <w:p w14:paraId="6844E5AC"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lastRenderedPageBreak/>
              <w:t xml:space="preserve">Ogólnym celem inwestycji jest przyczynianie się do rozwoju gospodarki niskoemisyjnej i zeroemisyjnej przez wspieranie przemysłu z myślą o sektorze czystej mobilności i sektorze energetycznym. </w:t>
            </w:r>
          </w:p>
          <w:p w14:paraId="362BF630"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Celem szczegółowym inwestycji jest zwiększenie potencjału wybranych sektorów w zakresie opracowywania zeroemisyjnych i niskoemisyjnych rozwiązań produktowych.</w:t>
            </w:r>
          </w:p>
          <w:p w14:paraId="4F906F32" w14:textId="77777777" w:rsidR="000036A0" w:rsidRPr="00C40440" w:rsidRDefault="000036A0" w:rsidP="00144E7D">
            <w:pPr>
              <w:spacing w:after="0" w:line="240" w:lineRule="auto"/>
              <w:rPr>
                <w:rFonts w:ascii="Times New Roman" w:hAnsi="Times New Roman" w:cs="Times New Roman"/>
              </w:rPr>
            </w:pPr>
          </w:p>
          <w:p w14:paraId="7306B03F"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Wspierane będą przedsięwzięcia, które przyczyniają się do ograniczenia emisji gazów cieplarnianych i zwiększają alternatywy dla rozwiązań nisko- i zeroemisyjnych (z wyłączeniem sprężonego gazu ziemnego i skroplonego gazu ziemnego), przede wszystkim w zakresie:</w:t>
            </w:r>
          </w:p>
          <w:p w14:paraId="62A44DFB"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1. Odnawialnych źródeł energii, </w:t>
            </w:r>
          </w:p>
          <w:p w14:paraId="54508201"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lastRenderedPageBreak/>
              <w:t>2. Magazynowania energii,</w:t>
            </w:r>
          </w:p>
          <w:p w14:paraId="002E3559" w14:textId="48A3C37C"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color w:val="FF0000"/>
              </w:rPr>
              <w:t>3. Mobilności, zrównoważonego transportu.</w:t>
            </w:r>
          </w:p>
          <w:p w14:paraId="1D9C1629" w14:textId="4D8F3BFF"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color w:val="FF0000"/>
              </w:rPr>
              <w:t>Działanie to obejmuje inwestycje publiczne w określony Instrument – Fundusz „Przemysł dla transformacji” – w celu zachęcenia do realizacji inwestycji oraz poprawy dostępu do finansowania przemysłu w sektorach energii i transportu.</w:t>
            </w:r>
          </w:p>
          <w:p w14:paraId="236C8919" w14:textId="0AFD7836"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color w:val="FF0000"/>
              </w:rPr>
              <w:t>Instrumentem zarządza partner  wykonawczy, wyznaczony przez instytucję właściwą do realizacji inwestycji.</w:t>
            </w:r>
          </w:p>
          <w:p w14:paraId="15D44F33" w14:textId="77777777" w:rsidR="000036A0" w:rsidRPr="00C40440" w:rsidRDefault="000036A0" w:rsidP="00C40440">
            <w:pPr>
              <w:spacing w:after="120" w:line="240" w:lineRule="auto"/>
              <w:rPr>
                <w:rFonts w:ascii="Times New Roman" w:hAnsi="Times New Roman" w:cs="Times New Roman"/>
                <w:color w:val="FF0000"/>
              </w:rPr>
            </w:pPr>
            <w:r w:rsidRPr="00C40440">
              <w:rPr>
                <w:rFonts w:ascii="Times New Roman" w:hAnsi="Times New Roman" w:cs="Times New Roman"/>
                <w:color w:val="FF0000"/>
              </w:rPr>
              <w:t xml:space="preserve">Zadaniem Instrumentu jest przyczynienie się do zwiększenia mocy produkcyjnej w zakresie nowych pojazdów zeroemisyjnych oraz infrastruktury na potrzeby rozwoju </w:t>
            </w:r>
            <w:proofErr w:type="spellStart"/>
            <w:r w:rsidRPr="00C40440">
              <w:rPr>
                <w:rFonts w:ascii="Times New Roman" w:hAnsi="Times New Roman" w:cs="Times New Roman"/>
                <w:color w:val="FF0000"/>
              </w:rPr>
              <w:t>elektromobilności</w:t>
            </w:r>
            <w:proofErr w:type="spellEnd"/>
            <w:r w:rsidRPr="00C40440">
              <w:rPr>
                <w:rFonts w:ascii="Times New Roman" w:hAnsi="Times New Roman" w:cs="Times New Roman"/>
                <w:color w:val="FF0000"/>
              </w:rPr>
              <w:t xml:space="preserve">, a także instalacji przemysłowych oraz innowacyjnych rozwiązań nastawionych na produkcję i magazynowanie zeroemisyjnej energii poprzez: </w:t>
            </w:r>
          </w:p>
          <w:p w14:paraId="0CEF21D2"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i)</w:t>
            </w:r>
            <w:r w:rsidRPr="00C40440">
              <w:rPr>
                <w:rFonts w:ascii="Times New Roman" w:hAnsi="Times New Roman" w:cs="Times New Roman"/>
                <w:color w:val="FF0000"/>
              </w:rPr>
              <w:tab/>
              <w:t>finansowanie budowy, rozbudowy lub zmiany technologii linii do produkcji pojazdów zeroemisyjnych (samochodów, autobusów, ciężarówek, lokomotyw, tramwajów, motorów, skuterów, rowerów lub innych pojazdów); oraz urządzeń do ich produkcji i eksploatacji (finansowanie budowy, rozbudowy lub zmiany technologii linii produkcyjnych lub produkcji m.in.: akumulatorów do pojazdów elektrycznych, gniazd ładowania pojazdów elektrycznych, układów hamulcowych, układów kierowniczych, układów elektrycznych, oprogramowania do urządzeń, oprogramowania do zarządzania w pojazdach zeroemisyjnych);</w:t>
            </w:r>
          </w:p>
          <w:p w14:paraId="4CF13FA8"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ii)</w:t>
            </w:r>
            <w:r w:rsidRPr="00C40440">
              <w:rPr>
                <w:rFonts w:ascii="Times New Roman" w:hAnsi="Times New Roman" w:cs="Times New Roman"/>
                <w:color w:val="FF0000"/>
              </w:rPr>
              <w:tab/>
              <w:t xml:space="preserve">finansowanie instalacji przemysłowych oraz innowacyjnych rozwiązań nastawionych na produkcję zeroemisyjnych źródeł energii </w:t>
            </w:r>
            <w:r w:rsidRPr="00C40440">
              <w:rPr>
                <w:rFonts w:ascii="Times New Roman" w:hAnsi="Times New Roman" w:cs="Times New Roman"/>
                <w:color w:val="FF0000"/>
              </w:rPr>
              <w:br/>
              <w:t xml:space="preserve">(np. OZE) i urządzeń do magazynowania energii oraz części dla tych instalacji (m.in. do: produkcji instalacji fotowoltaicznych, produkcji instalacji wiatrowych na lądzie i morzu, produkcji instalacji wodorowych, produkcji instalacji do biogazu, </w:t>
            </w:r>
            <w:r w:rsidRPr="00C40440">
              <w:rPr>
                <w:rFonts w:ascii="Times New Roman" w:hAnsi="Times New Roman" w:cs="Times New Roman"/>
                <w:color w:val="FF0000"/>
              </w:rPr>
              <w:lastRenderedPageBreak/>
              <w:t>produkcji instalacji do biopaliw z OZE, produkcji pomp ciepła, produkcji urządzeń do magazynowania energii oraz produkcję stacji transformatorowych, produkcję akcesoriów elektrycznych do instalacji OZE, produkcję falowników, produkcję liczników i inteligentnych liczników, produkcję przewodów i kabli elektrycznych);</w:t>
            </w:r>
          </w:p>
          <w:p w14:paraId="2189A054" w14:textId="38F9698A" w:rsidR="000036A0" w:rsidRPr="00C40440" w:rsidRDefault="000036A0" w:rsidP="00C40440">
            <w:pPr>
              <w:spacing w:after="120" w:line="240" w:lineRule="auto"/>
              <w:rPr>
                <w:rFonts w:ascii="Times New Roman" w:hAnsi="Times New Roman" w:cs="Times New Roman"/>
                <w:color w:val="FF0000"/>
              </w:rPr>
            </w:pPr>
            <w:r w:rsidRPr="00C40440">
              <w:rPr>
                <w:rFonts w:ascii="Times New Roman" w:hAnsi="Times New Roman" w:cs="Times New Roman"/>
                <w:color w:val="FF0000"/>
              </w:rPr>
              <w:t>iii)</w:t>
            </w:r>
            <w:r w:rsidRPr="00C40440">
              <w:rPr>
                <w:rFonts w:ascii="Times New Roman" w:hAnsi="Times New Roman" w:cs="Times New Roman"/>
                <w:color w:val="FF0000"/>
              </w:rPr>
              <w:tab/>
              <w:t>finansowanie rozwiązań technologicznych służących gospodarce niskoemisyjnej, odporności i przystosowaniu się do zmiany klimatu oraz finansowanie wdrożeń innowacji, wdrożeń technologii z zakresu zrównoważonej mobilności lub energii, które wpłyną na zmniejszenie emisyjności produkcji lub ograniczenie wykorzystania paliw kopalnych w procesach produkcyjnych, w tym: wdrożenie rozwiązań opartych o pompy ciepła, magazyny energii, ładowarki do pojazdów nisko- i zeroemisyjnych i innych instalacji przyczyniających się do obniżenia śladu węglowego lub adaptacji do zmian klimatu w przedsiębiorstwach.</w:t>
            </w:r>
          </w:p>
          <w:p w14:paraId="04EB4100" w14:textId="53529645"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color w:val="FF0000"/>
              </w:rPr>
              <w:t xml:space="preserve">W ramach Instrumentu udzielane będą pożyczki przedsiębiorcom rynku rozwiązań zeroemisyjnych oraz paliw alternatywnych. </w:t>
            </w:r>
          </w:p>
          <w:p w14:paraId="50295246" w14:textId="77777777" w:rsidR="000036A0" w:rsidRPr="00C40440" w:rsidRDefault="000036A0" w:rsidP="00C40440">
            <w:pPr>
              <w:spacing w:after="120" w:line="240" w:lineRule="auto"/>
              <w:rPr>
                <w:rFonts w:ascii="Times New Roman" w:hAnsi="Times New Roman" w:cs="Times New Roman"/>
                <w:color w:val="FF0000"/>
              </w:rPr>
            </w:pPr>
            <w:r w:rsidRPr="00C40440">
              <w:rPr>
                <w:rFonts w:ascii="Times New Roman" w:hAnsi="Times New Roman" w:cs="Times New Roman"/>
                <w:color w:val="FF0000"/>
              </w:rPr>
              <w:t>Aby objąć inwestycję Instrumentem, instytucja właściwa do realizacji inwestycji i partner wykonawczy podpiszą umowę wykonawczą zawierającą:</w:t>
            </w:r>
          </w:p>
          <w:p w14:paraId="36687F1D" w14:textId="225BA551" w:rsidR="008E2DC2"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1. Opis procesu decyzyjnego w ramach Instrumentu: Ostateczną decyzję inwestycyjną w ramach Instrumentu podejmuje komitet inwestycyjny lub inny odpowiedni równoważny organ zarządzający – musi ona zostać następnie zatwierdzona większością głosów członków niezależnych od </w:t>
            </w:r>
            <w:r w:rsidR="00A106E1">
              <w:rPr>
                <w:rFonts w:ascii="Times New Roman" w:hAnsi="Times New Roman" w:cs="Times New Roman"/>
                <w:color w:val="FF0000"/>
              </w:rPr>
              <w:t>za</w:t>
            </w:r>
            <w:r w:rsidRPr="00C40440">
              <w:rPr>
                <w:rFonts w:ascii="Times New Roman" w:hAnsi="Times New Roman" w:cs="Times New Roman"/>
                <w:color w:val="FF0000"/>
              </w:rPr>
              <w:t>rządu.</w:t>
            </w:r>
          </w:p>
          <w:p w14:paraId="0A4EBC0B"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2. Najważniejsze wymogi ustanowione w powiązanej polityce inwestycyjnej, które obejmują:</w:t>
            </w:r>
          </w:p>
          <w:p w14:paraId="0990A2DA"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a. Opis produktów finansowych i kwalifikujących się beneficjentów końcowych.</w:t>
            </w:r>
          </w:p>
          <w:p w14:paraId="0CC44929"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lastRenderedPageBreak/>
              <w:t>b. Wymóg, zgodnie z którym wszystkie inwestycje objęte wsparciem muszą być opłacalne z ekonomicznego punktu widzenia.</w:t>
            </w:r>
          </w:p>
          <w:p w14:paraId="613753B4"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c. Wymóg poszanowania zasady „nie czyń poważnych szkód” ustanowionej w wytycznych technicznych dotyczących stosowania zasady „nie czyń poważnych szkód” (C(2023) 6454 </w:t>
            </w:r>
            <w:proofErr w:type="spellStart"/>
            <w:r w:rsidRPr="00C40440">
              <w:rPr>
                <w:rFonts w:ascii="Times New Roman" w:hAnsi="Times New Roman" w:cs="Times New Roman"/>
                <w:color w:val="FF0000"/>
              </w:rPr>
              <w:t>final</w:t>
            </w:r>
            <w:proofErr w:type="spellEnd"/>
            <w:r w:rsidRPr="00C40440">
              <w:rPr>
                <w:rFonts w:ascii="Times New Roman" w:hAnsi="Times New Roman" w:cs="Times New Roman"/>
                <w:color w:val="FF0000"/>
              </w:rPr>
              <w:t>).</w:t>
            </w:r>
          </w:p>
          <w:p w14:paraId="229307DE"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d. Wymóg, zgodnie z którym beneficjenci końcowi Instrumentu nie mogą otrzymywać wsparcia w ramach innych instrumentów Unii na pokrycie tych samych kosztów.</w:t>
            </w:r>
          </w:p>
          <w:p w14:paraId="7DA1A391"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3. Kwotę objętą umową wykonawczą, strukturę opłat dla partnera wykonawczego oraz wymóg ponownego zainwestowania wszelkich środków powracających zgodnie z polityką inwestycyjną Instrumentu, chyba że wykorzystuje się je do obsługi spłaty pożyczek w ramach Instrumentu na rzecz Odbudowy i Zwiększania Odporności.</w:t>
            </w:r>
          </w:p>
          <w:p w14:paraId="3D0CDC4D"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4. Wymogi w zakresie monitorowania, audytu i kontroli. </w:t>
            </w:r>
          </w:p>
          <w:p w14:paraId="316C3BBB" w14:textId="77777777" w:rsidR="000036A0" w:rsidRPr="00C40440" w:rsidRDefault="000036A0" w:rsidP="00144E7D">
            <w:pPr>
              <w:spacing w:after="0" w:line="240" w:lineRule="auto"/>
              <w:rPr>
                <w:rFonts w:ascii="Times New Roman" w:hAnsi="Times New Roman" w:cs="Times New Roman"/>
                <w:color w:val="FF0000"/>
              </w:rPr>
            </w:pPr>
          </w:p>
          <w:p w14:paraId="203C52E5" w14:textId="30E1DC82" w:rsidR="000036A0" w:rsidRPr="00C40440" w:rsidRDefault="00A106E1" w:rsidP="00144E7D">
            <w:pPr>
              <w:spacing w:after="0" w:line="240" w:lineRule="auto"/>
              <w:rPr>
                <w:rFonts w:ascii="Times New Roman" w:hAnsi="Times New Roman" w:cs="Times New Roman"/>
              </w:rPr>
            </w:pPr>
            <w:r w:rsidRPr="003B4E6E">
              <w:rPr>
                <w:rFonts w:ascii="Times New Roman" w:hAnsi="Times New Roman" w:cs="Times New Roman"/>
              </w:rPr>
              <w:t>Realizacja inwestycji zostanie zakończona do dnia</w:t>
            </w:r>
            <w:r>
              <w:rPr>
                <w:rFonts w:ascii="Times New Roman" w:hAnsi="Times New Roman" w:cs="Times New Roman"/>
              </w:rPr>
              <w:t xml:space="preserve"> </w:t>
            </w:r>
            <w:r w:rsidR="000036A0" w:rsidRPr="00C40440">
              <w:rPr>
                <w:rFonts w:ascii="Times New Roman" w:hAnsi="Times New Roman" w:cs="Times New Roman"/>
                <w:color w:val="FF0000"/>
              </w:rPr>
              <w:t>31 sierpnia 2026 r</w:t>
            </w:r>
            <w:r w:rsidR="000036A0" w:rsidRPr="00C40440">
              <w:rPr>
                <w:rFonts w:ascii="Times New Roman" w:hAnsi="Times New Roman" w:cs="Times New Roman"/>
              </w:rPr>
              <w:t>.</w:t>
            </w:r>
          </w:p>
        </w:tc>
      </w:tr>
      <w:tr w:rsidR="000036A0" w:rsidRPr="00B67C14" w14:paraId="69D6B8EA" w14:textId="77777777" w:rsidTr="00C40440">
        <w:tc>
          <w:tcPr>
            <w:tcW w:w="1063" w:type="pct"/>
            <w:vMerge w:val="restart"/>
          </w:tcPr>
          <w:p w14:paraId="00315453"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lastRenderedPageBreak/>
              <w:t>Opis kamienia milowego lub wskaźnika.</w:t>
            </w:r>
          </w:p>
        </w:tc>
        <w:tc>
          <w:tcPr>
            <w:tcW w:w="1902" w:type="pct"/>
            <w:gridSpan w:val="2"/>
          </w:tcPr>
          <w:p w14:paraId="5466A441" w14:textId="5121C2DF" w:rsidR="00A106E1" w:rsidRPr="00C40440" w:rsidRDefault="000036A0" w:rsidP="00144E7D">
            <w:pPr>
              <w:spacing w:after="0" w:line="240" w:lineRule="auto"/>
              <w:rPr>
                <w:rFonts w:ascii="Times New Roman" w:hAnsi="Times New Roman" w:cs="Times New Roman"/>
                <w:i/>
                <w:iCs/>
              </w:rPr>
            </w:pPr>
            <w:r w:rsidRPr="00C40440">
              <w:rPr>
                <w:rFonts w:ascii="Times New Roman" w:hAnsi="Times New Roman" w:cs="Times New Roman"/>
              </w:rPr>
              <w:t>E9G</w:t>
            </w:r>
            <w:r w:rsidR="00A106E1">
              <w:rPr>
                <w:rFonts w:ascii="Times New Roman" w:hAnsi="Times New Roman" w:cs="Times New Roman"/>
              </w:rPr>
              <w:t xml:space="preserve"> </w:t>
            </w:r>
          </w:p>
          <w:p w14:paraId="7A32C951" w14:textId="390B8922" w:rsidR="000036A0" w:rsidRPr="00C40440" w:rsidRDefault="000036A0" w:rsidP="00144E7D">
            <w:pPr>
              <w:spacing w:after="0" w:line="240" w:lineRule="auto"/>
              <w:rPr>
                <w:rFonts w:ascii="Times New Roman" w:hAnsi="Times New Roman" w:cs="Times New Roman"/>
                <w:i/>
                <w:iCs/>
              </w:rPr>
            </w:pPr>
            <w:r w:rsidRPr="00C40440">
              <w:rPr>
                <w:rFonts w:ascii="Times New Roman" w:hAnsi="Times New Roman" w:cs="Times New Roman"/>
              </w:rPr>
              <w:t>Wybór pośredników finansowych</w:t>
            </w:r>
            <w:r w:rsidRPr="00C40440">
              <w:rPr>
                <w:rFonts w:ascii="Times New Roman" w:hAnsi="Times New Roman" w:cs="Times New Roman"/>
              </w:rPr>
              <w:cr/>
            </w:r>
          </w:p>
          <w:p w14:paraId="09622F4D"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Wybór przez zarządcę Funduszu pośredników finansowych, którzy są uprawnieni do udzielania wsparcia finansowego z Funduszu.</w:t>
            </w:r>
          </w:p>
          <w:p w14:paraId="16BD4EA7"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Proces wyboru będzie przebiegał zgodnie z otwartą i konkurencyjną procedurą i zakończy się podpisaniem umów z pośrednikami finansowymi w celu wsparcia określonych zdolności innowacyjnych i produkcyjnych w zakresie mobilności zeroemisyjnej/niskoemisyjnej i źródeł energii (z wyłączeniem sprężonego gazu ziemnego i skroplonego gazu ziemnego), dostępnych dla wszystkich rodzajów przedsiębiorstw, ze szczególnym uwzględnieniem MŚP i spółek o średniej kapitalizacji. Umowy zawarte z pośrednikami finansowymi określają kryteria kwalifikowalności </w:t>
            </w:r>
            <w:r w:rsidRPr="00C40440">
              <w:rPr>
                <w:rFonts w:ascii="Times New Roman" w:hAnsi="Times New Roman" w:cs="Times New Roman"/>
              </w:rPr>
              <w:lastRenderedPageBreak/>
              <w:t>projektu zapewniające przestrzeganie zasady „nie czyń poważnych szkód” oraz zgodność z obowiązującymi kryteriami dotyczącymi klimatu i znakowania cyfrowego przewidzianymi w załączniku VI do rozporządzenia ustanawiającego RRF.</w:t>
            </w:r>
          </w:p>
          <w:p w14:paraId="6310B0CA" w14:textId="0A98A849"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Termin</w:t>
            </w:r>
            <w:r w:rsidR="00B83633" w:rsidRPr="00C40440">
              <w:rPr>
                <w:rFonts w:ascii="Times New Roman" w:hAnsi="Times New Roman" w:cs="Times New Roman"/>
              </w:rPr>
              <w:t xml:space="preserve"> realizacji</w:t>
            </w:r>
            <w:r w:rsidRPr="00C40440">
              <w:rPr>
                <w:rFonts w:ascii="Times New Roman" w:hAnsi="Times New Roman" w:cs="Times New Roman"/>
              </w:rPr>
              <w:t>:</w:t>
            </w:r>
            <w:r w:rsidR="00B83633" w:rsidRPr="00B83633">
              <w:rPr>
                <w:rFonts w:ascii="Times New Roman" w:hAnsi="Times New Roman" w:cs="Times New Roman"/>
              </w:rPr>
              <w:t xml:space="preserve"> </w:t>
            </w:r>
            <w:r w:rsidRPr="00C40440">
              <w:rPr>
                <w:rFonts w:ascii="Times New Roman" w:hAnsi="Times New Roman" w:cs="Times New Roman"/>
              </w:rPr>
              <w:t>III kw. 2022 r.</w:t>
            </w:r>
          </w:p>
        </w:tc>
        <w:tc>
          <w:tcPr>
            <w:tcW w:w="2010" w:type="pct"/>
          </w:tcPr>
          <w:p w14:paraId="125B210F" w14:textId="1D7C9E36"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lastRenderedPageBreak/>
              <w:t>E9</w:t>
            </w:r>
            <w:r w:rsidR="008E2DC2">
              <w:rPr>
                <w:rFonts w:ascii="Times New Roman" w:hAnsi="Times New Roman" w:cs="Times New Roman"/>
              </w:rPr>
              <w:t>L</w:t>
            </w:r>
            <w:r w:rsidRPr="00C40440">
              <w:rPr>
                <w:rFonts w:ascii="Times New Roman" w:hAnsi="Times New Roman" w:cs="Times New Roman"/>
              </w:rPr>
              <w:t xml:space="preserve"> </w:t>
            </w:r>
          </w:p>
          <w:p w14:paraId="778E079A"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Wejście w życie umowy wykonawczej </w:t>
            </w:r>
          </w:p>
          <w:p w14:paraId="44F3E534" w14:textId="1357BF36" w:rsidR="000036A0" w:rsidRPr="00C40440" w:rsidRDefault="000036A0" w:rsidP="00144E7D">
            <w:pPr>
              <w:spacing w:after="0" w:line="240" w:lineRule="auto"/>
              <w:rPr>
                <w:rFonts w:ascii="Times New Roman" w:hAnsi="Times New Roman" w:cs="Times New Roman"/>
                <w:i/>
                <w:iCs/>
              </w:rPr>
            </w:pPr>
          </w:p>
          <w:p w14:paraId="5BACDC3F"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Wejście w życie umowy z partnerem wykonawczym </w:t>
            </w:r>
          </w:p>
          <w:p w14:paraId="118A4D5B" w14:textId="77777777" w:rsidR="000036A0" w:rsidRPr="00C40440" w:rsidRDefault="000036A0" w:rsidP="00144E7D">
            <w:pPr>
              <w:spacing w:after="0" w:line="240" w:lineRule="auto"/>
              <w:rPr>
                <w:rFonts w:ascii="Times New Roman" w:hAnsi="Times New Roman" w:cs="Times New Roman"/>
              </w:rPr>
            </w:pPr>
          </w:p>
          <w:p w14:paraId="01C66831" w14:textId="77777777" w:rsidR="000036A0" w:rsidRPr="00C40440" w:rsidRDefault="000036A0" w:rsidP="00144E7D">
            <w:pPr>
              <w:spacing w:after="0" w:line="240" w:lineRule="auto"/>
              <w:rPr>
                <w:rFonts w:ascii="Times New Roman" w:hAnsi="Times New Roman" w:cs="Times New Roman"/>
              </w:rPr>
            </w:pPr>
          </w:p>
          <w:p w14:paraId="3397C1E5" w14:textId="77777777" w:rsidR="000036A0" w:rsidRPr="00C40440" w:rsidRDefault="000036A0" w:rsidP="00144E7D">
            <w:pPr>
              <w:spacing w:after="0" w:line="240" w:lineRule="auto"/>
              <w:rPr>
                <w:rFonts w:ascii="Times New Roman" w:hAnsi="Times New Roman" w:cs="Times New Roman"/>
              </w:rPr>
            </w:pPr>
          </w:p>
          <w:p w14:paraId="5FF63A78" w14:textId="77777777" w:rsidR="000036A0" w:rsidRPr="00C40440" w:rsidRDefault="000036A0" w:rsidP="00144E7D">
            <w:pPr>
              <w:spacing w:after="0" w:line="240" w:lineRule="auto"/>
              <w:rPr>
                <w:rFonts w:ascii="Times New Roman" w:hAnsi="Times New Roman" w:cs="Times New Roman"/>
              </w:rPr>
            </w:pPr>
          </w:p>
          <w:p w14:paraId="042DFAFE" w14:textId="77777777" w:rsidR="000036A0" w:rsidRPr="00C40440" w:rsidRDefault="000036A0" w:rsidP="00144E7D">
            <w:pPr>
              <w:spacing w:after="0" w:line="240" w:lineRule="auto"/>
              <w:rPr>
                <w:rFonts w:ascii="Times New Roman" w:hAnsi="Times New Roman" w:cs="Times New Roman"/>
              </w:rPr>
            </w:pPr>
          </w:p>
          <w:p w14:paraId="73029D3D" w14:textId="77777777" w:rsidR="000036A0" w:rsidRPr="00C40440" w:rsidRDefault="000036A0" w:rsidP="00144E7D">
            <w:pPr>
              <w:spacing w:after="0" w:line="240" w:lineRule="auto"/>
              <w:rPr>
                <w:rFonts w:ascii="Times New Roman" w:hAnsi="Times New Roman" w:cs="Times New Roman"/>
              </w:rPr>
            </w:pPr>
          </w:p>
          <w:p w14:paraId="46572B7D" w14:textId="77777777" w:rsidR="000036A0" w:rsidRPr="00C40440" w:rsidRDefault="000036A0" w:rsidP="00144E7D">
            <w:pPr>
              <w:spacing w:after="0" w:line="240" w:lineRule="auto"/>
              <w:rPr>
                <w:rFonts w:ascii="Times New Roman" w:hAnsi="Times New Roman" w:cs="Times New Roman"/>
              </w:rPr>
            </w:pPr>
          </w:p>
          <w:p w14:paraId="192C3DD8" w14:textId="77777777" w:rsidR="000036A0" w:rsidRPr="00C40440" w:rsidRDefault="000036A0" w:rsidP="00144E7D">
            <w:pPr>
              <w:spacing w:after="0" w:line="240" w:lineRule="auto"/>
              <w:rPr>
                <w:rFonts w:ascii="Times New Roman" w:hAnsi="Times New Roman" w:cs="Times New Roman"/>
              </w:rPr>
            </w:pPr>
          </w:p>
          <w:p w14:paraId="514D3C5E" w14:textId="77777777" w:rsidR="000036A0" w:rsidRPr="00C40440" w:rsidRDefault="000036A0" w:rsidP="00144E7D">
            <w:pPr>
              <w:spacing w:after="0" w:line="240" w:lineRule="auto"/>
              <w:rPr>
                <w:rFonts w:ascii="Times New Roman" w:hAnsi="Times New Roman" w:cs="Times New Roman"/>
              </w:rPr>
            </w:pPr>
          </w:p>
          <w:p w14:paraId="1B11C522" w14:textId="77777777" w:rsidR="000036A0" w:rsidRPr="00C40440" w:rsidRDefault="000036A0" w:rsidP="00144E7D">
            <w:pPr>
              <w:spacing w:after="0" w:line="240" w:lineRule="auto"/>
              <w:rPr>
                <w:rFonts w:ascii="Times New Roman" w:hAnsi="Times New Roman" w:cs="Times New Roman"/>
              </w:rPr>
            </w:pPr>
          </w:p>
          <w:p w14:paraId="13C45ACF" w14:textId="77777777" w:rsidR="000036A0" w:rsidRPr="00C40440" w:rsidRDefault="000036A0" w:rsidP="00144E7D">
            <w:pPr>
              <w:spacing w:after="0" w:line="240" w:lineRule="auto"/>
              <w:rPr>
                <w:rFonts w:ascii="Times New Roman" w:hAnsi="Times New Roman" w:cs="Times New Roman"/>
              </w:rPr>
            </w:pPr>
          </w:p>
          <w:p w14:paraId="6EDC662D" w14:textId="77777777" w:rsidR="000036A0" w:rsidRPr="00C40440" w:rsidRDefault="000036A0" w:rsidP="00144E7D">
            <w:pPr>
              <w:spacing w:after="0" w:line="240" w:lineRule="auto"/>
              <w:rPr>
                <w:rFonts w:ascii="Times New Roman" w:hAnsi="Times New Roman" w:cs="Times New Roman"/>
              </w:rPr>
            </w:pPr>
          </w:p>
          <w:p w14:paraId="1848C848" w14:textId="77777777" w:rsidR="000036A0" w:rsidRPr="00C40440" w:rsidRDefault="000036A0" w:rsidP="00144E7D">
            <w:pPr>
              <w:spacing w:after="0" w:line="240" w:lineRule="auto"/>
              <w:rPr>
                <w:rFonts w:ascii="Times New Roman" w:hAnsi="Times New Roman" w:cs="Times New Roman"/>
              </w:rPr>
            </w:pPr>
          </w:p>
          <w:p w14:paraId="3B38366B" w14:textId="77777777" w:rsidR="000036A0" w:rsidRPr="00C40440" w:rsidRDefault="000036A0" w:rsidP="00144E7D">
            <w:pPr>
              <w:spacing w:after="0" w:line="240" w:lineRule="auto"/>
              <w:rPr>
                <w:rFonts w:ascii="Times New Roman" w:hAnsi="Times New Roman" w:cs="Times New Roman"/>
              </w:rPr>
            </w:pPr>
          </w:p>
          <w:p w14:paraId="768C6C8D" w14:textId="77777777" w:rsidR="000036A0" w:rsidRPr="00C40440" w:rsidRDefault="000036A0" w:rsidP="00144E7D">
            <w:pPr>
              <w:spacing w:after="0" w:line="240" w:lineRule="auto"/>
              <w:rPr>
                <w:rFonts w:ascii="Times New Roman" w:hAnsi="Times New Roman" w:cs="Times New Roman"/>
              </w:rPr>
            </w:pPr>
          </w:p>
          <w:p w14:paraId="042D5A95" w14:textId="77777777" w:rsidR="000036A0" w:rsidRPr="00C40440" w:rsidRDefault="000036A0" w:rsidP="00144E7D">
            <w:pPr>
              <w:spacing w:after="0" w:line="240" w:lineRule="auto"/>
              <w:rPr>
                <w:rFonts w:ascii="Times New Roman" w:hAnsi="Times New Roman" w:cs="Times New Roman"/>
              </w:rPr>
            </w:pPr>
          </w:p>
          <w:p w14:paraId="743A8AD7" w14:textId="77777777" w:rsidR="00B83633"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 </w:t>
            </w:r>
          </w:p>
          <w:p w14:paraId="20639DD0" w14:textId="77777777" w:rsidR="00B83633" w:rsidRDefault="00B83633" w:rsidP="00144E7D">
            <w:pPr>
              <w:spacing w:after="0" w:line="240" w:lineRule="auto"/>
              <w:rPr>
                <w:rFonts w:ascii="Times New Roman" w:hAnsi="Times New Roman" w:cs="Times New Roman"/>
              </w:rPr>
            </w:pPr>
          </w:p>
          <w:p w14:paraId="1900FBC4" w14:textId="77777777" w:rsidR="00B83633" w:rsidRDefault="00B83633" w:rsidP="00144E7D">
            <w:pPr>
              <w:spacing w:after="0" w:line="240" w:lineRule="auto"/>
              <w:rPr>
                <w:rFonts w:ascii="Times New Roman" w:hAnsi="Times New Roman" w:cs="Times New Roman"/>
              </w:rPr>
            </w:pPr>
          </w:p>
          <w:p w14:paraId="585A9FF1" w14:textId="77777777" w:rsidR="00B83633" w:rsidRDefault="00B83633" w:rsidP="00144E7D">
            <w:pPr>
              <w:spacing w:after="0" w:line="240" w:lineRule="auto"/>
              <w:rPr>
                <w:rFonts w:ascii="Times New Roman" w:hAnsi="Times New Roman" w:cs="Times New Roman"/>
              </w:rPr>
            </w:pPr>
          </w:p>
          <w:p w14:paraId="2A44270B" w14:textId="77777777" w:rsidR="00B83633" w:rsidRDefault="00B83633" w:rsidP="00144E7D">
            <w:pPr>
              <w:spacing w:after="0" w:line="240" w:lineRule="auto"/>
              <w:rPr>
                <w:rFonts w:ascii="Times New Roman" w:hAnsi="Times New Roman" w:cs="Times New Roman"/>
              </w:rPr>
            </w:pPr>
          </w:p>
          <w:p w14:paraId="2B5176B0" w14:textId="77777777" w:rsidR="00B83633" w:rsidRDefault="00B83633" w:rsidP="00144E7D">
            <w:pPr>
              <w:spacing w:after="0" w:line="240" w:lineRule="auto"/>
              <w:rPr>
                <w:rFonts w:ascii="Times New Roman" w:hAnsi="Times New Roman" w:cs="Times New Roman"/>
              </w:rPr>
            </w:pPr>
          </w:p>
          <w:p w14:paraId="7B786486" w14:textId="77777777" w:rsidR="00B83633" w:rsidRDefault="00B83633" w:rsidP="00144E7D">
            <w:pPr>
              <w:spacing w:after="0" w:line="240" w:lineRule="auto"/>
              <w:rPr>
                <w:rFonts w:ascii="Times New Roman" w:hAnsi="Times New Roman" w:cs="Times New Roman"/>
              </w:rPr>
            </w:pPr>
          </w:p>
          <w:p w14:paraId="4C4691B7" w14:textId="77777777" w:rsidR="00B83633" w:rsidRDefault="00B83633" w:rsidP="00144E7D">
            <w:pPr>
              <w:spacing w:after="0" w:line="240" w:lineRule="auto"/>
              <w:rPr>
                <w:rFonts w:ascii="Times New Roman" w:hAnsi="Times New Roman" w:cs="Times New Roman"/>
              </w:rPr>
            </w:pPr>
          </w:p>
          <w:p w14:paraId="1C96995B" w14:textId="77777777" w:rsidR="00B83633" w:rsidRDefault="00B83633" w:rsidP="00144E7D">
            <w:pPr>
              <w:spacing w:after="0" w:line="240" w:lineRule="auto"/>
              <w:rPr>
                <w:rFonts w:ascii="Times New Roman" w:hAnsi="Times New Roman" w:cs="Times New Roman"/>
              </w:rPr>
            </w:pPr>
          </w:p>
          <w:p w14:paraId="24AC9850" w14:textId="77777777" w:rsidR="00B83633" w:rsidRDefault="00B83633" w:rsidP="00144E7D">
            <w:pPr>
              <w:spacing w:after="0" w:line="240" w:lineRule="auto"/>
              <w:rPr>
                <w:rFonts w:ascii="Times New Roman" w:hAnsi="Times New Roman" w:cs="Times New Roman"/>
              </w:rPr>
            </w:pPr>
          </w:p>
          <w:p w14:paraId="42052D7B" w14:textId="77777777" w:rsidR="00B83633" w:rsidRDefault="00B83633" w:rsidP="00144E7D">
            <w:pPr>
              <w:spacing w:after="0" w:line="240" w:lineRule="auto"/>
              <w:rPr>
                <w:rFonts w:ascii="Times New Roman" w:hAnsi="Times New Roman" w:cs="Times New Roman"/>
              </w:rPr>
            </w:pPr>
          </w:p>
          <w:p w14:paraId="52D3E1BE" w14:textId="77777777" w:rsidR="00B83633" w:rsidRDefault="00B83633" w:rsidP="00144E7D">
            <w:pPr>
              <w:spacing w:after="0" w:line="240" w:lineRule="auto"/>
              <w:rPr>
                <w:rFonts w:ascii="Times New Roman" w:hAnsi="Times New Roman" w:cs="Times New Roman"/>
              </w:rPr>
            </w:pPr>
          </w:p>
          <w:p w14:paraId="124E887C" w14:textId="284F2A46"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Termin</w:t>
            </w:r>
            <w:r w:rsidR="00B83633">
              <w:rPr>
                <w:rFonts w:ascii="Times New Roman" w:hAnsi="Times New Roman" w:cs="Times New Roman"/>
              </w:rPr>
              <w:t xml:space="preserve"> realizacji</w:t>
            </w:r>
            <w:r w:rsidRPr="00C40440">
              <w:rPr>
                <w:rFonts w:ascii="Times New Roman" w:hAnsi="Times New Roman" w:cs="Times New Roman"/>
              </w:rPr>
              <w:t>:</w:t>
            </w:r>
            <w:r w:rsidR="00B83633">
              <w:rPr>
                <w:rFonts w:ascii="Times New Roman" w:hAnsi="Times New Roman" w:cs="Times New Roman"/>
                <w:color w:val="FF0000"/>
              </w:rPr>
              <w:t xml:space="preserve"> </w:t>
            </w:r>
            <w:r w:rsidRPr="00C40440">
              <w:rPr>
                <w:rFonts w:ascii="Times New Roman" w:hAnsi="Times New Roman" w:cs="Times New Roman"/>
                <w:color w:val="FF0000"/>
              </w:rPr>
              <w:t>II kw. 2024 r.</w:t>
            </w:r>
          </w:p>
        </w:tc>
      </w:tr>
      <w:tr w:rsidR="000036A0" w:rsidRPr="00B67C14" w14:paraId="28FA74A5" w14:textId="77777777" w:rsidTr="00C40440">
        <w:tc>
          <w:tcPr>
            <w:tcW w:w="1063" w:type="pct"/>
            <w:vMerge/>
          </w:tcPr>
          <w:p w14:paraId="6D80C7DD" w14:textId="77777777" w:rsidR="000036A0" w:rsidRPr="00C40440" w:rsidRDefault="000036A0" w:rsidP="00144E7D">
            <w:pPr>
              <w:spacing w:after="0" w:line="240" w:lineRule="auto"/>
              <w:rPr>
                <w:rFonts w:ascii="Times New Roman" w:hAnsi="Times New Roman" w:cs="Times New Roman"/>
              </w:rPr>
            </w:pPr>
          </w:p>
        </w:tc>
        <w:tc>
          <w:tcPr>
            <w:tcW w:w="1902" w:type="pct"/>
            <w:gridSpan w:val="2"/>
          </w:tcPr>
          <w:p w14:paraId="591C7500" w14:textId="54E85D4B" w:rsidR="000036A0" w:rsidRPr="00C40440" w:rsidRDefault="000036A0" w:rsidP="00144E7D">
            <w:pPr>
              <w:spacing w:after="0" w:line="240" w:lineRule="auto"/>
              <w:rPr>
                <w:rFonts w:ascii="Times New Roman" w:hAnsi="Times New Roman" w:cs="Times New Roman"/>
                <w:i/>
                <w:iCs/>
              </w:rPr>
            </w:pPr>
            <w:r w:rsidRPr="00C40440">
              <w:rPr>
                <w:rFonts w:ascii="Times New Roman" w:hAnsi="Times New Roman" w:cs="Times New Roman"/>
              </w:rPr>
              <w:t xml:space="preserve">E10G </w:t>
            </w:r>
          </w:p>
          <w:p w14:paraId="33C16F4C"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Zainstalowana moc produkcyjna w zakresie nowych pojazdów zeroemisyjnych</w:t>
            </w:r>
          </w:p>
          <w:p w14:paraId="1ED783F0" w14:textId="714FE7BA" w:rsidR="000036A0" w:rsidRPr="00C40440" w:rsidRDefault="000036A0" w:rsidP="00144E7D">
            <w:pPr>
              <w:spacing w:after="0" w:line="240" w:lineRule="auto"/>
              <w:rPr>
                <w:rFonts w:ascii="Times New Roman" w:hAnsi="Times New Roman" w:cs="Times New Roman"/>
                <w:i/>
                <w:iCs/>
              </w:rPr>
            </w:pPr>
          </w:p>
          <w:p w14:paraId="4CED530C"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Wartość docelowa odnosi się do mocy produkcyjnej i zainstalowanej (akumulatorów) (w MW) zeroemisyjnych źródeł energii produkowanych rocznie (z wyłączeniem sprężonego gazu ziemnego i skroplonego gazu ziemnego) dzięki inwestycjom wspieranym z Funduszu.</w:t>
            </w:r>
          </w:p>
          <w:p w14:paraId="4797CA6D" w14:textId="77777777" w:rsidR="000036A0" w:rsidRPr="00C40440" w:rsidRDefault="000036A0" w:rsidP="00144E7D">
            <w:pPr>
              <w:spacing w:after="0" w:line="240" w:lineRule="auto"/>
              <w:rPr>
                <w:rFonts w:ascii="Times New Roman" w:hAnsi="Times New Roman" w:cs="Times New Roman"/>
              </w:rPr>
            </w:pPr>
          </w:p>
          <w:p w14:paraId="466302F6" w14:textId="567F159B" w:rsidR="000036A0" w:rsidRPr="00C40440" w:rsidRDefault="00B83633" w:rsidP="00144E7D">
            <w:pPr>
              <w:spacing w:after="0" w:line="240" w:lineRule="auto"/>
              <w:rPr>
                <w:rFonts w:ascii="Times New Roman" w:hAnsi="Times New Roman" w:cs="Times New Roman"/>
              </w:rPr>
            </w:pPr>
            <w:r w:rsidRPr="003B4E6E">
              <w:rPr>
                <w:rFonts w:ascii="Times New Roman" w:hAnsi="Times New Roman" w:cs="Times New Roman"/>
              </w:rPr>
              <w:t xml:space="preserve">Termin realizacji: </w:t>
            </w:r>
            <w:r w:rsidR="000036A0" w:rsidRPr="00C40440">
              <w:rPr>
                <w:rFonts w:ascii="Times New Roman" w:hAnsi="Times New Roman" w:cs="Times New Roman"/>
              </w:rPr>
              <w:t>II kw. 2026</w:t>
            </w:r>
          </w:p>
          <w:p w14:paraId="5F757E18" w14:textId="77777777" w:rsidR="000036A0" w:rsidRPr="00C40440" w:rsidRDefault="000036A0" w:rsidP="00144E7D">
            <w:pPr>
              <w:spacing w:after="0" w:line="240" w:lineRule="auto"/>
              <w:rPr>
                <w:rFonts w:ascii="Times New Roman" w:hAnsi="Times New Roman" w:cs="Times New Roman"/>
              </w:rPr>
            </w:pPr>
          </w:p>
        </w:tc>
        <w:tc>
          <w:tcPr>
            <w:tcW w:w="2010" w:type="pct"/>
          </w:tcPr>
          <w:p w14:paraId="1478B5AF" w14:textId="6782F764" w:rsidR="000036A0" w:rsidRPr="00C40440" w:rsidRDefault="000036A0" w:rsidP="00144E7D">
            <w:pPr>
              <w:spacing w:after="0" w:line="240" w:lineRule="auto"/>
              <w:rPr>
                <w:rFonts w:ascii="Times New Roman" w:hAnsi="Times New Roman" w:cs="Times New Roman"/>
                <w:i/>
                <w:iCs/>
              </w:rPr>
            </w:pPr>
            <w:r w:rsidRPr="00C40440">
              <w:rPr>
                <w:rFonts w:ascii="Times New Roman" w:hAnsi="Times New Roman" w:cs="Times New Roman"/>
              </w:rPr>
              <w:t>E10</w:t>
            </w:r>
            <w:r w:rsidR="008E2DC2">
              <w:rPr>
                <w:rFonts w:ascii="Times New Roman" w:hAnsi="Times New Roman" w:cs="Times New Roman"/>
              </w:rPr>
              <w:t>L</w:t>
            </w:r>
          </w:p>
          <w:p w14:paraId="75DEBC82"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Umowy podpisane z beneficjentami końcowymi - 30% </w:t>
            </w:r>
          </w:p>
          <w:p w14:paraId="7CF2C16E" w14:textId="265999DC" w:rsidR="000036A0" w:rsidRDefault="000036A0" w:rsidP="00144E7D">
            <w:pPr>
              <w:spacing w:after="0" w:line="240" w:lineRule="auto"/>
              <w:rPr>
                <w:rFonts w:ascii="Times New Roman" w:hAnsi="Times New Roman" w:cs="Times New Roman"/>
                <w:i/>
                <w:iCs/>
              </w:rPr>
            </w:pPr>
          </w:p>
          <w:p w14:paraId="712B7391" w14:textId="77777777" w:rsidR="00B83633" w:rsidRPr="00C40440" w:rsidRDefault="00B83633" w:rsidP="00144E7D">
            <w:pPr>
              <w:spacing w:after="0" w:line="240" w:lineRule="auto"/>
              <w:rPr>
                <w:rFonts w:ascii="Times New Roman" w:hAnsi="Times New Roman" w:cs="Times New Roman"/>
                <w:i/>
                <w:iCs/>
              </w:rPr>
            </w:pPr>
          </w:p>
          <w:p w14:paraId="07F3A30F"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Prawnie wiążące umowy finansowania partnera wykonawczego z beneficjentami końcowymi na kwotę niezbędną do wykorzystania co najmniej 30% inwestycji RRF (uwzględniając opłaty za zarządzanie).</w:t>
            </w:r>
          </w:p>
          <w:p w14:paraId="28C320EF" w14:textId="77777777" w:rsidR="000036A0" w:rsidRPr="00C40440" w:rsidRDefault="000036A0" w:rsidP="00144E7D">
            <w:pPr>
              <w:spacing w:after="0" w:line="240" w:lineRule="auto"/>
              <w:rPr>
                <w:rFonts w:ascii="Times New Roman" w:hAnsi="Times New Roman" w:cs="Times New Roman"/>
                <w:color w:val="FF0000"/>
              </w:rPr>
            </w:pPr>
          </w:p>
          <w:p w14:paraId="24D5CE14" w14:textId="77777777" w:rsidR="000036A0" w:rsidRPr="00C40440" w:rsidRDefault="000036A0" w:rsidP="00144E7D">
            <w:pPr>
              <w:spacing w:after="0" w:line="240" w:lineRule="auto"/>
              <w:rPr>
                <w:rFonts w:ascii="Times New Roman" w:hAnsi="Times New Roman" w:cs="Times New Roman"/>
              </w:rPr>
            </w:pPr>
          </w:p>
          <w:p w14:paraId="48C6FB97" w14:textId="77777777" w:rsidR="00B83633" w:rsidRDefault="00B83633" w:rsidP="00144E7D">
            <w:pPr>
              <w:spacing w:after="0" w:line="240" w:lineRule="auto"/>
              <w:rPr>
                <w:rFonts w:ascii="Times New Roman" w:hAnsi="Times New Roman" w:cs="Times New Roman"/>
                <w:color w:val="FF0000"/>
              </w:rPr>
            </w:pPr>
          </w:p>
          <w:p w14:paraId="3E42EFE8" w14:textId="305141F4" w:rsidR="000036A0" w:rsidRPr="00C40440" w:rsidRDefault="00B83633" w:rsidP="00144E7D">
            <w:pPr>
              <w:spacing w:after="0" w:line="240" w:lineRule="auto"/>
              <w:rPr>
                <w:rFonts w:ascii="Times New Roman" w:hAnsi="Times New Roman" w:cs="Times New Roman"/>
                <w:b/>
                <w:bCs/>
                <w:i/>
                <w:iCs/>
              </w:rPr>
            </w:pPr>
            <w:r w:rsidRPr="003B4E6E">
              <w:rPr>
                <w:rFonts w:ascii="Times New Roman" w:hAnsi="Times New Roman" w:cs="Times New Roman"/>
              </w:rPr>
              <w:t xml:space="preserve">Termin realizacji: </w:t>
            </w:r>
            <w:r w:rsidRPr="00C40440">
              <w:rPr>
                <w:rFonts w:ascii="Times New Roman" w:hAnsi="Times New Roman" w:cs="Times New Roman"/>
                <w:color w:val="FF0000"/>
              </w:rPr>
              <w:t>I</w:t>
            </w:r>
            <w:r w:rsidR="000036A0" w:rsidRPr="00C40440">
              <w:rPr>
                <w:rFonts w:ascii="Times New Roman" w:hAnsi="Times New Roman" w:cs="Times New Roman"/>
                <w:color w:val="FF0000"/>
              </w:rPr>
              <w:t>V kw. 2025 r.</w:t>
            </w:r>
          </w:p>
        </w:tc>
      </w:tr>
      <w:tr w:rsidR="000036A0" w:rsidRPr="00B67C14" w14:paraId="44F4B858" w14:textId="77777777" w:rsidTr="00C40440">
        <w:tc>
          <w:tcPr>
            <w:tcW w:w="1063" w:type="pct"/>
            <w:vMerge/>
          </w:tcPr>
          <w:p w14:paraId="2B599DDB" w14:textId="77777777" w:rsidR="000036A0" w:rsidRPr="00C40440" w:rsidRDefault="000036A0" w:rsidP="00144E7D">
            <w:pPr>
              <w:spacing w:after="0" w:line="240" w:lineRule="auto"/>
              <w:rPr>
                <w:rFonts w:ascii="Times New Roman" w:hAnsi="Times New Roman" w:cs="Times New Roman"/>
              </w:rPr>
            </w:pPr>
          </w:p>
        </w:tc>
        <w:tc>
          <w:tcPr>
            <w:tcW w:w="1902" w:type="pct"/>
            <w:gridSpan w:val="2"/>
          </w:tcPr>
          <w:p w14:paraId="170162BD" w14:textId="3C9DB69B" w:rsidR="000036A0" w:rsidRPr="00C40440" w:rsidRDefault="000036A0" w:rsidP="00144E7D">
            <w:pPr>
              <w:spacing w:after="0" w:line="240" w:lineRule="auto"/>
              <w:rPr>
                <w:rFonts w:ascii="Times New Roman" w:hAnsi="Times New Roman" w:cs="Times New Roman"/>
                <w:i/>
                <w:iCs/>
              </w:rPr>
            </w:pPr>
            <w:r w:rsidRPr="00C40440">
              <w:rPr>
                <w:rFonts w:ascii="Times New Roman" w:hAnsi="Times New Roman" w:cs="Times New Roman"/>
              </w:rPr>
              <w:t>E11G</w:t>
            </w:r>
          </w:p>
          <w:p w14:paraId="2B35AC5A"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Zainstalowana moc produkcyjna i zdolność magazynowania paliw/energii alternatywnych zeroemisyjnych/niskoemisyjnych.</w:t>
            </w:r>
          </w:p>
          <w:p w14:paraId="3A1B8B88" w14:textId="09733EF7" w:rsidR="000036A0" w:rsidRPr="00C40440" w:rsidRDefault="000036A0" w:rsidP="00144E7D">
            <w:pPr>
              <w:spacing w:after="0" w:line="240" w:lineRule="auto"/>
              <w:rPr>
                <w:rFonts w:ascii="Times New Roman" w:hAnsi="Times New Roman" w:cs="Times New Roman"/>
                <w:i/>
                <w:iCs/>
              </w:rPr>
            </w:pPr>
          </w:p>
          <w:p w14:paraId="4DC4C556"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Wartość docelowa odnosi się do mocy produkcyjnej i zainstalowanej (akumulatorów) (w MW) zeroemisyjnych źródeł energii produkowanych rocznie (z wyłączeniem sprężonego gazu ziemnego i skroplonego gazu ziemnego) dzięki inwestycjom wspieranym z Funduszu.</w:t>
            </w:r>
          </w:p>
          <w:p w14:paraId="10D3416C" w14:textId="77777777" w:rsidR="000036A0" w:rsidRPr="00C40440" w:rsidRDefault="000036A0" w:rsidP="00144E7D">
            <w:pPr>
              <w:spacing w:after="0" w:line="240" w:lineRule="auto"/>
              <w:rPr>
                <w:rFonts w:ascii="Times New Roman" w:hAnsi="Times New Roman" w:cs="Times New Roman"/>
              </w:rPr>
            </w:pPr>
          </w:p>
          <w:p w14:paraId="6A9174D6" w14:textId="1EAFB604" w:rsidR="000036A0" w:rsidRPr="00C40440" w:rsidRDefault="008E2DC2" w:rsidP="00144E7D">
            <w:pPr>
              <w:spacing w:after="0" w:line="240" w:lineRule="auto"/>
              <w:rPr>
                <w:rFonts w:ascii="Times New Roman" w:hAnsi="Times New Roman" w:cs="Times New Roman"/>
              </w:rPr>
            </w:pPr>
            <w:r w:rsidRPr="003B4E6E">
              <w:rPr>
                <w:rFonts w:ascii="Times New Roman" w:hAnsi="Times New Roman" w:cs="Times New Roman"/>
              </w:rPr>
              <w:t xml:space="preserve">Termin realizacji: </w:t>
            </w:r>
            <w:r>
              <w:rPr>
                <w:rFonts w:ascii="Times New Roman" w:hAnsi="Times New Roman" w:cs="Times New Roman"/>
              </w:rPr>
              <w:t>I</w:t>
            </w:r>
            <w:r w:rsidR="000036A0" w:rsidRPr="00C40440">
              <w:rPr>
                <w:rFonts w:ascii="Times New Roman" w:hAnsi="Times New Roman" w:cs="Times New Roman"/>
              </w:rPr>
              <w:t xml:space="preserve">I kw. 2026 r. </w:t>
            </w:r>
          </w:p>
        </w:tc>
        <w:tc>
          <w:tcPr>
            <w:tcW w:w="2010" w:type="pct"/>
          </w:tcPr>
          <w:p w14:paraId="4633537B" w14:textId="4DF7FB2F" w:rsidR="000036A0" w:rsidRPr="00C40440" w:rsidRDefault="000036A0" w:rsidP="00144E7D">
            <w:pPr>
              <w:spacing w:after="0" w:line="240" w:lineRule="auto"/>
              <w:rPr>
                <w:rFonts w:ascii="Times New Roman" w:hAnsi="Times New Roman" w:cs="Times New Roman"/>
                <w:i/>
                <w:iCs/>
              </w:rPr>
            </w:pPr>
            <w:r w:rsidRPr="00C40440">
              <w:rPr>
                <w:rFonts w:ascii="Times New Roman" w:hAnsi="Times New Roman" w:cs="Times New Roman"/>
              </w:rPr>
              <w:t>E11</w:t>
            </w:r>
            <w:r w:rsidR="008E2DC2">
              <w:rPr>
                <w:rFonts w:ascii="Times New Roman" w:hAnsi="Times New Roman" w:cs="Times New Roman"/>
              </w:rPr>
              <w:t>L</w:t>
            </w:r>
          </w:p>
          <w:p w14:paraId="3A167F42"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 xml:space="preserve">Umowy odpisane z beneficjentami końcowymi - 100% </w:t>
            </w:r>
          </w:p>
          <w:p w14:paraId="0C1CDE32" w14:textId="77777777" w:rsidR="000036A0" w:rsidRPr="00C40440" w:rsidRDefault="000036A0" w:rsidP="00144E7D">
            <w:pPr>
              <w:spacing w:after="0" w:line="240" w:lineRule="auto"/>
              <w:rPr>
                <w:rFonts w:ascii="Times New Roman" w:hAnsi="Times New Roman" w:cs="Times New Roman"/>
              </w:rPr>
            </w:pPr>
          </w:p>
          <w:p w14:paraId="4A84E820" w14:textId="77777777" w:rsidR="000036A0" w:rsidRPr="00C40440" w:rsidRDefault="000036A0" w:rsidP="00144E7D">
            <w:pPr>
              <w:spacing w:after="0" w:line="240" w:lineRule="auto"/>
              <w:rPr>
                <w:rFonts w:ascii="Times New Roman" w:hAnsi="Times New Roman" w:cs="Times New Roman"/>
              </w:rPr>
            </w:pPr>
          </w:p>
          <w:p w14:paraId="67C9E3CC" w14:textId="3D6C285F" w:rsidR="000036A0" w:rsidRPr="00C40440" w:rsidRDefault="000036A0" w:rsidP="00144E7D">
            <w:pPr>
              <w:spacing w:after="0" w:line="240" w:lineRule="auto"/>
              <w:rPr>
                <w:rFonts w:ascii="Times New Roman" w:hAnsi="Times New Roman" w:cs="Times New Roman"/>
                <w:i/>
                <w:iCs/>
              </w:rPr>
            </w:pPr>
          </w:p>
          <w:p w14:paraId="4734F096" w14:textId="77777777" w:rsidR="000036A0" w:rsidRPr="00C40440" w:rsidRDefault="000036A0" w:rsidP="00144E7D">
            <w:pPr>
              <w:autoSpaceDE w:val="0"/>
              <w:autoSpaceDN w:val="0"/>
              <w:adjustRightInd w:val="0"/>
              <w:spacing w:after="0" w:line="240" w:lineRule="auto"/>
              <w:rPr>
                <w:rFonts w:ascii="Times New Roman" w:hAnsi="Times New Roman" w:cs="Times New Roman"/>
                <w:color w:val="FF0000"/>
              </w:rPr>
            </w:pPr>
            <w:r w:rsidRPr="00C40440">
              <w:rPr>
                <w:rFonts w:ascii="Times New Roman" w:hAnsi="Times New Roman" w:cs="Times New Roman"/>
                <w:color w:val="FF0000"/>
              </w:rPr>
              <w:t>Prawnie wiążące umowy finansowania partnera wykonawczego z beneficjentami końcowymi na kwotę niezbędną</w:t>
            </w:r>
          </w:p>
          <w:p w14:paraId="54FE7E69" w14:textId="77777777" w:rsidR="000036A0" w:rsidRPr="00C40440" w:rsidRDefault="000036A0" w:rsidP="00144E7D">
            <w:pPr>
              <w:spacing w:after="0" w:line="240" w:lineRule="auto"/>
              <w:rPr>
                <w:rFonts w:ascii="Times New Roman" w:hAnsi="Times New Roman" w:cs="Times New Roman"/>
                <w:color w:val="FF0000"/>
              </w:rPr>
            </w:pPr>
            <w:r w:rsidRPr="00C40440">
              <w:rPr>
                <w:rFonts w:ascii="Times New Roman" w:hAnsi="Times New Roman" w:cs="Times New Roman"/>
                <w:color w:val="FF0000"/>
              </w:rPr>
              <w:t>do wykorzystania 100% inwestycji RRF (uwzględniając opłaty za zarządzanie).</w:t>
            </w:r>
          </w:p>
          <w:p w14:paraId="42446CC5" w14:textId="77777777" w:rsidR="000036A0" w:rsidRPr="00C40440" w:rsidRDefault="000036A0" w:rsidP="00144E7D">
            <w:pPr>
              <w:spacing w:after="0" w:line="240" w:lineRule="auto"/>
              <w:rPr>
                <w:rFonts w:ascii="Times New Roman" w:hAnsi="Times New Roman" w:cs="Times New Roman"/>
              </w:rPr>
            </w:pPr>
          </w:p>
          <w:p w14:paraId="560D8740" w14:textId="77777777" w:rsidR="000036A0" w:rsidRPr="00C40440" w:rsidRDefault="000036A0" w:rsidP="00144E7D">
            <w:pPr>
              <w:spacing w:after="0" w:line="240" w:lineRule="auto"/>
              <w:rPr>
                <w:rFonts w:ascii="Times New Roman" w:hAnsi="Times New Roman" w:cs="Times New Roman"/>
              </w:rPr>
            </w:pPr>
          </w:p>
          <w:p w14:paraId="600A793D" w14:textId="77777777" w:rsidR="000036A0" w:rsidRPr="00C40440" w:rsidRDefault="000036A0" w:rsidP="00144E7D">
            <w:pPr>
              <w:spacing w:after="0" w:line="240" w:lineRule="auto"/>
              <w:rPr>
                <w:rFonts w:ascii="Times New Roman" w:hAnsi="Times New Roman" w:cs="Times New Roman"/>
              </w:rPr>
            </w:pPr>
          </w:p>
          <w:p w14:paraId="25623E17" w14:textId="5F17F6AD" w:rsidR="000036A0" w:rsidRPr="00C40440" w:rsidRDefault="008E2DC2" w:rsidP="00144E7D">
            <w:pPr>
              <w:spacing w:after="0" w:line="240" w:lineRule="auto"/>
              <w:rPr>
                <w:rFonts w:ascii="Times New Roman" w:hAnsi="Times New Roman" w:cs="Times New Roman"/>
                <w:i/>
                <w:iCs/>
              </w:rPr>
            </w:pPr>
            <w:r w:rsidRPr="003B4E6E">
              <w:rPr>
                <w:rFonts w:ascii="Times New Roman" w:hAnsi="Times New Roman" w:cs="Times New Roman"/>
              </w:rPr>
              <w:t xml:space="preserve">Termin realizacji: </w:t>
            </w:r>
            <w:r>
              <w:rPr>
                <w:rFonts w:ascii="Times New Roman" w:hAnsi="Times New Roman" w:cs="Times New Roman"/>
              </w:rPr>
              <w:t>I</w:t>
            </w:r>
            <w:r w:rsidRPr="003B4E6E">
              <w:rPr>
                <w:rFonts w:ascii="Times New Roman" w:hAnsi="Times New Roman" w:cs="Times New Roman"/>
              </w:rPr>
              <w:t>I kw. 2026 r</w:t>
            </w:r>
          </w:p>
        </w:tc>
      </w:tr>
      <w:tr w:rsidR="000036A0" w:rsidRPr="004C656B" w14:paraId="017D8781" w14:textId="77777777" w:rsidTr="00C40440">
        <w:tc>
          <w:tcPr>
            <w:tcW w:w="1063" w:type="pct"/>
            <w:vMerge/>
          </w:tcPr>
          <w:p w14:paraId="7B50E673" w14:textId="77777777" w:rsidR="000036A0" w:rsidRPr="00C40440" w:rsidRDefault="000036A0" w:rsidP="00144E7D">
            <w:pPr>
              <w:spacing w:after="0" w:line="240" w:lineRule="auto"/>
              <w:rPr>
                <w:rFonts w:ascii="Times New Roman" w:hAnsi="Times New Roman" w:cs="Times New Roman"/>
              </w:rPr>
            </w:pPr>
          </w:p>
        </w:tc>
        <w:tc>
          <w:tcPr>
            <w:tcW w:w="1902" w:type="pct"/>
            <w:gridSpan w:val="2"/>
          </w:tcPr>
          <w:p w14:paraId="7F8739D6" w14:textId="0E084F36" w:rsidR="000036A0" w:rsidRPr="00C40440" w:rsidRDefault="000036A0" w:rsidP="00C40440">
            <w:pPr>
              <w:spacing w:line="240" w:lineRule="auto"/>
              <w:ind w:right="119"/>
              <w:rPr>
                <w:rFonts w:ascii="Times New Roman" w:hAnsi="Times New Roman" w:cs="Times New Roman"/>
              </w:rPr>
            </w:pPr>
            <w:r w:rsidRPr="00C40440">
              <w:rPr>
                <w:rFonts w:ascii="Times New Roman" w:hAnsi="Times New Roman" w:cs="Times New Roman"/>
              </w:rPr>
              <w:t>E12G</w:t>
            </w:r>
            <w:r w:rsidR="00B904D0">
              <w:rPr>
                <w:rFonts w:ascii="Times New Roman" w:hAnsi="Times New Roman" w:cs="Times New Roman"/>
              </w:rPr>
              <w:t xml:space="preserve">  </w:t>
            </w:r>
            <w:r w:rsidRPr="00C40440">
              <w:rPr>
                <w:rFonts w:ascii="Times New Roman" w:hAnsi="Times New Roman" w:cs="Times New Roman"/>
              </w:rPr>
              <w:t>MŚP i spółki o średniej kapitalizacji wspierane w ramach konkretnych inwestycji objętych</w:t>
            </w:r>
          </w:p>
          <w:p w14:paraId="01C2CF0A" w14:textId="77777777" w:rsidR="000036A0" w:rsidRPr="00C40440" w:rsidRDefault="000036A0" w:rsidP="00C40440">
            <w:pPr>
              <w:spacing w:line="240" w:lineRule="auto"/>
              <w:ind w:right="119"/>
              <w:rPr>
                <w:rFonts w:ascii="Times New Roman" w:hAnsi="Times New Roman" w:cs="Times New Roman"/>
              </w:rPr>
            </w:pPr>
            <w:r w:rsidRPr="00C40440">
              <w:rPr>
                <w:rFonts w:ascii="Times New Roman" w:hAnsi="Times New Roman" w:cs="Times New Roman"/>
              </w:rPr>
              <w:t>Funduszem</w:t>
            </w:r>
          </w:p>
          <w:p w14:paraId="32E8F6F3" w14:textId="77777777" w:rsidR="000036A0" w:rsidRPr="00C40440" w:rsidRDefault="000036A0" w:rsidP="00C40440">
            <w:pPr>
              <w:spacing w:line="240" w:lineRule="auto"/>
              <w:ind w:right="119"/>
              <w:rPr>
                <w:rFonts w:ascii="Times New Roman" w:hAnsi="Times New Roman" w:cs="Times New Roman"/>
              </w:rPr>
            </w:pPr>
            <w:r w:rsidRPr="00C40440">
              <w:rPr>
                <w:rFonts w:ascii="Times New Roman" w:hAnsi="Times New Roman" w:cs="Times New Roman"/>
              </w:rPr>
              <w:t>Wartość docelowa odnosi się do liczby MŚP i spółek o średniej kapitalizacji wspieranych</w:t>
            </w:r>
          </w:p>
          <w:p w14:paraId="483DBC9F" w14:textId="21AFD857" w:rsidR="000036A0" w:rsidRPr="00C40440" w:rsidRDefault="000036A0" w:rsidP="00C40440">
            <w:pPr>
              <w:spacing w:line="240" w:lineRule="auto"/>
              <w:ind w:right="119"/>
              <w:rPr>
                <w:rFonts w:ascii="Times New Roman" w:hAnsi="Times New Roman" w:cs="Times New Roman"/>
              </w:rPr>
            </w:pPr>
            <w:r w:rsidRPr="00C40440">
              <w:rPr>
                <w:rFonts w:ascii="Times New Roman" w:hAnsi="Times New Roman" w:cs="Times New Roman"/>
              </w:rPr>
              <w:t xml:space="preserve">z Funduszu i oferujących produkty i usługi w zakresie zrównoważonej mobilności </w:t>
            </w:r>
            <w:r w:rsidRPr="00C40440">
              <w:rPr>
                <w:rFonts w:ascii="Times New Roman" w:hAnsi="Times New Roman" w:cs="Times New Roman"/>
              </w:rPr>
              <w:lastRenderedPageBreak/>
              <w:t>niskoemisyjnej/zeroemisyjnej oraz energii zeroemisyjnej.</w:t>
            </w:r>
          </w:p>
          <w:p w14:paraId="76E297B6" w14:textId="330BB7C9" w:rsidR="000036A0" w:rsidRPr="00C40440" w:rsidRDefault="008E2DC2" w:rsidP="00C40440">
            <w:pPr>
              <w:spacing w:line="240" w:lineRule="auto"/>
              <w:ind w:right="119"/>
              <w:rPr>
                <w:rFonts w:ascii="Times New Roman" w:hAnsi="Times New Roman" w:cs="Times New Roman"/>
              </w:rPr>
            </w:pPr>
            <w:r w:rsidRPr="004C656B">
              <w:rPr>
                <w:rFonts w:ascii="Times New Roman" w:hAnsi="Times New Roman" w:cs="Times New Roman"/>
              </w:rPr>
              <w:t>Termin realizacji:</w:t>
            </w:r>
            <w:r w:rsidRPr="004C656B">
              <w:rPr>
                <w:rFonts w:ascii="Times New Roman" w:hAnsi="Times New Roman" w:cs="Times New Roman"/>
                <w:color w:val="FF0000"/>
              </w:rPr>
              <w:t xml:space="preserve"> </w:t>
            </w:r>
            <w:r w:rsidR="000036A0" w:rsidRPr="00C40440">
              <w:rPr>
                <w:rFonts w:ascii="Times New Roman" w:hAnsi="Times New Roman" w:cs="Times New Roman"/>
              </w:rPr>
              <w:t xml:space="preserve">IV kw. 2025 r. </w:t>
            </w:r>
          </w:p>
        </w:tc>
        <w:tc>
          <w:tcPr>
            <w:tcW w:w="2010" w:type="pct"/>
          </w:tcPr>
          <w:p w14:paraId="487D818B" w14:textId="6F5143AD" w:rsidR="000036A0" w:rsidRPr="00B904D0" w:rsidRDefault="000036A0" w:rsidP="00C40440">
            <w:pPr>
              <w:pStyle w:val="Akapitzlist"/>
              <w:spacing w:line="240" w:lineRule="auto"/>
              <w:ind w:left="0"/>
            </w:pPr>
            <w:r w:rsidRPr="004C656B">
              <w:lastRenderedPageBreak/>
              <w:t>E12</w:t>
            </w:r>
            <w:r w:rsidR="008E2DC2" w:rsidRPr="004C656B">
              <w:t>L</w:t>
            </w:r>
            <w:r w:rsidR="00B904D0">
              <w:rPr>
                <w:i/>
                <w:iCs/>
                <w:sz w:val="22"/>
                <w:szCs w:val="22"/>
              </w:rPr>
              <w:t xml:space="preserve"> </w:t>
            </w:r>
            <w:r w:rsidRPr="00C40440">
              <w:rPr>
                <w:color w:val="FF0000"/>
              </w:rPr>
              <w:t>Zakończenie inwestycji</w:t>
            </w:r>
          </w:p>
          <w:p w14:paraId="11DF8D23" w14:textId="77777777" w:rsidR="000036A0" w:rsidRPr="00C40440" w:rsidRDefault="000036A0">
            <w:pPr>
              <w:spacing w:after="0" w:line="240" w:lineRule="auto"/>
              <w:rPr>
                <w:rFonts w:ascii="Times New Roman" w:hAnsi="Times New Roman" w:cs="Times New Roman"/>
              </w:rPr>
            </w:pPr>
            <w:r w:rsidRPr="00C40440">
              <w:rPr>
                <w:rFonts w:ascii="Times New Roman" w:hAnsi="Times New Roman" w:cs="Times New Roman"/>
                <w:color w:val="FF0000"/>
              </w:rPr>
              <w:t>Przekazanie partnerowi wykonawczemu pozostałej wielkości środków [w mln EUR] na rzecz realizacji inwestycji E1.1.1.</w:t>
            </w:r>
          </w:p>
          <w:p w14:paraId="483630CF" w14:textId="77777777" w:rsidR="000036A0" w:rsidRPr="00C40440" w:rsidRDefault="000036A0">
            <w:pPr>
              <w:spacing w:after="0" w:line="240" w:lineRule="auto"/>
              <w:rPr>
                <w:rFonts w:ascii="Times New Roman" w:hAnsi="Times New Roman" w:cs="Times New Roman"/>
              </w:rPr>
            </w:pPr>
          </w:p>
          <w:p w14:paraId="61FB5EC5" w14:textId="77777777" w:rsidR="000036A0" w:rsidRPr="00C40440" w:rsidRDefault="000036A0">
            <w:pPr>
              <w:spacing w:after="0" w:line="240" w:lineRule="auto"/>
              <w:rPr>
                <w:rFonts w:ascii="Times New Roman" w:hAnsi="Times New Roman" w:cs="Times New Roman"/>
              </w:rPr>
            </w:pPr>
          </w:p>
          <w:p w14:paraId="036FA926" w14:textId="77777777" w:rsidR="000036A0" w:rsidRPr="00C40440" w:rsidRDefault="000036A0">
            <w:pPr>
              <w:spacing w:after="0" w:line="240" w:lineRule="auto"/>
              <w:rPr>
                <w:rFonts w:ascii="Times New Roman" w:hAnsi="Times New Roman" w:cs="Times New Roman"/>
              </w:rPr>
            </w:pPr>
          </w:p>
          <w:p w14:paraId="6DB8DAC3" w14:textId="1B9E2F13" w:rsidR="000036A0" w:rsidRPr="00C40440" w:rsidRDefault="000036A0">
            <w:pPr>
              <w:spacing w:after="0" w:line="240" w:lineRule="auto"/>
              <w:rPr>
                <w:rFonts w:ascii="Times New Roman" w:hAnsi="Times New Roman" w:cs="Times New Roman"/>
                <w:i/>
                <w:iCs/>
              </w:rPr>
            </w:pPr>
          </w:p>
          <w:p w14:paraId="44921335" w14:textId="77777777" w:rsidR="004C656B" w:rsidRDefault="004C656B">
            <w:pPr>
              <w:spacing w:after="0" w:line="240" w:lineRule="auto"/>
              <w:rPr>
                <w:rFonts w:ascii="Times New Roman" w:hAnsi="Times New Roman" w:cs="Times New Roman"/>
              </w:rPr>
            </w:pPr>
          </w:p>
          <w:p w14:paraId="645E0A0B" w14:textId="77777777" w:rsidR="004C656B" w:rsidRDefault="004C656B">
            <w:pPr>
              <w:spacing w:after="0" w:line="240" w:lineRule="auto"/>
              <w:rPr>
                <w:rFonts w:ascii="Times New Roman" w:hAnsi="Times New Roman" w:cs="Times New Roman"/>
              </w:rPr>
            </w:pPr>
          </w:p>
          <w:p w14:paraId="49C7864A" w14:textId="2194B56B" w:rsidR="004C656B" w:rsidRDefault="004C656B">
            <w:pPr>
              <w:spacing w:after="0" w:line="240" w:lineRule="auto"/>
              <w:rPr>
                <w:rFonts w:ascii="Times New Roman" w:hAnsi="Times New Roman" w:cs="Times New Roman"/>
              </w:rPr>
            </w:pPr>
          </w:p>
          <w:p w14:paraId="6100903A" w14:textId="6DA9F069" w:rsidR="00B904D0" w:rsidRDefault="00B904D0">
            <w:pPr>
              <w:spacing w:after="0" w:line="240" w:lineRule="auto"/>
              <w:rPr>
                <w:rFonts w:ascii="Times New Roman" w:hAnsi="Times New Roman" w:cs="Times New Roman"/>
              </w:rPr>
            </w:pPr>
          </w:p>
          <w:p w14:paraId="511D3B39" w14:textId="77777777" w:rsidR="004C656B" w:rsidRDefault="004C656B">
            <w:pPr>
              <w:spacing w:after="0" w:line="240" w:lineRule="auto"/>
              <w:rPr>
                <w:rFonts w:ascii="Times New Roman" w:hAnsi="Times New Roman" w:cs="Times New Roman"/>
              </w:rPr>
            </w:pPr>
          </w:p>
          <w:p w14:paraId="67AD6160" w14:textId="1E809CAF" w:rsidR="000036A0" w:rsidRPr="00C40440" w:rsidRDefault="008E2DC2">
            <w:pPr>
              <w:spacing w:after="0" w:line="240" w:lineRule="auto"/>
              <w:rPr>
                <w:rFonts w:ascii="Times New Roman" w:hAnsi="Times New Roman" w:cs="Times New Roman"/>
              </w:rPr>
            </w:pPr>
            <w:r w:rsidRPr="004C656B">
              <w:rPr>
                <w:rFonts w:ascii="Times New Roman" w:hAnsi="Times New Roman" w:cs="Times New Roman"/>
              </w:rPr>
              <w:t>Termin realizacji:</w:t>
            </w:r>
            <w:r w:rsidRPr="004C656B">
              <w:rPr>
                <w:rFonts w:ascii="Times New Roman" w:hAnsi="Times New Roman" w:cs="Times New Roman"/>
                <w:color w:val="FF0000"/>
              </w:rPr>
              <w:t xml:space="preserve"> </w:t>
            </w:r>
            <w:r w:rsidR="000036A0" w:rsidRPr="00C40440">
              <w:rPr>
                <w:rFonts w:ascii="Times New Roman" w:hAnsi="Times New Roman" w:cs="Times New Roman"/>
                <w:color w:val="FF0000"/>
              </w:rPr>
              <w:t>II</w:t>
            </w:r>
            <w:r w:rsidRPr="004C656B">
              <w:rPr>
                <w:rFonts w:ascii="Times New Roman" w:hAnsi="Times New Roman" w:cs="Times New Roman"/>
                <w:color w:val="FF0000"/>
              </w:rPr>
              <w:t xml:space="preserve">I </w:t>
            </w:r>
            <w:r w:rsidR="000036A0" w:rsidRPr="00C40440">
              <w:rPr>
                <w:rFonts w:ascii="Times New Roman" w:hAnsi="Times New Roman" w:cs="Times New Roman"/>
                <w:color w:val="FF0000"/>
              </w:rPr>
              <w:t>kw. 2026 r.</w:t>
            </w:r>
          </w:p>
        </w:tc>
      </w:tr>
      <w:tr w:rsidR="000036A0" w:rsidRPr="004C656B" w14:paraId="273D28D4" w14:textId="77777777" w:rsidTr="000036A0">
        <w:tc>
          <w:tcPr>
            <w:tcW w:w="1063" w:type="pct"/>
          </w:tcPr>
          <w:p w14:paraId="47C41B5B"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lastRenderedPageBreak/>
              <w:t>Uzasadnienie</w:t>
            </w:r>
          </w:p>
        </w:tc>
        <w:tc>
          <w:tcPr>
            <w:tcW w:w="3912" w:type="pct"/>
            <w:gridSpan w:val="3"/>
          </w:tcPr>
          <w:p w14:paraId="495A5471"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Polska rozpoczęła inwestycję realizując wszystkie elementy pierwszego kamienia milowego E8G (m.in. przyjęto Politykę Inwestycyjną Funduszu oraz przeprowadzono konkurencyjny nabór na Menażera Funduszu). </w:t>
            </w:r>
          </w:p>
          <w:p w14:paraId="296644F3"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Niemniej jednak wystąpiły okoliczności uniemożliwiające dalszą realizację inwestycji E1.1.1 </w:t>
            </w:r>
            <w:r w:rsidRPr="00C40440">
              <w:rPr>
                <w:rFonts w:ascii="Times New Roman" w:hAnsi="Times New Roman" w:cs="Times New Roman"/>
                <w:i/>
                <w:iCs/>
              </w:rPr>
              <w:t xml:space="preserve">Wsparcie dla gospodarki niskoemisyjnej </w:t>
            </w:r>
            <w:r w:rsidRPr="00C40440">
              <w:rPr>
                <w:rFonts w:ascii="Times New Roman" w:hAnsi="Times New Roman" w:cs="Times New Roman"/>
              </w:rPr>
              <w:t xml:space="preserve">w obecnym kształcie.  </w:t>
            </w:r>
          </w:p>
          <w:p w14:paraId="06DF677C" w14:textId="4707A291"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rPr>
              <w:t xml:space="preserve">Od momentu tworzenia inwestycji w ramach KPO, drastycznie uległy zmianom uwarunkowania rynkowe, spowodowane m.in. agresją Rosji przeciwko Ukrainie. Obciążenie globalnych łańcuchów dostaw oraz materiałów budowlanych bezpośrednio wpłynęły na sektor przemysłu, w tym zaplanowaną inwestycję. </w:t>
            </w:r>
          </w:p>
          <w:p w14:paraId="45AFA3BA" w14:textId="0AF468F9"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rPr>
              <w:t xml:space="preserve">W związku tym proponuje się rozwiązanie alternatywne, lepiej dostosowane do osiągnięcia zamierzonych celów przedmiotowej Inwestycji. </w:t>
            </w:r>
          </w:p>
          <w:p w14:paraId="7E28DFFF" w14:textId="6BABA3EE"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rPr>
              <w:t>Mając na względzie charakter inwestycji E1.1.1</w:t>
            </w:r>
            <w:r w:rsidR="008E2DC2" w:rsidRPr="004C656B">
              <w:rPr>
                <w:rFonts w:ascii="Times New Roman" w:hAnsi="Times New Roman" w:cs="Times New Roman"/>
              </w:rPr>
              <w:t>.</w:t>
            </w:r>
            <w:r w:rsidRPr="00C40440">
              <w:rPr>
                <w:rFonts w:ascii="Times New Roman" w:hAnsi="Times New Roman" w:cs="Times New Roman"/>
              </w:rPr>
              <w:t xml:space="preserve">, mianowicie fakt, że dystrybucja środków ma odbywać się poprzez finansowanie ostatecznych odbiorców wsparcia w formie zwrotnej – pożyczek i wejść kapitałowych –proponuje się jej przeniesienie do części pożyczkowej KPO. Równocześnie proponuje się zmianę charakteru wskaźników, dzięki czemu zostaną urealnione terminy realizacji projektów inwestycyjnych. </w:t>
            </w:r>
          </w:p>
          <w:p w14:paraId="32913E56" w14:textId="5D6BD932"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rPr>
              <w:t>Takie rozwiązanie umożliwi skuteczne i pilne wdrożenie Instrumentu, którego cele są kluczowe dla transformacji polskiej gospodarki w kierunku zeroemisyjnym.</w:t>
            </w:r>
          </w:p>
          <w:p w14:paraId="74C90B00" w14:textId="36F7DE22" w:rsidR="000036A0" w:rsidRPr="00C40440" w:rsidRDefault="000036A0" w:rsidP="00C40440">
            <w:pPr>
              <w:spacing w:after="120" w:line="240" w:lineRule="auto"/>
              <w:rPr>
                <w:rFonts w:ascii="Times New Roman" w:hAnsi="Times New Roman" w:cs="Times New Roman"/>
              </w:rPr>
            </w:pPr>
            <w:r w:rsidRPr="00C40440">
              <w:rPr>
                <w:rFonts w:ascii="Times New Roman" w:hAnsi="Times New Roman" w:cs="Times New Roman"/>
              </w:rPr>
              <w:t xml:space="preserve">Inwestycja ma istotną rolę w kontekście wzmocnienie konkurencyjności przemysłu Polski i przyspieszenia przejścia przemysłu UE na technologie </w:t>
            </w:r>
            <w:proofErr w:type="spellStart"/>
            <w:r w:rsidRPr="00C40440">
              <w:rPr>
                <w:rFonts w:ascii="Times New Roman" w:hAnsi="Times New Roman" w:cs="Times New Roman"/>
              </w:rPr>
              <w:t>bezemisyjne</w:t>
            </w:r>
            <w:proofErr w:type="spellEnd"/>
            <w:r w:rsidRPr="00C40440">
              <w:rPr>
                <w:rFonts w:ascii="Times New Roman" w:hAnsi="Times New Roman" w:cs="Times New Roman"/>
              </w:rPr>
              <w:t xml:space="preserve"> lub niskoemisyjne na drodze do </w:t>
            </w:r>
            <w:proofErr w:type="spellStart"/>
            <w:r w:rsidRPr="00C40440">
              <w:rPr>
                <w:rFonts w:ascii="Times New Roman" w:hAnsi="Times New Roman" w:cs="Times New Roman"/>
              </w:rPr>
              <w:t>zeroemisyjności</w:t>
            </w:r>
            <w:proofErr w:type="spellEnd"/>
            <w:r w:rsidRPr="00C40440">
              <w:rPr>
                <w:rFonts w:ascii="Times New Roman" w:hAnsi="Times New Roman" w:cs="Times New Roman"/>
              </w:rPr>
              <w:t xml:space="preserve"> oraz aby pobudzić inwestycje w nowe zdolności produkcyjne w zakresie czystych technologii. </w:t>
            </w:r>
          </w:p>
          <w:p w14:paraId="2ECDC64C" w14:textId="5E1187B4"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Równocześnie uwolnione środki w części dotacyjnej KPO, będą mogły zostać przeznaczone na inne pilne działania klimatyczno-środowiskowe.  </w:t>
            </w:r>
          </w:p>
        </w:tc>
      </w:tr>
      <w:tr w:rsidR="000036A0" w:rsidRPr="004C656B" w14:paraId="4EA15086" w14:textId="77777777" w:rsidTr="000036A0">
        <w:tc>
          <w:tcPr>
            <w:tcW w:w="1063" w:type="pct"/>
          </w:tcPr>
          <w:p w14:paraId="705410F9"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Szacowany koszt</w:t>
            </w:r>
          </w:p>
        </w:tc>
        <w:tc>
          <w:tcPr>
            <w:tcW w:w="3912" w:type="pct"/>
            <w:gridSpan w:val="3"/>
          </w:tcPr>
          <w:p w14:paraId="4DA85A69" w14:textId="57B857B8" w:rsidR="000036A0" w:rsidRPr="00C40440" w:rsidRDefault="000036A0">
            <w:pPr>
              <w:autoSpaceDE w:val="0"/>
              <w:autoSpaceDN w:val="0"/>
              <w:adjustRightInd w:val="0"/>
              <w:spacing w:after="0" w:line="240" w:lineRule="auto"/>
              <w:rPr>
                <w:rFonts w:ascii="Times New Roman" w:hAnsi="Times New Roman" w:cs="Times New Roman"/>
              </w:rPr>
            </w:pPr>
            <w:r w:rsidRPr="00C40440">
              <w:rPr>
                <w:rFonts w:ascii="Times New Roman" w:hAnsi="Times New Roman" w:cs="Times New Roman"/>
              </w:rPr>
              <w:t xml:space="preserve">Zmiana nie ma wpływu na szacowany koszt </w:t>
            </w:r>
          </w:p>
        </w:tc>
      </w:tr>
      <w:tr w:rsidR="000036A0" w:rsidRPr="004C656B" w14:paraId="7C403AA2" w14:textId="77777777" w:rsidTr="000036A0">
        <w:tc>
          <w:tcPr>
            <w:tcW w:w="1063" w:type="pct"/>
          </w:tcPr>
          <w:p w14:paraId="1D9B117A"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Cyfrowy i klimatyczny </w:t>
            </w:r>
            <w:proofErr w:type="spellStart"/>
            <w:r w:rsidRPr="00C40440">
              <w:rPr>
                <w:rFonts w:ascii="Times New Roman" w:hAnsi="Times New Roman" w:cs="Times New Roman"/>
              </w:rPr>
              <w:t>tagging</w:t>
            </w:r>
            <w:proofErr w:type="spellEnd"/>
            <w:r w:rsidRPr="00C40440">
              <w:rPr>
                <w:rFonts w:ascii="Times New Roman" w:hAnsi="Times New Roman" w:cs="Times New Roman"/>
              </w:rPr>
              <w:t xml:space="preserve"> </w:t>
            </w:r>
          </w:p>
        </w:tc>
        <w:tc>
          <w:tcPr>
            <w:tcW w:w="3912" w:type="pct"/>
            <w:gridSpan w:val="3"/>
          </w:tcPr>
          <w:p w14:paraId="60FA4544"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Zmiana nie ma wpływu na </w:t>
            </w:r>
            <w:proofErr w:type="spellStart"/>
            <w:r w:rsidRPr="00C40440">
              <w:rPr>
                <w:rFonts w:ascii="Times New Roman" w:hAnsi="Times New Roman" w:cs="Times New Roman"/>
              </w:rPr>
              <w:t>tagging</w:t>
            </w:r>
            <w:proofErr w:type="spellEnd"/>
            <w:r w:rsidRPr="00C40440">
              <w:rPr>
                <w:rFonts w:ascii="Times New Roman" w:hAnsi="Times New Roman" w:cs="Times New Roman"/>
              </w:rPr>
              <w:t xml:space="preserve"> klimatyczny i cyfrowy </w:t>
            </w:r>
          </w:p>
        </w:tc>
      </w:tr>
      <w:tr w:rsidR="000036A0" w:rsidRPr="004C656B" w14:paraId="693C4155" w14:textId="77777777" w:rsidTr="000036A0">
        <w:tc>
          <w:tcPr>
            <w:tcW w:w="1063" w:type="pct"/>
            <w:tcBorders>
              <w:bottom w:val="single" w:sz="4" w:space="0" w:color="auto"/>
            </w:tcBorders>
          </w:tcPr>
          <w:p w14:paraId="47165F7F"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Zasada DNSH </w:t>
            </w:r>
          </w:p>
        </w:tc>
        <w:tc>
          <w:tcPr>
            <w:tcW w:w="3912" w:type="pct"/>
            <w:gridSpan w:val="3"/>
            <w:tcBorders>
              <w:bottom w:val="single" w:sz="4" w:space="0" w:color="auto"/>
            </w:tcBorders>
          </w:tcPr>
          <w:p w14:paraId="405A74B6"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Zmiana nie ma wpływu na DNSH</w:t>
            </w:r>
          </w:p>
        </w:tc>
      </w:tr>
      <w:tr w:rsidR="000036A0" w:rsidRPr="004C656B" w14:paraId="04F2004B" w14:textId="77777777" w:rsidTr="000036A0">
        <w:tc>
          <w:tcPr>
            <w:tcW w:w="1063" w:type="pct"/>
            <w:tcBorders>
              <w:bottom w:val="single" w:sz="4" w:space="0" w:color="auto"/>
            </w:tcBorders>
          </w:tcPr>
          <w:p w14:paraId="47A34434" w14:textId="77777777" w:rsidR="000036A0" w:rsidRPr="00C40440" w:rsidRDefault="000036A0" w:rsidP="00144E7D">
            <w:pPr>
              <w:spacing w:after="0" w:line="240" w:lineRule="auto"/>
              <w:rPr>
                <w:rFonts w:ascii="Times New Roman" w:hAnsi="Times New Roman" w:cs="Times New Roman"/>
              </w:rPr>
            </w:pPr>
            <w:r w:rsidRPr="00C40440">
              <w:rPr>
                <w:rFonts w:ascii="Times New Roman" w:hAnsi="Times New Roman" w:cs="Times New Roman"/>
              </w:rPr>
              <w:t xml:space="preserve">Pomoc publiczna </w:t>
            </w:r>
          </w:p>
        </w:tc>
        <w:tc>
          <w:tcPr>
            <w:tcW w:w="3912" w:type="pct"/>
            <w:gridSpan w:val="3"/>
            <w:tcBorders>
              <w:bottom w:val="single" w:sz="4" w:space="0" w:color="auto"/>
            </w:tcBorders>
          </w:tcPr>
          <w:p w14:paraId="5D7C4F10" w14:textId="77777777" w:rsidR="000036A0" w:rsidRPr="00C40440" w:rsidRDefault="000036A0" w:rsidP="00144E7D">
            <w:pPr>
              <w:spacing w:after="0" w:line="240" w:lineRule="auto"/>
              <w:rPr>
                <w:rFonts w:ascii="Times New Roman" w:hAnsi="Times New Roman" w:cs="Times New Roman"/>
              </w:rPr>
            </w:pPr>
          </w:p>
        </w:tc>
      </w:tr>
    </w:tbl>
    <w:p w14:paraId="2B0F8BC0" w14:textId="7610584F" w:rsidR="00EF63DD" w:rsidRDefault="00EF63DD">
      <w:pPr>
        <w:rPr>
          <w:rFonts w:ascii="Times New Roman" w:hAnsi="Times New Roman" w:cs="Times New Roman"/>
        </w:rPr>
      </w:pPr>
    </w:p>
    <w:p w14:paraId="6C18B81F" w14:textId="77777777" w:rsidR="00AE37FF" w:rsidRPr="00C40440" w:rsidRDefault="00AE37F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4"/>
        <w:gridCol w:w="3137"/>
        <w:gridCol w:w="3661"/>
      </w:tblGrid>
      <w:tr w:rsidR="007B2370" w:rsidRPr="007B2370" w14:paraId="2DD6A533" w14:textId="77777777" w:rsidTr="00C40440">
        <w:tc>
          <w:tcPr>
            <w:tcW w:w="1249" w:type="pct"/>
            <w:shd w:val="clear" w:color="auto" w:fill="FFFFFF" w:themeFill="background1"/>
          </w:tcPr>
          <w:p w14:paraId="491EA9D1" w14:textId="77777777" w:rsidR="007B2370" w:rsidRPr="007B2370" w:rsidRDefault="007B2370" w:rsidP="00B72A2C">
            <w:pPr>
              <w:spacing w:after="0" w:line="240" w:lineRule="auto"/>
              <w:rPr>
                <w:rFonts w:ascii="Times New Roman" w:hAnsi="Times New Roman" w:cs="Times New Roman"/>
                <w:b/>
                <w:bCs/>
              </w:rPr>
            </w:pPr>
            <w:r w:rsidRPr="007B2370">
              <w:rPr>
                <w:rFonts w:ascii="Times New Roman" w:hAnsi="Times New Roman" w:cs="Times New Roman"/>
                <w:b/>
                <w:bCs/>
              </w:rPr>
              <w:t>Numer inwestycji</w:t>
            </w:r>
          </w:p>
        </w:tc>
        <w:tc>
          <w:tcPr>
            <w:tcW w:w="3751" w:type="pct"/>
            <w:gridSpan w:val="2"/>
            <w:shd w:val="clear" w:color="auto" w:fill="FFFFFF" w:themeFill="background1"/>
          </w:tcPr>
          <w:p w14:paraId="3865A0CD" w14:textId="2F87CA49" w:rsidR="007B2370" w:rsidRPr="007B2370" w:rsidRDefault="007B2370" w:rsidP="00C40440">
            <w:pPr>
              <w:pStyle w:val="Akapitzlist"/>
              <w:ind w:left="118"/>
              <w:rPr>
                <w:b/>
                <w:bCs/>
                <w:sz w:val="22"/>
                <w:szCs w:val="22"/>
              </w:rPr>
            </w:pPr>
            <w:r w:rsidRPr="007B2370">
              <w:rPr>
                <w:b/>
                <w:bCs/>
                <w:sz w:val="22"/>
                <w:szCs w:val="22"/>
              </w:rPr>
              <w:t>E1.1.2</w:t>
            </w:r>
            <w:r w:rsidR="00EB2612">
              <w:rPr>
                <w:b/>
                <w:bCs/>
                <w:sz w:val="22"/>
                <w:szCs w:val="22"/>
              </w:rPr>
              <w:t>.</w:t>
            </w:r>
            <w:r w:rsidRPr="007B2370">
              <w:rPr>
                <w:b/>
                <w:bCs/>
                <w:sz w:val="22"/>
                <w:szCs w:val="22"/>
              </w:rPr>
              <w:t xml:space="preserve">   </w:t>
            </w:r>
          </w:p>
        </w:tc>
      </w:tr>
      <w:tr w:rsidR="007B2370" w:rsidRPr="007B2370" w14:paraId="5866D86F" w14:textId="77777777" w:rsidTr="00C40440">
        <w:tc>
          <w:tcPr>
            <w:tcW w:w="1249" w:type="pct"/>
          </w:tcPr>
          <w:p w14:paraId="1E8C6F5E" w14:textId="77777777" w:rsidR="007B2370" w:rsidRPr="007B2370" w:rsidRDefault="007B2370" w:rsidP="00C40440">
            <w:pPr>
              <w:pStyle w:val="Akapitzlist"/>
              <w:ind w:left="0"/>
              <w:rPr>
                <w:b/>
                <w:bCs/>
                <w:sz w:val="22"/>
                <w:szCs w:val="22"/>
              </w:rPr>
            </w:pPr>
            <w:r w:rsidRPr="007B2370">
              <w:rPr>
                <w:b/>
                <w:bCs/>
                <w:sz w:val="22"/>
                <w:szCs w:val="22"/>
              </w:rPr>
              <w:t xml:space="preserve">Nazwa inwestycji </w:t>
            </w:r>
          </w:p>
        </w:tc>
        <w:tc>
          <w:tcPr>
            <w:tcW w:w="3751" w:type="pct"/>
            <w:gridSpan w:val="2"/>
          </w:tcPr>
          <w:p w14:paraId="6D7263AD" w14:textId="560A0416" w:rsidR="007B2370" w:rsidRPr="00B904D0" w:rsidRDefault="007B2370" w:rsidP="00C40440">
            <w:pPr>
              <w:pStyle w:val="Akapitzlist"/>
              <w:ind w:left="118"/>
            </w:pPr>
            <w:r w:rsidRPr="007B2370">
              <w:rPr>
                <w:b/>
                <w:sz w:val="22"/>
                <w:szCs w:val="22"/>
              </w:rPr>
              <w:t>Zero i niskoemisyjny transport zbiorowy (autobusy)</w:t>
            </w:r>
          </w:p>
        </w:tc>
      </w:tr>
      <w:tr w:rsidR="007B2370" w:rsidRPr="0020386D" w14:paraId="6ED911DB" w14:textId="77777777" w:rsidTr="00C40440">
        <w:tc>
          <w:tcPr>
            <w:tcW w:w="1249" w:type="pct"/>
          </w:tcPr>
          <w:p w14:paraId="7C8A0C70" w14:textId="77777777" w:rsidR="007B2370" w:rsidRPr="007B2370" w:rsidRDefault="007B2370" w:rsidP="00C40440">
            <w:pPr>
              <w:pStyle w:val="Akapitzlist"/>
              <w:ind w:left="67"/>
              <w:rPr>
                <w:sz w:val="22"/>
                <w:szCs w:val="22"/>
              </w:rPr>
            </w:pPr>
            <w:r w:rsidRPr="007B2370">
              <w:rPr>
                <w:sz w:val="22"/>
                <w:szCs w:val="22"/>
              </w:rPr>
              <w:t>Rodzaj wprowadzonej zmiany w odniesieniu do CID</w:t>
            </w:r>
          </w:p>
        </w:tc>
        <w:tc>
          <w:tcPr>
            <w:tcW w:w="3751" w:type="pct"/>
            <w:gridSpan w:val="2"/>
          </w:tcPr>
          <w:p w14:paraId="570C1707" w14:textId="44BDED86" w:rsidR="007B2370" w:rsidRPr="007B2370" w:rsidRDefault="00EB2612" w:rsidP="00C40440">
            <w:pPr>
              <w:pStyle w:val="Akapitzlist"/>
              <w:ind w:left="118"/>
              <w:rPr>
                <w:sz w:val="22"/>
                <w:szCs w:val="22"/>
              </w:rPr>
            </w:pPr>
            <w:r>
              <w:rPr>
                <w:sz w:val="22"/>
                <w:szCs w:val="22"/>
              </w:rPr>
              <w:t>Modyfikacja</w:t>
            </w:r>
            <w:r w:rsidR="007B2370" w:rsidRPr="007B2370">
              <w:rPr>
                <w:sz w:val="22"/>
                <w:szCs w:val="22"/>
              </w:rPr>
              <w:t xml:space="preserve"> opisu inwestycji oraz </w:t>
            </w:r>
            <w:r>
              <w:rPr>
                <w:sz w:val="22"/>
                <w:szCs w:val="22"/>
              </w:rPr>
              <w:t xml:space="preserve">wskaźnika </w:t>
            </w:r>
            <w:r w:rsidR="007B2370" w:rsidRPr="007B2370">
              <w:rPr>
                <w:sz w:val="22"/>
                <w:szCs w:val="22"/>
              </w:rPr>
              <w:t xml:space="preserve">E14G </w:t>
            </w:r>
          </w:p>
          <w:p w14:paraId="05DC4894" w14:textId="454E1049" w:rsidR="007B2370" w:rsidRPr="007B2370" w:rsidRDefault="007B2370" w:rsidP="00B72A2C">
            <w:pPr>
              <w:pStyle w:val="Akapitzlist"/>
              <w:rPr>
                <w:sz w:val="22"/>
                <w:szCs w:val="22"/>
              </w:rPr>
            </w:pPr>
          </w:p>
        </w:tc>
      </w:tr>
      <w:tr w:rsidR="007B2370" w:rsidRPr="008E3C35" w14:paraId="1107C101" w14:textId="77777777" w:rsidTr="00C40440">
        <w:tc>
          <w:tcPr>
            <w:tcW w:w="1249" w:type="pct"/>
            <w:shd w:val="clear" w:color="auto" w:fill="FFFFFF" w:themeFill="background1"/>
          </w:tcPr>
          <w:p w14:paraId="188EF253" w14:textId="77777777" w:rsidR="007B2370" w:rsidRPr="007B2370" w:rsidRDefault="007B2370" w:rsidP="00C40440">
            <w:pPr>
              <w:pStyle w:val="Akapitzlist"/>
              <w:ind w:left="67"/>
              <w:rPr>
                <w:sz w:val="22"/>
                <w:szCs w:val="22"/>
              </w:rPr>
            </w:pPr>
            <w:r w:rsidRPr="007B2370">
              <w:rPr>
                <w:sz w:val="22"/>
                <w:szCs w:val="22"/>
              </w:rPr>
              <w:t>Podstawa prawna zmiany</w:t>
            </w:r>
          </w:p>
        </w:tc>
        <w:tc>
          <w:tcPr>
            <w:tcW w:w="3751" w:type="pct"/>
            <w:gridSpan w:val="2"/>
            <w:shd w:val="clear" w:color="auto" w:fill="FFFFFF" w:themeFill="background1"/>
          </w:tcPr>
          <w:p w14:paraId="3EF3260E" w14:textId="5ED39BDB" w:rsidR="007B2370" w:rsidRPr="00EB2612" w:rsidRDefault="00EB2612" w:rsidP="00B72A2C">
            <w:pPr>
              <w:spacing w:after="0" w:line="240" w:lineRule="auto"/>
              <w:rPr>
                <w:rFonts w:ascii="Times New Roman" w:hAnsi="Times New Roman" w:cs="Times New Roman"/>
              </w:rPr>
            </w:pPr>
            <w:r w:rsidRPr="00C40440">
              <w:rPr>
                <w:rFonts w:ascii="Times New Roman" w:hAnsi="Times New Roman" w:cs="Times New Roman"/>
              </w:rPr>
              <w:t>art. 21 rozporządzenia Parlamentu Europejskiego i Rady (UE) 2021/241 z dnia 12 lutego 2021 r. ustanawiające Instrument na rzecz Odbudowy i Zwiększania Odporności</w:t>
            </w:r>
            <w:r w:rsidRPr="00C40440" w:rsidDel="00A106E1">
              <w:rPr>
                <w:rFonts w:ascii="Times New Roman" w:hAnsi="Times New Roman" w:cs="Times New Roman"/>
              </w:rPr>
              <w:t xml:space="preserve"> </w:t>
            </w:r>
          </w:p>
        </w:tc>
      </w:tr>
      <w:tr w:rsidR="007B2370" w:rsidRPr="008E3C35" w14:paraId="790EC25E" w14:textId="77777777" w:rsidTr="00C40440">
        <w:tc>
          <w:tcPr>
            <w:tcW w:w="1249" w:type="pct"/>
            <w:shd w:val="clear" w:color="auto" w:fill="D9D9D9" w:themeFill="background1" w:themeFillShade="D9"/>
          </w:tcPr>
          <w:p w14:paraId="7183F5A3" w14:textId="77777777" w:rsidR="007B2370" w:rsidRPr="007B2370" w:rsidRDefault="007B2370" w:rsidP="00B72A2C">
            <w:pPr>
              <w:spacing w:after="0" w:line="240" w:lineRule="auto"/>
              <w:rPr>
                <w:rFonts w:ascii="Times New Roman" w:hAnsi="Times New Roman" w:cs="Times New Roman"/>
              </w:rPr>
            </w:pPr>
            <w:r w:rsidRPr="007B2370">
              <w:rPr>
                <w:rFonts w:ascii="Times New Roman" w:hAnsi="Times New Roman" w:cs="Times New Roman"/>
              </w:rPr>
              <w:lastRenderedPageBreak/>
              <w:t>Modyfikowany element</w:t>
            </w:r>
          </w:p>
        </w:tc>
        <w:tc>
          <w:tcPr>
            <w:tcW w:w="1731" w:type="pct"/>
            <w:shd w:val="clear" w:color="auto" w:fill="D9D9D9" w:themeFill="background1" w:themeFillShade="D9"/>
          </w:tcPr>
          <w:p w14:paraId="6E7369D8" w14:textId="77777777" w:rsidR="007B2370" w:rsidRPr="007B2370" w:rsidRDefault="007B2370" w:rsidP="00B72A2C">
            <w:pPr>
              <w:spacing w:after="0" w:line="240" w:lineRule="auto"/>
              <w:jc w:val="center"/>
              <w:rPr>
                <w:rFonts w:ascii="Times New Roman" w:hAnsi="Times New Roman" w:cs="Times New Roman"/>
              </w:rPr>
            </w:pPr>
            <w:r w:rsidRPr="007B2370">
              <w:rPr>
                <w:rFonts w:ascii="Times New Roman" w:hAnsi="Times New Roman" w:cs="Times New Roman"/>
              </w:rPr>
              <w:t>Wersja aktualna</w:t>
            </w:r>
          </w:p>
        </w:tc>
        <w:tc>
          <w:tcPr>
            <w:tcW w:w="2020" w:type="pct"/>
            <w:shd w:val="clear" w:color="auto" w:fill="D9D9D9" w:themeFill="background1" w:themeFillShade="D9"/>
          </w:tcPr>
          <w:p w14:paraId="5CB07895" w14:textId="77777777" w:rsidR="007B2370" w:rsidRPr="007B2370" w:rsidRDefault="007B2370" w:rsidP="00B72A2C">
            <w:pPr>
              <w:spacing w:after="0" w:line="240" w:lineRule="auto"/>
              <w:jc w:val="center"/>
              <w:rPr>
                <w:rFonts w:ascii="Times New Roman" w:hAnsi="Times New Roman" w:cs="Times New Roman"/>
              </w:rPr>
            </w:pPr>
            <w:r w:rsidRPr="007B2370">
              <w:rPr>
                <w:rFonts w:ascii="Times New Roman" w:hAnsi="Times New Roman" w:cs="Times New Roman"/>
              </w:rPr>
              <w:t>Wersja zmieniona</w:t>
            </w:r>
          </w:p>
        </w:tc>
      </w:tr>
      <w:tr w:rsidR="007B2370" w:rsidRPr="008E3C35" w14:paraId="6603532A" w14:textId="77777777" w:rsidTr="00C40440">
        <w:tc>
          <w:tcPr>
            <w:tcW w:w="1249" w:type="pct"/>
          </w:tcPr>
          <w:p w14:paraId="464392F9" w14:textId="77777777" w:rsidR="007B2370" w:rsidRPr="007B2370" w:rsidRDefault="007B2370" w:rsidP="00B72A2C">
            <w:pPr>
              <w:spacing w:after="0" w:line="240" w:lineRule="auto"/>
              <w:rPr>
                <w:rFonts w:ascii="Times New Roman" w:hAnsi="Times New Roman" w:cs="Times New Roman"/>
              </w:rPr>
            </w:pPr>
            <w:r w:rsidRPr="007B2370">
              <w:rPr>
                <w:rFonts w:ascii="Times New Roman" w:hAnsi="Times New Roman" w:cs="Times New Roman"/>
              </w:rPr>
              <w:t>Opis kamienia milowego lub wskaźnika.</w:t>
            </w:r>
          </w:p>
        </w:tc>
        <w:tc>
          <w:tcPr>
            <w:tcW w:w="1731" w:type="pct"/>
          </w:tcPr>
          <w:p w14:paraId="6D786C83" w14:textId="50EBF982" w:rsidR="00B904D0" w:rsidRDefault="007B2370">
            <w:pPr>
              <w:pStyle w:val="Akapitzlist"/>
              <w:spacing w:line="240" w:lineRule="auto"/>
              <w:ind w:left="0"/>
              <w:rPr>
                <w:sz w:val="22"/>
                <w:szCs w:val="22"/>
              </w:rPr>
            </w:pPr>
            <w:r w:rsidRPr="00C40440">
              <w:t xml:space="preserve">Opis inwestycji </w:t>
            </w:r>
          </w:p>
          <w:p w14:paraId="4C590BD2" w14:textId="0D00A9A2" w:rsidR="007B2370" w:rsidRPr="007B2370" w:rsidRDefault="007B2370" w:rsidP="00C40440">
            <w:pPr>
              <w:pStyle w:val="Akapitzlist"/>
              <w:spacing w:line="240" w:lineRule="auto"/>
              <w:ind w:left="0"/>
              <w:rPr>
                <w:sz w:val="22"/>
                <w:szCs w:val="22"/>
              </w:rPr>
            </w:pPr>
            <w:r w:rsidRPr="007B2370">
              <w:rPr>
                <w:sz w:val="22"/>
                <w:szCs w:val="22"/>
              </w:rPr>
              <w:t xml:space="preserve">(…)  Inwestycja polega na zakupie 579 czystych ekologicznie autobusów na potrzeby transportu międzymiastowego (zeroemisyjnego i niskoemisyjnego) do 30 czerwca 2026 r. </w:t>
            </w:r>
          </w:p>
          <w:p w14:paraId="0F276284" w14:textId="77777777" w:rsidR="007B2370" w:rsidRPr="007B2370" w:rsidRDefault="007B2370" w:rsidP="00C40440">
            <w:pPr>
              <w:pStyle w:val="Akapitzlist"/>
              <w:spacing w:line="240" w:lineRule="auto"/>
              <w:ind w:left="0"/>
              <w:rPr>
                <w:sz w:val="22"/>
                <w:szCs w:val="22"/>
              </w:rPr>
            </w:pPr>
            <w:r w:rsidRPr="007B2370">
              <w:rPr>
                <w:sz w:val="22"/>
                <w:szCs w:val="22"/>
              </w:rPr>
              <w:t xml:space="preserve">Zakupione pojazdy umożliwiają transport zbiorowy na obszarach pozamiejskich, które dotychczas były wyłączone z transportu. (…) </w:t>
            </w:r>
          </w:p>
          <w:p w14:paraId="40AF485D" w14:textId="77777777" w:rsidR="007B2370" w:rsidRPr="007B2370" w:rsidRDefault="007B2370" w:rsidP="00C40440">
            <w:pPr>
              <w:pStyle w:val="Akapitzlist"/>
              <w:spacing w:line="240" w:lineRule="auto"/>
              <w:rPr>
                <w:sz w:val="22"/>
                <w:szCs w:val="22"/>
              </w:rPr>
            </w:pPr>
          </w:p>
          <w:p w14:paraId="1F77DF1F" w14:textId="77777777" w:rsidR="007B2370" w:rsidRPr="00C40440" w:rsidRDefault="007B2370" w:rsidP="00C40440">
            <w:pPr>
              <w:pStyle w:val="Akapitzlist"/>
              <w:spacing w:line="240" w:lineRule="auto"/>
              <w:ind w:left="0"/>
              <w:rPr>
                <w:sz w:val="22"/>
                <w:szCs w:val="22"/>
              </w:rPr>
            </w:pPr>
            <w:r w:rsidRPr="00C40440">
              <w:rPr>
                <w:sz w:val="22"/>
                <w:szCs w:val="22"/>
              </w:rPr>
              <w:t>E14G</w:t>
            </w:r>
          </w:p>
          <w:p w14:paraId="02C6BF8D" w14:textId="77777777" w:rsidR="007B2370" w:rsidRPr="007B2370" w:rsidRDefault="007B2370" w:rsidP="00C40440">
            <w:pPr>
              <w:spacing w:after="0" w:line="240" w:lineRule="auto"/>
              <w:rPr>
                <w:rFonts w:ascii="Times New Roman" w:hAnsi="Times New Roman" w:cs="Times New Roman"/>
                <w:lang w:val="en-GB"/>
              </w:rPr>
            </w:pPr>
            <w:r w:rsidRPr="007B2370">
              <w:rPr>
                <w:rFonts w:ascii="Times New Roman" w:hAnsi="Times New Roman" w:cs="Times New Roman"/>
              </w:rPr>
              <w:t>Dostarczenie nowych zeroemisyjnych i niskoemisyjnych autobusów zdefiniowanych w opisie działania na podstawie umów finansowanych w ramach tej inwestycji na potrzeby podmiejskiego transportu publicznego/transportu publicznego na obszarach wiejskich. Zamówienia na autobusy będą udzielane w drodze przetargów otwartych i konkurencyjnych. (…)</w:t>
            </w:r>
          </w:p>
        </w:tc>
        <w:tc>
          <w:tcPr>
            <w:tcW w:w="2020" w:type="pct"/>
          </w:tcPr>
          <w:p w14:paraId="3463633E" w14:textId="1141953F" w:rsidR="007B2370" w:rsidRPr="00B904D0" w:rsidRDefault="007B2370" w:rsidP="00C40440">
            <w:pPr>
              <w:pStyle w:val="Akapitzlist"/>
              <w:spacing w:line="240" w:lineRule="auto"/>
              <w:ind w:left="0"/>
            </w:pPr>
            <w:r w:rsidRPr="00C40440">
              <w:t xml:space="preserve">Opis inwestycji </w:t>
            </w:r>
          </w:p>
          <w:p w14:paraId="63E3130B" w14:textId="77777777" w:rsidR="007B2370" w:rsidRPr="007B2370" w:rsidRDefault="007B2370" w:rsidP="00C40440">
            <w:pPr>
              <w:pStyle w:val="Akapitzlist"/>
              <w:spacing w:line="240" w:lineRule="auto"/>
              <w:ind w:left="55"/>
              <w:rPr>
                <w:sz w:val="22"/>
                <w:szCs w:val="22"/>
              </w:rPr>
            </w:pPr>
            <w:r w:rsidRPr="007B2370">
              <w:rPr>
                <w:sz w:val="22"/>
                <w:szCs w:val="22"/>
              </w:rPr>
              <w:t xml:space="preserve">(…)  </w:t>
            </w:r>
            <w:bookmarkStart w:id="7" w:name="_Hlk159492650"/>
            <w:r w:rsidRPr="007B2370">
              <w:rPr>
                <w:sz w:val="22"/>
                <w:szCs w:val="22"/>
              </w:rPr>
              <w:t xml:space="preserve">Inwestycja polega na zakupie 579 czystych ekologicznie autobusów na potrzeby transportu międzymiastowego </w:t>
            </w:r>
            <w:bookmarkEnd w:id="7"/>
            <w:r w:rsidRPr="007B2370">
              <w:rPr>
                <w:sz w:val="22"/>
                <w:szCs w:val="22"/>
              </w:rPr>
              <w:t xml:space="preserve">(zeroemisyjnego i niskoemisyjnego) </w:t>
            </w:r>
            <w:r w:rsidRPr="007B2370">
              <w:rPr>
                <w:color w:val="FF0000"/>
                <w:sz w:val="22"/>
                <w:szCs w:val="22"/>
              </w:rPr>
              <w:t xml:space="preserve">w tym dostarczeniu 207 i zamówieniu 372 sztuk </w:t>
            </w:r>
            <w:r w:rsidRPr="007B2370">
              <w:rPr>
                <w:sz w:val="22"/>
                <w:szCs w:val="22"/>
              </w:rPr>
              <w:t xml:space="preserve">do 30 czerwca 2026 r. </w:t>
            </w:r>
          </w:p>
          <w:p w14:paraId="195E7ED1" w14:textId="77777777" w:rsidR="007B2370" w:rsidRPr="007B2370" w:rsidRDefault="007B2370" w:rsidP="00C40440">
            <w:pPr>
              <w:pStyle w:val="Akapitzlist"/>
              <w:spacing w:line="240" w:lineRule="auto"/>
              <w:ind w:left="55"/>
              <w:rPr>
                <w:sz w:val="22"/>
                <w:szCs w:val="22"/>
              </w:rPr>
            </w:pPr>
            <w:r w:rsidRPr="007B2370">
              <w:rPr>
                <w:sz w:val="22"/>
                <w:szCs w:val="22"/>
              </w:rPr>
              <w:t xml:space="preserve">Zakupione </w:t>
            </w:r>
            <w:r w:rsidRPr="007B2370">
              <w:rPr>
                <w:color w:val="FF0000"/>
                <w:sz w:val="22"/>
                <w:szCs w:val="22"/>
              </w:rPr>
              <w:t xml:space="preserve">lub zamówione </w:t>
            </w:r>
            <w:r w:rsidRPr="007B2370">
              <w:rPr>
                <w:sz w:val="22"/>
                <w:szCs w:val="22"/>
              </w:rPr>
              <w:t xml:space="preserve">pojazdy umożliwiają transport zbiorowy na obszarach pozamiejskich, które dotychczas były wyłączone z transportu. (…) </w:t>
            </w:r>
          </w:p>
          <w:p w14:paraId="4B5F30B1" w14:textId="1DDBE51F" w:rsidR="00B904D0" w:rsidRDefault="00B904D0">
            <w:pPr>
              <w:pStyle w:val="Akapitzlist"/>
              <w:spacing w:line="240" w:lineRule="auto"/>
              <w:ind w:left="55"/>
              <w:rPr>
                <w:sz w:val="22"/>
                <w:szCs w:val="22"/>
              </w:rPr>
            </w:pPr>
          </w:p>
          <w:p w14:paraId="17F1A28B" w14:textId="77777777" w:rsidR="00B904D0" w:rsidRPr="007B2370" w:rsidRDefault="00B904D0" w:rsidP="00C40440">
            <w:pPr>
              <w:pStyle w:val="Akapitzlist"/>
              <w:spacing w:line="240" w:lineRule="auto"/>
              <w:ind w:left="55"/>
              <w:rPr>
                <w:sz w:val="22"/>
                <w:szCs w:val="22"/>
              </w:rPr>
            </w:pPr>
          </w:p>
          <w:p w14:paraId="7093937C" w14:textId="77777777" w:rsidR="007B2370" w:rsidRPr="00C40440" w:rsidRDefault="007B2370" w:rsidP="00C40440">
            <w:pPr>
              <w:pStyle w:val="Akapitzlist"/>
              <w:spacing w:line="240" w:lineRule="auto"/>
              <w:ind w:left="0"/>
              <w:rPr>
                <w:sz w:val="22"/>
                <w:szCs w:val="22"/>
              </w:rPr>
            </w:pPr>
            <w:r w:rsidRPr="00C40440">
              <w:rPr>
                <w:sz w:val="22"/>
                <w:szCs w:val="22"/>
              </w:rPr>
              <w:t>E14G</w:t>
            </w:r>
          </w:p>
          <w:p w14:paraId="383F0DDB" w14:textId="497D4807" w:rsidR="007B2370" w:rsidRPr="007B2370" w:rsidRDefault="007B2370" w:rsidP="00C40440">
            <w:pPr>
              <w:spacing w:after="0" w:line="240" w:lineRule="auto"/>
              <w:rPr>
                <w:rFonts w:ascii="Times New Roman" w:hAnsi="Times New Roman" w:cs="Times New Roman"/>
              </w:rPr>
            </w:pPr>
            <w:r w:rsidRPr="007B2370">
              <w:rPr>
                <w:rFonts w:ascii="Times New Roman" w:hAnsi="Times New Roman" w:cs="Times New Roman"/>
              </w:rPr>
              <w:t xml:space="preserve">Dostarczenie nowych </w:t>
            </w:r>
            <w:r w:rsidRPr="007B2370">
              <w:rPr>
                <w:rFonts w:ascii="Times New Roman" w:hAnsi="Times New Roman" w:cs="Times New Roman"/>
                <w:color w:val="FF0000"/>
              </w:rPr>
              <w:t>lub produkcja, potwierdzona zawartymi kontraktami z wykonawcami,</w:t>
            </w:r>
            <w:r w:rsidRPr="007B2370">
              <w:rPr>
                <w:rFonts w:ascii="Times New Roman" w:hAnsi="Times New Roman" w:cs="Times New Roman"/>
              </w:rPr>
              <w:t xml:space="preserve"> zeroemisyjnych i niskoemisyjnych autobusów. </w:t>
            </w:r>
            <w:r w:rsidRPr="007B2370">
              <w:rPr>
                <w:rFonts w:ascii="Times New Roman" w:hAnsi="Times New Roman" w:cs="Times New Roman"/>
                <w:color w:val="FF0000"/>
              </w:rPr>
              <w:t>Wszystkie autobusy finansowane w tej inwestycji będą użytkowane</w:t>
            </w:r>
            <w:r w:rsidRPr="007B2370">
              <w:rPr>
                <w:rFonts w:ascii="Times New Roman" w:hAnsi="Times New Roman" w:cs="Times New Roman"/>
              </w:rPr>
              <w:t xml:space="preserve"> na potrzeby podmiejskiego transportu publicznego/transportu publicznego na obszarach wiejskich. Zamówienia na autobusy będą udzielane w drodze przetargów otwartych i konkurencyjnych. (…)</w:t>
            </w:r>
          </w:p>
        </w:tc>
      </w:tr>
      <w:tr w:rsidR="007B2370" w:rsidRPr="00A26E88" w14:paraId="50E28312" w14:textId="77777777" w:rsidTr="00C40440">
        <w:tc>
          <w:tcPr>
            <w:tcW w:w="1249" w:type="pct"/>
          </w:tcPr>
          <w:p w14:paraId="289A4C79" w14:textId="77777777" w:rsidR="007B2370" w:rsidRPr="007B2370" w:rsidRDefault="007B2370" w:rsidP="00B72A2C">
            <w:pPr>
              <w:spacing w:after="0" w:line="240" w:lineRule="auto"/>
              <w:rPr>
                <w:rFonts w:ascii="Times New Roman" w:hAnsi="Times New Roman" w:cs="Times New Roman"/>
              </w:rPr>
            </w:pPr>
            <w:r w:rsidRPr="007B2370">
              <w:rPr>
                <w:rFonts w:ascii="Times New Roman" w:hAnsi="Times New Roman" w:cs="Times New Roman"/>
              </w:rPr>
              <w:t>Uzasadnienie</w:t>
            </w:r>
          </w:p>
        </w:tc>
        <w:tc>
          <w:tcPr>
            <w:tcW w:w="3751" w:type="pct"/>
            <w:gridSpan w:val="2"/>
          </w:tcPr>
          <w:p w14:paraId="5D1D8775" w14:textId="6BB76A8E" w:rsidR="007B2370" w:rsidRPr="00C40440" w:rsidRDefault="007B2370" w:rsidP="00C40440">
            <w:pPr>
              <w:spacing w:after="0" w:line="240" w:lineRule="auto"/>
              <w:rPr>
                <w:rFonts w:ascii="Times New Roman" w:hAnsi="Times New Roman" w:cs="Times New Roman"/>
              </w:rPr>
            </w:pPr>
            <w:r w:rsidRPr="007B2370">
              <w:rPr>
                <w:rFonts w:ascii="Times New Roman" w:hAnsi="Times New Roman" w:cs="Times New Roman"/>
              </w:rPr>
              <w:t xml:space="preserve">W związku z planowanym terminem zawarcia umów o objęcie wsparciem do końca 2024 r. oraz niezbędnym dla ostatecznych odbiorców czasem na przeprowadzenie przez nich konkurencyjnych zamówień publicznych na dostawę taboru, przejście do fazy operacyjnej do końca II kw. 2026 r. jest zagrożone. Należy podkreślić, że zawarcie umów o dofinansowanie jest niezbędne aby móc zakontraktować wykonawców taboru przez jednostki samorządu terytorialnego. Jednocześnie należy mieć na uwadze czas niezbędny na wyprodukowanie taboru, który obecnie szacować należy na ok. 1,5 – 2 lata.  Przy konieczności dochowania terminów dostaw w czerwcu 2026 r. identyfikowane jest ponadto ryzyko przyjęcia przez producentów autobusów zbyt dużej liczby zamówień, co może spowodować wzrost cen jednostkowych taboru oraz wkalkulowanie przez nich potencjalnych kar umownych w ramach składanych ofert. W związku z ograniczeniami terminowymi kwalifikowalności środków </w:t>
            </w:r>
            <w:r w:rsidR="00EB2612">
              <w:rPr>
                <w:rFonts w:ascii="Times New Roman" w:hAnsi="Times New Roman" w:cs="Times New Roman"/>
              </w:rPr>
              <w:t>KPO</w:t>
            </w:r>
            <w:r w:rsidRPr="007B2370">
              <w:rPr>
                <w:rFonts w:ascii="Times New Roman" w:hAnsi="Times New Roman" w:cs="Times New Roman"/>
              </w:rPr>
              <w:t xml:space="preserve"> proponuje</w:t>
            </w:r>
            <w:r w:rsidR="00EB2612">
              <w:rPr>
                <w:rFonts w:ascii="Times New Roman" w:hAnsi="Times New Roman" w:cs="Times New Roman"/>
              </w:rPr>
              <w:t xml:space="preserve"> się</w:t>
            </w:r>
            <w:r w:rsidRPr="007B2370">
              <w:rPr>
                <w:rFonts w:ascii="Times New Roman" w:hAnsi="Times New Roman" w:cs="Times New Roman"/>
              </w:rPr>
              <w:t xml:space="preserve"> uznanie również zamówionych przez beneficjentów pojazdów znajdujących się na etapie produkcji, jako spełniających wartość wskaźnika E14G w ramach tej inwestycji. Pojazdy zostaną dostarczone zgodnie z podpisanymi umowami pomiędzy producentami autobusów a beneficjentami. Zgodnie z obowiązującą legislacją krajową w sprawie zamówień publicznych umowy strony publicznej z wykonawcami nie mogą być swobodnie modyfikowane a ewentualna rezygnacja wymusza zastosowanie jednej z przesłanek opisanej w prawie.</w:t>
            </w:r>
          </w:p>
        </w:tc>
      </w:tr>
      <w:tr w:rsidR="007B2370" w:rsidRPr="00EB2612" w14:paraId="5C61F48D" w14:textId="77777777" w:rsidTr="00C40440">
        <w:tc>
          <w:tcPr>
            <w:tcW w:w="1249" w:type="pct"/>
          </w:tcPr>
          <w:p w14:paraId="1CCB3523" w14:textId="77777777" w:rsidR="007B2370" w:rsidRPr="007B2370" w:rsidRDefault="007B2370" w:rsidP="00B72A2C">
            <w:pPr>
              <w:spacing w:after="0" w:line="240" w:lineRule="auto"/>
              <w:rPr>
                <w:rFonts w:ascii="Times New Roman" w:hAnsi="Times New Roman" w:cs="Times New Roman"/>
              </w:rPr>
            </w:pPr>
            <w:r w:rsidRPr="007B2370">
              <w:rPr>
                <w:rFonts w:ascii="Times New Roman" w:hAnsi="Times New Roman" w:cs="Times New Roman"/>
              </w:rPr>
              <w:t>Szacowany koszt</w:t>
            </w:r>
          </w:p>
        </w:tc>
        <w:tc>
          <w:tcPr>
            <w:tcW w:w="3751" w:type="pct"/>
            <w:gridSpan w:val="2"/>
          </w:tcPr>
          <w:p w14:paraId="4C00F91F" w14:textId="6F0FC1EB" w:rsidR="007B2370" w:rsidRPr="00C40440" w:rsidRDefault="00EB2612">
            <w:pPr>
              <w:spacing w:after="0" w:line="240" w:lineRule="auto"/>
              <w:rPr>
                <w:rFonts w:ascii="Times New Roman" w:hAnsi="Times New Roman" w:cs="Times New Roman"/>
              </w:rPr>
            </w:pPr>
            <w:r w:rsidRPr="003B4E6E">
              <w:rPr>
                <w:rFonts w:ascii="Times New Roman" w:hAnsi="Times New Roman" w:cs="Times New Roman"/>
              </w:rPr>
              <w:t xml:space="preserve">Zmiana nie ma wpływu na szacowany koszt </w:t>
            </w:r>
          </w:p>
        </w:tc>
      </w:tr>
      <w:tr w:rsidR="007B2370" w:rsidRPr="00A106E1" w14:paraId="1D881A24" w14:textId="77777777" w:rsidTr="00C40440">
        <w:tc>
          <w:tcPr>
            <w:tcW w:w="1249" w:type="pct"/>
          </w:tcPr>
          <w:p w14:paraId="34EF9A58" w14:textId="77777777" w:rsidR="007B2370" w:rsidRPr="007B2370" w:rsidRDefault="007B2370" w:rsidP="00B72A2C">
            <w:pPr>
              <w:spacing w:after="0" w:line="240" w:lineRule="auto"/>
              <w:rPr>
                <w:rFonts w:ascii="Times New Roman" w:hAnsi="Times New Roman" w:cs="Times New Roman"/>
                <w:lang w:val="en"/>
              </w:rPr>
            </w:pPr>
            <w:proofErr w:type="spellStart"/>
            <w:r w:rsidRPr="007B2370">
              <w:rPr>
                <w:rFonts w:ascii="Times New Roman" w:hAnsi="Times New Roman" w:cs="Times New Roman"/>
                <w:lang w:val="en"/>
              </w:rPr>
              <w:lastRenderedPageBreak/>
              <w:t>Cyfrowy</w:t>
            </w:r>
            <w:proofErr w:type="spellEnd"/>
            <w:r w:rsidRPr="007B2370">
              <w:rPr>
                <w:rFonts w:ascii="Times New Roman" w:hAnsi="Times New Roman" w:cs="Times New Roman"/>
                <w:lang w:val="en"/>
              </w:rPr>
              <w:t xml:space="preserve"> i </w:t>
            </w:r>
            <w:proofErr w:type="spellStart"/>
            <w:r w:rsidRPr="007B2370">
              <w:rPr>
                <w:rFonts w:ascii="Times New Roman" w:hAnsi="Times New Roman" w:cs="Times New Roman"/>
                <w:lang w:val="en"/>
              </w:rPr>
              <w:t>klimatyczny</w:t>
            </w:r>
            <w:proofErr w:type="spellEnd"/>
            <w:r w:rsidRPr="007B2370">
              <w:rPr>
                <w:rFonts w:ascii="Times New Roman" w:hAnsi="Times New Roman" w:cs="Times New Roman"/>
                <w:lang w:val="en"/>
              </w:rPr>
              <w:t xml:space="preserve"> tagging </w:t>
            </w:r>
          </w:p>
        </w:tc>
        <w:tc>
          <w:tcPr>
            <w:tcW w:w="3751" w:type="pct"/>
            <w:gridSpan w:val="2"/>
          </w:tcPr>
          <w:p w14:paraId="28033154" w14:textId="292FC63D" w:rsidR="007B2370" w:rsidRPr="007B2370" w:rsidRDefault="007B2370" w:rsidP="00B72A2C">
            <w:pPr>
              <w:spacing w:after="0" w:line="240" w:lineRule="auto"/>
              <w:rPr>
                <w:rFonts w:ascii="Times New Roman" w:hAnsi="Times New Roman" w:cs="Times New Roman"/>
                <w:lang w:val="en"/>
              </w:rPr>
            </w:pPr>
            <w:r w:rsidRPr="007B2370">
              <w:rPr>
                <w:rFonts w:ascii="Times New Roman" w:hAnsi="Times New Roman" w:cs="Times New Roman"/>
              </w:rPr>
              <w:t xml:space="preserve">Proponowane zmiany nie będą miały wpływu na poziom </w:t>
            </w:r>
            <w:proofErr w:type="spellStart"/>
            <w:r w:rsidRPr="007B2370">
              <w:rPr>
                <w:rFonts w:ascii="Times New Roman" w:hAnsi="Times New Roman" w:cs="Times New Roman"/>
              </w:rPr>
              <w:t>taggingu</w:t>
            </w:r>
            <w:proofErr w:type="spellEnd"/>
            <w:r w:rsidRPr="007B2370">
              <w:rPr>
                <w:rFonts w:ascii="Times New Roman" w:hAnsi="Times New Roman" w:cs="Times New Roman"/>
              </w:rPr>
              <w:t xml:space="preserve"> klimatycznego. </w:t>
            </w:r>
            <w:proofErr w:type="spellStart"/>
            <w:r w:rsidRPr="007B2370">
              <w:rPr>
                <w:rFonts w:ascii="Times New Roman" w:hAnsi="Times New Roman" w:cs="Times New Roman"/>
                <w:lang w:val="en"/>
              </w:rPr>
              <w:t>Docelowa</w:t>
            </w:r>
            <w:proofErr w:type="spellEnd"/>
            <w:r w:rsidRPr="007B2370">
              <w:rPr>
                <w:rFonts w:ascii="Times New Roman" w:hAnsi="Times New Roman" w:cs="Times New Roman"/>
                <w:lang w:val="en"/>
              </w:rPr>
              <w:t xml:space="preserve"> </w:t>
            </w:r>
            <w:proofErr w:type="spellStart"/>
            <w:r w:rsidRPr="007B2370">
              <w:rPr>
                <w:rFonts w:ascii="Times New Roman" w:hAnsi="Times New Roman" w:cs="Times New Roman"/>
                <w:lang w:val="en"/>
              </w:rPr>
              <w:t>liczba</w:t>
            </w:r>
            <w:proofErr w:type="spellEnd"/>
            <w:r w:rsidRPr="007B2370">
              <w:rPr>
                <w:rFonts w:ascii="Times New Roman" w:hAnsi="Times New Roman" w:cs="Times New Roman"/>
                <w:lang w:val="en"/>
              </w:rPr>
              <w:t xml:space="preserve"> </w:t>
            </w:r>
            <w:proofErr w:type="spellStart"/>
            <w:r w:rsidRPr="007B2370">
              <w:rPr>
                <w:rFonts w:ascii="Times New Roman" w:hAnsi="Times New Roman" w:cs="Times New Roman"/>
                <w:lang w:val="en"/>
              </w:rPr>
              <w:t>pojazdów</w:t>
            </w:r>
            <w:proofErr w:type="spellEnd"/>
            <w:r w:rsidRPr="007B2370">
              <w:rPr>
                <w:rFonts w:ascii="Times New Roman" w:hAnsi="Times New Roman" w:cs="Times New Roman"/>
                <w:lang w:val="en"/>
              </w:rPr>
              <w:t xml:space="preserve"> </w:t>
            </w:r>
            <w:proofErr w:type="spellStart"/>
            <w:r w:rsidRPr="007B2370">
              <w:rPr>
                <w:rFonts w:ascii="Times New Roman" w:hAnsi="Times New Roman" w:cs="Times New Roman"/>
                <w:lang w:val="en"/>
              </w:rPr>
              <w:t>zeroemisyjnych</w:t>
            </w:r>
            <w:proofErr w:type="spellEnd"/>
            <w:r w:rsidRPr="007B2370">
              <w:rPr>
                <w:rFonts w:ascii="Times New Roman" w:hAnsi="Times New Roman" w:cs="Times New Roman"/>
                <w:lang w:val="en"/>
              </w:rPr>
              <w:t xml:space="preserve"> </w:t>
            </w:r>
            <w:proofErr w:type="spellStart"/>
            <w:r w:rsidRPr="007B2370">
              <w:rPr>
                <w:rFonts w:ascii="Times New Roman" w:hAnsi="Times New Roman" w:cs="Times New Roman"/>
                <w:lang w:val="en"/>
              </w:rPr>
              <w:t>nie</w:t>
            </w:r>
            <w:proofErr w:type="spellEnd"/>
            <w:r w:rsidRPr="007B2370">
              <w:rPr>
                <w:rFonts w:ascii="Times New Roman" w:hAnsi="Times New Roman" w:cs="Times New Roman"/>
                <w:lang w:val="en"/>
              </w:rPr>
              <w:t xml:space="preserve"> jest </w:t>
            </w:r>
            <w:proofErr w:type="spellStart"/>
            <w:r w:rsidRPr="007B2370">
              <w:rPr>
                <w:rFonts w:ascii="Times New Roman" w:hAnsi="Times New Roman" w:cs="Times New Roman"/>
                <w:lang w:val="en"/>
              </w:rPr>
              <w:t>zmieni</w:t>
            </w:r>
            <w:r w:rsidR="000036A0">
              <w:rPr>
                <w:rFonts w:ascii="Times New Roman" w:hAnsi="Times New Roman" w:cs="Times New Roman"/>
                <w:lang w:val="en"/>
              </w:rPr>
              <w:t>ana</w:t>
            </w:r>
            <w:proofErr w:type="spellEnd"/>
            <w:r w:rsidRPr="007B2370">
              <w:rPr>
                <w:rFonts w:ascii="Times New Roman" w:hAnsi="Times New Roman" w:cs="Times New Roman"/>
                <w:lang w:val="en"/>
              </w:rPr>
              <w:t>.</w:t>
            </w:r>
          </w:p>
        </w:tc>
      </w:tr>
      <w:tr w:rsidR="007B2370" w:rsidRPr="00EB2612" w14:paraId="42D29B90" w14:textId="77777777" w:rsidTr="00C40440">
        <w:tc>
          <w:tcPr>
            <w:tcW w:w="1249" w:type="pct"/>
            <w:tcBorders>
              <w:bottom w:val="single" w:sz="4" w:space="0" w:color="auto"/>
            </w:tcBorders>
          </w:tcPr>
          <w:p w14:paraId="095F9A84" w14:textId="77777777" w:rsidR="007B2370" w:rsidRPr="007B2370" w:rsidRDefault="007B2370" w:rsidP="00B72A2C">
            <w:pPr>
              <w:spacing w:after="0" w:line="240" w:lineRule="auto"/>
              <w:rPr>
                <w:rFonts w:ascii="Times New Roman" w:hAnsi="Times New Roman" w:cs="Times New Roman"/>
              </w:rPr>
            </w:pPr>
            <w:r w:rsidRPr="007B2370">
              <w:rPr>
                <w:rFonts w:ascii="Times New Roman" w:hAnsi="Times New Roman" w:cs="Times New Roman"/>
              </w:rPr>
              <w:t xml:space="preserve">Zasada DNSH </w:t>
            </w:r>
          </w:p>
        </w:tc>
        <w:tc>
          <w:tcPr>
            <w:tcW w:w="3751" w:type="pct"/>
            <w:gridSpan w:val="2"/>
            <w:tcBorders>
              <w:bottom w:val="single" w:sz="4" w:space="0" w:color="auto"/>
            </w:tcBorders>
          </w:tcPr>
          <w:p w14:paraId="21AB4714" w14:textId="66D9F608" w:rsidR="007B2370" w:rsidRPr="00C40440" w:rsidRDefault="00EB2612" w:rsidP="00B72A2C">
            <w:pPr>
              <w:spacing w:after="0" w:line="240" w:lineRule="auto"/>
              <w:rPr>
                <w:rFonts w:ascii="Times New Roman" w:hAnsi="Times New Roman" w:cs="Times New Roman"/>
              </w:rPr>
            </w:pPr>
            <w:r w:rsidRPr="003B4E6E">
              <w:rPr>
                <w:rFonts w:ascii="Times New Roman" w:hAnsi="Times New Roman" w:cs="Times New Roman"/>
              </w:rPr>
              <w:t>Zmiana nie ma wpływu na DNSH</w:t>
            </w:r>
            <w:r w:rsidRPr="007B2370" w:rsidDel="00EB2612">
              <w:rPr>
                <w:rFonts w:ascii="Times New Roman" w:hAnsi="Times New Roman" w:cs="Times New Roman"/>
              </w:rPr>
              <w:t xml:space="preserve"> </w:t>
            </w:r>
          </w:p>
        </w:tc>
      </w:tr>
      <w:tr w:rsidR="007B2370" w:rsidRPr="008E3C35" w14:paraId="42C4D103" w14:textId="77777777" w:rsidTr="00C40440">
        <w:tc>
          <w:tcPr>
            <w:tcW w:w="1249" w:type="pct"/>
            <w:tcBorders>
              <w:bottom w:val="single" w:sz="4" w:space="0" w:color="auto"/>
            </w:tcBorders>
          </w:tcPr>
          <w:p w14:paraId="24A6C03A" w14:textId="77777777" w:rsidR="007B2370" w:rsidRPr="007B2370" w:rsidRDefault="007B2370" w:rsidP="00B72A2C">
            <w:pPr>
              <w:spacing w:after="0" w:line="240" w:lineRule="auto"/>
              <w:rPr>
                <w:rFonts w:ascii="Times New Roman" w:hAnsi="Times New Roman" w:cs="Times New Roman"/>
              </w:rPr>
            </w:pPr>
            <w:r w:rsidRPr="007B2370">
              <w:rPr>
                <w:rFonts w:ascii="Times New Roman" w:hAnsi="Times New Roman" w:cs="Times New Roman"/>
              </w:rPr>
              <w:t xml:space="preserve">Pomoc publiczna </w:t>
            </w:r>
          </w:p>
        </w:tc>
        <w:tc>
          <w:tcPr>
            <w:tcW w:w="3751" w:type="pct"/>
            <w:gridSpan w:val="2"/>
            <w:tcBorders>
              <w:bottom w:val="single" w:sz="4" w:space="0" w:color="auto"/>
            </w:tcBorders>
          </w:tcPr>
          <w:p w14:paraId="2C292D8A" w14:textId="77777777" w:rsidR="007B2370" w:rsidRPr="007B2370" w:rsidRDefault="007B2370" w:rsidP="00B72A2C">
            <w:pPr>
              <w:spacing w:after="0" w:line="240" w:lineRule="auto"/>
              <w:rPr>
                <w:rFonts w:ascii="Times New Roman" w:hAnsi="Times New Roman" w:cs="Times New Roman"/>
              </w:rPr>
            </w:pPr>
            <w:r w:rsidRPr="007B2370">
              <w:rPr>
                <w:rFonts w:ascii="Times New Roman" w:hAnsi="Times New Roman" w:cs="Times New Roman"/>
              </w:rPr>
              <w:t>Nie dotyczy.</w:t>
            </w:r>
          </w:p>
        </w:tc>
      </w:tr>
    </w:tbl>
    <w:p w14:paraId="51F395D7" w14:textId="37A16F12" w:rsidR="007B2370" w:rsidRDefault="007B2370" w:rsidP="00B0152F">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264"/>
        <w:gridCol w:w="3137"/>
        <w:gridCol w:w="3661"/>
      </w:tblGrid>
      <w:tr w:rsidR="0046650D" w:rsidRPr="003733FD" w14:paraId="73E3DC97" w14:textId="77777777" w:rsidTr="00C40440">
        <w:tc>
          <w:tcPr>
            <w:tcW w:w="1249" w:type="pct"/>
            <w:shd w:val="clear" w:color="auto" w:fill="FFFFFF" w:themeFill="background1"/>
          </w:tcPr>
          <w:p w14:paraId="5C30FB66" w14:textId="77777777" w:rsidR="0046650D" w:rsidRPr="00B47988" w:rsidRDefault="0046650D" w:rsidP="00144E7D">
            <w:pPr>
              <w:spacing w:after="0" w:line="240" w:lineRule="auto"/>
              <w:rPr>
                <w:rFonts w:ascii="Times New Roman" w:hAnsi="Times New Roman" w:cs="Times New Roman"/>
                <w:b/>
                <w:bCs/>
              </w:rPr>
            </w:pPr>
            <w:r w:rsidRPr="00B47988">
              <w:rPr>
                <w:rFonts w:ascii="Times New Roman" w:hAnsi="Times New Roman" w:cs="Times New Roman"/>
                <w:b/>
                <w:bCs/>
              </w:rPr>
              <w:t>Numer inwestycji</w:t>
            </w:r>
          </w:p>
        </w:tc>
        <w:tc>
          <w:tcPr>
            <w:tcW w:w="3751" w:type="pct"/>
            <w:gridSpan w:val="2"/>
            <w:shd w:val="clear" w:color="auto" w:fill="FFFFFF" w:themeFill="background1"/>
          </w:tcPr>
          <w:p w14:paraId="5E295D0E" w14:textId="55F52110" w:rsidR="0046650D" w:rsidRPr="00C40440" w:rsidRDefault="0046650D" w:rsidP="00C40440">
            <w:pPr>
              <w:spacing w:line="240" w:lineRule="auto"/>
              <w:rPr>
                <w:b/>
                <w:bCs/>
              </w:rPr>
            </w:pPr>
            <w:r w:rsidRPr="00C40440">
              <w:rPr>
                <w:rFonts w:ascii="Times New Roman" w:hAnsi="Times New Roman" w:cs="Times New Roman"/>
                <w:b/>
                <w:bCs/>
              </w:rPr>
              <w:t>E2.1.1</w:t>
            </w:r>
            <w:r w:rsidR="00EB2612" w:rsidRPr="00C40440">
              <w:rPr>
                <w:rFonts w:ascii="Times New Roman" w:hAnsi="Times New Roman" w:cs="Times New Roman"/>
                <w:b/>
                <w:bCs/>
              </w:rPr>
              <w:t>.</w:t>
            </w:r>
            <w:r w:rsidRPr="00C40440">
              <w:rPr>
                <w:rFonts w:ascii="Times New Roman" w:hAnsi="Times New Roman" w:cs="Times New Roman"/>
                <w:b/>
                <w:bCs/>
              </w:rPr>
              <w:t xml:space="preserve">    </w:t>
            </w:r>
          </w:p>
        </w:tc>
      </w:tr>
      <w:tr w:rsidR="0046650D" w:rsidRPr="00B47988" w14:paraId="3078B6DA" w14:textId="77777777" w:rsidTr="00C40440">
        <w:tc>
          <w:tcPr>
            <w:tcW w:w="1249" w:type="pct"/>
            <w:shd w:val="clear" w:color="auto" w:fill="FFFFFF" w:themeFill="background1"/>
          </w:tcPr>
          <w:p w14:paraId="07928C63" w14:textId="77777777" w:rsidR="0046650D" w:rsidRPr="00B47988" w:rsidRDefault="0046650D" w:rsidP="00C40440">
            <w:pPr>
              <w:pStyle w:val="Akapitzlist"/>
              <w:ind w:left="0"/>
              <w:rPr>
                <w:b/>
                <w:bCs/>
                <w:sz w:val="22"/>
                <w:szCs w:val="22"/>
              </w:rPr>
            </w:pPr>
            <w:r w:rsidRPr="00B47988">
              <w:rPr>
                <w:b/>
                <w:bCs/>
                <w:sz w:val="22"/>
                <w:szCs w:val="22"/>
              </w:rPr>
              <w:t xml:space="preserve">Nazwa inwestycji </w:t>
            </w:r>
          </w:p>
        </w:tc>
        <w:tc>
          <w:tcPr>
            <w:tcW w:w="3751" w:type="pct"/>
            <w:gridSpan w:val="2"/>
            <w:shd w:val="clear" w:color="auto" w:fill="FFFFFF" w:themeFill="background1"/>
          </w:tcPr>
          <w:p w14:paraId="22C66761" w14:textId="52C08DD0" w:rsidR="0046650D" w:rsidRPr="004C656B" w:rsidRDefault="0046650D" w:rsidP="00C40440">
            <w:pPr>
              <w:pStyle w:val="Akapitzlist"/>
              <w:spacing w:line="240" w:lineRule="auto"/>
              <w:ind w:left="0"/>
            </w:pPr>
            <w:r w:rsidRPr="00B47988">
              <w:rPr>
                <w:b/>
                <w:bCs/>
                <w:sz w:val="22"/>
                <w:szCs w:val="22"/>
              </w:rPr>
              <w:t>Linie kolejowe</w:t>
            </w:r>
          </w:p>
        </w:tc>
      </w:tr>
      <w:tr w:rsidR="0046650D" w:rsidRPr="00B47988" w14:paraId="7399CCA2" w14:textId="77777777" w:rsidTr="00C40440">
        <w:tc>
          <w:tcPr>
            <w:tcW w:w="1249" w:type="pct"/>
            <w:shd w:val="clear" w:color="auto" w:fill="FFFFFF" w:themeFill="background1"/>
          </w:tcPr>
          <w:p w14:paraId="220B8F08" w14:textId="77777777" w:rsidR="0046650D" w:rsidRPr="00B47988" w:rsidRDefault="0046650D" w:rsidP="00C40440">
            <w:pPr>
              <w:pStyle w:val="Akapitzlist"/>
              <w:ind w:left="0"/>
              <w:rPr>
                <w:sz w:val="22"/>
                <w:szCs w:val="22"/>
              </w:rPr>
            </w:pPr>
            <w:r w:rsidRPr="00B47988">
              <w:rPr>
                <w:sz w:val="22"/>
                <w:szCs w:val="22"/>
              </w:rPr>
              <w:t>Rodzaj wprowadzonej zmiany w odniesieniu do CID</w:t>
            </w:r>
          </w:p>
        </w:tc>
        <w:tc>
          <w:tcPr>
            <w:tcW w:w="3751" w:type="pct"/>
            <w:gridSpan w:val="2"/>
            <w:shd w:val="clear" w:color="auto" w:fill="FFFFFF" w:themeFill="background1"/>
          </w:tcPr>
          <w:p w14:paraId="307AE479" w14:textId="2FA75C0B" w:rsidR="0046650D" w:rsidRPr="00B47988" w:rsidRDefault="00EB2612" w:rsidP="00C40440">
            <w:pPr>
              <w:pStyle w:val="Akapitzlist"/>
              <w:spacing w:line="240" w:lineRule="auto"/>
              <w:ind w:left="0"/>
              <w:rPr>
                <w:sz w:val="22"/>
                <w:szCs w:val="22"/>
              </w:rPr>
            </w:pPr>
            <w:r>
              <w:rPr>
                <w:sz w:val="22"/>
                <w:szCs w:val="22"/>
              </w:rPr>
              <w:t xml:space="preserve">Modyfikacja </w:t>
            </w:r>
            <w:r w:rsidR="0046650D" w:rsidRPr="00B47988">
              <w:rPr>
                <w:sz w:val="22"/>
                <w:szCs w:val="22"/>
              </w:rPr>
              <w:t xml:space="preserve">opisu inwestycji oraz </w:t>
            </w:r>
            <w:r>
              <w:rPr>
                <w:sz w:val="22"/>
                <w:szCs w:val="22"/>
              </w:rPr>
              <w:t xml:space="preserve">zmiana </w:t>
            </w:r>
            <w:r w:rsidR="0046650D" w:rsidRPr="00B47988">
              <w:rPr>
                <w:sz w:val="22"/>
                <w:szCs w:val="22"/>
              </w:rPr>
              <w:t xml:space="preserve">wartości </w:t>
            </w:r>
            <w:r>
              <w:rPr>
                <w:sz w:val="22"/>
                <w:szCs w:val="22"/>
              </w:rPr>
              <w:t>wskaźnika</w:t>
            </w:r>
            <w:r w:rsidR="0046650D" w:rsidRPr="00B47988">
              <w:rPr>
                <w:sz w:val="22"/>
                <w:szCs w:val="22"/>
              </w:rPr>
              <w:t xml:space="preserve"> E17G i E18G. Dodanie </w:t>
            </w:r>
            <w:r w:rsidR="0046650D">
              <w:rPr>
                <w:sz w:val="22"/>
                <w:szCs w:val="22"/>
              </w:rPr>
              <w:t>nowego</w:t>
            </w:r>
            <w:r w:rsidR="0046650D" w:rsidRPr="00B47988">
              <w:rPr>
                <w:sz w:val="22"/>
                <w:szCs w:val="22"/>
              </w:rPr>
              <w:t xml:space="preserve"> wskaźnik</w:t>
            </w:r>
            <w:r w:rsidR="0046650D">
              <w:rPr>
                <w:sz w:val="22"/>
                <w:szCs w:val="22"/>
              </w:rPr>
              <w:t>a</w:t>
            </w:r>
            <w:r w:rsidR="00351A31">
              <w:rPr>
                <w:sz w:val="22"/>
                <w:szCs w:val="22"/>
              </w:rPr>
              <w:t xml:space="preserve"> E18aG</w:t>
            </w:r>
            <w:r>
              <w:rPr>
                <w:sz w:val="22"/>
                <w:szCs w:val="22"/>
              </w:rPr>
              <w:t>.</w:t>
            </w:r>
          </w:p>
          <w:p w14:paraId="759BC321" w14:textId="1A5A27EF" w:rsidR="0046650D" w:rsidRPr="00B47988" w:rsidRDefault="0046650D" w:rsidP="00C40440">
            <w:pPr>
              <w:pStyle w:val="Akapitzlist"/>
              <w:spacing w:line="240" w:lineRule="auto"/>
              <w:ind w:left="0"/>
              <w:rPr>
                <w:sz w:val="22"/>
                <w:szCs w:val="22"/>
              </w:rPr>
            </w:pPr>
          </w:p>
        </w:tc>
      </w:tr>
      <w:tr w:rsidR="0046650D" w:rsidRPr="00B47988" w14:paraId="62BF24B8" w14:textId="77777777" w:rsidTr="00C40440">
        <w:tc>
          <w:tcPr>
            <w:tcW w:w="1249" w:type="pct"/>
            <w:shd w:val="clear" w:color="auto" w:fill="FFFFFF" w:themeFill="background1"/>
          </w:tcPr>
          <w:p w14:paraId="6E4C6899" w14:textId="77777777" w:rsidR="0046650D" w:rsidRPr="00B47988" w:rsidRDefault="0046650D" w:rsidP="00C40440">
            <w:pPr>
              <w:pStyle w:val="Akapitzlist"/>
              <w:ind w:left="67" w:hanging="67"/>
              <w:rPr>
                <w:sz w:val="22"/>
                <w:szCs w:val="22"/>
              </w:rPr>
            </w:pPr>
            <w:r w:rsidRPr="00B47988">
              <w:rPr>
                <w:sz w:val="22"/>
                <w:szCs w:val="22"/>
              </w:rPr>
              <w:t>Podstawa prawna zmiany</w:t>
            </w:r>
          </w:p>
        </w:tc>
        <w:tc>
          <w:tcPr>
            <w:tcW w:w="3751" w:type="pct"/>
            <w:gridSpan w:val="2"/>
            <w:shd w:val="clear" w:color="auto" w:fill="FFFFFF" w:themeFill="background1"/>
          </w:tcPr>
          <w:p w14:paraId="04559844" w14:textId="0FBAAA6F" w:rsidR="0046650D" w:rsidRPr="00B47988" w:rsidRDefault="00EB2612">
            <w:pPr>
              <w:spacing w:after="0" w:line="240" w:lineRule="auto"/>
              <w:rPr>
                <w:rFonts w:ascii="Times New Roman" w:hAnsi="Times New Roman" w:cs="Times New Roman"/>
              </w:rPr>
            </w:pPr>
            <w:r w:rsidRPr="003B4E6E">
              <w:rPr>
                <w:rFonts w:ascii="Times New Roman" w:hAnsi="Times New Roman" w:cs="Times New Roman"/>
              </w:rPr>
              <w:t>art. 21 rozporządzenia Parlamentu Europejskiego i Rady (UE) 2021/241 z dnia 12 lutego 2021 r. ustanawiające Instrument na rzecz Odbudowy i Zwiększania Odporności</w:t>
            </w:r>
            <w:r w:rsidRPr="003B4E6E" w:rsidDel="00A106E1">
              <w:rPr>
                <w:rFonts w:ascii="Times New Roman" w:hAnsi="Times New Roman" w:cs="Times New Roman"/>
              </w:rPr>
              <w:t xml:space="preserve"> </w:t>
            </w:r>
          </w:p>
        </w:tc>
      </w:tr>
      <w:tr w:rsidR="0046650D" w:rsidRPr="00B47988" w14:paraId="0310BA79" w14:textId="77777777" w:rsidTr="00C40440">
        <w:tc>
          <w:tcPr>
            <w:tcW w:w="1249" w:type="pct"/>
            <w:shd w:val="clear" w:color="auto" w:fill="E7E6E6" w:themeFill="background2"/>
          </w:tcPr>
          <w:p w14:paraId="59F093A3" w14:textId="77777777" w:rsidR="0046650D" w:rsidRPr="00B47988" w:rsidRDefault="0046650D" w:rsidP="00144E7D">
            <w:pPr>
              <w:spacing w:after="0" w:line="240" w:lineRule="auto"/>
              <w:rPr>
                <w:rFonts w:ascii="Times New Roman" w:hAnsi="Times New Roman" w:cs="Times New Roman"/>
              </w:rPr>
            </w:pPr>
            <w:r w:rsidRPr="00B47988">
              <w:rPr>
                <w:rFonts w:ascii="Times New Roman" w:hAnsi="Times New Roman" w:cs="Times New Roman"/>
              </w:rPr>
              <w:t>Modyfikowany element</w:t>
            </w:r>
          </w:p>
        </w:tc>
        <w:tc>
          <w:tcPr>
            <w:tcW w:w="1731" w:type="pct"/>
            <w:shd w:val="clear" w:color="auto" w:fill="E7E6E6" w:themeFill="background2"/>
          </w:tcPr>
          <w:p w14:paraId="7D5CCA86" w14:textId="77777777" w:rsidR="0046650D" w:rsidRPr="00B47988" w:rsidRDefault="0046650D">
            <w:pPr>
              <w:spacing w:after="0" w:line="240" w:lineRule="auto"/>
              <w:jc w:val="center"/>
              <w:rPr>
                <w:rFonts w:ascii="Times New Roman" w:hAnsi="Times New Roman" w:cs="Times New Roman"/>
              </w:rPr>
            </w:pPr>
            <w:r w:rsidRPr="00B47988">
              <w:rPr>
                <w:rFonts w:ascii="Times New Roman" w:hAnsi="Times New Roman" w:cs="Times New Roman"/>
              </w:rPr>
              <w:t>Wersja aktualna</w:t>
            </w:r>
          </w:p>
        </w:tc>
        <w:tc>
          <w:tcPr>
            <w:tcW w:w="2020" w:type="pct"/>
            <w:shd w:val="clear" w:color="auto" w:fill="E7E6E6" w:themeFill="background2"/>
          </w:tcPr>
          <w:p w14:paraId="6BD26F9D" w14:textId="77777777" w:rsidR="0046650D" w:rsidRPr="00B47988" w:rsidRDefault="0046650D">
            <w:pPr>
              <w:spacing w:after="0" w:line="240" w:lineRule="auto"/>
              <w:jc w:val="center"/>
              <w:rPr>
                <w:rFonts w:ascii="Times New Roman" w:hAnsi="Times New Roman" w:cs="Times New Roman"/>
              </w:rPr>
            </w:pPr>
            <w:r w:rsidRPr="00B47988">
              <w:rPr>
                <w:rFonts w:ascii="Times New Roman" w:hAnsi="Times New Roman" w:cs="Times New Roman"/>
              </w:rPr>
              <w:t>Wersja zmieniona</w:t>
            </w:r>
          </w:p>
        </w:tc>
      </w:tr>
      <w:tr w:rsidR="0046650D" w:rsidRPr="00B47988" w14:paraId="270F29EA" w14:textId="77777777" w:rsidTr="00C40440">
        <w:tc>
          <w:tcPr>
            <w:tcW w:w="1249" w:type="pct"/>
            <w:vMerge w:val="restart"/>
            <w:shd w:val="clear" w:color="auto" w:fill="FFFFFF" w:themeFill="background1"/>
          </w:tcPr>
          <w:p w14:paraId="33CE5EBE" w14:textId="77777777" w:rsidR="0046650D" w:rsidRPr="00B47988" w:rsidRDefault="0046650D" w:rsidP="00144E7D">
            <w:pPr>
              <w:spacing w:after="0" w:line="240" w:lineRule="auto"/>
              <w:rPr>
                <w:rFonts w:ascii="Times New Roman" w:hAnsi="Times New Roman" w:cs="Times New Roman"/>
              </w:rPr>
            </w:pPr>
            <w:r w:rsidRPr="00B47988">
              <w:rPr>
                <w:rFonts w:ascii="Times New Roman" w:hAnsi="Times New Roman" w:cs="Times New Roman"/>
              </w:rPr>
              <w:t>Opis kamienia milowego lub wskaźnika.</w:t>
            </w:r>
          </w:p>
        </w:tc>
        <w:tc>
          <w:tcPr>
            <w:tcW w:w="1731" w:type="pct"/>
            <w:shd w:val="clear" w:color="auto" w:fill="FFFFFF" w:themeFill="background1"/>
          </w:tcPr>
          <w:p w14:paraId="0F156E01" w14:textId="2D8EB894" w:rsidR="0046650D" w:rsidRPr="00C40440" w:rsidRDefault="0046650D" w:rsidP="00C40440">
            <w:pPr>
              <w:pStyle w:val="Akapitzlist"/>
              <w:spacing w:line="240" w:lineRule="auto"/>
              <w:ind w:left="118"/>
              <w:rPr>
                <w:sz w:val="22"/>
                <w:szCs w:val="22"/>
              </w:rPr>
            </w:pPr>
            <w:r w:rsidRPr="00C40440">
              <w:rPr>
                <w:sz w:val="22"/>
                <w:szCs w:val="22"/>
              </w:rPr>
              <w:t>Opis</w:t>
            </w:r>
            <w:r w:rsidR="004C656B" w:rsidRPr="00C40440">
              <w:rPr>
                <w:sz w:val="22"/>
                <w:szCs w:val="22"/>
              </w:rPr>
              <w:t xml:space="preserve"> </w:t>
            </w:r>
            <w:r w:rsidRPr="00C40440">
              <w:rPr>
                <w:sz w:val="22"/>
                <w:szCs w:val="22"/>
              </w:rPr>
              <w:t xml:space="preserve">inwestycji </w:t>
            </w:r>
          </w:p>
          <w:p w14:paraId="7B25AEE0" w14:textId="4EA1AC08" w:rsidR="0046650D" w:rsidRPr="00B47988" w:rsidRDefault="0046650D" w:rsidP="00C40440">
            <w:pPr>
              <w:spacing w:after="0" w:line="240" w:lineRule="auto"/>
              <w:ind w:left="-5"/>
              <w:rPr>
                <w:rFonts w:ascii="Times New Roman" w:hAnsi="Times New Roman" w:cs="Times New Roman"/>
              </w:rPr>
            </w:pPr>
            <w:r w:rsidRPr="00C40440">
              <w:rPr>
                <w:rFonts w:ascii="Times New Roman" w:hAnsi="Times New Roman" w:cs="Times New Roman"/>
              </w:rPr>
              <w:t xml:space="preserve"> </w:t>
            </w:r>
            <w:r w:rsidRPr="00B47988">
              <w:rPr>
                <w:rFonts w:ascii="Times New Roman" w:hAnsi="Times New Roman" w:cs="Times New Roman"/>
              </w:rPr>
              <w:t>(…) Inwestycja obejmuje modernizację 478 km linii kolejowych, w tym 300 km zgodnie ze standardami TEN-T, do dnia 30 czerwca 2026 r. Odpowiednie umowy finansowe zostaną podpisane do dnia 31 grudnia 2024 r.</w:t>
            </w:r>
          </w:p>
        </w:tc>
        <w:tc>
          <w:tcPr>
            <w:tcW w:w="2020" w:type="pct"/>
            <w:shd w:val="clear" w:color="auto" w:fill="FFFFFF" w:themeFill="background1"/>
          </w:tcPr>
          <w:p w14:paraId="6FB2C09B" w14:textId="1BF9AFAB" w:rsidR="0046650D" w:rsidRPr="00C40440" w:rsidRDefault="0046650D" w:rsidP="00C40440">
            <w:pPr>
              <w:pStyle w:val="Akapitzlist"/>
              <w:spacing w:line="240" w:lineRule="auto"/>
              <w:ind w:left="55"/>
              <w:rPr>
                <w:sz w:val="22"/>
                <w:szCs w:val="22"/>
              </w:rPr>
            </w:pPr>
            <w:r w:rsidRPr="00C40440">
              <w:rPr>
                <w:sz w:val="22"/>
                <w:szCs w:val="22"/>
              </w:rPr>
              <w:t xml:space="preserve">Opis inwestycji </w:t>
            </w:r>
          </w:p>
          <w:p w14:paraId="0E6F19AA" w14:textId="2C75D8D3" w:rsidR="0046650D" w:rsidRPr="00B47988" w:rsidRDefault="0046650D" w:rsidP="00C40440">
            <w:pPr>
              <w:spacing w:after="0" w:line="240" w:lineRule="auto"/>
              <w:ind w:left="-5"/>
              <w:rPr>
                <w:rFonts w:ascii="Times New Roman" w:hAnsi="Times New Roman" w:cs="Times New Roman"/>
              </w:rPr>
            </w:pPr>
            <w:r w:rsidRPr="00C40440">
              <w:rPr>
                <w:rFonts w:ascii="Times New Roman" w:hAnsi="Times New Roman" w:cs="Times New Roman"/>
                <w:color w:val="FF0000"/>
              </w:rPr>
              <w:t xml:space="preserve"> </w:t>
            </w:r>
            <w:r w:rsidRPr="00B47988">
              <w:rPr>
                <w:rFonts w:ascii="Times New Roman" w:hAnsi="Times New Roman" w:cs="Times New Roman"/>
              </w:rPr>
              <w:t xml:space="preserve">(…) Inwestycja obejmuje </w:t>
            </w:r>
            <w:r w:rsidRPr="00B47988">
              <w:rPr>
                <w:rFonts w:ascii="Times New Roman" w:hAnsi="Times New Roman" w:cs="Times New Roman"/>
                <w:color w:val="FF0000"/>
              </w:rPr>
              <w:t>prace na 500</w:t>
            </w:r>
            <w:r w:rsidRPr="00B47988">
              <w:rPr>
                <w:rFonts w:ascii="Times New Roman" w:hAnsi="Times New Roman" w:cs="Times New Roman"/>
              </w:rPr>
              <w:t xml:space="preserve"> km linii kolejowych, </w:t>
            </w:r>
            <w:r w:rsidRPr="00B47988">
              <w:rPr>
                <w:rFonts w:ascii="Times New Roman" w:hAnsi="Times New Roman" w:cs="Times New Roman"/>
                <w:color w:val="FF0000"/>
              </w:rPr>
              <w:t xml:space="preserve">z czego zrewitalizowanych zostanie 250 km linii </w:t>
            </w:r>
            <w:r w:rsidRPr="00B47988">
              <w:rPr>
                <w:rFonts w:ascii="Times New Roman" w:hAnsi="Times New Roman" w:cs="Times New Roman"/>
              </w:rPr>
              <w:t xml:space="preserve">do dnia </w:t>
            </w:r>
            <w:r w:rsidRPr="00B47988">
              <w:rPr>
                <w:rFonts w:ascii="Times New Roman" w:hAnsi="Times New Roman" w:cs="Times New Roman"/>
                <w:color w:val="FF0000"/>
              </w:rPr>
              <w:t xml:space="preserve">31 sierpnia </w:t>
            </w:r>
            <w:r w:rsidRPr="00B47988">
              <w:rPr>
                <w:rFonts w:ascii="Times New Roman" w:hAnsi="Times New Roman" w:cs="Times New Roman"/>
              </w:rPr>
              <w:t>2026 r. Odpowiednie umowy finansowe zostaną podpisane do dnia 31 grudnia 2024 r.</w:t>
            </w:r>
          </w:p>
          <w:p w14:paraId="57385484" w14:textId="77777777" w:rsidR="0046650D" w:rsidRPr="00B47988" w:rsidRDefault="0046650D" w:rsidP="00C40440">
            <w:pPr>
              <w:spacing w:after="0" w:line="240" w:lineRule="auto"/>
              <w:ind w:left="-6"/>
              <w:rPr>
                <w:rFonts w:ascii="Times New Roman" w:hAnsi="Times New Roman" w:cs="Times New Roman"/>
                <w:color w:val="FF0000"/>
              </w:rPr>
            </w:pPr>
            <w:r w:rsidRPr="00B47988">
              <w:rPr>
                <w:rFonts w:ascii="Times New Roman" w:hAnsi="Times New Roman" w:cs="Times New Roman"/>
                <w:color w:val="FF0000"/>
              </w:rPr>
              <w:t xml:space="preserve">Inwestycja obejmie usunięcie 40 wąskich gardeł w tym na przejazdach kolejowych w zakresie montażu automatycznie sterowanych urządzeń zabezpieczających (bramy przejazdowe, sygnalizacja dźwiękowa i świetlna). </w:t>
            </w:r>
          </w:p>
        </w:tc>
      </w:tr>
      <w:tr w:rsidR="0046650D" w:rsidRPr="00B47988" w14:paraId="6BEF255A" w14:textId="77777777" w:rsidTr="00C40440">
        <w:tc>
          <w:tcPr>
            <w:tcW w:w="1249" w:type="pct"/>
            <w:vMerge/>
            <w:shd w:val="clear" w:color="auto" w:fill="FFFFFF" w:themeFill="background1"/>
          </w:tcPr>
          <w:p w14:paraId="0BC7C74F" w14:textId="77777777" w:rsidR="0046650D" w:rsidRPr="00B47988" w:rsidRDefault="0046650D" w:rsidP="00144E7D">
            <w:pPr>
              <w:spacing w:after="0" w:line="240" w:lineRule="auto"/>
              <w:rPr>
                <w:rFonts w:ascii="Times New Roman" w:hAnsi="Times New Roman" w:cs="Times New Roman"/>
              </w:rPr>
            </w:pPr>
          </w:p>
        </w:tc>
        <w:tc>
          <w:tcPr>
            <w:tcW w:w="1731" w:type="pct"/>
            <w:shd w:val="clear" w:color="auto" w:fill="FFFFFF" w:themeFill="background1"/>
          </w:tcPr>
          <w:p w14:paraId="6F1565CA" w14:textId="257E88EB" w:rsidR="0046650D" w:rsidRPr="00C40440" w:rsidRDefault="0046650D">
            <w:pPr>
              <w:spacing w:after="0" w:line="240" w:lineRule="auto"/>
              <w:rPr>
                <w:rFonts w:ascii="Times New Roman" w:hAnsi="Times New Roman" w:cs="Times New Roman"/>
                <w:i/>
              </w:rPr>
            </w:pPr>
            <w:r w:rsidRPr="00C40440">
              <w:rPr>
                <w:rFonts w:ascii="Times New Roman" w:hAnsi="Times New Roman" w:cs="Times New Roman"/>
              </w:rPr>
              <w:t>E17G</w:t>
            </w:r>
          </w:p>
          <w:p w14:paraId="1E263EF2" w14:textId="77777777" w:rsidR="0046650D" w:rsidRPr="004C656B" w:rsidRDefault="0046650D">
            <w:pPr>
              <w:spacing w:after="0" w:line="240" w:lineRule="auto"/>
              <w:rPr>
                <w:rFonts w:ascii="Times New Roman" w:hAnsi="Times New Roman" w:cs="Times New Roman"/>
              </w:rPr>
            </w:pPr>
            <w:r w:rsidRPr="004C656B">
              <w:rPr>
                <w:rFonts w:ascii="Times New Roman" w:hAnsi="Times New Roman" w:cs="Times New Roman"/>
              </w:rPr>
              <w:t>Podpisanie umów na modernizację 478 km linii kolejowych zgodnie ze standardami TEN-T oraz elektryfikację (…)</w:t>
            </w:r>
          </w:p>
        </w:tc>
        <w:tc>
          <w:tcPr>
            <w:tcW w:w="2020" w:type="pct"/>
            <w:shd w:val="clear" w:color="auto" w:fill="FFFFFF" w:themeFill="background1"/>
          </w:tcPr>
          <w:p w14:paraId="21887004" w14:textId="7A1A51B7" w:rsidR="0046650D" w:rsidRPr="00C40440" w:rsidRDefault="0046650D">
            <w:pPr>
              <w:spacing w:after="0" w:line="240" w:lineRule="auto"/>
              <w:rPr>
                <w:rFonts w:ascii="Times New Roman" w:hAnsi="Times New Roman" w:cs="Times New Roman"/>
                <w:i/>
              </w:rPr>
            </w:pPr>
            <w:r w:rsidRPr="00C40440">
              <w:rPr>
                <w:rFonts w:ascii="Times New Roman" w:hAnsi="Times New Roman" w:cs="Times New Roman"/>
              </w:rPr>
              <w:t>E17G</w:t>
            </w:r>
          </w:p>
          <w:p w14:paraId="082E1BDA" w14:textId="0BA78F4B" w:rsidR="0046650D" w:rsidRPr="004C656B" w:rsidRDefault="0046650D">
            <w:pPr>
              <w:spacing w:after="0" w:line="240" w:lineRule="auto"/>
              <w:rPr>
                <w:rFonts w:ascii="Times New Roman" w:hAnsi="Times New Roman" w:cs="Times New Roman"/>
              </w:rPr>
            </w:pPr>
            <w:r w:rsidRPr="004C656B">
              <w:rPr>
                <w:rFonts w:ascii="Times New Roman" w:hAnsi="Times New Roman" w:cs="Times New Roman"/>
              </w:rPr>
              <w:t xml:space="preserve">Podpisanie umów na </w:t>
            </w:r>
            <w:r w:rsidRPr="004C656B">
              <w:rPr>
                <w:rFonts w:ascii="Times New Roman" w:hAnsi="Times New Roman" w:cs="Times New Roman"/>
                <w:color w:val="FF0000"/>
              </w:rPr>
              <w:t xml:space="preserve">prace na 500 km linii kolejowych, z czego 250 km linii zostanie zrewitalizowanych  </w:t>
            </w:r>
            <w:r w:rsidRPr="004C656B">
              <w:rPr>
                <w:rFonts w:ascii="Times New Roman" w:hAnsi="Times New Roman" w:cs="Times New Roman"/>
              </w:rPr>
              <w:t>(…)</w:t>
            </w:r>
          </w:p>
        </w:tc>
      </w:tr>
      <w:tr w:rsidR="0046650D" w:rsidRPr="00B47988" w14:paraId="31BE3B9E" w14:textId="77777777" w:rsidTr="00C40440">
        <w:trPr>
          <w:trHeight w:val="1842"/>
        </w:trPr>
        <w:tc>
          <w:tcPr>
            <w:tcW w:w="1249" w:type="pct"/>
            <w:vMerge/>
            <w:shd w:val="clear" w:color="auto" w:fill="FFFFFF" w:themeFill="background1"/>
          </w:tcPr>
          <w:p w14:paraId="5078DF83" w14:textId="77777777" w:rsidR="0046650D" w:rsidRPr="00B47988" w:rsidRDefault="0046650D" w:rsidP="00144E7D">
            <w:pPr>
              <w:spacing w:after="0" w:line="240" w:lineRule="auto"/>
              <w:rPr>
                <w:rFonts w:ascii="Times New Roman" w:hAnsi="Times New Roman" w:cs="Times New Roman"/>
              </w:rPr>
            </w:pPr>
          </w:p>
        </w:tc>
        <w:tc>
          <w:tcPr>
            <w:tcW w:w="1731" w:type="pct"/>
            <w:shd w:val="clear" w:color="auto" w:fill="FFFFFF" w:themeFill="background1"/>
          </w:tcPr>
          <w:p w14:paraId="3401D40E" w14:textId="6E0EC7A7" w:rsidR="0046650D" w:rsidRPr="00C40440" w:rsidRDefault="0046650D" w:rsidP="00C40440">
            <w:pPr>
              <w:spacing w:line="240" w:lineRule="auto"/>
              <w:ind w:right="119"/>
              <w:rPr>
                <w:rFonts w:ascii="Times New Roman" w:hAnsi="Times New Roman" w:cs="Times New Roman"/>
              </w:rPr>
            </w:pPr>
            <w:r w:rsidRPr="00C40440">
              <w:rPr>
                <w:rFonts w:ascii="Times New Roman" w:hAnsi="Times New Roman" w:cs="Times New Roman"/>
              </w:rPr>
              <w:t>E18G</w:t>
            </w:r>
          </w:p>
          <w:p w14:paraId="168FDBE1" w14:textId="66178466" w:rsidR="0046650D" w:rsidRPr="00C40440" w:rsidRDefault="0046650D" w:rsidP="00C40440">
            <w:pPr>
              <w:spacing w:after="0" w:line="240" w:lineRule="auto"/>
              <w:ind w:right="261"/>
              <w:rPr>
                <w:rFonts w:ascii="Times New Roman" w:hAnsi="Times New Roman" w:cs="Times New Roman"/>
                <w:i/>
              </w:rPr>
            </w:pPr>
            <w:r w:rsidRPr="004C656B">
              <w:rPr>
                <w:rFonts w:ascii="Times New Roman" w:hAnsi="Times New Roman" w:cs="Times New Roman"/>
              </w:rPr>
              <w:t>Modernizacja 478 km linii kolejowych, w tym 300 km zgodnie ze standardami TEN-T</w:t>
            </w:r>
          </w:p>
          <w:p w14:paraId="0BC3986F" w14:textId="7834E0F1" w:rsidR="0046650D" w:rsidRPr="00C40440" w:rsidRDefault="00351A31" w:rsidP="00C40440">
            <w:pPr>
              <w:spacing w:line="240" w:lineRule="auto"/>
              <w:ind w:right="119"/>
              <w:rPr>
                <w:rFonts w:ascii="Times New Roman" w:hAnsi="Times New Roman" w:cs="Times New Roman"/>
                <w:i/>
              </w:rPr>
            </w:pPr>
            <w:r w:rsidRPr="00C40440">
              <w:rPr>
                <w:rFonts w:ascii="Times New Roman" w:hAnsi="Times New Roman" w:cs="Times New Roman"/>
                <w:i/>
              </w:rPr>
              <w:t xml:space="preserve">Cel: </w:t>
            </w:r>
            <w:r w:rsidR="0046650D" w:rsidRPr="00C40440">
              <w:rPr>
                <w:rFonts w:ascii="Times New Roman" w:hAnsi="Times New Roman" w:cs="Times New Roman"/>
              </w:rPr>
              <w:t>478 km</w:t>
            </w:r>
          </w:p>
          <w:p w14:paraId="515A2E0A" w14:textId="77777777" w:rsidR="0046650D" w:rsidRPr="004C656B" w:rsidRDefault="0046650D" w:rsidP="00C40440">
            <w:pPr>
              <w:spacing w:after="0" w:line="240" w:lineRule="auto"/>
              <w:ind w:right="16"/>
              <w:rPr>
                <w:rFonts w:ascii="Times New Roman" w:hAnsi="Times New Roman" w:cs="Times New Roman"/>
                <w:i/>
              </w:rPr>
            </w:pPr>
            <w:r w:rsidRPr="004C656B">
              <w:rPr>
                <w:rFonts w:ascii="Times New Roman" w:hAnsi="Times New Roman" w:cs="Times New Roman"/>
              </w:rPr>
              <w:t xml:space="preserve">Zakończenie prac unowocześniających na 478 km linii kolejowych, polegających na dostosowaniu 300 km do wymogów sieci TEN-T (z czego 200 km na sieci bazowej TEN-T); 180 km linii zostanie przystosowanych do </w:t>
            </w:r>
            <w:r w:rsidRPr="004C656B">
              <w:rPr>
                <w:rFonts w:ascii="Times New Roman" w:hAnsi="Times New Roman" w:cs="Times New Roman"/>
              </w:rPr>
              <w:lastRenderedPageBreak/>
              <w:t>wprowadzenia prędkości 250 km/h dla pociągów pasażerskich, na 245 km możliwa będzie jazda pociągami towarowymi z prędkością 100 km/h, 120 km linii zostanie zelektryfikowanych, 70 km zostanie zmodernizowanych na potrzeby osiągania prędkości 160 km/h</w:t>
            </w:r>
          </w:p>
        </w:tc>
        <w:tc>
          <w:tcPr>
            <w:tcW w:w="2020" w:type="pct"/>
            <w:shd w:val="clear" w:color="auto" w:fill="FFFFFF" w:themeFill="background1"/>
          </w:tcPr>
          <w:p w14:paraId="48C2994E" w14:textId="26CC90E2" w:rsidR="0046650D" w:rsidRPr="00C40440" w:rsidRDefault="0046650D" w:rsidP="00C40440">
            <w:pPr>
              <w:spacing w:line="240" w:lineRule="auto"/>
              <w:ind w:right="119"/>
              <w:rPr>
                <w:rFonts w:ascii="Times New Roman" w:hAnsi="Times New Roman" w:cs="Times New Roman"/>
              </w:rPr>
            </w:pPr>
            <w:r w:rsidRPr="00C40440">
              <w:rPr>
                <w:rFonts w:ascii="Times New Roman" w:hAnsi="Times New Roman" w:cs="Times New Roman"/>
              </w:rPr>
              <w:lastRenderedPageBreak/>
              <w:t>E18G</w:t>
            </w:r>
          </w:p>
          <w:p w14:paraId="70584B44" w14:textId="20A8F1B8" w:rsidR="0046650D" w:rsidRPr="00C40440" w:rsidRDefault="0046650D" w:rsidP="00C40440">
            <w:pPr>
              <w:spacing w:after="0" w:line="240" w:lineRule="auto"/>
              <w:ind w:right="261"/>
              <w:rPr>
                <w:rFonts w:ascii="Times New Roman" w:hAnsi="Times New Roman" w:cs="Times New Roman"/>
                <w:strike/>
                <w:color w:val="FF0000"/>
              </w:rPr>
            </w:pPr>
            <w:r w:rsidRPr="004C656B">
              <w:rPr>
                <w:rFonts w:ascii="Times New Roman" w:hAnsi="Times New Roman" w:cs="Times New Roman"/>
                <w:color w:val="FF0000"/>
              </w:rPr>
              <w:t xml:space="preserve">Prace na 500 </w:t>
            </w:r>
            <w:r w:rsidRPr="004C656B">
              <w:rPr>
                <w:rFonts w:ascii="Times New Roman" w:hAnsi="Times New Roman" w:cs="Times New Roman"/>
              </w:rPr>
              <w:t xml:space="preserve">km linii kolejowych, </w:t>
            </w:r>
            <w:r w:rsidRPr="004C656B">
              <w:rPr>
                <w:rFonts w:ascii="Times New Roman" w:hAnsi="Times New Roman" w:cs="Times New Roman"/>
                <w:color w:val="FF0000"/>
              </w:rPr>
              <w:t xml:space="preserve">z czego 250 km linii zostanie zrewitalizowanych </w:t>
            </w:r>
          </w:p>
          <w:p w14:paraId="3DD8442B" w14:textId="079BFE0D" w:rsidR="0046650D" w:rsidRPr="00C40440" w:rsidRDefault="00351A31" w:rsidP="00C40440">
            <w:pPr>
              <w:spacing w:line="240" w:lineRule="auto"/>
              <w:ind w:right="119"/>
              <w:rPr>
                <w:rFonts w:ascii="Times New Roman" w:hAnsi="Times New Roman" w:cs="Times New Roman"/>
                <w:i/>
              </w:rPr>
            </w:pPr>
            <w:r w:rsidRPr="00C40440">
              <w:rPr>
                <w:rFonts w:ascii="Times New Roman" w:hAnsi="Times New Roman" w:cs="Times New Roman"/>
                <w:i/>
              </w:rPr>
              <w:t xml:space="preserve">Cel: </w:t>
            </w:r>
            <w:r w:rsidR="0046650D" w:rsidRPr="00C40440">
              <w:rPr>
                <w:rFonts w:ascii="Times New Roman" w:hAnsi="Times New Roman" w:cs="Times New Roman"/>
                <w:color w:val="FF0000"/>
              </w:rPr>
              <w:t>500 km</w:t>
            </w:r>
          </w:p>
          <w:p w14:paraId="2CBBFFFC" w14:textId="77777777" w:rsidR="0046650D" w:rsidRPr="00C40440" w:rsidRDefault="0046650D">
            <w:pPr>
              <w:spacing w:after="0" w:line="240" w:lineRule="auto"/>
              <w:rPr>
                <w:rFonts w:ascii="Times New Roman" w:hAnsi="Times New Roman" w:cs="Times New Roman"/>
                <w:i/>
              </w:rPr>
            </w:pPr>
          </w:p>
          <w:p w14:paraId="42C59A53" w14:textId="68C0FEBF" w:rsidR="0046650D" w:rsidRPr="004C656B" w:rsidRDefault="0046650D" w:rsidP="00C40440">
            <w:pPr>
              <w:spacing w:after="0" w:line="240" w:lineRule="auto"/>
              <w:ind w:right="16"/>
              <w:rPr>
                <w:rFonts w:ascii="Times New Roman" w:hAnsi="Times New Roman" w:cs="Times New Roman"/>
                <w:color w:val="FF0000"/>
              </w:rPr>
            </w:pPr>
            <w:r w:rsidRPr="004C656B">
              <w:rPr>
                <w:rFonts w:ascii="Times New Roman" w:hAnsi="Times New Roman" w:cs="Times New Roman"/>
              </w:rPr>
              <w:t xml:space="preserve">Zakończenie prac </w:t>
            </w:r>
            <w:r w:rsidR="00351A31" w:rsidRPr="004C656B">
              <w:rPr>
                <w:rFonts w:ascii="Times New Roman" w:hAnsi="Times New Roman" w:cs="Times New Roman"/>
                <w:color w:val="FF0000"/>
              </w:rPr>
              <w:t xml:space="preserve">na </w:t>
            </w:r>
            <w:r w:rsidRPr="004C656B">
              <w:rPr>
                <w:rFonts w:ascii="Times New Roman" w:hAnsi="Times New Roman" w:cs="Times New Roman"/>
                <w:color w:val="FF0000"/>
              </w:rPr>
              <w:t>500 km linii kolejowych, z czego 250 km linii zostanie zrewitalizowanych.</w:t>
            </w:r>
          </w:p>
        </w:tc>
      </w:tr>
      <w:tr w:rsidR="0046650D" w:rsidRPr="00B47988" w14:paraId="00E8E895" w14:textId="77777777" w:rsidTr="00C40440">
        <w:tc>
          <w:tcPr>
            <w:tcW w:w="1249" w:type="pct"/>
            <w:vMerge/>
            <w:shd w:val="clear" w:color="auto" w:fill="FFFFFF" w:themeFill="background1"/>
          </w:tcPr>
          <w:p w14:paraId="6A01F197" w14:textId="77777777" w:rsidR="0046650D" w:rsidRPr="004C656B" w:rsidRDefault="0046650D" w:rsidP="00144E7D">
            <w:pPr>
              <w:spacing w:after="0" w:line="240" w:lineRule="auto"/>
              <w:rPr>
                <w:rFonts w:ascii="Times New Roman" w:hAnsi="Times New Roman" w:cs="Times New Roman"/>
              </w:rPr>
            </w:pPr>
          </w:p>
        </w:tc>
        <w:tc>
          <w:tcPr>
            <w:tcW w:w="1731" w:type="pct"/>
            <w:shd w:val="clear" w:color="auto" w:fill="FFFFFF" w:themeFill="background1"/>
          </w:tcPr>
          <w:p w14:paraId="679E1BD9" w14:textId="4EF9C884" w:rsidR="0046650D" w:rsidRPr="004C656B" w:rsidRDefault="0046650D">
            <w:pPr>
              <w:spacing w:after="0" w:line="240" w:lineRule="auto"/>
              <w:rPr>
                <w:rFonts w:ascii="Times New Roman" w:hAnsi="Times New Roman" w:cs="Times New Roman"/>
              </w:rPr>
            </w:pPr>
            <w:r w:rsidRPr="004C656B">
              <w:rPr>
                <w:rFonts w:ascii="Times New Roman" w:hAnsi="Times New Roman" w:cs="Times New Roman"/>
              </w:rPr>
              <w:t xml:space="preserve">Brak </w:t>
            </w:r>
          </w:p>
        </w:tc>
        <w:tc>
          <w:tcPr>
            <w:tcW w:w="2020" w:type="pct"/>
            <w:shd w:val="clear" w:color="auto" w:fill="FFFFFF" w:themeFill="background1"/>
          </w:tcPr>
          <w:p w14:paraId="74624638" w14:textId="727ACDDA" w:rsidR="0046650D" w:rsidRPr="00C40440" w:rsidRDefault="00351A31" w:rsidP="00C40440">
            <w:pPr>
              <w:spacing w:line="240" w:lineRule="auto"/>
              <w:ind w:right="151"/>
              <w:rPr>
                <w:rFonts w:ascii="Times New Roman" w:hAnsi="Times New Roman" w:cs="Times New Roman"/>
                <w:color w:val="FF0000"/>
              </w:rPr>
            </w:pPr>
            <w:r w:rsidRPr="00C40440">
              <w:rPr>
                <w:rFonts w:ascii="Times New Roman" w:hAnsi="Times New Roman" w:cs="Times New Roman"/>
                <w:color w:val="FF0000"/>
              </w:rPr>
              <w:t xml:space="preserve">Nowy wskaźnik: </w:t>
            </w:r>
          </w:p>
          <w:p w14:paraId="43B3835A" w14:textId="6C3820E0" w:rsidR="0046650D" w:rsidRPr="00C40440" w:rsidRDefault="0046650D" w:rsidP="00C40440">
            <w:pPr>
              <w:spacing w:line="240" w:lineRule="auto"/>
              <w:ind w:right="151"/>
              <w:rPr>
                <w:rFonts w:ascii="Times New Roman" w:hAnsi="Times New Roman" w:cs="Times New Roman"/>
              </w:rPr>
            </w:pPr>
            <w:r w:rsidRPr="00C40440">
              <w:rPr>
                <w:rFonts w:ascii="Times New Roman" w:hAnsi="Times New Roman" w:cs="Times New Roman"/>
                <w:color w:val="FF0000"/>
              </w:rPr>
              <w:t>E18aG Eliminacja 40 wąskich gardeł</w:t>
            </w:r>
          </w:p>
          <w:p w14:paraId="58C2FA92" w14:textId="405214CE" w:rsidR="0046650D" w:rsidRPr="00C40440" w:rsidRDefault="0046650D" w:rsidP="00C40440">
            <w:pPr>
              <w:spacing w:line="240" w:lineRule="auto"/>
              <w:ind w:right="151"/>
              <w:rPr>
                <w:rFonts w:ascii="Times New Roman" w:hAnsi="Times New Roman" w:cs="Times New Roman"/>
                <w:i/>
              </w:rPr>
            </w:pPr>
            <w:r w:rsidRPr="00C40440">
              <w:rPr>
                <w:rFonts w:ascii="Times New Roman" w:hAnsi="Times New Roman" w:cs="Times New Roman"/>
                <w:i/>
              </w:rPr>
              <w:t>Cel</w:t>
            </w:r>
          </w:p>
          <w:p w14:paraId="4D586A8F" w14:textId="77777777" w:rsidR="0046650D" w:rsidRPr="00C40440" w:rsidRDefault="0046650D" w:rsidP="00C40440">
            <w:pPr>
              <w:spacing w:after="0" w:line="240" w:lineRule="auto"/>
              <w:ind w:right="89"/>
              <w:rPr>
                <w:rFonts w:ascii="Times New Roman" w:hAnsi="Times New Roman" w:cs="Times New Roman"/>
                <w:color w:val="FF0000"/>
              </w:rPr>
            </w:pPr>
            <w:r w:rsidRPr="00C40440">
              <w:rPr>
                <w:rFonts w:ascii="Times New Roman" w:hAnsi="Times New Roman" w:cs="Times New Roman"/>
                <w:color w:val="FF0000"/>
              </w:rPr>
              <w:t>40 wąskich gardeł (włączając przejazdy)</w:t>
            </w:r>
          </w:p>
          <w:p w14:paraId="53FCBCC0" w14:textId="77777777" w:rsidR="0046650D" w:rsidRPr="00C40440" w:rsidRDefault="0046650D" w:rsidP="00C40440">
            <w:pPr>
              <w:spacing w:after="0" w:line="240" w:lineRule="auto"/>
              <w:ind w:left="66" w:right="89"/>
              <w:rPr>
                <w:rFonts w:ascii="Times New Roman" w:hAnsi="Times New Roman" w:cs="Times New Roman"/>
                <w:color w:val="FF0000"/>
              </w:rPr>
            </w:pPr>
          </w:p>
          <w:p w14:paraId="7E636308" w14:textId="5F629D35" w:rsidR="0046650D" w:rsidRPr="00C40440" w:rsidRDefault="00351A31" w:rsidP="00C40440">
            <w:pPr>
              <w:spacing w:line="240" w:lineRule="auto"/>
              <w:rPr>
                <w:rFonts w:ascii="Times New Roman" w:hAnsi="Times New Roman" w:cs="Times New Roman"/>
                <w:color w:val="FF0000"/>
              </w:rPr>
            </w:pPr>
            <w:r w:rsidRPr="00C40440">
              <w:rPr>
                <w:rFonts w:ascii="Times New Roman" w:hAnsi="Times New Roman" w:cs="Times New Roman"/>
                <w:iCs/>
              </w:rPr>
              <w:t xml:space="preserve">Termin realizacji: </w:t>
            </w:r>
            <w:r w:rsidR="00B94F64" w:rsidRPr="00C40440">
              <w:rPr>
                <w:rFonts w:ascii="Times New Roman" w:hAnsi="Times New Roman" w:cs="Times New Roman"/>
                <w:color w:val="FF0000"/>
              </w:rPr>
              <w:t xml:space="preserve">II kw. </w:t>
            </w:r>
            <w:r w:rsidR="0046650D" w:rsidRPr="00C40440">
              <w:rPr>
                <w:rFonts w:ascii="Times New Roman" w:hAnsi="Times New Roman" w:cs="Times New Roman"/>
                <w:color w:val="FF0000"/>
              </w:rPr>
              <w:t>2026</w:t>
            </w:r>
            <w:r w:rsidR="00B94F64" w:rsidRPr="00C40440">
              <w:rPr>
                <w:rFonts w:ascii="Times New Roman" w:hAnsi="Times New Roman" w:cs="Times New Roman"/>
                <w:color w:val="FF0000"/>
              </w:rPr>
              <w:t>r.</w:t>
            </w:r>
          </w:p>
          <w:p w14:paraId="45DB1607" w14:textId="77777777" w:rsidR="0046650D" w:rsidRPr="00C40440" w:rsidRDefault="0046650D" w:rsidP="00C40440">
            <w:pPr>
              <w:spacing w:after="0" w:line="240" w:lineRule="auto"/>
              <w:ind w:right="89"/>
              <w:rPr>
                <w:rFonts w:ascii="Times New Roman" w:hAnsi="Times New Roman" w:cs="Times New Roman"/>
                <w:color w:val="FF0000"/>
              </w:rPr>
            </w:pPr>
            <w:r w:rsidRPr="00C40440">
              <w:rPr>
                <w:rFonts w:ascii="Times New Roman" w:hAnsi="Times New Roman" w:cs="Times New Roman"/>
                <w:color w:val="FF0000"/>
              </w:rPr>
              <w:t xml:space="preserve">Ukończenie prac – 40 wąskich gardeł zostanie usuniętych w tym przejazdy kolejowe w zakresie montażu automatycznie sterowanych urządzeń zabezpieczających, towarzyszących pracom na liniach kolejowych. </w:t>
            </w:r>
          </w:p>
        </w:tc>
      </w:tr>
      <w:tr w:rsidR="00351A31" w:rsidRPr="00A26E88" w14:paraId="52B13179" w14:textId="77777777" w:rsidTr="00C40440">
        <w:tc>
          <w:tcPr>
            <w:tcW w:w="1249" w:type="pct"/>
            <w:shd w:val="clear" w:color="auto" w:fill="FFFFFF" w:themeFill="background1"/>
          </w:tcPr>
          <w:p w14:paraId="4B745438" w14:textId="77777777" w:rsidR="0046650D" w:rsidRPr="004C656B" w:rsidRDefault="0046650D">
            <w:pPr>
              <w:spacing w:after="0" w:line="240" w:lineRule="auto"/>
              <w:rPr>
                <w:rFonts w:ascii="Times New Roman" w:hAnsi="Times New Roman" w:cs="Times New Roman"/>
              </w:rPr>
            </w:pPr>
            <w:r w:rsidRPr="004C656B">
              <w:rPr>
                <w:rFonts w:ascii="Times New Roman" w:hAnsi="Times New Roman" w:cs="Times New Roman"/>
              </w:rPr>
              <w:t>Uzasadnienie</w:t>
            </w:r>
          </w:p>
        </w:tc>
        <w:tc>
          <w:tcPr>
            <w:tcW w:w="3751" w:type="pct"/>
            <w:gridSpan w:val="2"/>
            <w:shd w:val="clear" w:color="auto" w:fill="FFFFFF" w:themeFill="background1"/>
          </w:tcPr>
          <w:p w14:paraId="48CFB7FE" w14:textId="6535E267" w:rsidR="0046650D" w:rsidRPr="004C656B" w:rsidRDefault="0046650D" w:rsidP="00C40440">
            <w:pPr>
              <w:spacing w:after="120" w:line="240" w:lineRule="auto"/>
              <w:ind w:left="-5"/>
              <w:rPr>
                <w:rFonts w:ascii="Times New Roman" w:hAnsi="Times New Roman" w:cs="Times New Roman"/>
              </w:rPr>
            </w:pPr>
            <w:r w:rsidRPr="004C656B">
              <w:rPr>
                <w:rFonts w:ascii="Times New Roman" w:hAnsi="Times New Roman" w:cs="Times New Roman"/>
              </w:rPr>
              <w:t xml:space="preserve">W ramach realizacji inwestycji </w:t>
            </w:r>
            <w:r w:rsidRPr="00C40440">
              <w:rPr>
                <w:rFonts w:ascii="Times New Roman" w:hAnsi="Times New Roman" w:cs="Times New Roman"/>
                <w:iCs/>
              </w:rPr>
              <w:t>E2.1.1. Linie kolejowe</w:t>
            </w:r>
            <w:r w:rsidRPr="004C656B">
              <w:rPr>
                <w:rFonts w:ascii="Times New Roman" w:hAnsi="Times New Roman" w:cs="Times New Roman"/>
                <w:i/>
              </w:rPr>
              <w:t xml:space="preserve"> </w:t>
            </w:r>
            <w:r w:rsidRPr="004C656B">
              <w:rPr>
                <w:rFonts w:ascii="Times New Roman" w:hAnsi="Times New Roman" w:cs="Times New Roman"/>
              </w:rPr>
              <w:t xml:space="preserve">finansowanej ze środków KPO podjęto decyzję o ujednoliceniu wskaźnika w celu ułatwienia jego realizacji jak również sprawozdawanie z jego wykonania. Proponuje się zmianę z dotychczas zapisanej modernizacji 478 km linii kolejowych w tym 300 km do standardów TEN-T oraz elektryfikacji (wraz ze szczegółowymi </w:t>
            </w:r>
            <w:proofErr w:type="spellStart"/>
            <w:r w:rsidRPr="004C656B">
              <w:rPr>
                <w:rFonts w:ascii="Times New Roman" w:hAnsi="Times New Roman" w:cs="Times New Roman"/>
              </w:rPr>
              <w:t>podwskaźnikami</w:t>
            </w:r>
            <w:proofErr w:type="spellEnd"/>
            <w:r w:rsidRPr="004C656B">
              <w:rPr>
                <w:rFonts w:ascii="Times New Roman" w:hAnsi="Times New Roman" w:cs="Times New Roman"/>
              </w:rPr>
              <w:t>) na uproszczony zapis mówiący o zakończeniu prac na 500 km linii kolejowych, w tym 250 km linii będzie zrewitalizowanych. Przede wszystkim należy podkreślić</w:t>
            </w:r>
            <w:r w:rsidR="00351A31" w:rsidRPr="004C656B">
              <w:rPr>
                <w:rFonts w:ascii="Times New Roman" w:hAnsi="Times New Roman" w:cs="Times New Roman"/>
              </w:rPr>
              <w:t>,</w:t>
            </w:r>
            <w:r w:rsidRPr="004C656B">
              <w:rPr>
                <w:rFonts w:ascii="Times New Roman" w:hAnsi="Times New Roman" w:cs="Times New Roman"/>
              </w:rPr>
              <w:t xml:space="preserve"> iż wprowadzona zmiana jest zgodna z dotychczas stosowanym zapisem w ramach kamienia milowego dotyczącego linii kolejowych, w innych krajach UE, stanowi zatem ujednolicenie zapisów RRF wobec wszystkich państw członkowskich. Zmienione podejście pozwoli na bardziej przejrzystą kontrolę wykonania kamienia milowego. Powyższa zmiana ułatwi także realizację wskaźnika, który dodatkowo uległ zwiększeniu z 478 km na 500 km. Odstąpienie od szczegółowych </w:t>
            </w:r>
            <w:proofErr w:type="spellStart"/>
            <w:r w:rsidRPr="004C656B">
              <w:rPr>
                <w:rFonts w:ascii="Times New Roman" w:hAnsi="Times New Roman" w:cs="Times New Roman"/>
              </w:rPr>
              <w:t>podwskaźników</w:t>
            </w:r>
            <w:proofErr w:type="spellEnd"/>
            <w:r w:rsidRPr="004C656B">
              <w:rPr>
                <w:rFonts w:ascii="Times New Roman" w:hAnsi="Times New Roman" w:cs="Times New Roman"/>
              </w:rPr>
              <w:t xml:space="preserve"> pozwoli na łatwiejszy wybór linii kolejowych, które mogą zostać poddane modernizacji lub rewitalizacji.</w:t>
            </w:r>
          </w:p>
          <w:p w14:paraId="63D26855" w14:textId="77777777" w:rsidR="0046650D" w:rsidRPr="00C40440" w:rsidRDefault="0046650D" w:rsidP="00C40440">
            <w:pPr>
              <w:spacing w:after="120" w:line="240" w:lineRule="auto"/>
              <w:jc w:val="both"/>
              <w:rPr>
                <w:rFonts w:ascii="Times New Roman" w:hAnsi="Times New Roman" w:cs="Times New Roman"/>
              </w:rPr>
            </w:pPr>
            <w:r w:rsidRPr="00C40440">
              <w:rPr>
                <w:rFonts w:ascii="Times New Roman" w:hAnsi="Times New Roman" w:cs="Times New Roman"/>
              </w:rPr>
              <w:t xml:space="preserve">Modernizacja to zwiększenie parametrów </w:t>
            </w:r>
            <w:proofErr w:type="spellStart"/>
            <w:r w:rsidRPr="00C40440">
              <w:rPr>
                <w:rFonts w:ascii="Times New Roman" w:hAnsi="Times New Roman" w:cs="Times New Roman"/>
              </w:rPr>
              <w:t>techniczno</w:t>
            </w:r>
            <w:proofErr w:type="spellEnd"/>
            <w:r w:rsidRPr="00C40440">
              <w:rPr>
                <w:rFonts w:ascii="Times New Roman" w:hAnsi="Times New Roman" w:cs="Times New Roman"/>
              </w:rPr>
              <w:t>–eksploatacyjnych odcinków linii kolejowych powyżej obecnych i przeszłych parametrów. W efekcie modernizacji linii uzyskuje się skrócenie czasu podróży, zwiększenie dopuszczalnych nacisków, poprawę stanu infrastruktury pasażerskiej, zwiększenie przepustowości linii lub zmniejszenie kosztów eksploatacji.</w:t>
            </w:r>
          </w:p>
          <w:p w14:paraId="19F975A6" w14:textId="77777777" w:rsidR="0046650D" w:rsidRPr="00C40440" w:rsidRDefault="0046650D" w:rsidP="00C40440">
            <w:pPr>
              <w:spacing w:after="120" w:line="240" w:lineRule="auto"/>
              <w:jc w:val="both"/>
              <w:rPr>
                <w:rFonts w:ascii="Times New Roman" w:hAnsi="Times New Roman" w:cs="Times New Roman"/>
              </w:rPr>
            </w:pPr>
            <w:r w:rsidRPr="00C40440">
              <w:rPr>
                <w:rFonts w:ascii="Times New Roman" w:hAnsi="Times New Roman" w:cs="Times New Roman"/>
              </w:rPr>
              <w:t xml:space="preserve">Rewitalizacja natomiast to przywrócenie maksymalnych istniejących w przeszłości parametrów techniczno-eksploatacyjnych linii przy jednoczesnym wykorzystaniu nowoczesnych rozwiązań technicznych niedostępnych w czasie poprzednio realizowanych na danej linii inwestycji. W efekcie rewitalizacji linii uzyskuje się przywrócenie dawniej osiąganych </w:t>
            </w:r>
            <w:r w:rsidRPr="00C40440">
              <w:rPr>
                <w:rFonts w:ascii="Times New Roman" w:hAnsi="Times New Roman" w:cs="Times New Roman"/>
              </w:rPr>
              <w:lastRenderedPageBreak/>
              <w:t>czasów podróży i dopuszczalnych nacisków, poprawę stanu infrastruktury pasażerskiej, przywrócenie wyższej przepustowości linii oraz zmniejszenie kosztów eksploatacji.  </w:t>
            </w:r>
          </w:p>
          <w:p w14:paraId="122322F2" w14:textId="77777777" w:rsidR="0046650D" w:rsidRPr="00C40440" w:rsidRDefault="0046650D" w:rsidP="00C40440">
            <w:pPr>
              <w:spacing w:after="120" w:line="240" w:lineRule="auto"/>
              <w:ind w:left="-5"/>
              <w:jc w:val="both"/>
              <w:rPr>
                <w:rFonts w:ascii="Times New Roman" w:hAnsi="Times New Roman" w:cs="Times New Roman"/>
              </w:rPr>
            </w:pPr>
            <w:r w:rsidRPr="004C656B">
              <w:rPr>
                <w:rFonts w:ascii="Times New Roman" w:hAnsi="Times New Roman" w:cs="Times New Roman"/>
              </w:rPr>
              <w:t xml:space="preserve">Dodatkowo zasadnym wydaje się dodanie wskaźnika E18aG wskazującego zaplanowane do wykonania 40 likwidacji wąskich gardeł </w:t>
            </w:r>
            <w:r w:rsidRPr="00C40440">
              <w:rPr>
                <w:rFonts w:ascii="Times New Roman" w:hAnsi="Times New Roman" w:cs="Times New Roman"/>
              </w:rPr>
              <w:t xml:space="preserve">przez które należy rozumieć projekty punktowe polegające na budowie bądź przebudowie wyróżniających się obniżoną przepustowością elementów infrastruktury np.: stacji, mijanek, obiektów inżynieryjnych, urządzeń sterowania ruchem w celu likwidacji ograniczeń eksploatacyjnych i w efekcie zwiększenia przepustowości na większym fragmencie linii lub sieci. Likwidacja wąskich gardeł może polegać m.in. na: dobudowie mijanek, torów stacyjnych lub krawędzi peronowych, budowie blokady liniowej, automatycznych posterunków </w:t>
            </w:r>
            <w:proofErr w:type="spellStart"/>
            <w:r w:rsidRPr="00C40440">
              <w:rPr>
                <w:rFonts w:ascii="Times New Roman" w:hAnsi="Times New Roman" w:cs="Times New Roman"/>
              </w:rPr>
              <w:t>odstępowych</w:t>
            </w:r>
            <w:proofErr w:type="spellEnd"/>
            <w:r w:rsidRPr="00C40440">
              <w:rPr>
                <w:rFonts w:ascii="Times New Roman" w:hAnsi="Times New Roman" w:cs="Times New Roman"/>
              </w:rPr>
              <w:t xml:space="preserve"> czy bezkolizyjnych skrzyżowań torów. Również wymiana urządzeń przejazdowych na nowszej generacji wpływa na poprawę przepustowości linii kolejowej poprzez eliminowanie konieczności wprowadzania czasowych ograniczeń prędkości.</w:t>
            </w:r>
          </w:p>
          <w:p w14:paraId="4FA6F27B" w14:textId="76FF1467" w:rsidR="0046650D" w:rsidRPr="00C40440" w:rsidRDefault="0046650D" w:rsidP="00C40440">
            <w:pPr>
              <w:spacing w:after="120" w:line="240" w:lineRule="auto"/>
              <w:rPr>
                <w:rFonts w:ascii="Times New Roman" w:hAnsi="Times New Roman" w:cs="Times New Roman"/>
              </w:rPr>
            </w:pPr>
            <w:r w:rsidRPr="004C656B">
              <w:rPr>
                <w:rFonts w:ascii="Times New Roman" w:hAnsi="Times New Roman" w:cs="Times New Roman"/>
              </w:rPr>
              <w:t xml:space="preserve">Dotychczas zadania związane z likwidacją wąskich gardeł były zapisane w ramach treści KPO jednak nie miały one odzwierciedlenia w ramach CID, co utrudniało zrobienie </w:t>
            </w:r>
            <w:proofErr w:type="spellStart"/>
            <w:r w:rsidRPr="004C656B">
              <w:rPr>
                <w:rFonts w:ascii="Times New Roman" w:hAnsi="Times New Roman" w:cs="Times New Roman"/>
              </w:rPr>
              <w:t>costingu</w:t>
            </w:r>
            <w:proofErr w:type="spellEnd"/>
            <w:r w:rsidRPr="004C656B">
              <w:rPr>
                <w:rFonts w:ascii="Times New Roman" w:hAnsi="Times New Roman" w:cs="Times New Roman"/>
              </w:rPr>
              <w:t xml:space="preserve"> dla linii kolejowych, jak również utrudniało sprawozdawanie z realizowanych zadań. Nieujmowania </w:t>
            </w:r>
            <w:r w:rsidRPr="00C40440">
              <w:rPr>
                <w:rFonts w:ascii="Times New Roman" w:hAnsi="Times New Roman" w:cs="Times New Roman"/>
              </w:rPr>
              <w:t xml:space="preserve">powyższego jako </w:t>
            </w:r>
            <w:r w:rsidRPr="004C656B">
              <w:rPr>
                <w:rFonts w:ascii="Times New Roman" w:hAnsi="Times New Roman" w:cs="Times New Roman"/>
              </w:rPr>
              <w:t>wskaźnika nie było właściwym podejściem i rodziło wiele wątpliwości.</w:t>
            </w:r>
          </w:p>
        </w:tc>
      </w:tr>
      <w:tr w:rsidR="0046650D" w:rsidRPr="00B47988" w14:paraId="21618575" w14:textId="77777777" w:rsidTr="00C40440">
        <w:tc>
          <w:tcPr>
            <w:tcW w:w="1249" w:type="pct"/>
            <w:shd w:val="clear" w:color="auto" w:fill="FFFFFF" w:themeFill="background1"/>
          </w:tcPr>
          <w:p w14:paraId="72C3D229"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lastRenderedPageBreak/>
              <w:t>Szacowany koszt</w:t>
            </w:r>
          </w:p>
        </w:tc>
        <w:tc>
          <w:tcPr>
            <w:tcW w:w="3751" w:type="pct"/>
            <w:gridSpan w:val="2"/>
            <w:shd w:val="clear" w:color="auto" w:fill="FFFFFF" w:themeFill="background1"/>
          </w:tcPr>
          <w:p w14:paraId="5D625B9D" w14:textId="32BEB80B" w:rsidR="0046650D" w:rsidRPr="00B47988" w:rsidRDefault="00EB2612">
            <w:pPr>
              <w:spacing w:after="0" w:line="240" w:lineRule="auto"/>
              <w:rPr>
                <w:rFonts w:ascii="Times New Roman" w:hAnsi="Times New Roman" w:cs="Times New Roman"/>
              </w:rPr>
            </w:pPr>
            <w:r w:rsidRPr="003B4E6E">
              <w:rPr>
                <w:rFonts w:ascii="Times New Roman" w:hAnsi="Times New Roman" w:cs="Times New Roman"/>
              </w:rPr>
              <w:t xml:space="preserve">Zmiana nie ma wpływu na szacowany koszt </w:t>
            </w:r>
          </w:p>
        </w:tc>
      </w:tr>
      <w:tr w:rsidR="0046650D" w:rsidRPr="00A26E88" w14:paraId="30044C70" w14:textId="77777777" w:rsidTr="00C40440">
        <w:tc>
          <w:tcPr>
            <w:tcW w:w="1249" w:type="pct"/>
            <w:shd w:val="clear" w:color="auto" w:fill="FFFFFF" w:themeFill="background1"/>
          </w:tcPr>
          <w:p w14:paraId="354990CD"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Cyfrowy i klimatyczny </w:t>
            </w:r>
            <w:proofErr w:type="spellStart"/>
            <w:r w:rsidRPr="00B47988">
              <w:rPr>
                <w:rFonts w:ascii="Times New Roman" w:hAnsi="Times New Roman" w:cs="Times New Roman"/>
              </w:rPr>
              <w:t>tagging</w:t>
            </w:r>
            <w:proofErr w:type="spellEnd"/>
            <w:r w:rsidRPr="00B47988">
              <w:rPr>
                <w:rFonts w:ascii="Times New Roman" w:hAnsi="Times New Roman" w:cs="Times New Roman"/>
              </w:rPr>
              <w:t xml:space="preserve"> </w:t>
            </w:r>
          </w:p>
        </w:tc>
        <w:tc>
          <w:tcPr>
            <w:tcW w:w="3751" w:type="pct"/>
            <w:gridSpan w:val="2"/>
            <w:shd w:val="clear" w:color="auto" w:fill="FFFFFF" w:themeFill="background1"/>
          </w:tcPr>
          <w:p w14:paraId="75D60ED7" w14:textId="15B628F7" w:rsidR="0046650D" w:rsidRPr="00C40440" w:rsidRDefault="0046650D" w:rsidP="00C40440">
            <w:pPr>
              <w:spacing w:line="240" w:lineRule="auto"/>
              <w:jc w:val="both"/>
            </w:pPr>
            <w:r w:rsidRPr="00B47988">
              <w:rPr>
                <w:rFonts w:ascii="Times New Roman" w:hAnsi="Times New Roman" w:cs="Times New Roman"/>
              </w:rPr>
              <w:t xml:space="preserve">Proponowane zmiany mogą mieć wpływ na zmniejszenie kwoty objętej </w:t>
            </w:r>
            <w:proofErr w:type="spellStart"/>
            <w:r w:rsidRPr="00B47988">
              <w:rPr>
                <w:rFonts w:ascii="Times New Roman" w:hAnsi="Times New Roman" w:cs="Times New Roman"/>
              </w:rPr>
              <w:t>taggingiem</w:t>
            </w:r>
            <w:proofErr w:type="spellEnd"/>
            <w:r w:rsidRPr="00B47988">
              <w:rPr>
                <w:rFonts w:ascii="Times New Roman" w:hAnsi="Times New Roman" w:cs="Times New Roman"/>
              </w:rPr>
              <w:t xml:space="preserve">.  </w:t>
            </w:r>
            <w:r w:rsidRPr="0046650D">
              <w:rPr>
                <w:rFonts w:ascii="Times New Roman" w:hAnsi="Times New Roman" w:cs="Times New Roman"/>
              </w:rPr>
              <w:t xml:space="preserve">Część linii kolejowych będzie mieć obniżony marker ze 100 % do 40%. </w:t>
            </w:r>
            <w:r w:rsidRPr="00C40440">
              <w:rPr>
                <w:rFonts w:ascii="Times New Roman" w:hAnsi="Times New Roman" w:cs="Times New Roman"/>
              </w:rPr>
              <w:t>Zmiany powodują zmniejszenie kwoty objętej markerem 100% do ok. 86% wartości.</w:t>
            </w:r>
          </w:p>
        </w:tc>
      </w:tr>
      <w:tr w:rsidR="0046650D" w:rsidRPr="00351A31" w14:paraId="499D9E60" w14:textId="77777777" w:rsidTr="00C40440">
        <w:tc>
          <w:tcPr>
            <w:tcW w:w="1249" w:type="pct"/>
            <w:tcBorders>
              <w:bottom w:val="single" w:sz="4" w:space="0" w:color="auto"/>
            </w:tcBorders>
            <w:shd w:val="clear" w:color="auto" w:fill="FFFFFF" w:themeFill="background1"/>
          </w:tcPr>
          <w:p w14:paraId="2FF521C1"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Zasada DNSH </w:t>
            </w:r>
          </w:p>
        </w:tc>
        <w:tc>
          <w:tcPr>
            <w:tcW w:w="3751" w:type="pct"/>
            <w:gridSpan w:val="2"/>
            <w:tcBorders>
              <w:bottom w:val="single" w:sz="4" w:space="0" w:color="auto"/>
            </w:tcBorders>
            <w:shd w:val="clear" w:color="auto" w:fill="FFFFFF" w:themeFill="background1"/>
          </w:tcPr>
          <w:p w14:paraId="6CA679DA" w14:textId="23F8AEB7" w:rsidR="0046650D" w:rsidRPr="00C40440" w:rsidRDefault="00351A31">
            <w:pPr>
              <w:spacing w:after="0" w:line="240" w:lineRule="auto"/>
              <w:rPr>
                <w:rFonts w:ascii="Times New Roman" w:hAnsi="Times New Roman" w:cs="Times New Roman"/>
              </w:rPr>
            </w:pPr>
            <w:r>
              <w:rPr>
                <w:rFonts w:ascii="Times New Roman" w:hAnsi="Times New Roman" w:cs="Times New Roman"/>
              </w:rPr>
              <w:t>Zmiana nie ma wpływu na DNSH</w:t>
            </w:r>
          </w:p>
        </w:tc>
      </w:tr>
      <w:tr w:rsidR="0046650D" w:rsidRPr="00B47988" w14:paraId="0E96981F" w14:textId="77777777" w:rsidTr="00C40440">
        <w:tc>
          <w:tcPr>
            <w:tcW w:w="1249" w:type="pct"/>
            <w:tcBorders>
              <w:bottom w:val="single" w:sz="4" w:space="0" w:color="auto"/>
            </w:tcBorders>
            <w:shd w:val="clear" w:color="auto" w:fill="FFFFFF" w:themeFill="background1"/>
          </w:tcPr>
          <w:p w14:paraId="3ED19E38"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Pomoc publiczna </w:t>
            </w:r>
          </w:p>
        </w:tc>
        <w:tc>
          <w:tcPr>
            <w:tcW w:w="3751" w:type="pct"/>
            <w:gridSpan w:val="2"/>
            <w:tcBorders>
              <w:bottom w:val="single" w:sz="4" w:space="0" w:color="auto"/>
            </w:tcBorders>
            <w:shd w:val="clear" w:color="auto" w:fill="FFFFFF" w:themeFill="background1"/>
          </w:tcPr>
          <w:p w14:paraId="0AAF9FEA" w14:textId="1914E726"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Nie dotyczy</w:t>
            </w:r>
          </w:p>
        </w:tc>
      </w:tr>
    </w:tbl>
    <w:p w14:paraId="42569502" w14:textId="77777777" w:rsidR="0046650D" w:rsidRDefault="0046650D" w:rsidP="00C40440">
      <w:pPr>
        <w:spacing w:line="240" w:lineRule="auto"/>
        <w:rPr>
          <w:rFonts w:ascii="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4"/>
        <w:gridCol w:w="3137"/>
        <w:gridCol w:w="3661"/>
      </w:tblGrid>
      <w:tr w:rsidR="0046650D" w:rsidRPr="00B47988" w14:paraId="26B692DA" w14:textId="77777777" w:rsidTr="00C40440">
        <w:tc>
          <w:tcPr>
            <w:tcW w:w="1249" w:type="pct"/>
            <w:shd w:val="clear" w:color="auto" w:fill="FFFFFF" w:themeFill="background1"/>
          </w:tcPr>
          <w:p w14:paraId="0E9F4CF7" w14:textId="77777777" w:rsidR="0046650D" w:rsidRPr="00B47988" w:rsidRDefault="0046650D">
            <w:pPr>
              <w:spacing w:after="0" w:line="240" w:lineRule="auto"/>
              <w:rPr>
                <w:rFonts w:ascii="Times New Roman" w:hAnsi="Times New Roman" w:cs="Times New Roman"/>
                <w:b/>
                <w:bCs/>
              </w:rPr>
            </w:pPr>
            <w:r w:rsidRPr="00B47988">
              <w:rPr>
                <w:rFonts w:ascii="Times New Roman" w:hAnsi="Times New Roman" w:cs="Times New Roman"/>
                <w:b/>
                <w:bCs/>
              </w:rPr>
              <w:t>Numer inwestycji</w:t>
            </w:r>
          </w:p>
        </w:tc>
        <w:tc>
          <w:tcPr>
            <w:tcW w:w="3751" w:type="pct"/>
            <w:gridSpan w:val="2"/>
            <w:shd w:val="clear" w:color="auto" w:fill="FFFFFF" w:themeFill="background1"/>
          </w:tcPr>
          <w:p w14:paraId="10584E0A" w14:textId="2DB2C810" w:rsidR="0046650D" w:rsidRPr="00B47988" w:rsidRDefault="0046650D" w:rsidP="00C40440">
            <w:pPr>
              <w:pStyle w:val="Akapitzlist"/>
              <w:spacing w:line="240" w:lineRule="auto"/>
              <w:ind w:left="0" w:firstLine="21"/>
              <w:rPr>
                <w:b/>
                <w:bCs/>
                <w:sz w:val="22"/>
                <w:szCs w:val="22"/>
              </w:rPr>
            </w:pPr>
            <w:r w:rsidRPr="00B47988">
              <w:rPr>
                <w:b/>
                <w:bCs/>
                <w:sz w:val="22"/>
                <w:szCs w:val="22"/>
              </w:rPr>
              <w:t>E2.1.2</w:t>
            </w:r>
            <w:r w:rsidR="00351A31">
              <w:rPr>
                <w:b/>
                <w:bCs/>
                <w:sz w:val="22"/>
                <w:szCs w:val="22"/>
              </w:rPr>
              <w:t>.</w:t>
            </w:r>
            <w:r w:rsidRPr="00B47988">
              <w:rPr>
                <w:b/>
                <w:bCs/>
                <w:sz w:val="22"/>
                <w:szCs w:val="22"/>
              </w:rPr>
              <w:t xml:space="preserve"> </w:t>
            </w:r>
          </w:p>
        </w:tc>
      </w:tr>
      <w:tr w:rsidR="0046650D" w:rsidRPr="00B47988" w14:paraId="5BB1E086" w14:textId="77777777" w:rsidTr="00C40440">
        <w:tc>
          <w:tcPr>
            <w:tcW w:w="1249" w:type="pct"/>
          </w:tcPr>
          <w:p w14:paraId="452C7808" w14:textId="77777777" w:rsidR="0046650D" w:rsidRPr="00B47988" w:rsidRDefault="0046650D" w:rsidP="00C40440">
            <w:pPr>
              <w:pStyle w:val="Akapitzlist"/>
              <w:spacing w:line="240" w:lineRule="auto"/>
              <w:ind w:left="0"/>
              <w:rPr>
                <w:b/>
                <w:bCs/>
                <w:sz w:val="22"/>
                <w:szCs w:val="22"/>
              </w:rPr>
            </w:pPr>
            <w:r w:rsidRPr="00B47988">
              <w:rPr>
                <w:b/>
                <w:bCs/>
                <w:sz w:val="22"/>
                <w:szCs w:val="22"/>
              </w:rPr>
              <w:t xml:space="preserve">Nazwa inwestycji </w:t>
            </w:r>
          </w:p>
        </w:tc>
        <w:tc>
          <w:tcPr>
            <w:tcW w:w="3751" w:type="pct"/>
            <w:gridSpan w:val="2"/>
          </w:tcPr>
          <w:p w14:paraId="31B08382" w14:textId="51F45C0B" w:rsidR="0046650D" w:rsidRPr="004E65B1" w:rsidRDefault="0046650D" w:rsidP="00C40440">
            <w:pPr>
              <w:pStyle w:val="Akapitzlist"/>
              <w:spacing w:line="240" w:lineRule="auto"/>
              <w:ind w:left="-24"/>
            </w:pPr>
            <w:r w:rsidRPr="00B47988">
              <w:rPr>
                <w:b/>
                <w:bCs/>
                <w:sz w:val="22"/>
                <w:szCs w:val="22"/>
              </w:rPr>
              <w:t>Pasażerski tabor kolejowy</w:t>
            </w:r>
          </w:p>
        </w:tc>
      </w:tr>
      <w:tr w:rsidR="0046650D" w:rsidRPr="003733FD" w14:paraId="386F50C1" w14:textId="77777777" w:rsidTr="00C40440">
        <w:tc>
          <w:tcPr>
            <w:tcW w:w="1249" w:type="pct"/>
          </w:tcPr>
          <w:p w14:paraId="51FF6DC3" w14:textId="77777777" w:rsidR="0046650D" w:rsidRPr="00B47988" w:rsidRDefault="0046650D" w:rsidP="00C40440">
            <w:pPr>
              <w:pStyle w:val="Akapitzlist"/>
              <w:spacing w:line="240" w:lineRule="auto"/>
              <w:ind w:left="67"/>
              <w:rPr>
                <w:sz w:val="22"/>
                <w:szCs w:val="22"/>
              </w:rPr>
            </w:pPr>
            <w:r w:rsidRPr="00B47988">
              <w:rPr>
                <w:sz w:val="22"/>
                <w:szCs w:val="22"/>
              </w:rPr>
              <w:t>Rodzaj wprowadzonej zmiany w odniesieniu do CID</w:t>
            </w:r>
          </w:p>
        </w:tc>
        <w:tc>
          <w:tcPr>
            <w:tcW w:w="3751" w:type="pct"/>
            <w:gridSpan w:val="2"/>
          </w:tcPr>
          <w:p w14:paraId="032EE0B6" w14:textId="2D51A16B" w:rsidR="0046650D" w:rsidRPr="004E65B1" w:rsidRDefault="00351A31" w:rsidP="00C40440">
            <w:pPr>
              <w:pStyle w:val="Akapitzlist"/>
              <w:spacing w:line="240" w:lineRule="auto"/>
              <w:ind w:left="67"/>
            </w:pPr>
            <w:r>
              <w:rPr>
                <w:sz w:val="22"/>
                <w:szCs w:val="22"/>
              </w:rPr>
              <w:t>Modyfikacja</w:t>
            </w:r>
            <w:r w:rsidR="0046650D" w:rsidRPr="00B47988">
              <w:rPr>
                <w:sz w:val="22"/>
                <w:szCs w:val="22"/>
              </w:rPr>
              <w:t xml:space="preserve"> opisu oraz </w:t>
            </w:r>
            <w:r>
              <w:rPr>
                <w:sz w:val="22"/>
                <w:szCs w:val="22"/>
              </w:rPr>
              <w:t xml:space="preserve">zmiana </w:t>
            </w:r>
            <w:r w:rsidR="0046650D" w:rsidRPr="00B47988">
              <w:rPr>
                <w:sz w:val="22"/>
                <w:szCs w:val="22"/>
              </w:rPr>
              <w:t xml:space="preserve">wartości wskaźnika E19aG oraz wartości początkowej </w:t>
            </w:r>
            <w:r>
              <w:rPr>
                <w:sz w:val="22"/>
                <w:szCs w:val="22"/>
              </w:rPr>
              <w:t xml:space="preserve">wskaźnika </w:t>
            </w:r>
            <w:r w:rsidR="0046650D" w:rsidRPr="00B47988">
              <w:rPr>
                <w:sz w:val="22"/>
                <w:szCs w:val="22"/>
              </w:rPr>
              <w:t xml:space="preserve">E20G. </w:t>
            </w:r>
            <w:r>
              <w:rPr>
                <w:sz w:val="22"/>
                <w:szCs w:val="22"/>
              </w:rPr>
              <w:t xml:space="preserve">Przesunięcie terminu realizacji wskaźnika </w:t>
            </w:r>
            <w:r w:rsidR="0046650D" w:rsidRPr="00351A31">
              <w:rPr>
                <w:sz w:val="22"/>
                <w:szCs w:val="22"/>
              </w:rPr>
              <w:t xml:space="preserve">E19G </w:t>
            </w:r>
          </w:p>
        </w:tc>
      </w:tr>
      <w:tr w:rsidR="0046650D" w:rsidRPr="00B47988" w14:paraId="64E63BF0" w14:textId="77777777" w:rsidTr="00C40440">
        <w:tc>
          <w:tcPr>
            <w:tcW w:w="1249" w:type="pct"/>
            <w:shd w:val="clear" w:color="auto" w:fill="FFFFFF" w:themeFill="background1"/>
          </w:tcPr>
          <w:p w14:paraId="2179BD28" w14:textId="77777777" w:rsidR="0046650D" w:rsidRPr="00B47988" w:rsidRDefault="0046650D" w:rsidP="00C40440">
            <w:pPr>
              <w:pStyle w:val="Akapitzlist"/>
              <w:spacing w:line="240" w:lineRule="auto"/>
              <w:ind w:left="67"/>
              <w:rPr>
                <w:sz w:val="22"/>
                <w:szCs w:val="22"/>
              </w:rPr>
            </w:pPr>
            <w:r w:rsidRPr="00B47988">
              <w:rPr>
                <w:sz w:val="22"/>
                <w:szCs w:val="22"/>
              </w:rPr>
              <w:t>Podstawa prawna zmiany</w:t>
            </w:r>
          </w:p>
        </w:tc>
        <w:tc>
          <w:tcPr>
            <w:tcW w:w="3751" w:type="pct"/>
            <w:gridSpan w:val="2"/>
            <w:shd w:val="clear" w:color="auto" w:fill="FFFFFF" w:themeFill="background1"/>
          </w:tcPr>
          <w:p w14:paraId="565A651F" w14:textId="350FC756" w:rsidR="0046650D" w:rsidRPr="00B47988" w:rsidRDefault="00351A31">
            <w:pPr>
              <w:spacing w:after="0" w:line="240" w:lineRule="auto"/>
              <w:rPr>
                <w:rFonts w:ascii="Times New Roman" w:hAnsi="Times New Roman" w:cs="Times New Roman"/>
              </w:rPr>
            </w:pPr>
            <w:r w:rsidRPr="003B4E6E">
              <w:rPr>
                <w:rFonts w:ascii="Times New Roman" w:hAnsi="Times New Roman" w:cs="Times New Roman"/>
              </w:rPr>
              <w:t>art. 21 rozporządzenia Parlamentu Europejskiego i Rady (UE) 2021/241 z dnia 12 lutego 2021 r. ustanawiające Instrument na rzecz Odbudowy i Zwiększania Odporności</w:t>
            </w:r>
            <w:r w:rsidRPr="003B4E6E" w:rsidDel="00A106E1">
              <w:rPr>
                <w:rFonts w:ascii="Times New Roman" w:hAnsi="Times New Roman" w:cs="Times New Roman"/>
              </w:rPr>
              <w:t xml:space="preserve"> </w:t>
            </w:r>
          </w:p>
        </w:tc>
      </w:tr>
      <w:tr w:rsidR="0046650D" w:rsidRPr="00B47988" w14:paraId="3523D62C" w14:textId="77777777" w:rsidTr="00C40440">
        <w:tc>
          <w:tcPr>
            <w:tcW w:w="1249" w:type="pct"/>
            <w:shd w:val="clear" w:color="auto" w:fill="D9D9D9" w:themeFill="background1" w:themeFillShade="D9"/>
          </w:tcPr>
          <w:p w14:paraId="6F9652AE" w14:textId="77777777" w:rsidR="0046650D" w:rsidRPr="00B47988" w:rsidRDefault="0046650D">
            <w:pPr>
              <w:spacing w:after="0" w:line="240" w:lineRule="auto"/>
              <w:rPr>
                <w:rFonts w:ascii="Times New Roman" w:hAnsi="Times New Roman" w:cs="Times New Roman"/>
                <w:highlight w:val="lightGray"/>
              </w:rPr>
            </w:pPr>
            <w:r w:rsidRPr="00B47988">
              <w:rPr>
                <w:rFonts w:ascii="Times New Roman" w:hAnsi="Times New Roman" w:cs="Times New Roman"/>
                <w:highlight w:val="lightGray"/>
              </w:rPr>
              <w:t>Modyfikowany element</w:t>
            </w:r>
          </w:p>
        </w:tc>
        <w:tc>
          <w:tcPr>
            <w:tcW w:w="1731" w:type="pct"/>
            <w:shd w:val="clear" w:color="auto" w:fill="D9D9D9" w:themeFill="background1" w:themeFillShade="D9"/>
          </w:tcPr>
          <w:p w14:paraId="74EEDE03" w14:textId="77777777" w:rsidR="0046650D" w:rsidRPr="00B47988" w:rsidRDefault="0046650D">
            <w:pPr>
              <w:spacing w:after="0" w:line="240" w:lineRule="auto"/>
              <w:jc w:val="center"/>
              <w:rPr>
                <w:rFonts w:ascii="Times New Roman" w:hAnsi="Times New Roman" w:cs="Times New Roman"/>
                <w:highlight w:val="lightGray"/>
              </w:rPr>
            </w:pPr>
            <w:r w:rsidRPr="00B47988">
              <w:rPr>
                <w:rFonts w:ascii="Times New Roman" w:hAnsi="Times New Roman" w:cs="Times New Roman"/>
                <w:highlight w:val="lightGray"/>
              </w:rPr>
              <w:t>Wersja aktualna</w:t>
            </w:r>
          </w:p>
        </w:tc>
        <w:tc>
          <w:tcPr>
            <w:tcW w:w="2020" w:type="pct"/>
            <w:shd w:val="clear" w:color="auto" w:fill="D9D9D9" w:themeFill="background1" w:themeFillShade="D9"/>
          </w:tcPr>
          <w:p w14:paraId="0AC7FC39" w14:textId="77777777" w:rsidR="0046650D" w:rsidRPr="00B47988" w:rsidRDefault="0046650D">
            <w:pPr>
              <w:spacing w:after="0" w:line="240" w:lineRule="auto"/>
              <w:jc w:val="center"/>
              <w:rPr>
                <w:rFonts w:ascii="Times New Roman" w:hAnsi="Times New Roman" w:cs="Times New Roman"/>
                <w:highlight w:val="lightGray"/>
              </w:rPr>
            </w:pPr>
            <w:r w:rsidRPr="00B47988">
              <w:rPr>
                <w:rFonts w:ascii="Times New Roman" w:hAnsi="Times New Roman" w:cs="Times New Roman"/>
                <w:highlight w:val="lightGray"/>
              </w:rPr>
              <w:t>Wersja zmieniona</w:t>
            </w:r>
          </w:p>
        </w:tc>
      </w:tr>
      <w:tr w:rsidR="0046650D" w:rsidRPr="00B47988" w14:paraId="2BFE4FB2" w14:textId="77777777" w:rsidTr="00C40440">
        <w:tc>
          <w:tcPr>
            <w:tcW w:w="1249" w:type="pct"/>
          </w:tcPr>
          <w:p w14:paraId="3ADC2A0E"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Opis kamienia milowego lub wskaźnika.</w:t>
            </w:r>
          </w:p>
        </w:tc>
        <w:tc>
          <w:tcPr>
            <w:tcW w:w="1731" w:type="pct"/>
          </w:tcPr>
          <w:p w14:paraId="3E4406F6" w14:textId="77777777" w:rsidR="0046650D" w:rsidRPr="00C40440" w:rsidRDefault="0046650D">
            <w:pPr>
              <w:spacing w:after="0" w:line="240" w:lineRule="auto"/>
              <w:rPr>
                <w:rFonts w:ascii="Times New Roman" w:hAnsi="Times New Roman" w:cs="Times New Roman"/>
              </w:rPr>
            </w:pPr>
            <w:r w:rsidRPr="00C40440">
              <w:rPr>
                <w:rFonts w:ascii="Times New Roman" w:hAnsi="Times New Roman" w:cs="Times New Roman"/>
              </w:rPr>
              <w:t>E19G</w:t>
            </w:r>
          </w:p>
          <w:p w14:paraId="72D4778B" w14:textId="5FEB721C" w:rsidR="0046650D" w:rsidRPr="00C40440" w:rsidRDefault="004E65B1">
            <w:pPr>
              <w:spacing w:after="0" w:line="240" w:lineRule="auto"/>
              <w:rPr>
                <w:rFonts w:ascii="Times New Roman" w:hAnsi="Times New Roman" w:cs="Times New Roman"/>
              </w:rPr>
            </w:pPr>
            <w:r w:rsidRPr="00C40440">
              <w:rPr>
                <w:rFonts w:ascii="Times New Roman" w:hAnsi="Times New Roman" w:cs="Times New Roman"/>
                <w:iCs/>
              </w:rPr>
              <w:t xml:space="preserve">Termin realizacji: </w:t>
            </w:r>
            <w:r w:rsidRPr="00C40440">
              <w:rPr>
                <w:rFonts w:ascii="Times New Roman" w:hAnsi="Times New Roman" w:cs="Times New Roman"/>
              </w:rPr>
              <w:t xml:space="preserve">I kw. </w:t>
            </w:r>
            <w:r w:rsidR="0046650D" w:rsidRPr="00C40440">
              <w:rPr>
                <w:rFonts w:ascii="Times New Roman" w:hAnsi="Times New Roman" w:cs="Times New Roman"/>
              </w:rPr>
              <w:t>2024</w:t>
            </w:r>
            <w:r w:rsidRPr="00C40440">
              <w:rPr>
                <w:rFonts w:ascii="Times New Roman" w:hAnsi="Times New Roman" w:cs="Times New Roman"/>
              </w:rPr>
              <w:t>r.</w:t>
            </w:r>
          </w:p>
          <w:p w14:paraId="08044CC9" w14:textId="77777777" w:rsidR="00925D57" w:rsidRPr="00C40440" w:rsidRDefault="00925D57">
            <w:pPr>
              <w:spacing w:after="0" w:line="240" w:lineRule="auto"/>
              <w:rPr>
                <w:rFonts w:ascii="Times New Roman" w:hAnsi="Times New Roman" w:cs="Times New Roman"/>
              </w:rPr>
            </w:pPr>
          </w:p>
          <w:p w14:paraId="418E1382" w14:textId="77777777" w:rsidR="0046650D" w:rsidRPr="00B47988" w:rsidRDefault="0046650D" w:rsidP="00C40440">
            <w:pPr>
              <w:pStyle w:val="Akapitzlist"/>
              <w:spacing w:line="240" w:lineRule="auto"/>
              <w:ind w:left="0"/>
              <w:rPr>
                <w:sz w:val="22"/>
                <w:szCs w:val="22"/>
              </w:rPr>
            </w:pPr>
            <w:r w:rsidRPr="00B47988">
              <w:rPr>
                <w:sz w:val="22"/>
                <w:szCs w:val="22"/>
              </w:rPr>
              <w:t>(…) podpisane zostaną umowy na dostawę 71 jednostek zeroemisyjnego/elektrycznego (…)</w:t>
            </w:r>
          </w:p>
          <w:p w14:paraId="028F2B96" w14:textId="77777777" w:rsidR="0046650D" w:rsidRPr="00B47988" w:rsidRDefault="0046650D" w:rsidP="00C40440">
            <w:pPr>
              <w:pStyle w:val="Akapitzlist"/>
              <w:spacing w:line="240" w:lineRule="auto"/>
              <w:ind w:left="0"/>
              <w:rPr>
                <w:sz w:val="22"/>
                <w:szCs w:val="22"/>
              </w:rPr>
            </w:pPr>
          </w:p>
          <w:p w14:paraId="4987C64D" w14:textId="77777777" w:rsidR="0046650D" w:rsidRPr="00C40440" w:rsidRDefault="0046650D" w:rsidP="00C40440">
            <w:pPr>
              <w:pStyle w:val="Akapitzlist"/>
              <w:spacing w:line="240" w:lineRule="auto"/>
              <w:ind w:left="0"/>
              <w:rPr>
                <w:sz w:val="22"/>
                <w:szCs w:val="22"/>
              </w:rPr>
            </w:pPr>
            <w:r w:rsidRPr="00C40440">
              <w:rPr>
                <w:sz w:val="22"/>
                <w:szCs w:val="22"/>
              </w:rPr>
              <w:t>E19aG</w:t>
            </w:r>
          </w:p>
          <w:p w14:paraId="78CF4346" w14:textId="3FE6BC76" w:rsidR="0046650D" w:rsidRPr="00B47988" w:rsidRDefault="0046650D" w:rsidP="00C40440">
            <w:pPr>
              <w:pStyle w:val="Akapitzlist"/>
              <w:spacing w:line="240" w:lineRule="auto"/>
              <w:ind w:left="0"/>
              <w:rPr>
                <w:i/>
                <w:sz w:val="22"/>
                <w:szCs w:val="22"/>
              </w:rPr>
            </w:pPr>
            <w:r w:rsidRPr="00B47988">
              <w:rPr>
                <w:i/>
                <w:sz w:val="22"/>
                <w:szCs w:val="22"/>
              </w:rPr>
              <w:t>Cel</w:t>
            </w:r>
          </w:p>
          <w:p w14:paraId="4254DA54" w14:textId="77777777" w:rsidR="0046650D" w:rsidRPr="00C40440" w:rsidRDefault="0046650D" w:rsidP="00C40440">
            <w:pPr>
              <w:spacing w:after="0" w:line="240" w:lineRule="auto"/>
              <w:ind w:left="-6"/>
              <w:rPr>
                <w:rFonts w:ascii="Times New Roman" w:hAnsi="Times New Roman" w:cs="Times New Roman"/>
              </w:rPr>
            </w:pPr>
            <w:r w:rsidRPr="00C40440">
              <w:rPr>
                <w:rFonts w:ascii="Times New Roman" w:hAnsi="Times New Roman" w:cs="Times New Roman"/>
              </w:rPr>
              <w:lastRenderedPageBreak/>
              <w:t>199 </w:t>
            </w:r>
          </w:p>
          <w:p w14:paraId="2A682C11" w14:textId="77777777" w:rsidR="0046650D" w:rsidRPr="00B47988" w:rsidRDefault="0046650D" w:rsidP="00C40440">
            <w:pPr>
              <w:spacing w:after="0" w:line="240" w:lineRule="auto"/>
              <w:rPr>
                <w:rFonts w:ascii="Times New Roman" w:hAnsi="Times New Roman" w:cs="Times New Roman"/>
              </w:rPr>
            </w:pPr>
            <w:r w:rsidRPr="00B47988">
              <w:rPr>
                <w:rFonts w:ascii="Times New Roman" w:hAnsi="Times New Roman" w:cs="Times New Roman"/>
              </w:rPr>
              <w:t>Dostawa 16 nowych lokomotyw i 183 zmodernizowanych wagonów przeznaczonych na linie długodystansowe.</w:t>
            </w:r>
          </w:p>
          <w:p w14:paraId="796F5533" w14:textId="77777777" w:rsidR="0046650D" w:rsidRPr="00B47988" w:rsidRDefault="0046650D" w:rsidP="00C40440">
            <w:pPr>
              <w:spacing w:after="0" w:line="240" w:lineRule="auto"/>
              <w:rPr>
                <w:rFonts w:ascii="Times New Roman" w:hAnsi="Times New Roman" w:cs="Times New Roman"/>
              </w:rPr>
            </w:pPr>
          </w:p>
          <w:p w14:paraId="3F247B3D" w14:textId="77777777" w:rsidR="0046650D" w:rsidRPr="00C40440" w:rsidRDefault="0046650D" w:rsidP="00C40440">
            <w:pPr>
              <w:spacing w:after="0" w:line="240" w:lineRule="auto"/>
              <w:ind w:left="-6"/>
              <w:rPr>
                <w:rFonts w:ascii="Times New Roman" w:hAnsi="Times New Roman" w:cs="Times New Roman"/>
              </w:rPr>
            </w:pPr>
            <w:r w:rsidRPr="00C40440">
              <w:rPr>
                <w:rFonts w:ascii="Times New Roman" w:hAnsi="Times New Roman" w:cs="Times New Roman"/>
              </w:rPr>
              <w:t>E20G</w:t>
            </w:r>
          </w:p>
          <w:p w14:paraId="7598BAC8" w14:textId="3FCEAB55" w:rsidR="0046650D" w:rsidRPr="00C40440" w:rsidRDefault="0046650D" w:rsidP="00C40440">
            <w:pPr>
              <w:spacing w:after="0" w:line="240" w:lineRule="auto"/>
              <w:ind w:left="-6"/>
              <w:rPr>
                <w:rFonts w:ascii="Times New Roman" w:hAnsi="Times New Roman" w:cs="Times New Roman"/>
                <w:i/>
              </w:rPr>
            </w:pPr>
            <w:r w:rsidRPr="00C40440">
              <w:rPr>
                <w:rFonts w:ascii="Times New Roman" w:hAnsi="Times New Roman" w:cs="Times New Roman"/>
                <w:i/>
              </w:rPr>
              <w:t>Poziom bazowy</w:t>
            </w:r>
          </w:p>
          <w:p w14:paraId="7F4292DF" w14:textId="77777777" w:rsidR="0046650D" w:rsidRPr="00C40440" w:rsidRDefault="0046650D" w:rsidP="00C40440">
            <w:pPr>
              <w:spacing w:after="0" w:line="240" w:lineRule="auto"/>
              <w:ind w:left="-6"/>
              <w:rPr>
                <w:rFonts w:ascii="Times New Roman" w:hAnsi="Times New Roman" w:cs="Times New Roman"/>
              </w:rPr>
            </w:pPr>
            <w:r w:rsidRPr="00C40440">
              <w:rPr>
                <w:rFonts w:ascii="Times New Roman" w:hAnsi="Times New Roman" w:cs="Times New Roman"/>
              </w:rPr>
              <w:t xml:space="preserve">199 </w:t>
            </w:r>
          </w:p>
          <w:p w14:paraId="4FBF0B3F" w14:textId="77777777" w:rsidR="0046650D" w:rsidRPr="00C40440" w:rsidRDefault="0046650D" w:rsidP="00C40440">
            <w:pPr>
              <w:spacing w:after="0" w:line="240" w:lineRule="auto"/>
              <w:rPr>
                <w:rFonts w:ascii="Times New Roman" w:hAnsi="Times New Roman" w:cs="Times New Roman"/>
              </w:rPr>
            </w:pPr>
          </w:p>
          <w:p w14:paraId="6F1F3F15" w14:textId="77777777" w:rsidR="0046650D" w:rsidRPr="00B47988" w:rsidRDefault="0046650D" w:rsidP="00C40440">
            <w:pPr>
              <w:spacing w:after="0" w:line="240" w:lineRule="auto"/>
              <w:ind w:left="-6"/>
              <w:rPr>
                <w:rFonts w:ascii="Times New Roman" w:hAnsi="Times New Roman" w:cs="Times New Roman"/>
              </w:rPr>
            </w:pPr>
            <w:r w:rsidRPr="00B47988">
              <w:rPr>
                <w:rFonts w:ascii="Times New Roman" w:hAnsi="Times New Roman" w:cs="Times New Roman"/>
              </w:rPr>
              <w:t>Liczba dostarczonych nowych jednostek taboru dla ruchu dalekobieżnego i regionalnego. Tabor zeroemisyjny/elektryczny, zgodny z zasadami DNSH (np. zeroemisyjny) i wyposażony w ERTMS: 77 jednostek dla linii regionalnych i 304 jednostki (56 nowych lokomotyw i 248 zmodernizowanych wagonów) dla linii dalekobieżnych (w ramach zamówień publicznych na usługi ). Tabor zostaje przekazany właściwemu organowi lub następnemu operatorowi (po cenie rynkowej po odliczeniu pomocy) po zakończeniu umowy o świadczenie usług publicznych.</w:t>
            </w:r>
          </w:p>
        </w:tc>
        <w:tc>
          <w:tcPr>
            <w:tcW w:w="2020" w:type="pct"/>
          </w:tcPr>
          <w:p w14:paraId="278B0571" w14:textId="5245798A" w:rsidR="0046650D" w:rsidRDefault="0046650D">
            <w:pPr>
              <w:pStyle w:val="Akapitzlist"/>
              <w:spacing w:line="240" w:lineRule="auto"/>
              <w:ind w:left="55" w:hanging="55"/>
              <w:rPr>
                <w:sz w:val="22"/>
                <w:szCs w:val="22"/>
              </w:rPr>
            </w:pPr>
            <w:r w:rsidRPr="00C40440">
              <w:rPr>
                <w:sz w:val="22"/>
                <w:szCs w:val="22"/>
              </w:rPr>
              <w:lastRenderedPageBreak/>
              <w:t>E19G</w:t>
            </w:r>
          </w:p>
          <w:p w14:paraId="4E548F67" w14:textId="5415EDD1" w:rsidR="004E65B1" w:rsidRPr="00C40440" w:rsidRDefault="004E65B1" w:rsidP="00C40440">
            <w:pPr>
              <w:pStyle w:val="Akapitzlist"/>
              <w:spacing w:line="240" w:lineRule="auto"/>
              <w:ind w:left="55" w:hanging="55"/>
              <w:rPr>
                <w:sz w:val="22"/>
                <w:szCs w:val="22"/>
              </w:rPr>
            </w:pPr>
            <w:r>
              <w:rPr>
                <w:sz w:val="22"/>
                <w:szCs w:val="22"/>
              </w:rPr>
              <w:t xml:space="preserve">Termin realizacji: </w:t>
            </w:r>
            <w:r w:rsidRPr="00C40440">
              <w:rPr>
                <w:color w:val="FF0000"/>
                <w:sz w:val="22"/>
                <w:szCs w:val="22"/>
              </w:rPr>
              <w:t>IV k</w:t>
            </w:r>
            <w:r>
              <w:rPr>
                <w:sz w:val="22"/>
                <w:szCs w:val="22"/>
              </w:rPr>
              <w:t>w. 2024r.</w:t>
            </w:r>
          </w:p>
          <w:p w14:paraId="238FB496" w14:textId="316A9F64" w:rsidR="0046650D" w:rsidRPr="00B47988" w:rsidRDefault="0046650D" w:rsidP="00C40440">
            <w:pPr>
              <w:pStyle w:val="Akapitzlist"/>
              <w:spacing w:line="240" w:lineRule="auto"/>
              <w:ind w:left="55" w:hanging="55"/>
              <w:rPr>
                <w:sz w:val="22"/>
                <w:szCs w:val="22"/>
              </w:rPr>
            </w:pPr>
            <w:r w:rsidRPr="00B47988">
              <w:rPr>
                <w:sz w:val="22"/>
                <w:szCs w:val="22"/>
              </w:rPr>
              <w:t xml:space="preserve">(…) podpisane zostaną umowy na dostawę </w:t>
            </w:r>
            <w:r w:rsidRPr="00B47988">
              <w:rPr>
                <w:color w:val="FF0000"/>
                <w:sz w:val="22"/>
                <w:szCs w:val="22"/>
              </w:rPr>
              <w:t>77</w:t>
            </w:r>
            <w:r w:rsidRPr="00B47988">
              <w:rPr>
                <w:sz w:val="22"/>
                <w:szCs w:val="22"/>
              </w:rPr>
              <w:t xml:space="preserve"> jednostek zeroemisyjnego/elektrycznego (…)</w:t>
            </w:r>
          </w:p>
          <w:p w14:paraId="5B0F9B1C" w14:textId="77777777" w:rsidR="0046650D" w:rsidRPr="00B47988" w:rsidRDefault="0046650D" w:rsidP="00C40440">
            <w:pPr>
              <w:pStyle w:val="Akapitzlist"/>
              <w:spacing w:line="240" w:lineRule="auto"/>
              <w:ind w:left="55" w:hanging="55"/>
              <w:rPr>
                <w:sz w:val="22"/>
                <w:szCs w:val="22"/>
              </w:rPr>
            </w:pPr>
          </w:p>
          <w:p w14:paraId="00BE58FE" w14:textId="77777777" w:rsidR="0046650D" w:rsidRPr="00C40440" w:rsidRDefault="0046650D" w:rsidP="00C40440">
            <w:pPr>
              <w:pStyle w:val="Akapitzlist"/>
              <w:spacing w:line="240" w:lineRule="auto"/>
              <w:ind w:left="55" w:hanging="55"/>
              <w:rPr>
                <w:sz w:val="22"/>
                <w:szCs w:val="22"/>
              </w:rPr>
            </w:pPr>
            <w:r w:rsidRPr="00C40440">
              <w:rPr>
                <w:sz w:val="22"/>
                <w:szCs w:val="22"/>
              </w:rPr>
              <w:t>E19aG</w:t>
            </w:r>
          </w:p>
          <w:p w14:paraId="2168B741" w14:textId="62718935" w:rsidR="0046650D" w:rsidRPr="00C40440" w:rsidRDefault="0046650D" w:rsidP="00C40440">
            <w:pPr>
              <w:spacing w:line="240" w:lineRule="auto"/>
              <w:rPr>
                <w:i/>
              </w:rPr>
            </w:pPr>
            <w:r w:rsidRPr="00C40440">
              <w:rPr>
                <w:rFonts w:ascii="Times New Roman" w:hAnsi="Times New Roman" w:cs="Times New Roman"/>
                <w:i/>
              </w:rPr>
              <w:t>Cel</w:t>
            </w:r>
          </w:p>
          <w:p w14:paraId="494B0E2F" w14:textId="5C9973EC" w:rsidR="0046650D" w:rsidRPr="00C40440" w:rsidRDefault="0046650D" w:rsidP="00C40440">
            <w:pPr>
              <w:spacing w:after="0" w:line="240" w:lineRule="auto"/>
              <w:ind w:left="-6"/>
              <w:rPr>
                <w:rFonts w:ascii="Times New Roman" w:hAnsi="Times New Roman" w:cs="Times New Roman"/>
                <w:color w:val="FF0000"/>
              </w:rPr>
            </w:pPr>
            <w:r w:rsidRPr="00C40440">
              <w:rPr>
                <w:rFonts w:ascii="Times New Roman" w:hAnsi="Times New Roman" w:cs="Times New Roman"/>
                <w:color w:val="FF0000"/>
              </w:rPr>
              <w:t>160</w:t>
            </w:r>
          </w:p>
          <w:p w14:paraId="73E74A75" w14:textId="570A0ECD" w:rsidR="0046650D" w:rsidRPr="00B47988" w:rsidRDefault="0046650D" w:rsidP="00C40440">
            <w:pPr>
              <w:spacing w:after="0" w:line="240" w:lineRule="auto"/>
              <w:rPr>
                <w:rFonts w:ascii="Times New Roman" w:hAnsi="Times New Roman" w:cs="Times New Roman"/>
              </w:rPr>
            </w:pPr>
            <w:r w:rsidRPr="00B47988">
              <w:rPr>
                <w:rFonts w:ascii="Times New Roman" w:hAnsi="Times New Roman" w:cs="Times New Roman"/>
              </w:rPr>
              <w:lastRenderedPageBreak/>
              <w:t xml:space="preserve">Dostawa </w:t>
            </w:r>
            <w:r w:rsidRPr="00B47988">
              <w:rPr>
                <w:rFonts w:ascii="Times New Roman" w:hAnsi="Times New Roman" w:cs="Times New Roman"/>
                <w:color w:val="FF0000"/>
              </w:rPr>
              <w:t xml:space="preserve">10 </w:t>
            </w:r>
            <w:r w:rsidRPr="00B47988">
              <w:rPr>
                <w:rFonts w:ascii="Times New Roman" w:hAnsi="Times New Roman" w:cs="Times New Roman"/>
              </w:rPr>
              <w:t xml:space="preserve">nowych lokomotyw i </w:t>
            </w:r>
            <w:r w:rsidRPr="00B47988">
              <w:rPr>
                <w:rFonts w:ascii="Times New Roman" w:hAnsi="Times New Roman" w:cs="Times New Roman"/>
                <w:color w:val="FF0000"/>
              </w:rPr>
              <w:t xml:space="preserve">150 </w:t>
            </w:r>
            <w:r w:rsidRPr="00B47988">
              <w:rPr>
                <w:rFonts w:ascii="Times New Roman" w:hAnsi="Times New Roman" w:cs="Times New Roman"/>
              </w:rPr>
              <w:t>zmodernizowanych wagonów przeznaczonych na linie długodystansowe.</w:t>
            </w:r>
          </w:p>
          <w:p w14:paraId="0B206371" w14:textId="77777777" w:rsidR="0046650D" w:rsidRPr="00B47988" w:rsidRDefault="0046650D" w:rsidP="00C40440">
            <w:pPr>
              <w:spacing w:after="0" w:line="240" w:lineRule="auto"/>
              <w:rPr>
                <w:rFonts w:ascii="Times New Roman" w:hAnsi="Times New Roman" w:cs="Times New Roman"/>
              </w:rPr>
            </w:pPr>
          </w:p>
          <w:p w14:paraId="7493A01E" w14:textId="77777777" w:rsidR="0046650D" w:rsidRPr="00C40440" w:rsidRDefault="0046650D" w:rsidP="00C40440">
            <w:pPr>
              <w:spacing w:after="0" w:line="240" w:lineRule="auto"/>
              <w:ind w:left="-6"/>
              <w:rPr>
                <w:rFonts w:ascii="Times New Roman" w:hAnsi="Times New Roman" w:cs="Times New Roman"/>
              </w:rPr>
            </w:pPr>
            <w:r w:rsidRPr="00C40440">
              <w:rPr>
                <w:rFonts w:ascii="Times New Roman" w:hAnsi="Times New Roman" w:cs="Times New Roman"/>
              </w:rPr>
              <w:t>E20G</w:t>
            </w:r>
          </w:p>
          <w:p w14:paraId="5E729655" w14:textId="37E6C310" w:rsidR="0046650D" w:rsidRPr="00C40440" w:rsidRDefault="0046650D" w:rsidP="00C40440">
            <w:pPr>
              <w:spacing w:after="0" w:line="240" w:lineRule="auto"/>
              <w:ind w:left="-6"/>
              <w:rPr>
                <w:rFonts w:ascii="Times New Roman" w:hAnsi="Times New Roman" w:cs="Times New Roman"/>
                <w:i/>
              </w:rPr>
            </w:pPr>
            <w:r w:rsidRPr="00C40440">
              <w:rPr>
                <w:rFonts w:ascii="Times New Roman" w:hAnsi="Times New Roman" w:cs="Times New Roman"/>
                <w:i/>
              </w:rPr>
              <w:t>Poziom bazowy</w:t>
            </w:r>
          </w:p>
          <w:p w14:paraId="6CFE2965" w14:textId="70136EA7" w:rsidR="0046650D" w:rsidRPr="00C40440" w:rsidRDefault="0046650D" w:rsidP="00C40440">
            <w:pPr>
              <w:spacing w:after="0" w:line="240" w:lineRule="auto"/>
              <w:ind w:left="-6"/>
              <w:rPr>
                <w:rFonts w:ascii="Times New Roman" w:hAnsi="Times New Roman" w:cs="Times New Roman"/>
                <w:color w:val="FF0000"/>
              </w:rPr>
            </w:pPr>
            <w:r w:rsidRPr="00C40440">
              <w:rPr>
                <w:rFonts w:ascii="Times New Roman" w:hAnsi="Times New Roman" w:cs="Times New Roman"/>
                <w:color w:val="FF0000"/>
              </w:rPr>
              <w:t>160</w:t>
            </w:r>
          </w:p>
          <w:p w14:paraId="39479AF9" w14:textId="77777777" w:rsidR="0046650D" w:rsidRPr="00C40440" w:rsidRDefault="0046650D" w:rsidP="00C40440">
            <w:pPr>
              <w:spacing w:after="0" w:line="240" w:lineRule="auto"/>
              <w:rPr>
                <w:rFonts w:ascii="Times New Roman" w:hAnsi="Times New Roman" w:cs="Times New Roman"/>
              </w:rPr>
            </w:pPr>
          </w:p>
          <w:p w14:paraId="0B11267D" w14:textId="77777777" w:rsidR="0046650D" w:rsidRPr="00B47988" w:rsidRDefault="0046650D" w:rsidP="00C40440">
            <w:pPr>
              <w:spacing w:after="0" w:line="240" w:lineRule="auto"/>
              <w:ind w:left="-6"/>
              <w:rPr>
                <w:rFonts w:ascii="Times New Roman" w:hAnsi="Times New Roman" w:cs="Times New Roman"/>
                <w:color w:val="FF0000"/>
              </w:rPr>
            </w:pPr>
            <w:r w:rsidRPr="00B47988">
              <w:rPr>
                <w:rFonts w:ascii="Times New Roman" w:hAnsi="Times New Roman" w:cs="Times New Roman"/>
              </w:rPr>
              <w:t xml:space="preserve">Liczba dostarczonych nowych jednostek taboru dla ruchu dalekobieżnego i regionalnego. Tabor zeroemisyjny/elektryczny, zgodny z zasadami DNSH (np. zeroemisyjny) i wyposażony w ERTMS: 77 jednostek dla linii regionalnych </w:t>
            </w:r>
            <w:r w:rsidRPr="00B47988">
              <w:rPr>
                <w:rFonts w:ascii="Times New Roman" w:hAnsi="Times New Roman" w:cs="Times New Roman"/>
                <w:color w:val="FF0000"/>
              </w:rPr>
              <w:t xml:space="preserve">(30 sztuk dostarczonych i podpisanie umów na dostawę 47 sztuk) </w:t>
            </w:r>
            <w:r w:rsidRPr="00B47988">
              <w:rPr>
                <w:rFonts w:ascii="Times New Roman" w:hAnsi="Times New Roman" w:cs="Times New Roman"/>
              </w:rPr>
              <w:t>oraz 304 jednostki (56 nowych lokomotyw i 248 zmodernizowanych wagonów) dla linii dalekobieżnych (w ramach zamówień publicznych na usługi). Tabor zostaje przekazany właściwemu organowi lub następnemu operatorowi (po cenie rynkowej po odliczeniu pomocy) po zakończeniu umowy o świadczenie usług publicznych.</w:t>
            </w:r>
          </w:p>
        </w:tc>
      </w:tr>
      <w:tr w:rsidR="0046650D" w:rsidRPr="00A26E88" w14:paraId="4A7B231B" w14:textId="77777777" w:rsidTr="00C40440">
        <w:tc>
          <w:tcPr>
            <w:tcW w:w="1249" w:type="pct"/>
          </w:tcPr>
          <w:p w14:paraId="564421AD"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lastRenderedPageBreak/>
              <w:t>Uzasadnienie</w:t>
            </w:r>
          </w:p>
        </w:tc>
        <w:tc>
          <w:tcPr>
            <w:tcW w:w="3751" w:type="pct"/>
            <w:gridSpan w:val="2"/>
          </w:tcPr>
          <w:p w14:paraId="0ECCC4AA" w14:textId="0451052E" w:rsidR="0046650D" w:rsidRPr="00C40440" w:rsidRDefault="0046650D" w:rsidP="00C40440">
            <w:pPr>
              <w:spacing w:after="120" w:line="240" w:lineRule="auto"/>
              <w:rPr>
                <w:rFonts w:ascii="Times New Roman" w:hAnsi="Times New Roman" w:cs="Times New Roman"/>
              </w:rPr>
            </w:pPr>
            <w:r w:rsidRPr="004E26C6">
              <w:rPr>
                <w:rFonts w:ascii="Times New Roman" w:hAnsi="Times New Roman" w:cs="Times New Roman"/>
              </w:rPr>
              <w:t xml:space="preserve">W ramach taboru elektrycznego wyposażonego w ERTMS dla E19G proponuje się przesunięcie terminu na podpisanie kontraktów na </w:t>
            </w:r>
            <w:r w:rsidR="004E26C6">
              <w:rPr>
                <w:rFonts w:ascii="Times New Roman" w:hAnsi="Times New Roman" w:cs="Times New Roman"/>
              </w:rPr>
              <w:t>IV</w:t>
            </w:r>
            <w:r w:rsidRPr="004E26C6">
              <w:rPr>
                <w:rFonts w:ascii="Times New Roman" w:hAnsi="Times New Roman" w:cs="Times New Roman"/>
              </w:rPr>
              <w:t xml:space="preserve"> kwartał 2024 roku z uwagi na przyznaną, dodatkową alokację (z </w:t>
            </w:r>
            <w:proofErr w:type="spellStart"/>
            <w:r w:rsidRPr="004E26C6">
              <w:rPr>
                <w:rFonts w:ascii="Times New Roman" w:hAnsi="Times New Roman" w:cs="Times New Roman"/>
              </w:rPr>
              <w:t>offshorów</w:t>
            </w:r>
            <w:proofErr w:type="spellEnd"/>
            <w:r w:rsidRPr="004E26C6">
              <w:rPr>
                <w:rFonts w:ascii="Times New Roman" w:hAnsi="Times New Roman" w:cs="Times New Roman"/>
              </w:rPr>
              <w:t>)</w:t>
            </w:r>
            <w:r w:rsidR="004E26C6">
              <w:rPr>
                <w:rFonts w:ascii="Times New Roman" w:hAnsi="Times New Roman" w:cs="Times New Roman"/>
              </w:rPr>
              <w:t xml:space="preserve">, </w:t>
            </w:r>
            <w:r w:rsidRPr="004E26C6">
              <w:rPr>
                <w:rFonts w:ascii="Times New Roman" w:hAnsi="Times New Roman" w:cs="Times New Roman"/>
              </w:rPr>
              <w:t xml:space="preserve">która spowodowała konieczność zmian w regulaminie konkursu taborowego w związku z przyznaniem dodatkowych środków, co uniemożliwia jego rozstrzygnięcie. </w:t>
            </w:r>
            <w:r w:rsidRPr="00C40440">
              <w:rPr>
                <w:rFonts w:ascii="Times New Roman" w:hAnsi="Times New Roman" w:cs="Times New Roman"/>
              </w:rPr>
              <w:t>Dodatkowo zauważono, że w treści CID omyłkowo nie została zmieniona wartość w opisie wskaźnika E19G, uwzględniająca poczynione w trakcie rewizji uzgodnienia z KE w zakresie ilości taboru regionalnego.</w:t>
            </w:r>
          </w:p>
          <w:p w14:paraId="60A166ED" w14:textId="77777777" w:rsidR="0046650D" w:rsidRPr="004E26C6" w:rsidRDefault="0046650D" w:rsidP="00C40440">
            <w:pPr>
              <w:spacing w:after="120" w:line="240" w:lineRule="auto"/>
              <w:rPr>
                <w:rFonts w:ascii="Times New Roman" w:hAnsi="Times New Roman" w:cs="Times New Roman"/>
              </w:rPr>
            </w:pPr>
            <w:r w:rsidRPr="004E26C6">
              <w:rPr>
                <w:rFonts w:ascii="Times New Roman" w:hAnsi="Times New Roman" w:cs="Times New Roman"/>
              </w:rPr>
              <w:t>W ramach taboru elektrycznego wyposażonego w ERTMS dla E19aG proponuje się zmianę ze 199 jednostek na 160 jednostek z założeniem dostarczenia 10 nowych lokomotyw i 150 zmodernizowanych wagonów. Zmiana ta wynika z analizy PKP IC uzgodnionych już harmonogramów dostaw pojazdów od wykonawców realizowanych w ramach KPO kontraktów, przeprowadzeniu analizy ryzyka oraz biorąc pod uwagę fakt, że jeden z planowanych kontraktów nie został jeszcze zawarty. Umowa ta ma zostać zawarta w wyniku rozstrzygnięcia postępowania o udzielenie zamówienia sektorowego przeprowadzonego w trybie przetargu nieograniczonego na podstawie ustawy Prawo zamówień publicznych (numer referencyjny: 23/WNP-018977/TUT), opublikowanego w Dzienniku Urzędowym Unii Europejskiej nr 2023/S 147-468631 z dnia 02.08.2023 r.</w:t>
            </w:r>
          </w:p>
          <w:p w14:paraId="2AF682A4" w14:textId="3A4F10F6" w:rsidR="0046650D" w:rsidRPr="004E26C6" w:rsidRDefault="0046650D" w:rsidP="00C40440">
            <w:pPr>
              <w:spacing w:after="120" w:line="240" w:lineRule="auto"/>
              <w:rPr>
                <w:rFonts w:ascii="Times New Roman" w:hAnsi="Times New Roman" w:cs="Times New Roman"/>
              </w:rPr>
            </w:pPr>
            <w:r w:rsidRPr="004E26C6">
              <w:rPr>
                <w:rFonts w:ascii="Times New Roman" w:hAnsi="Times New Roman" w:cs="Times New Roman"/>
              </w:rPr>
              <w:t xml:space="preserve">Zawarcie umowy jest niemożliwe z uwagi na trwającą obligatoryjną kontrolę uprzednią Prezesa UZP dokumentacji postępowania, z powodu współfinansowania zamówienia ze środków UE. Zawarcie umowy nastąpi </w:t>
            </w:r>
            <w:r w:rsidRPr="004E26C6">
              <w:rPr>
                <w:rFonts w:ascii="Times New Roman" w:hAnsi="Times New Roman" w:cs="Times New Roman"/>
              </w:rPr>
              <w:lastRenderedPageBreak/>
              <w:t>niezwłocznie po zakończeniu powyższej kontroli. Dodatkowo pod uwagę brano  plany PKP IC</w:t>
            </w:r>
            <w:r w:rsidR="004E26C6">
              <w:rPr>
                <w:rFonts w:ascii="Times New Roman" w:hAnsi="Times New Roman" w:cs="Times New Roman"/>
              </w:rPr>
              <w:t>.</w:t>
            </w:r>
            <w:r w:rsidRPr="004E26C6">
              <w:rPr>
                <w:rFonts w:ascii="Times New Roman" w:hAnsi="Times New Roman" w:cs="Times New Roman"/>
              </w:rPr>
              <w:t xml:space="preserve"> Dla zadań, dla których Spółka jeszcze nie posiada opracowanych harmonogramów dostaw, plany te zostały opracowane na podstawie własnych prognoz odbiorów taboru, co się wiąże z ryzykiem, że ostateczna wersja harmonogramów dostaw będzie różniła się od przyjętych założeń. Tym samym przyjęte założenia dla zadań bez harmonogramów mogą być obarczone błędem, nie zaś same harmonogramy dostaw. Ponadto z uwagi na dużą liczbę zamówień dostępnych na rynku czas oczekiwania na realizację może ulec wydłużeniu niezależnie od woli stron.</w:t>
            </w:r>
            <w:r w:rsidR="004E26C6">
              <w:rPr>
                <w:rFonts w:ascii="Times New Roman" w:hAnsi="Times New Roman" w:cs="Times New Roman"/>
              </w:rPr>
              <w:t xml:space="preserve"> </w:t>
            </w:r>
            <w:r w:rsidRPr="004E26C6">
              <w:rPr>
                <w:rFonts w:ascii="Times New Roman" w:hAnsi="Times New Roman" w:cs="Times New Roman"/>
              </w:rPr>
              <w:t>Ze względu opóźnienia rozstrzygnięciu konkursu proponuje się wprowadzenie dodatkowego rozbicia regionalnego taboru pasażerskiego na wskazane w opisie kamienia milowego/wskaźnika jednostki dostarczone (30 sztuk) i umowy podpisane na dostarczenie taboru (47 sztuk taboru). W związku z ograniczeniami terminowymi kwalifikowalności środków w KPO, proponuje</w:t>
            </w:r>
            <w:r w:rsidR="004E26C6">
              <w:rPr>
                <w:rFonts w:ascii="Times New Roman" w:hAnsi="Times New Roman" w:cs="Times New Roman"/>
              </w:rPr>
              <w:t xml:space="preserve"> się</w:t>
            </w:r>
            <w:r w:rsidRPr="004E26C6">
              <w:rPr>
                <w:rFonts w:ascii="Times New Roman" w:hAnsi="Times New Roman" w:cs="Times New Roman"/>
              </w:rPr>
              <w:t xml:space="preserve"> uznanie również zamówionych przez beneficjentów jednostek znajdujących się na etapie produkcji, jako spełniających wartość wskaźnika E20G w ramach tej inwestycji. Pojazdy zostaną dostarczone zgodnie z podpisanymi umowami pomiędzy producentami a beneficjentami.</w:t>
            </w:r>
          </w:p>
          <w:p w14:paraId="2B03C3CC" w14:textId="58F0A4FB" w:rsidR="0046650D" w:rsidRPr="00C40440" w:rsidRDefault="0046650D" w:rsidP="00C40440">
            <w:pPr>
              <w:spacing w:after="120" w:line="240" w:lineRule="auto"/>
              <w:rPr>
                <w:rFonts w:ascii="Times New Roman" w:hAnsi="Times New Roman" w:cs="Times New Roman"/>
              </w:rPr>
            </w:pPr>
            <w:r w:rsidRPr="004E26C6">
              <w:rPr>
                <w:rFonts w:ascii="Times New Roman" w:hAnsi="Times New Roman" w:cs="Times New Roman"/>
              </w:rPr>
              <w:t>Należy podkreślić, że zawarcie umów o dofinansowanie jest niezbędne, aby móc zakontraktować wykonawców taboru przez jednostki samorządu terytorialnego. Jednocześnie należy mieć na uwadze czas niezbędny na wyprodukowanie taboru, który obecnie szacować należy na ok. 1,5 – 2 lata. Dodatkowo zasady PZP nie dają w tym zakresie możliwości elastycznego podejścia, w tym swobodnej rezygnacji z zakontraktowanego taboru.</w:t>
            </w:r>
          </w:p>
        </w:tc>
      </w:tr>
      <w:tr w:rsidR="0046650D" w:rsidRPr="004E26C6" w14:paraId="25C03057" w14:textId="77777777" w:rsidTr="00C40440">
        <w:tc>
          <w:tcPr>
            <w:tcW w:w="1249" w:type="pct"/>
          </w:tcPr>
          <w:p w14:paraId="70FE8CE9"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lastRenderedPageBreak/>
              <w:t>Szacowany koszt</w:t>
            </w:r>
          </w:p>
        </w:tc>
        <w:tc>
          <w:tcPr>
            <w:tcW w:w="3751" w:type="pct"/>
            <w:gridSpan w:val="2"/>
          </w:tcPr>
          <w:p w14:paraId="2F7B3C2C" w14:textId="75DA7E81" w:rsidR="0046650D" w:rsidRPr="00C40440" w:rsidRDefault="004E26C6">
            <w:pPr>
              <w:spacing w:after="0" w:line="240" w:lineRule="auto"/>
              <w:rPr>
                <w:rFonts w:ascii="Times New Roman" w:hAnsi="Times New Roman" w:cs="Times New Roman"/>
              </w:rPr>
            </w:pPr>
            <w:r w:rsidRPr="003B4E6E">
              <w:rPr>
                <w:rFonts w:ascii="Times New Roman" w:hAnsi="Times New Roman" w:cs="Times New Roman"/>
              </w:rPr>
              <w:t xml:space="preserve">Zmiana nie ma wpływu na szacowany koszt </w:t>
            </w:r>
          </w:p>
        </w:tc>
      </w:tr>
      <w:tr w:rsidR="0046650D" w:rsidRPr="004E26C6" w14:paraId="0DEF3E8B" w14:textId="77777777" w:rsidTr="00C40440">
        <w:tc>
          <w:tcPr>
            <w:tcW w:w="1249" w:type="pct"/>
          </w:tcPr>
          <w:p w14:paraId="590B309A"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Cyfrowy i klimatyczny </w:t>
            </w:r>
            <w:proofErr w:type="spellStart"/>
            <w:r w:rsidRPr="00B47988">
              <w:rPr>
                <w:rFonts w:ascii="Times New Roman" w:hAnsi="Times New Roman" w:cs="Times New Roman"/>
              </w:rPr>
              <w:t>tagging</w:t>
            </w:r>
            <w:proofErr w:type="spellEnd"/>
            <w:r w:rsidRPr="00B47988">
              <w:rPr>
                <w:rFonts w:ascii="Times New Roman" w:hAnsi="Times New Roman" w:cs="Times New Roman"/>
              </w:rPr>
              <w:t xml:space="preserve"> </w:t>
            </w:r>
          </w:p>
        </w:tc>
        <w:tc>
          <w:tcPr>
            <w:tcW w:w="3751" w:type="pct"/>
            <w:gridSpan w:val="2"/>
          </w:tcPr>
          <w:p w14:paraId="4A7BE439" w14:textId="4EEA68A7" w:rsidR="0046650D" w:rsidRPr="00C40440" w:rsidRDefault="004E26C6">
            <w:pPr>
              <w:spacing w:after="0" w:line="240" w:lineRule="auto"/>
              <w:rPr>
                <w:rFonts w:ascii="Times New Roman" w:hAnsi="Times New Roman" w:cs="Times New Roman"/>
              </w:rPr>
            </w:pPr>
            <w:r w:rsidRPr="003B4E6E">
              <w:rPr>
                <w:rFonts w:ascii="Times New Roman" w:hAnsi="Times New Roman" w:cs="Times New Roman"/>
              </w:rPr>
              <w:t xml:space="preserve">Zmiana nie ma wpływu na </w:t>
            </w:r>
            <w:proofErr w:type="spellStart"/>
            <w:r w:rsidRPr="003B4E6E">
              <w:rPr>
                <w:rFonts w:ascii="Times New Roman" w:hAnsi="Times New Roman" w:cs="Times New Roman"/>
              </w:rPr>
              <w:t>tagging</w:t>
            </w:r>
            <w:proofErr w:type="spellEnd"/>
            <w:r w:rsidRPr="003B4E6E">
              <w:rPr>
                <w:rFonts w:ascii="Times New Roman" w:hAnsi="Times New Roman" w:cs="Times New Roman"/>
              </w:rPr>
              <w:t xml:space="preserve"> klimatyczny i cyfrowy </w:t>
            </w:r>
          </w:p>
        </w:tc>
      </w:tr>
      <w:tr w:rsidR="0046650D" w:rsidRPr="004E26C6" w14:paraId="4A251A84" w14:textId="77777777" w:rsidTr="00C40440">
        <w:tc>
          <w:tcPr>
            <w:tcW w:w="1249" w:type="pct"/>
            <w:tcBorders>
              <w:bottom w:val="single" w:sz="4" w:space="0" w:color="auto"/>
            </w:tcBorders>
          </w:tcPr>
          <w:p w14:paraId="2E3F1A30"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Zasada DNSH </w:t>
            </w:r>
          </w:p>
        </w:tc>
        <w:tc>
          <w:tcPr>
            <w:tcW w:w="3751" w:type="pct"/>
            <w:gridSpan w:val="2"/>
            <w:tcBorders>
              <w:bottom w:val="single" w:sz="4" w:space="0" w:color="auto"/>
            </w:tcBorders>
          </w:tcPr>
          <w:p w14:paraId="3343C68F" w14:textId="5C45B68B" w:rsidR="0046650D" w:rsidRPr="00C40440" w:rsidRDefault="004E26C6">
            <w:pPr>
              <w:spacing w:after="0" w:line="240" w:lineRule="auto"/>
              <w:rPr>
                <w:rFonts w:ascii="Times New Roman" w:hAnsi="Times New Roman" w:cs="Times New Roman"/>
              </w:rPr>
            </w:pPr>
            <w:r w:rsidRPr="003B4E6E">
              <w:rPr>
                <w:rFonts w:ascii="Times New Roman" w:hAnsi="Times New Roman" w:cs="Times New Roman"/>
              </w:rPr>
              <w:t>Zmiana nie ma wpływu na DNSH</w:t>
            </w:r>
            <w:r w:rsidRPr="007B2370" w:rsidDel="00EB2612">
              <w:rPr>
                <w:rFonts w:ascii="Times New Roman" w:hAnsi="Times New Roman" w:cs="Times New Roman"/>
              </w:rPr>
              <w:t xml:space="preserve"> </w:t>
            </w:r>
          </w:p>
        </w:tc>
      </w:tr>
      <w:tr w:rsidR="0046650D" w:rsidRPr="00B47988" w14:paraId="77E90EBC" w14:textId="77777777" w:rsidTr="00C40440">
        <w:tc>
          <w:tcPr>
            <w:tcW w:w="1249" w:type="pct"/>
            <w:tcBorders>
              <w:bottom w:val="single" w:sz="4" w:space="0" w:color="auto"/>
            </w:tcBorders>
          </w:tcPr>
          <w:p w14:paraId="0C770722"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Pomoc publiczna </w:t>
            </w:r>
          </w:p>
        </w:tc>
        <w:tc>
          <w:tcPr>
            <w:tcW w:w="3751" w:type="pct"/>
            <w:gridSpan w:val="2"/>
            <w:tcBorders>
              <w:bottom w:val="single" w:sz="4" w:space="0" w:color="auto"/>
            </w:tcBorders>
          </w:tcPr>
          <w:p w14:paraId="4D595A46" w14:textId="2CD8F32C"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Nie dotyczy </w:t>
            </w:r>
          </w:p>
        </w:tc>
      </w:tr>
    </w:tbl>
    <w:p w14:paraId="42E7444C" w14:textId="77777777" w:rsidR="0046650D" w:rsidRDefault="0046650D" w:rsidP="00C40440">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4"/>
        <w:gridCol w:w="3137"/>
        <w:gridCol w:w="3661"/>
      </w:tblGrid>
      <w:tr w:rsidR="0046650D" w:rsidRPr="007B2370" w14:paraId="5D9376DB" w14:textId="77777777" w:rsidTr="00C40440">
        <w:tc>
          <w:tcPr>
            <w:tcW w:w="1249" w:type="pct"/>
            <w:shd w:val="clear" w:color="auto" w:fill="FFFFFF" w:themeFill="background1"/>
          </w:tcPr>
          <w:p w14:paraId="3D33F725" w14:textId="77777777" w:rsidR="0046650D" w:rsidRPr="00B47988" w:rsidRDefault="0046650D">
            <w:pPr>
              <w:spacing w:after="0" w:line="240" w:lineRule="auto"/>
              <w:rPr>
                <w:rFonts w:ascii="Times New Roman" w:hAnsi="Times New Roman" w:cs="Times New Roman"/>
                <w:b/>
                <w:bCs/>
              </w:rPr>
            </w:pPr>
            <w:r w:rsidRPr="00B47988">
              <w:rPr>
                <w:rFonts w:ascii="Times New Roman" w:hAnsi="Times New Roman" w:cs="Times New Roman"/>
                <w:b/>
                <w:bCs/>
              </w:rPr>
              <w:t>Numer inwestycji</w:t>
            </w:r>
          </w:p>
        </w:tc>
        <w:tc>
          <w:tcPr>
            <w:tcW w:w="3751" w:type="pct"/>
            <w:gridSpan w:val="2"/>
            <w:shd w:val="clear" w:color="auto" w:fill="FFFFFF" w:themeFill="background1"/>
          </w:tcPr>
          <w:p w14:paraId="0D9D10A0" w14:textId="19F59D41" w:rsidR="0046650D" w:rsidRPr="00C40440" w:rsidRDefault="0046650D" w:rsidP="00C40440">
            <w:pPr>
              <w:spacing w:line="240" w:lineRule="auto"/>
              <w:rPr>
                <w:b/>
                <w:bCs/>
              </w:rPr>
            </w:pPr>
            <w:r w:rsidRPr="00C40440">
              <w:rPr>
                <w:rFonts w:ascii="Times New Roman" w:hAnsi="Times New Roman" w:cs="Times New Roman"/>
                <w:b/>
                <w:bCs/>
              </w:rPr>
              <w:t>E2.1.3</w:t>
            </w:r>
            <w:r w:rsidR="004E26C6" w:rsidRPr="00C40440">
              <w:rPr>
                <w:rFonts w:ascii="Times New Roman" w:hAnsi="Times New Roman" w:cs="Times New Roman"/>
                <w:b/>
                <w:bCs/>
              </w:rPr>
              <w:t>.</w:t>
            </w:r>
          </w:p>
        </w:tc>
      </w:tr>
      <w:tr w:rsidR="0046650D" w:rsidRPr="008E3C35" w14:paraId="78FDF815" w14:textId="77777777" w:rsidTr="00C40440">
        <w:tc>
          <w:tcPr>
            <w:tcW w:w="1249" w:type="pct"/>
          </w:tcPr>
          <w:p w14:paraId="7D439A41" w14:textId="77777777" w:rsidR="0046650D" w:rsidRPr="00B47988" w:rsidRDefault="0046650D" w:rsidP="00C40440">
            <w:pPr>
              <w:pStyle w:val="Akapitzlist"/>
              <w:spacing w:line="240" w:lineRule="auto"/>
              <w:ind w:left="0"/>
              <w:rPr>
                <w:b/>
                <w:bCs/>
                <w:sz w:val="22"/>
                <w:szCs w:val="22"/>
              </w:rPr>
            </w:pPr>
            <w:r w:rsidRPr="00B47988">
              <w:rPr>
                <w:b/>
                <w:bCs/>
                <w:sz w:val="22"/>
                <w:szCs w:val="22"/>
              </w:rPr>
              <w:t xml:space="preserve">Nazwa inwestycji </w:t>
            </w:r>
          </w:p>
        </w:tc>
        <w:tc>
          <w:tcPr>
            <w:tcW w:w="3751" w:type="pct"/>
            <w:gridSpan w:val="2"/>
          </w:tcPr>
          <w:p w14:paraId="7948CD6E" w14:textId="7E9E77EA" w:rsidR="0046650D" w:rsidRPr="00C40440" w:rsidRDefault="0046650D" w:rsidP="00C40440">
            <w:r w:rsidRPr="00C40440">
              <w:rPr>
                <w:rFonts w:ascii="Times New Roman" w:hAnsi="Times New Roman" w:cs="Times New Roman"/>
                <w:b/>
                <w:bCs/>
              </w:rPr>
              <w:t xml:space="preserve">Projekty intermodalne </w:t>
            </w:r>
          </w:p>
        </w:tc>
      </w:tr>
      <w:tr w:rsidR="0046650D" w:rsidRPr="003733FD" w14:paraId="36ED35AD" w14:textId="77777777" w:rsidTr="00C40440">
        <w:tc>
          <w:tcPr>
            <w:tcW w:w="1249" w:type="pct"/>
          </w:tcPr>
          <w:p w14:paraId="42233909" w14:textId="77777777" w:rsidR="0046650D" w:rsidRPr="00B47988" w:rsidRDefault="0046650D" w:rsidP="00C40440">
            <w:pPr>
              <w:pStyle w:val="Akapitzlist"/>
              <w:spacing w:line="240" w:lineRule="auto"/>
              <w:ind w:left="0"/>
              <w:rPr>
                <w:sz w:val="22"/>
                <w:szCs w:val="22"/>
              </w:rPr>
            </w:pPr>
            <w:r w:rsidRPr="00B47988">
              <w:rPr>
                <w:sz w:val="22"/>
                <w:szCs w:val="22"/>
              </w:rPr>
              <w:t>Rodzaj wprowadzonej zmiany w odniesieniu do CID</w:t>
            </w:r>
          </w:p>
        </w:tc>
        <w:tc>
          <w:tcPr>
            <w:tcW w:w="3751" w:type="pct"/>
            <w:gridSpan w:val="2"/>
          </w:tcPr>
          <w:p w14:paraId="5C4FEE67" w14:textId="73FA6009" w:rsidR="0046650D" w:rsidRPr="00C40440" w:rsidRDefault="004E26C6" w:rsidP="00C40440">
            <w:pPr>
              <w:spacing w:line="240" w:lineRule="auto"/>
            </w:pPr>
            <w:r w:rsidRPr="00C40440">
              <w:rPr>
                <w:rFonts w:ascii="Times New Roman" w:hAnsi="Times New Roman" w:cs="Times New Roman"/>
              </w:rPr>
              <w:t>Zmiana wartości wskaźnika</w:t>
            </w:r>
            <w:r w:rsidR="0046650D" w:rsidRPr="00C40440">
              <w:rPr>
                <w:rFonts w:ascii="Times New Roman" w:hAnsi="Times New Roman" w:cs="Times New Roman"/>
              </w:rPr>
              <w:t xml:space="preserve"> E21G </w:t>
            </w:r>
          </w:p>
          <w:p w14:paraId="0179C0FC" w14:textId="77777777" w:rsidR="0046650D" w:rsidRPr="004E65B1" w:rsidRDefault="0046650D" w:rsidP="00C40440">
            <w:pPr>
              <w:pStyle w:val="Akapitzlist"/>
              <w:spacing w:line="240" w:lineRule="auto"/>
              <w:rPr>
                <w:sz w:val="22"/>
                <w:szCs w:val="22"/>
              </w:rPr>
            </w:pPr>
          </w:p>
        </w:tc>
      </w:tr>
      <w:tr w:rsidR="0046650D" w:rsidRPr="008E3C35" w14:paraId="24182748" w14:textId="77777777" w:rsidTr="00C40440">
        <w:tc>
          <w:tcPr>
            <w:tcW w:w="1249" w:type="pct"/>
            <w:shd w:val="clear" w:color="auto" w:fill="FFFFFF" w:themeFill="background1"/>
          </w:tcPr>
          <w:p w14:paraId="4530F52E" w14:textId="77777777" w:rsidR="0046650D" w:rsidRPr="00B47988" w:rsidRDefault="0046650D" w:rsidP="00C40440">
            <w:pPr>
              <w:pStyle w:val="Akapitzlist"/>
              <w:spacing w:line="240" w:lineRule="auto"/>
              <w:ind w:left="0"/>
              <w:rPr>
                <w:sz w:val="22"/>
                <w:szCs w:val="22"/>
              </w:rPr>
            </w:pPr>
            <w:r w:rsidRPr="00B47988">
              <w:rPr>
                <w:sz w:val="22"/>
                <w:szCs w:val="22"/>
              </w:rPr>
              <w:t>Podstawa prawna zmiany</w:t>
            </w:r>
          </w:p>
        </w:tc>
        <w:tc>
          <w:tcPr>
            <w:tcW w:w="3751" w:type="pct"/>
            <w:gridSpan w:val="2"/>
            <w:shd w:val="clear" w:color="auto" w:fill="FFFFFF" w:themeFill="background1"/>
          </w:tcPr>
          <w:p w14:paraId="023AC805" w14:textId="674340AA" w:rsidR="0046650D" w:rsidRPr="00B47988" w:rsidRDefault="004E26C6">
            <w:pPr>
              <w:spacing w:after="0" w:line="240" w:lineRule="auto"/>
              <w:rPr>
                <w:rFonts w:ascii="Times New Roman" w:hAnsi="Times New Roman" w:cs="Times New Roman"/>
              </w:rPr>
            </w:pPr>
            <w:r w:rsidRPr="003B4E6E">
              <w:rPr>
                <w:rFonts w:ascii="Times New Roman" w:hAnsi="Times New Roman" w:cs="Times New Roman"/>
              </w:rPr>
              <w:t>art. 21 rozporządzenia Parlamentu Europejskiego i Rady (UE) 2021/241 z dnia 12 lutego 2021 r. ustanawiające Instrument na rzecz Odbudowy i Zwiększania Odporności</w:t>
            </w:r>
            <w:r w:rsidRPr="003B4E6E" w:rsidDel="00A106E1">
              <w:rPr>
                <w:rFonts w:ascii="Times New Roman" w:hAnsi="Times New Roman" w:cs="Times New Roman"/>
              </w:rPr>
              <w:t xml:space="preserve"> </w:t>
            </w:r>
          </w:p>
        </w:tc>
      </w:tr>
      <w:tr w:rsidR="0046650D" w:rsidRPr="008E3C35" w14:paraId="44D55B67" w14:textId="77777777" w:rsidTr="00C40440">
        <w:tc>
          <w:tcPr>
            <w:tcW w:w="1249" w:type="pct"/>
            <w:shd w:val="clear" w:color="auto" w:fill="D9D9D9" w:themeFill="background1" w:themeFillShade="D9"/>
          </w:tcPr>
          <w:p w14:paraId="4DA7C93A" w14:textId="77777777" w:rsidR="0046650D" w:rsidRPr="00B47988" w:rsidRDefault="0046650D">
            <w:pPr>
              <w:spacing w:after="0" w:line="240" w:lineRule="auto"/>
              <w:rPr>
                <w:rFonts w:ascii="Times New Roman" w:hAnsi="Times New Roman" w:cs="Times New Roman"/>
                <w:highlight w:val="lightGray"/>
              </w:rPr>
            </w:pPr>
            <w:r w:rsidRPr="00B47988">
              <w:rPr>
                <w:rFonts w:ascii="Times New Roman" w:hAnsi="Times New Roman" w:cs="Times New Roman"/>
                <w:highlight w:val="lightGray"/>
              </w:rPr>
              <w:t>Modyfikowany element</w:t>
            </w:r>
          </w:p>
        </w:tc>
        <w:tc>
          <w:tcPr>
            <w:tcW w:w="1731" w:type="pct"/>
            <w:shd w:val="clear" w:color="auto" w:fill="D9D9D9" w:themeFill="background1" w:themeFillShade="D9"/>
          </w:tcPr>
          <w:p w14:paraId="38DF9F45" w14:textId="77777777" w:rsidR="0046650D" w:rsidRPr="00B47988" w:rsidRDefault="0046650D">
            <w:pPr>
              <w:spacing w:after="0" w:line="240" w:lineRule="auto"/>
              <w:jc w:val="center"/>
              <w:rPr>
                <w:rFonts w:ascii="Times New Roman" w:hAnsi="Times New Roman" w:cs="Times New Roman"/>
                <w:highlight w:val="lightGray"/>
              </w:rPr>
            </w:pPr>
            <w:r w:rsidRPr="00B47988">
              <w:rPr>
                <w:rFonts w:ascii="Times New Roman" w:hAnsi="Times New Roman" w:cs="Times New Roman"/>
                <w:highlight w:val="lightGray"/>
              </w:rPr>
              <w:t>Wersja aktualna</w:t>
            </w:r>
          </w:p>
        </w:tc>
        <w:tc>
          <w:tcPr>
            <w:tcW w:w="2020" w:type="pct"/>
            <w:shd w:val="clear" w:color="auto" w:fill="D9D9D9" w:themeFill="background1" w:themeFillShade="D9"/>
          </w:tcPr>
          <w:p w14:paraId="75EDF4CD" w14:textId="77777777" w:rsidR="0046650D" w:rsidRPr="00B47988" w:rsidRDefault="0046650D">
            <w:pPr>
              <w:spacing w:after="0" w:line="240" w:lineRule="auto"/>
              <w:jc w:val="center"/>
              <w:rPr>
                <w:rFonts w:ascii="Times New Roman" w:hAnsi="Times New Roman" w:cs="Times New Roman"/>
                <w:highlight w:val="lightGray"/>
              </w:rPr>
            </w:pPr>
            <w:r w:rsidRPr="00B47988">
              <w:rPr>
                <w:rFonts w:ascii="Times New Roman" w:hAnsi="Times New Roman" w:cs="Times New Roman"/>
                <w:highlight w:val="lightGray"/>
              </w:rPr>
              <w:t>Wersja zmieniona</w:t>
            </w:r>
          </w:p>
        </w:tc>
      </w:tr>
      <w:tr w:rsidR="0046650D" w:rsidRPr="00A26E88" w14:paraId="20683EBA" w14:textId="77777777" w:rsidTr="00C40440">
        <w:trPr>
          <w:trHeight w:val="4252"/>
        </w:trPr>
        <w:tc>
          <w:tcPr>
            <w:tcW w:w="1249" w:type="pct"/>
          </w:tcPr>
          <w:p w14:paraId="7F4B603A" w14:textId="77777777" w:rsidR="0046650D" w:rsidRDefault="0046650D">
            <w:pPr>
              <w:spacing w:after="0" w:line="240" w:lineRule="auto"/>
              <w:rPr>
                <w:rFonts w:ascii="Times New Roman" w:hAnsi="Times New Roman" w:cs="Times New Roman"/>
              </w:rPr>
            </w:pPr>
            <w:r w:rsidRPr="00B47988">
              <w:rPr>
                <w:rFonts w:ascii="Times New Roman" w:hAnsi="Times New Roman" w:cs="Times New Roman"/>
              </w:rPr>
              <w:lastRenderedPageBreak/>
              <w:t>Opis kamienia milowego lub wskaźnika.</w:t>
            </w:r>
          </w:p>
          <w:p w14:paraId="62BA3743" w14:textId="77777777" w:rsidR="00473B4C" w:rsidRPr="00473B4C" w:rsidRDefault="00473B4C" w:rsidP="00C40440">
            <w:pPr>
              <w:spacing w:line="240" w:lineRule="auto"/>
              <w:rPr>
                <w:rFonts w:ascii="Times New Roman" w:hAnsi="Times New Roman" w:cs="Times New Roman"/>
              </w:rPr>
            </w:pPr>
          </w:p>
          <w:p w14:paraId="608E1390" w14:textId="77777777" w:rsidR="00473B4C" w:rsidRPr="00473B4C" w:rsidRDefault="00473B4C" w:rsidP="00C40440">
            <w:pPr>
              <w:spacing w:line="240" w:lineRule="auto"/>
              <w:rPr>
                <w:rFonts w:ascii="Times New Roman" w:hAnsi="Times New Roman" w:cs="Times New Roman"/>
              </w:rPr>
            </w:pPr>
          </w:p>
          <w:p w14:paraId="745FA09F" w14:textId="77777777" w:rsidR="00473B4C" w:rsidRPr="00473B4C" w:rsidRDefault="00473B4C" w:rsidP="00C40440">
            <w:pPr>
              <w:spacing w:line="240" w:lineRule="auto"/>
              <w:rPr>
                <w:rFonts w:ascii="Times New Roman" w:hAnsi="Times New Roman" w:cs="Times New Roman"/>
              </w:rPr>
            </w:pPr>
          </w:p>
          <w:p w14:paraId="443C1D61" w14:textId="77777777" w:rsidR="00473B4C" w:rsidRPr="00473B4C" w:rsidRDefault="00473B4C" w:rsidP="00C40440">
            <w:pPr>
              <w:spacing w:line="240" w:lineRule="auto"/>
              <w:rPr>
                <w:rFonts w:ascii="Times New Roman" w:hAnsi="Times New Roman" w:cs="Times New Roman"/>
              </w:rPr>
            </w:pPr>
          </w:p>
          <w:p w14:paraId="1E8113B9" w14:textId="77777777" w:rsidR="00473B4C" w:rsidRPr="00473B4C" w:rsidRDefault="00473B4C" w:rsidP="00C40440">
            <w:pPr>
              <w:spacing w:line="240" w:lineRule="auto"/>
              <w:rPr>
                <w:rFonts w:ascii="Times New Roman" w:hAnsi="Times New Roman" w:cs="Times New Roman"/>
              </w:rPr>
            </w:pPr>
          </w:p>
          <w:p w14:paraId="64798F87" w14:textId="77777777" w:rsidR="00473B4C" w:rsidRPr="00473B4C" w:rsidRDefault="00473B4C" w:rsidP="00C40440">
            <w:pPr>
              <w:spacing w:line="240" w:lineRule="auto"/>
              <w:rPr>
                <w:rFonts w:ascii="Times New Roman" w:hAnsi="Times New Roman" w:cs="Times New Roman"/>
              </w:rPr>
            </w:pPr>
          </w:p>
          <w:p w14:paraId="48204CDE" w14:textId="6297AAEB" w:rsidR="00473B4C" w:rsidRPr="00473B4C" w:rsidRDefault="00473B4C" w:rsidP="00C40440">
            <w:pPr>
              <w:spacing w:line="240" w:lineRule="auto"/>
              <w:rPr>
                <w:rFonts w:ascii="Times New Roman" w:hAnsi="Times New Roman" w:cs="Times New Roman"/>
              </w:rPr>
            </w:pPr>
          </w:p>
        </w:tc>
        <w:tc>
          <w:tcPr>
            <w:tcW w:w="1731" w:type="pct"/>
          </w:tcPr>
          <w:p w14:paraId="01D1B351" w14:textId="77777777" w:rsidR="0046650D" w:rsidRPr="00B47988" w:rsidRDefault="0046650D" w:rsidP="00C40440">
            <w:pPr>
              <w:pStyle w:val="Akapitzlist"/>
              <w:spacing w:line="240" w:lineRule="auto"/>
              <w:ind w:left="0"/>
              <w:rPr>
                <w:sz w:val="22"/>
                <w:szCs w:val="22"/>
              </w:rPr>
            </w:pPr>
            <w:r w:rsidRPr="00B47988">
              <w:rPr>
                <w:sz w:val="22"/>
                <w:szCs w:val="22"/>
              </w:rPr>
              <w:t>E21G</w:t>
            </w:r>
          </w:p>
          <w:p w14:paraId="26427F55" w14:textId="77777777" w:rsidR="0046650D" w:rsidRPr="00B47988" w:rsidRDefault="0046650D" w:rsidP="00C40440">
            <w:pPr>
              <w:spacing w:after="0" w:line="240" w:lineRule="auto"/>
              <w:rPr>
                <w:rFonts w:ascii="Times New Roman" w:hAnsi="Times New Roman" w:cs="Times New Roman"/>
              </w:rPr>
            </w:pPr>
            <w:r w:rsidRPr="00B47988">
              <w:rPr>
                <w:rFonts w:ascii="Times New Roman" w:hAnsi="Times New Roman" w:cs="Times New Roman"/>
              </w:rPr>
              <w:t>(…) Po zaproszeniu z wybranymi beneficjentami zostaną podpisane umowy na wsparcie 8 terminali intermodalnych i dostawę 200 jednostek taboru kolejowego (…)</w:t>
            </w:r>
          </w:p>
          <w:p w14:paraId="71F7F997" w14:textId="77777777" w:rsidR="004E26C6" w:rsidRDefault="0046650D">
            <w:pPr>
              <w:spacing w:after="0" w:line="240" w:lineRule="auto"/>
              <w:ind w:left="-6"/>
              <w:rPr>
                <w:rFonts w:ascii="Times New Roman" w:hAnsi="Times New Roman" w:cs="Times New Roman"/>
              </w:rPr>
            </w:pPr>
            <w:r w:rsidRPr="00B47988">
              <w:rPr>
                <w:rFonts w:ascii="Times New Roman" w:hAnsi="Times New Roman" w:cs="Times New Roman"/>
              </w:rPr>
              <w:t xml:space="preserve"> </w:t>
            </w:r>
          </w:p>
          <w:p w14:paraId="1299DB60" w14:textId="77777777" w:rsidR="004E65B1" w:rsidRPr="004E65B1" w:rsidRDefault="004E65B1" w:rsidP="00C40440">
            <w:pPr>
              <w:rPr>
                <w:rFonts w:ascii="Times New Roman" w:hAnsi="Times New Roman" w:cs="Times New Roman"/>
              </w:rPr>
            </w:pPr>
          </w:p>
          <w:p w14:paraId="0F976089" w14:textId="77777777" w:rsidR="004E65B1" w:rsidRPr="004E65B1" w:rsidRDefault="004E65B1" w:rsidP="00C40440">
            <w:pPr>
              <w:rPr>
                <w:rFonts w:ascii="Times New Roman" w:hAnsi="Times New Roman" w:cs="Times New Roman"/>
              </w:rPr>
            </w:pPr>
          </w:p>
          <w:p w14:paraId="0462F489" w14:textId="77777777" w:rsidR="004E65B1" w:rsidRPr="004E65B1" w:rsidRDefault="004E65B1" w:rsidP="00C40440">
            <w:pPr>
              <w:rPr>
                <w:rFonts w:ascii="Times New Roman" w:hAnsi="Times New Roman" w:cs="Times New Roman"/>
              </w:rPr>
            </w:pPr>
          </w:p>
          <w:p w14:paraId="7363C72A" w14:textId="77777777" w:rsidR="004E65B1" w:rsidRPr="004E65B1" w:rsidRDefault="004E65B1" w:rsidP="00C40440">
            <w:pPr>
              <w:rPr>
                <w:rFonts w:ascii="Times New Roman" w:hAnsi="Times New Roman" w:cs="Times New Roman"/>
              </w:rPr>
            </w:pPr>
          </w:p>
          <w:p w14:paraId="601BA795" w14:textId="3D1D9DD9" w:rsidR="004E65B1" w:rsidRPr="004E65B1" w:rsidRDefault="004E65B1" w:rsidP="00C40440">
            <w:pPr>
              <w:rPr>
                <w:rFonts w:ascii="Times New Roman" w:hAnsi="Times New Roman" w:cs="Times New Roman"/>
              </w:rPr>
            </w:pPr>
          </w:p>
        </w:tc>
        <w:tc>
          <w:tcPr>
            <w:tcW w:w="2020" w:type="pct"/>
          </w:tcPr>
          <w:p w14:paraId="2D6E1CCE" w14:textId="77777777" w:rsidR="0046650D" w:rsidRPr="00B47988" w:rsidRDefault="0046650D" w:rsidP="00C40440">
            <w:pPr>
              <w:pStyle w:val="Akapitzlist"/>
              <w:spacing w:line="240" w:lineRule="auto"/>
              <w:ind w:left="55"/>
              <w:rPr>
                <w:sz w:val="22"/>
                <w:szCs w:val="22"/>
              </w:rPr>
            </w:pPr>
            <w:r w:rsidRPr="00B47988">
              <w:rPr>
                <w:sz w:val="22"/>
                <w:szCs w:val="22"/>
              </w:rPr>
              <w:t>E21G</w:t>
            </w:r>
          </w:p>
          <w:p w14:paraId="35CEC511" w14:textId="3EB72A39" w:rsidR="0046650D" w:rsidRPr="00B47988" w:rsidRDefault="0046650D" w:rsidP="00C40440">
            <w:pPr>
              <w:spacing w:after="0" w:line="240" w:lineRule="auto"/>
              <w:ind w:left="-6"/>
              <w:rPr>
                <w:rFonts w:ascii="Times New Roman" w:hAnsi="Times New Roman" w:cs="Times New Roman"/>
              </w:rPr>
            </w:pPr>
            <w:r w:rsidRPr="00B47988">
              <w:rPr>
                <w:rFonts w:ascii="Times New Roman" w:hAnsi="Times New Roman" w:cs="Times New Roman"/>
              </w:rPr>
              <w:t xml:space="preserve">Po zaproszeniu z wybranymi beneficjentami zostaną podpisane umowy na wsparcie </w:t>
            </w:r>
            <w:r w:rsidRPr="00B47988">
              <w:rPr>
                <w:rFonts w:ascii="Times New Roman" w:hAnsi="Times New Roman" w:cs="Times New Roman"/>
                <w:color w:val="FF0000"/>
              </w:rPr>
              <w:t xml:space="preserve">5 </w:t>
            </w:r>
            <w:r w:rsidRPr="00B47988">
              <w:rPr>
                <w:rFonts w:ascii="Times New Roman" w:hAnsi="Times New Roman" w:cs="Times New Roman"/>
              </w:rPr>
              <w:t xml:space="preserve">terminali intermodalnych i dostawę 200 jednostek taboru kolejowego (…) </w:t>
            </w:r>
          </w:p>
          <w:p w14:paraId="586AE5B5" w14:textId="77777777" w:rsidR="0046650D" w:rsidRPr="00B47988" w:rsidRDefault="0046650D" w:rsidP="00C40440">
            <w:pPr>
              <w:spacing w:after="0" w:line="240" w:lineRule="auto"/>
              <w:ind w:left="-6"/>
              <w:rPr>
                <w:rFonts w:ascii="Times New Roman" w:hAnsi="Times New Roman" w:cs="Times New Roman"/>
              </w:rPr>
            </w:pPr>
          </w:p>
          <w:p w14:paraId="17FB2401" w14:textId="13DB929E" w:rsidR="0046650D" w:rsidRPr="00B47988" w:rsidRDefault="0046650D" w:rsidP="00C40440">
            <w:pPr>
              <w:spacing w:after="0" w:line="240" w:lineRule="auto"/>
              <w:ind w:left="-6"/>
              <w:rPr>
                <w:rFonts w:ascii="Times New Roman" w:hAnsi="Times New Roman" w:cs="Times New Roman"/>
                <w:b/>
                <w:u w:val="single"/>
              </w:rPr>
            </w:pPr>
            <w:r w:rsidRPr="00B47988">
              <w:rPr>
                <w:rFonts w:ascii="Times New Roman" w:hAnsi="Times New Roman" w:cs="Times New Roman"/>
                <w:b/>
                <w:u w:val="single"/>
              </w:rPr>
              <w:t>UWAGA:</w:t>
            </w:r>
          </w:p>
          <w:p w14:paraId="6FAECFD6" w14:textId="12EA7AF8" w:rsidR="00B3035F" w:rsidRPr="00C40440" w:rsidRDefault="0046650D" w:rsidP="00C40440">
            <w:pPr>
              <w:spacing w:after="0" w:line="240" w:lineRule="auto"/>
              <w:ind w:left="-6"/>
              <w:rPr>
                <w:rFonts w:ascii="Times New Roman" w:hAnsi="Times New Roman" w:cs="Times New Roman"/>
              </w:rPr>
            </w:pPr>
            <w:r w:rsidRPr="00B47988">
              <w:rPr>
                <w:rFonts w:ascii="Times New Roman" w:hAnsi="Times New Roman" w:cs="Times New Roman"/>
              </w:rPr>
              <w:t xml:space="preserve">W zależności od decyzji KE </w:t>
            </w:r>
            <w:proofErr w:type="spellStart"/>
            <w:r w:rsidRPr="00B47988">
              <w:rPr>
                <w:rFonts w:ascii="Times New Roman" w:hAnsi="Times New Roman" w:cs="Times New Roman"/>
              </w:rPr>
              <w:t>ws</w:t>
            </w:r>
            <w:proofErr w:type="spellEnd"/>
            <w:r w:rsidRPr="00B47988">
              <w:rPr>
                <w:rFonts w:ascii="Times New Roman" w:hAnsi="Times New Roman" w:cs="Times New Roman"/>
              </w:rPr>
              <w:t xml:space="preserve"> rozporządzenia pomocowego usunięcia lub zmiany wartości wymagać będzie również liczba sztuk taboru intermodalnego – charakter zmiany zostanie określony po otrzymaniu decyzji KE.</w:t>
            </w:r>
          </w:p>
        </w:tc>
      </w:tr>
      <w:tr w:rsidR="0046650D" w:rsidRPr="00A26E88" w14:paraId="7ACEE541" w14:textId="77777777" w:rsidTr="00C40440">
        <w:tc>
          <w:tcPr>
            <w:tcW w:w="1249" w:type="pct"/>
          </w:tcPr>
          <w:p w14:paraId="5A3B3452"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Uzasadnienie</w:t>
            </w:r>
          </w:p>
        </w:tc>
        <w:tc>
          <w:tcPr>
            <w:tcW w:w="3751" w:type="pct"/>
            <w:gridSpan w:val="2"/>
          </w:tcPr>
          <w:p w14:paraId="2C5303F5" w14:textId="77777777" w:rsidR="0046650D" w:rsidRPr="00B47988" w:rsidRDefault="0046650D" w:rsidP="00C40440">
            <w:pPr>
              <w:spacing w:after="120" w:line="240" w:lineRule="auto"/>
              <w:rPr>
                <w:rFonts w:ascii="Times New Roman" w:hAnsi="Times New Roman" w:cs="Times New Roman"/>
              </w:rPr>
            </w:pPr>
            <w:r w:rsidRPr="00B47988">
              <w:rPr>
                <w:rFonts w:ascii="Times New Roman" w:hAnsi="Times New Roman" w:cs="Times New Roman"/>
              </w:rPr>
              <w:t>W ramach realizacji inwestycji E2.1.3 Projekty intermodalne proponowana zmiana z 8 na 5 terminali jest związana z prowadzoną prekwalifikacją i zgłoszeniem się wyłącznie 6 projektów polegających na wsparciu terminali intermodalnych. Wstępna kwalifikacja projektów polega na przeprowadzeniu naboru wniosków o udzielenie pomocy publicznej na inwestycje w zakresie transportu intermodalnego w ramach KPO oraz na dokonaniu wyłącznie ich wstępnej oceny przez CUPT pod kątem kwalifikowania się projektu do otrzymania pomocy.</w:t>
            </w:r>
          </w:p>
          <w:p w14:paraId="07CBA380" w14:textId="77777777" w:rsidR="0046650D" w:rsidRPr="00B47988" w:rsidRDefault="0046650D" w:rsidP="00C40440">
            <w:pPr>
              <w:spacing w:after="120" w:line="240" w:lineRule="auto"/>
              <w:rPr>
                <w:rFonts w:ascii="Times New Roman" w:hAnsi="Times New Roman" w:cs="Times New Roman"/>
              </w:rPr>
            </w:pPr>
            <w:r w:rsidRPr="00B47988">
              <w:rPr>
                <w:rFonts w:ascii="Times New Roman" w:hAnsi="Times New Roman" w:cs="Times New Roman"/>
              </w:rPr>
              <w:t>Wybór projektów do dofinansowania odbędzie się w trybie konkurencyjnym. Ocena projektów w ramach procedury wyboru przedsięwzięć do objęcia wsparciem będzie obejmowała m.in. weryfikację efektywności ekonomicznej proponowanych działań i dokonywana będzie zgodnie z kryteriami formalnymi i merytorycznymi stosowanymi dotychczas przy konkursach realizowanych przez CUPT, w tym także pod kątem spełniania unijnych wymogów środowiskowych, tj., czy projekt został przygotowany zgodnie z prawem dotyczącym ochrony środowiska.</w:t>
            </w:r>
          </w:p>
          <w:p w14:paraId="2A4C22A5" w14:textId="487C2F0B" w:rsidR="0046650D" w:rsidRPr="00B47988" w:rsidRDefault="0046650D" w:rsidP="00C40440">
            <w:pPr>
              <w:spacing w:after="120" w:line="240" w:lineRule="auto"/>
              <w:rPr>
                <w:rFonts w:ascii="Times New Roman" w:hAnsi="Times New Roman" w:cs="Times New Roman"/>
              </w:rPr>
            </w:pPr>
            <w:r w:rsidRPr="00B47988">
              <w:rPr>
                <w:rFonts w:ascii="Times New Roman" w:hAnsi="Times New Roman" w:cs="Times New Roman"/>
              </w:rPr>
              <w:t>Może się więc zdarzyć, że nie wszystkie projekty, które uzyskały pozytywną opinię w ramach prekwalifikacji będą spełniały kryteria wyboru lub nie uzyskają odpowiedniej liczby punktów w ramach konkursu i nie uzyskają wsparcia w ramach KPO.</w:t>
            </w:r>
          </w:p>
          <w:p w14:paraId="45D9CFCF" w14:textId="01B4FF50" w:rsidR="0046650D" w:rsidRPr="00B47988" w:rsidRDefault="0046650D" w:rsidP="00C40440">
            <w:pPr>
              <w:spacing w:after="120" w:line="240" w:lineRule="auto"/>
              <w:rPr>
                <w:rFonts w:ascii="Times New Roman" w:hAnsi="Times New Roman" w:cs="Times New Roman"/>
              </w:rPr>
            </w:pPr>
            <w:r w:rsidRPr="00B47988">
              <w:rPr>
                <w:rFonts w:ascii="Times New Roman" w:hAnsi="Times New Roman" w:cs="Times New Roman"/>
              </w:rPr>
              <w:t>Dodatkowo, ze względu na okres kwalifikowania wydatków</w:t>
            </w:r>
            <w:r w:rsidR="00473B4C">
              <w:rPr>
                <w:rFonts w:ascii="Times New Roman" w:hAnsi="Times New Roman" w:cs="Times New Roman"/>
              </w:rPr>
              <w:t xml:space="preserve">, </w:t>
            </w:r>
            <w:r w:rsidRPr="00B47988">
              <w:rPr>
                <w:rFonts w:ascii="Times New Roman" w:hAnsi="Times New Roman" w:cs="Times New Roman"/>
              </w:rPr>
              <w:t xml:space="preserve">przedłużający się proces zatwierdzania programu pomocowego może mieć wpływ na to, że nie wszyscy </w:t>
            </w:r>
            <w:r w:rsidR="00473B4C">
              <w:rPr>
                <w:rFonts w:ascii="Times New Roman" w:hAnsi="Times New Roman" w:cs="Times New Roman"/>
              </w:rPr>
              <w:t>w</w:t>
            </w:r>
            <w:r w:rsidRPr="00B47988">
              <w:rPr>
                <w:rFonts w:ascii="Times New Roman" w:hAnsi="Times New Roman" w:cs="Times New Roman"/>
              </w:rPr>
              <w:t>nioskodawcy z etapu prekwalifikacji wezmą udział w naborze i wskaźniki dla inwestycji E2.1.3 nie zostaną zrealizowane nawet w zakładanej, zmniejszonej wielkości. Szczególnie w przypadku inwestycji infrastrukturalnych</w:t>
            </w:r>
            <w:r w:rsidR="00473B4C">
              <w:rPr>
                <w:rFonts w:ascii="Times New Roman" w:hAnsi="Times New Roman" w:cs="Times New Roman"/>
              </w:rPr>
              <w:t>,</w:t>
            </w:r>
            <w:r w:rsidRPr="00B47988">
              <w:rPr>
                <w:rFonts w:ascii="Times New Roman" w:hAnsi="Times New Roman" w:cs="Times New Roman"/>
              </w:rPr>
              <w:t xml:space="preserve"> których okres realizacji jest długi, ryzyko niezrealizowania w okresie kwalifikowalności KPO jest wysokie.</w:t>
            </w:r>
          </w:p>
          <w:p w14:paraId="5006170F" w14:textId="3FE2355E" w:rsidR="0046650D" w:rsidRPr="003D04EE" w:rsidRDefault="0046650D" w:rsidP="00C40440">
            <w:pPr>
              <w:spacing w:after="120" w:line="240" w:lineRule="auto"/>
              <w:rPr>
                <w:rFonts w:ascii="Times New Roman" w:hAnsi="Times New Roman" w:cs="Times New Roman"/>
                <w:color w:val="FF0000"/>
              </w:rPr>
            </w:pPr>
            <w:r w:rsidRPr="00B47988">
              <w:rPr>
                <w:rFonts w:ascii="Times New Roman" w:hAnsi="Times New Roman" w:cs="Times New Roman"/>
              </w:rPr>
              <w:t xml:space="preserve">Dodatkowo procedura notyfikacji rozporządzenia pomocowego dla transportu intermodalnego wciąż nie została zakończona, a w jej trakcie DG COMP skierowała w listopadzie </w:t>
            </w:r>
            <w:r w:rsidR="00473B4C">
              <w:rPr>
                <w:rFonts w:ascii="Times New Roman" w:hAnsi="Times New Roman" w:cs="Times New Roman"/>
              </w:rPr>
              <w:t xml:space="preserve">2023r. </w:t>
            </w:r>
            <w:r w:rsidRPr="00B47988">
              <w:rPr>
                <w:rFonts w:ascii="Times New Roman" w:hAnsi="Times New Roman" w:cs="Times New Roman"/>
              </w:rPr>
              <w:t xml:space="preserve">uwagi i dotyczyły one głównie zakresu wsparcia oraz wyłączenia z programu taboru, który ze względu na </w:t>
            </w:r>
            <w:proofErr w:type="spellStart"/>
            <w:r w:rsidRPr="00B47988">
              <w:rPr>
                <w:rFonts w:ascii="Times New Roman" w:hAnsi="Times New Roman" w:cs="Times New Roman"/>
              </w:rPr>
              <w:t>zeroemisyjność</w:t>
            </w:r>
            <w:proofErr w:type="spellEnd"/>
            <w:r w:rsidRPr="00B47988">
              <w:rPr>
                <w:rFonts w:ascii="Times New Roman" w:hAnsi="Times New Roman" w:cs="Times New Roman"/>
              </w:rPr>
              <w:t xml:space="preserve"> może być finansowany zgodnie z zasadami GBER. na podstawie art. 36b, tj. na podstawie przepisu dotyczącego pomocy na ochronę środowiska (podkreślić trzeba, że w ramach projektów intermodalnych marker klimatyczny wynosi 40). </w:t>
            </w:r>
            <w:r w:rsidRPr="00C40440">
              <w:rPr>
                <w:rFonts w:ascii="Times New Roman" w:hAnsi="Times New Roman" w:cs="Times New Roman"/>
              </w:rPr>
              <w:t xml:space="preserve">Wstępne ustalenia z Komisją potwierdzają, że właściwą podstawą prawną przyznania pomocy </w:t>
            </w:r>
            <w:r w:rsidRPr="00C40440">
              <w:rPr>
                <w:rFonts w:ascii="Times New Roman" w:hAnsi="Times New Roman" w:cs="Times New Roman"/>
              </w:rPr>
              <w:lastRenderedPageBreak/>
              <w:t>publicznej jest art. 93 TFUE. Decyzja KE obejmie terminale, urządzenia przeładunkowe i tabor. Intensywność pomocy wszystkich kosztów kwalifikowanych nie przekroczy 50%.</w:t>
            </w:r>
          </w:p>
          <w:p w14:paraId="14AF72A5" w14:textId="17B362D4" w:rsidR="0046650D" w:rsidRPr="00B47988" w:rsidRDefault="0046650D" w:rsidP="00C40440">
            <w:pPr>
              <w:spacing w:after="120" w:line="240" w:lineRule="auto"/>
              <w:rPr>
                <w:rFonts w:ascii="Times New Roman" w:hAnsi="Times New Roman" w:cs="Times New Roman"/>
              </w:rPr>
            </w:pPr>
            <w:r w:rsidRPr="00B47988">
              <w:rPr>
                <w:rFonts w:ascii="Times New Roman" w:hAnsi="Times New Roman" w:cs="Times New Roman"/>
              </w:rPr>
              <w:t xml:space="preserve">Obecnie </w:t>
            </w:r>
            <w:r w:rsidR="00473B4C">
              <w:rPr>
                <w:rFonts w:ascii="Times New Roman" w:hAnsi="Times New Roman" w:cs="Times New Roman"/>
              </w:rPr>
              <w:t>PL czeka</w:t>
            </w:r>
            <w:r w:rsidRPr="00B47988">
              <w:rPr>
                <w:rFonts w:ascii="Times New Roman" w:hAnsi="Times New Roman" w:cs="Times New Roman"/>
              </w:rPr>
              <w:t xml:space="preserve"> na stanowisko KE, a więc opracowanie ostatecznego zapisu będzie możliwe dopiero po uzyskaniu decyzji KE wobec rozporządzenia pomocowego dla transportu intermodalnego.</w:t>
            </w:r>
          </w:p>
          <w:p w14:paraId="7EE6E43D" w14:textId="3189D89E" w:rsidR="0046650D" w:rsidRPr="00C40440" w:rsidRDefault="0046650D" w:rsidP="00C40440">
            <w:pPr>
              <w:spacing w:after="120" w:line="240" w:lineRule="auto"/>
              <w:rPr>
                <w:rFonts w:ascii="Times New Roman" w:hAnsi="Times New Roman" w:cs="Times New Roman"/>
              </w:rPr>
            </w:pPr>
            <w:r w:rsidRPr="00B47988">
              <w:rPr>
                <w:rFonts w:ascii="Times New Roman" w:hAnsi="Times New Roman" w:cs="Times New Roman"/>
              </w:rPr>
              <w:t>Osiągnięcie wskaźników w zakresie transportu intermodalnego uzależnione jest od zatwierdzenia przez KE programu pomocowego. Przedłużający się proces zatwierdzania programu pomocowego może mieć wpływ na to, że wskaźniki dla inwestycji E2.1.3 KPO nie zostaną zrealizowane w zakładanej wielkości.</w:t>
            </w:r>
          </w:p>
        </w:tc>
      </w:tr>
      <w:tr w:rsidR="0046650D" w:rsidRPr="008E3C35" w14:paraId="35E6B9A8" w14:textId="77777777" w:rsidTr="00C40440">
        <w:tc>
          <w:tcPr>
            <w:tcW w:w="1249" w:type="pct"/>
          </w:tcPr>
          <w:p w14:paraId="6E3DDA6F"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lastRenderedPageBreak/>
              <w:t>Szacowany koszt</w:t>
            </w:r>
          </w:p>
        </w:tc>
        <w:tc>
          <w:tcPr>
            <w:tcW w:w="3751" w:type="pct"/>
            <w:gridSpan w:val="2"/>
          </w:tcPr>
          <w:p w14:paraId="55F1BCD9" w14:textId="36D93195" w:rsidR="0046650D" w:rsidRPr="00B47988" w:rsidRDefault="009D2AEA" w:rsidP="00C40440">
            <w:pPr>
              <w:spacing w:line="240" w:lineRule="auto"/>
              <w:rPr>
                <w:rFonts w:ascii="Times New Roman" w:hAnsi="Times New Roman" w:cs="Times New Roman"/>
              </w:rPr>
            </w:pPr>
            <w:r w:rsidRPr="003B4E6E">
              <w:rPr>
                <w:rFonts w:ascii="Times New Roman" w:hAnsi="Times New Roman" w:cs="Times New Roman"/>
              </w:rPr>
              <w:t>Zmiana nie ma wpływu na szacowany koszt</w:t>
            </w:r>
            <w:r w:rsidRPr="009D2AEA">
              <w:rPr>
                <w:rFonts w:ascii="Times New Roman" w:hAnsi="Times New Roman" w:cs="Times New Roman"/>
              </w:rPr>
              <w:t xml:space="preserve"> </w:t>
            </w:r>
            <w:r w:rsidR="0046650D" w:rsidRPr="00C40440">
              <w:rPr>
                <w:rFonts w:ascii="Times New Roman" w:hAnsi="Times New Roman" w:cs="Times New Roman"/>
              </w:rPr>
              <w:t xml:space="preserve">z uwagi na jedną, wspólną kwotę dla terminali i taboru </w:t>
            </w:r>
          </w:p>
        </w:tc>
      </w:tr>
      <w:tr w:rsidR="0046650D" w:rsidRPr="00A26E88" w14:paraId="697BFACA" w14:textId="77777777" w:rsidTr="00C40440">
        <w:tc>
          <w:tcPr>
            <w:tcW w:w="1249" w:type="pct"/>
          </w:tcPr>
          <w:p w14:paraId="6F6D404A"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Cyfrowy i klimatyczny </w:t>
            </w:r>
            <w:proofErr w:type="spellStart"/>
            <w:r w:rsidRPr="00B47988">
              <w:rPr>
                <w:rFonts w:ascii="Times New Roman" w:hAnsi="Times New Roman" w:cs="Times New Roman"/>
              </w:rPr>
              <w:t>tagging</w:t>
            </w:r>
            <w:proofErr w:type="spellEnd"/>
            <w:r w:rsidRPr="00B47988">
              <w:rPr>
                <w:rFonts w:ascii="Times New Roman" w:hAnsi="Times New Roman" w:cs="Times New Roman"/>
              </w:rPr>
              <w:t xml:space="preserve"> </w:t>
            </w:r>
          </w:p>
        </w:tc>
        <w:tc>
          <w:tcPr>
            <w:tcW w:w="3751" w:type="pct"/>
            <w:gridSpan w:val="2"/>
          </w:tcPr>
          <w:p w14:paraId="68679996" w14:textId="55D9AE30" w:rsidR="0046650D" w:rsidRPr="00C40440" w:rsidRDefault="0046650D">
            <w:pPr>
              <w:spacing w:after="0" w:line="240" w:lineRule="auto"/>
              <w:rPr>
                <w:rFonts w:ascii="Times New Roman" w:hAnsi="Times New Roman" w:cs="Times New Roman"/>
                <w:highlight w:val="yellow"/>
              </w:rPr>
            </w:pPr>
            <w:r w:rsidRPr="00B47988">
              <w:rPr>
                <w:rFonts w:ascii="Times New Roman" w:hAnsi="Times New Roman" w:cs="Times New Roman"/>
              </w:rPr>
              <w:t xml:space="preserve">W przypadku, gdy proponowane zmiany wpłyną na wartość inwestycji wówczas może to skutkować  zmniejszeniem kwoty środków przeznaczonych na </w:t>
            </w:r>
            <w:proofErr w:type="spellStart"/>
            <w:r w:rsidRPr="00B47988">
              <w:rPr>
                <w:rFonts w:ascii="Times New Roman" w:hAnsi="Times New Roman" w:cs="Times New Roman"/>
              </w:rPr>
              <w:t>tagging</w:t>
            </w:r>
            <w:proofErr w:type="spellEnd"/>
            <w:r w:rsidRPr="00B47988">
              <w:rPr>
                <w:rFonts w:ascii="Times New Roman" w:hAnsi="Times New Roman" w:cs="Times New Roman"/>
              </w:rPr>
              <w:t xml:space="preserve"> klimatyczny w tej inwestycji. Niemniej jednak niewykorzystane środki mogą zostać przeznaczone na wsparcie inwestycji o większym wpływie na </w:t>
            </w:r>
            <w:proofErr w:type="spellStart"/>
            <w:r w:rsidRPr="00B47988">
              <w:rPr>
                <w:rFonts w:ascii="Times New Roman" w:hAnsi="Times New Roman" w:cs="Times New Roman"/>
              </w:rPr>
              <w:t>tagging</w:t>
            </w:r>
            <w:proofErr w:type="spellEnd"/>
            <w:r w:rsidRPr="00B47988">
              <w:rPr>
                <w:rFonts w:ascii="Times New Roman" w:hAnsi="Times New Roman" w:cs="Times New Roman"/>
              </w:rPr>
              <w:t xml:space="preserve"> klimatyczny, np. na tabor kolejowy.</w:t>
            </w:r>
          </w:p>
        </w:tc>
      </w:tr>
      <w:tr w:rsidR="0046650D" w:rsidRPr="009D2AEA" w14:paraId="6EE30511" w14:textId="77777777" w:rsidTr="00C40440">
        <w:tc>
          <w:tcPr>
            <w:tcW w:w="1249" w:type="pct"/>
            <w:tcBorders>
              <w:bottom w:val="single" w:sz="4" w:space="0" w:color="auto"/>
            </w:tcBorders>
          </w:tcPr>
          <w:p w14:paraId="5450F56B"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Zasada DNSH </w:t>
            </w:r>
          </w:p>
        </w:tc>
        <w:tc>
          <w:tcPr>
            <w:tcW w:w="3751" w:type="pct"/>
            <w:gridSpan w:val="2"/>
            <w:tcBorders>
              <w:bottom w:val="single" w:sz="4" w:space="0" w:color="auto"/>
            </w:tcBorders>
          </w:tcPr>
          <w:p w14:paraId="01673182" w14:textId="37C713F1" w:rsidR="0046650D" w:rsidRPr="00C40440" w:rsidRDefault="009D2AEA">
            <w:pPr>
              <w:spacing w:after="0" w:line="240" w:lineRule="auto"/>
              <w:rPr>
                <w:rFonts w:ascii="Times New Roman" w:hAnsi="Times New Roman" w:cs="Times New Roman"/>
                <w:highlight w:val="yellow"/>
              </w:rPr>
            </w:pPr>
            <w:r w:rsidRPr="003B4E6E">
              <w:rPr>
                <w:rFonts w:ascii="Times New Roman" w:hAnsi="Times New Roman" w:cs="Times New Roman"/>
              </w:rPr>
              <w:t>Zmiana nie ma wpływu na DNSH</w:t>
            </w:r>
            <w:r w:rsidRPr="007B2370" w:rsidDel="00EB2612">
              <w:rPr>
                <w:rFonts w:ascii="Times New Roman" w:hAnsi="Times New Roman" w:cs="Times New Roman"/>
              </w:rPr>
              <w:t xml:space="preserve"> </w:t>
            </w:r>
          </w:p>
        </w:tc>
      </w:tr>
      <w:tr w:rsidR="0046650D" w:rsidRPr="00A26E88" w14:paraId="2C947ED4" w14:textId="77777777" w:rsidTr="00C40440">
        <w:tc>
          <w:tcPr>
            <w:tcW w:w="1249" w:type="pct"/>
            <w:tcBorders>
              <w:bottom w:val="single" w:sz="4" w:space="0" w:color="auto"/>
            </w:tcBorders>
          </w:tcPr>
          <w:p w14:paraId="164649E7"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 xml:space="preserve">Pomoc publiczna </w:t>
            </w:r>
          </w:p>
        </w:tc>
        <w:tc>
          <w:tcPr>
            <w:tcW w:w="3751" w:type="pct"/>
            <w:gridSpan w:val="2"/>
            <w:tcBorders>
              <w:bottom w:val="single" w:sz="4" w:space="0" w:color="auto"/>
            </w:tcBorders>
          </w:tcPr>
          <w:p w14:paraId="218DD127" w14:textId="6B54D9E4"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Zmiana ma związek z procedowanym rozporządzeniem pomocowym.</w:t>
            </w:r>
          </w:p>
          <w:p w14:paraId="589D7B6A" w14:textId="3137FBC3" w:rsidR="0046650D" w:rsidRPr="00C40440" w:rsidRDefault="0046650D">
            <w:pPr>
              <w:spacing w:after="0" w:line="240" w:lineRule="auto"/>
              <w:rPr>
                <w:rFonts w:ascii="Times New Roman" w:hAnsi="Times New Roman" w:cs="Times New Roman"/>
                <w:highlight w:val="yellow"/>
              </w:rPr>
            </w:pPr>
          </w:p>
        </w:tc>
      </w:tr>
    </w:tbl>
    <w:p w14:paraId="57D26561" w14:textId="77777777" w:rsidR="0046650D" w:rsidRPr="00C40440" w:rsidRDefault="0046650D" w:rsidP="00C40440">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4"/>
        <w:gridCol w:w="3137"/>
        <w:gridCol w:w="3661"/>
      </w:tblGrid>
      <w:tr w:rsidR="0046650D" w:rsidRPr="00B47988" w14:paraId="67AB7D4B" w14:textId="77777777" w:rsidTr="00C40440">
        <w:tc>
          <w:tcPr>
            <w:tcW w:w="1249" w:type="pct"/>
            <w:shd w:val="clear" w:color="auto" w:fill="FFFFFF" w:themeFill="background1"/>
          </w:tcPr>
          <w:p w14:paraId="3D881653" w14:textId="77777777" w:rsidR="0046650D" w:rsidRPr="00B47988" w:rsidRDefault="0046650D">
            <w:pPr>
              <w:spacing w:after="0" w:line="240" w:lineRule="auto"/>
              <w:rPr>
                <w:rFonts w:ascii="Times New Roman" w:hAnsi="Times New Roman" w:cs="Times New Roman"/>
                <w:b/>
                <w:bCs/>
              </w:rPr>
            </w:pPr>
            <w:r w:rsidRPr="00B47988">
              <w:rPr>
                <w:rFonts w:ascii="Times New Roman" w:hAnsi="Times New Roman" w:cs="Times New Roman"/>
                <w:b/>
                <w:bCs/>
              </w:rPr>
              <w:t>Numer inwestycji</w:t>
            </w:r>
          </w:p>
        </w:tc>
        <w:tc>
          <w:tcPr>
            <w:tcW w:w="3751" w:type="pct"/>
            <w:gridSpan w:val="2"/>
            <w:shd w:val="clear" w:color="auto" w:fill="FFFFFF" w:themeFill="background1"/>
          </w:tcPr>
          <w:p w14:paraId="28CD510F" w14:textId="4BC22C19" w:rsidR="0046650D" w:rsidRPr="00B47988" w:rsidRDefault="0046650D" w:rsidP="00C40440">
            <w:pPr>
              <w:pStyle w:val="Akapitzlist"/>
              <w:spacing w:line="240" w:lineRule="auto"/>
              <w:ind w:left="34"/>
              <w:rPr>
                <w:b/>
                <w:bCs/>
                <w:sz w:val="22"/>
                <w:szCs w:val="22"/>
              </w:rPr>
            </w:pPr>
            <w:r w:rsidRPr="00B47988">
              <w:rPr>
                <w:b/>
                <w:bCs/>
                <w:sz w:val="22"/>
                <w:szCs w:val="22"/>
              </w:rPr>
              <w:t>E.2.2</w:t>
            </w:r>
            <w:r w:rsidR="009D2AEA">
              <w:rPr>
                <w:b/>
                <w:bCs/>
                <w:sz w:val="22"/>
                <w:szCs w:val="22"/>
              </w:rPr>
              <w:t>.</w:t>
            </w:r>
            <w:r w:rsidRPr="00B47988">
              <w:rPr>
                <w:b/>
                <w:bCs/>
                <w:sz w:val="22"/>
                <w:szCs w:val="22"/>
              </w:rPr>
              <w:t xml:space="preserve">  </w:t>
            </w:r>
          </w:p>
        </w:tc>
      </w:tr>
      <w:tr w:rsidR="0046650D" w:rsidRPr="00B47988" w14:paraId="093FC2D6" w14:textId="77777777" w:rsidTr="00C40440">
        <w:tc>
          <w:tcPr>
            <w:tcW w:w="1249" w:type="pct"/>
          </w:tcPr>
          <w:p w14:paraId="38F2A613" w14:textId="7322A720" w:rsidR="0046650D" w:rsidRPr="00B47988" w:rsidRDefault="0046650D" w:rsidP="00C40440">
            <w:pPr>
              <w:pStyle w:val="Akapitzlist"/>
              <w:spacing w:line="240" w:lineRule="auto"/>
              <w:ind w:left="0"/>
              <w:rPr>
                <w:b/>
                <w:bCs/>
                <w:sz w:val="22"/>
                <w:szCs w:val="22"/>
              </w:rPr>
            </w:pPr>
            <w:proofErr w:type="spellStart"/>
            <w:r w:rsidRPr="00B47988">
              <w:rPr>
                <w:b/>
                <w:bCs/>
                <w:sz w:val="22"/>
                <w:szCs w:val="22"/>
              </w:rPr>
              <w:t>Nzwa</w:t>
            </w:r>
            <w:proofErr w:type="spellEnd"/>
            <w:r w:rsidRPr="00B47988">
              <w:rPr>
                <w:b/>
                <w:bCs/>
                <w:sz w:val="22"/>
                <w:szCs w:val="22"/>
              </w:rPr>
              <w:t xml:space="preserve"> inwestycji </w:t>
            </w:r>
          </w:p>
        </w:tc>
        <w:tc>
          <w:tcPr>
            <w:tcW w:w="3751" w:type="pct"/>
            <w:gridSpan w:val="2"/>
          </w:tcPr>
          <w:p w14:paraId="4FD9FC18" w14:textId="137273FC" w:rsidR="0046650D" w:rsidRPr="00B47988" w:rsidRDefault="0046650D" w:rsidP="00C40440">
            <w:pPr>
              <w:pStyle w:val="Akapitzlist"/>
              <w:spacing w:line="240" w:lineRule="auto"/>
              <w:ind w:left="34"/>
              <w:rPr>
                <w:b/>
                <w:bCs/>
                <w:sz w:val="22"/>
                <w:szCs w:val="22"/>
              </w:rPr>
            </w:pPr>
            <w:r w:rsidRPr="00B47988">
              <w:rPr>
                <w:b/>
                <w:bCs/>
                <w:sz w:val="22"/>
                <w:szCs w:val="22"/>
              </w:rPr>
              <w:t>C</w:t>
            </w:r>
            <w:r w:rsidR="008E7355">
              <w:rPr>
                <w:b/>
                <w:bCs/>
                <w:sz w:val="22"/>
                <w:szCs w:val="22"/>
              </w:rPr>
              <w:t>y</w:t>
            </w:r>
            <w:r w:rsidRPr="00B47988">
              <w:rPr>
                <w:b/>
                <w:bCs/>
                <w:sz w:val="22"/>
                <w:szCs w:val="22"/>
              </w:rPr>
              <w:t xml:space="preserve">fryzacja transportu </w:t>
            </w:r>
          </w:p>
          <w:p w14:paraId="78A912B6" w14:textId="77777777" w:rsidR="0046650D" w:rsidRPr="00B47988" w:rsidRDefault="0046650D" w:rsidP="00C40440">
            <w:pPr>
              <w:pStyle w:val="Akapitzlist"/>
              <w:spacing w:line="240" w:lineRule="auto"/>
              <w:rPr>
                <w:b/>
                <w:bCs/>
                <w:sz w:val="22"/>
                <w:szCs w:val="22"/>
              </w:rPr>
            </w:pPr>
          </w:p>
        </w:tc>
      </w:tr>
      <w:tr w:rsidR="0046650D" w:rsidRPr="003733FD" w14:paraId="17B9012C" w14:textId="77777777" w:rsidTr="00C40440">
        <w:tc>
          <w:tcPr>
            <w:tcW w:w="1249" w:type="pct"/>
          </w:tcPr>
          <w:p w14:paraId="6E2242D0" w14:textId="77777777" w:rsidR="0046650D" w:rsidRPr="00B47988" w:rsidRDefault="0046650D" w:rsidP="00C40440">
            <w:pPr>
              <w:pStyle w:val="Akapitzlist"/>
              <w:spacing w:line="240" w:lineRule="auto"/>
              <w:ind w:left="0"/>
              <w:rPr>
                <w:sz w:val="22"/>
                <w:szCs w:val="22"/>
              </w:rPr>
            </w:pPr>
            <w:r w:rsidRPr="00B47988">
              <w:rPr>
                <w:sz w:val="22"/>
                <w:szCs w:val="22"/>
              </w:rPr>
              <w:t>Rodzaj wprowadzonej zmiany w odniesieniu do CID</w:t>
            </w:r>
          </w:p>
        </w:tc>
        <w:tc>
          <w:tcPr>
            <w:tcW w:w="3751" w:type="pct"/>
            <w:gridSpan w:val="2"/>
          </w:tcPr>
          <w:p w14:paraId="336A12CF" w14:textId="0A29855B" w:rsidR="0046650D" w:rsidRPr="00B47988" w:rsidRDefault="00806874" w:rsidP="00C40440">
            <w:pPr>
              <w:pStyle w:val="Akapitzlist"/>
              <w:spacing w:line="240" w:lineRule="auto"/>
              <w:ind w:left="0"/>
              <w:rPr>
                <w:sz w:val="22"/>
                <w:szCs w:val="22"/>
              </w:rPr>
            </w:pPr>
            <w:r>
              <w:rPr>
                <w:sz w:val="22"/>
                <w:szCs w:val="22"/>
              </w:rPr>
              <w:t xml:space="preserve">Modyfikacja </w:t>
            </w:r>
            <w:r w:rsidR="0046650D" w:rsidRPr="00B47988">
              <w:rPr>
                <w:sz w:val="22"/>
                <w:szCs w:val="22"/>
              </w:rPr>
              <w:t xml:space="preserve">opisu inwestycji oraz </w:t>
            </w:r>
            <w:r>
              <w:rPr>
                <w:sz w:val="22"/>
                <w:szCs w:val="22"/>
              </w:rPr>
              <w:t>opisu i wartości wskaźników E27G i E28G</w:t>
            </w:r>
            <w:r w:rsidR="0046650D" w:rsidRPr="00B47988">
              <w:rPr>
                <w:sz w:val="22"/>
                <w:szCs w:val="22"/>
              </w:rPr>
              <w:t xml:space="preserve"> </w:t>
            </w:r>
          </w:p>
          <w:p w14:paraId="076062BF" w14:textId="77777777" w:rsidR="0046650D" w:rsidRPr="00D3240A" w:rsidRDefault="0046650D" w:rsidP="00C40440">
            <w:pPr>
              <w:pStyle w:val="Akapitzlist"/>
              <w:spacing w:line="240" w:lineRule="auto"/>
              <w:rPr>
                <w:sz w:val="22"/>
                <w:szCs w:val="22"/>
              </w:rPr>
            </w:pPr>
          </w:p>
        </w:tc>
      </w:tr>
      <w:tr w:rsidR="0046650D" w:rsidRPr="00B47988" w14:paraId="59C66ADD" w14:textId="77777777" w:rsidTr="00C40440">
        <w:tc>
          <w:tcPr>
            <w:tcW w:w="1249" w:type="pct"/>
            <w:shd w:val="clear" w:color="auto" w:fill="FFFFFF" w:themeFill="background1"/>
          </w:tcPr>
          <w:p w14:paraId="2F6EA8E9" w14:textId="77777777" w:rsidR="0046650D" w:rsidRPr="00B47988" w:rsidRDefault="0046650D" w:rsidP="00C40440">
            <w:pPr>
              <w:pStyle w:val="Akapitzlist"/>
              <w:spacing w:line="240" w:lineRule="auto"/>
              <w:ind w:left="0" w:firstLine="67"/>
              <w:rPr>
                <w:sz w:val="22"/>
                <w:szCs w:val="22"/>
              </w:rPr>
            </w:pPr>
            <w:r w:rsidRPr="00B47988">
              <w:rPr>
                <w:sz w:val="22"/>
                <w:szCs w:val="22"/>
              </w:rPr>
              <w:t>Podstawa prawna zmiany</w:t>
            </w:r>
          </w:p>
        </w:tc>
        <w:tc>
          <w:tcPr>
            <w:tcW w:w="3751" w:type="pct"/>
            <w:gridSpan w:val="2"/>
            <w:shd w:val="clear" w:color="auto" w:fill="FFFFFF" w:themeFill="background1"/>
          </w:tcPr>
          <w:p w14:paraId="4352C7C3" w14:textId="75EDAFEC" w:rsidR="0046650D" w:rsidRPr="00B47988" w:rsidRDefault="00806874">
            <w:pPr>
              <w:spacing w:after="0" w:line="240" w:lineRule="auto"/>
              <w:rPr>
                <w:rFonts w:ascii="Times New Roman" w:hAnsi="Times New Roman" w:cs="Times New Roman"/>
              </w:rPr>
            </w:pPr>
            <w:r w:rsidRPr="003B4E6E">
              <w:rPr>
                <w:rFonts w:ascii="Times New Roman" w:hAnsi="Times New Roman" w:cs="Times New Roman"/>
              </w:rPr>
              <w:t>art. 21 rozporządzenia Parlamentu Europejskiego i Rady (UE) 2021/241 z dnia 12 lutego 2021 r. ustanawiające Instrument na rzecz Odbudowy i Zwiększania Odporności</w:t>
            </w:r>
            <w:r w:rsidRPr="003B4E6E" w:rsidDel="00A106E1">
              <w:rPr>
                <w:rFonts w:ascii="Times New Roman" w:hAnsi="Times New Roman" w:cs="Times New Roman"/>
              </w:rPr>
              <w:t xml:space="preserve"> </w:t>
            </w:r>
          </w:p>
        </w:tc>
      </w:tr>
      <w:tr w:rsidR="0046650D" w:rsidRPr="00B47988" w14:paraId="264BDCB3" w14:textId="77777777" w:rsidTr="00C40440">
        <w:tc>
          <w:tcPr>
            <w:tcW w:w="1249" w:type="pct"/>
            <w:shd w:val="clear" w:color="auto" w:fill="D9D9D9" w:themeFill="background1" w:themeFillShade="D9"/>
          </w:tcPr>
          <w:p w14:paraId="2BFE971F" w14:textId="77777777" w:rsidR="0046650D" w:rsidRPr="00B47988" w:rsidRDefault="0046650D">
            <w:pPr>
              <w:spacing w:after="0" w:line="240" w:lineRule="auto"/>
              <w:rPr>
                <w:rFonts w:ascii="Times New Roman" w:hAnsi="Times New Roman" w:cs="Times New Roman"/>
              </w:rPr>
            </w:pPr>
            <w:r w:rsidRPr="00B47988">
              <w:rPr>
                <w:rFonts w:ascii="Times New Roman" w:hAnsi="Times New Roman" w:cs="Times New Roman"/>
              </w:rPr>
              <w:t>Modyfikowany element</w:t>
            </w:r>
          </w:p>
        </w:tc>
        <w:tc>
          <w:tcPr>
            <w:tcW w:w="1731" w:type="pct"/>
            <w:shd w:val="clear" w:color="auto" w:fill="D9D9D9" w:themeFill="background1" w:themeFillShade="D9"/>
          </w:tcPr>
          <w:p w14:paraId="60F85D3F" w14:textId="77777777" w:rsidR="0046650D" w:rsidRPr="00B47988" w:rsidRDefault="0046650D">
            <w:pPr>
              <w:spacing w:after="0" w:line="240" w:lineRule="auto"/>
              <w:jc w:val="center"/>
              <w:rPr>
                <w:rFonts w:ascii="Times New Roman" w:hAnsi="Times New Roman" w:cs="Times New Roman"/>
              </w:rPr>
            </w:pPr>
            <w:r w:rsidRPr="00B47988">
              <w:rPr>
                <w:rFonts w:ascii="Times New Roman" w:hAnsi="Times New Roman" w:cs="Times New Roman"/>
              </w:rPr>
              <w:t>Wersja aktualna</w:t>
            </w:r>
          </w:p>
        </w:tc>
        <w:tc>
          <w:tcPr>
            <w:tcW w:w="2020" w:type="pct"/>
            <w:shd w:val="clear" w:color="auto" w:fill="D9D9D9" w:themeFill="background1" w:themeFillShade="D9"/>
          </w:tcPr>
          <w:p w14:paraId="331E23B0" w14:textId="77777777" w:rsidR="0046650D" w:rsidRPr="00B47988" w:rsidRDefault="0046650D">
            <w:pPr>
              <w:spacing w:after="0" w:line="240" w:lineRule="auto"/>
              <w:jc w:val="center"/>
              <w:rPr>
                <w:rFonts w:ascii="Times New Roman" w:hAnsi="Times New Roman" w:cs="Times New Roman"/>
              </w:rPr>
            </w:pPr>
            <w:r w:rsidRPr="00B47988">
              <w:rPr>
                <w:rFonts w:ascii="Times New Roman" w:hAnsi="Times New Roman" w:cs="Times New Roman"/>
              </w:rPr>
              <w:t>Wersja zmieniona</w:t>
            </w:r>
          </w:p>
        </w:tc>
      </w:tr>
      <w:tr w:rsidR="0046650D" w:rsidRPr="00B47988" w14:paraId="14F65523" w14:textId="77777777" w:rsidTr="00C40440">
        <w:tc>
          <w:tcPr>
            <w:tcW w:w="1249" w:type="pct"/>
          </w:tcPr>
          <w:p w14:paraId="475E76A0" w14:textId="77777777" w:rsidR="0046650D" w:rsidRPr="00F86E5A" w:rsidRDefault="0046650D">
            <w:pPr>
              <w:spacing w:after="0" w:line="240" w:lineRule="auto"/>
              <w:rPr>
                <w:rFonts w:ascii="Times New Roman" w:hAnsi="Times New Roman" w:cs="Times New Roman"/>
              </w:rPr>
            </w:pPr>
            <w:r w:rsidRPr="00F86E5A">
              <w:rPr>
                <w:rFonts w:ascii="Times New Roman" w:hAnsi="Times New Roman" w:cs="Times New Roman"/>
              </w:rPr>
              <w:t>Opis kamienia milowego lub wskaźnika.</w:t>
            </w:r>
          </w:p>
        </w:tc>
        <w:tc>
          <w:tcPr>
            <w:tcW w:w="1731" w:type="pct"/>
          </w:tcPr>
          <w:p w14:paraId="0DF9A96D" w14:textId="3A82F5F5" w:rsidR="0046650D" w:rsidRPr="00C40440" w:rsidRDefault="0046650D" w:rsidP="00C40440">
            <w:pPr>
              <w:pStyle w:val="Akapitzlist"/>
              <w:spacing w:line="240" w:lineRule="auto"/>
              <w:ind w:left="118"/>
              <w:rPr>
                <w:sz w:val="22"/>
                <w:szCs w:val="22"/>
              </w:rPr>
            </w:pPr>
            <w:r w:rsidRPr="00C40440">
              <w:rPr>
                <w:sz w:val="22"/>
                <w:szCs w:val="22"/>
              </w:rPr>
              <w:t xml:space="preserve">Opis inwestycji </w:t>
            </w:r>
          </w:p>
          <w:p w14:paraId="785C5D42" w14:textId="42085FBA" w:rsidR="003939F9" w:rsidRPr="00C40440" w:rsidRDefault="0046650D" w:rsidP="00C40440">
            <w:pPr>
              <w:spacing w:after="0" w:line="240" w:lineRule="auto"/>
              <w:ind w:left="-5"/>
              <w:rPr>
                <w:rFonts w:ascii="Times New Roman" w:hAnsi="Times New Roman" w:cs="Times New Roman"/>
              </w:rPr>
            </w:pPr>
            <w:r w:rsidRPr="00C40440">
              <w:rPr>
                <w:rFonts w:ascii="Times New Roman" w:hAnsi="Times New Roman" w:cs="Times New Roman"/>
              </w:rPr>
              <w:t xml:space="preserve"> </w:t>
            </w:r>
          </w:p>
          <w:p w14:paraId="529BFCE2" w14:textId="77777777" w:rsidR="0046650D" w:rsidRPr="00C40440" w:rsidRDefault="0046650D" w:rsidP="00C40440">
            <w:pPr>
              <w:spacing w:line="240" w:lineRule="auto"/>
            </w:pPr>
            <w:r w:rsidRPr="00C40440">
              <w:rPr>
                <w:rFonts w:ascii="Times New Roman" w:hAnsi="Times New Roman" w:cs="Times New Roman"/>
              </w:rPr>
              <w:t xml:space="preserve">(…) Działanie to obejmuje inwestycje w: </w:t>
            </w:r>
          </w:p>
          <w:p w14:paraId="4541467D" w14:textId="77777777" w:rsidR="0046650D" w:rsidRPr="00F86E5A" w:rsidRDefault="0046650D" w:rsidP="00C40440">
            <w:pPr>
              <w:pStyle w:val="Akapitzlist"/>
              <w:spacing w:line="240" w:lineRule="auto"/>
              <w:ind w:left="118"/>
              <w:rPr>
                <w:sz w:val="22"/>
                <w:szCs w:val="22"/>
              </w:rPr>
            </w:pPr>
            <w:r w:rsidRPr="00F86E5A">
              <w:rPr>
                <w:sz w:val="22"/>
                <w:szCs w:val="22"/>
              </w:rPr>
              <w:t xml:space="preserve">• zakup i instalację 160 urządzeń pokładowych ERTMS; </w:t>
            </w:r>
          </w:p>
          <w:p w14:paraId="743A01D3" w14:textId="77777777" w:rsidR="0046650D" w:rsidRPr="00F86E5A" w:rsidRDefault="0046650D" w:rsidP="00C40440">
            <w:pPr>
              <w:pStyle w:val="Akapitzlist"/>
              <w:spacing w:line="240" w:lineRule="auto"/>
              <w:ind w:left="118"/>
              <w:rPr>
                <w:sz w:val="22"/>
                <w:szCs w:val="22"/>
              </w:rPr>
            </w:pPr>
            <w:r w:rsidRPr="00F86E5A">
              <w:rPr>
                <w:sz w:val="22"/>
                <w:szCs w:val="22"/>
              </w:rPr>
              <w:t xml:space="preserve">• wdrożenie zdalnego sterowania na 35 stacjach kolejowych; </w:t>
            </w:r>
          </w:p>
          <w:p w14:paraId="7064E260" w14:textId="77777777" w:rsidR="0046650D" w:rsidRPr="00F86E5A" w:rsidRDefault="0046650D" w:rsidP="00C40440">
            <w:pPr>
              <w:pStyle w:val="Akapitzlist"/>
              <w:spacing w:line="240" w:lineRule="auto"/>
              <w:ind w:left="118"/>
              <w:rPr>
                <w:sz w:val="22"/>
                <w:szCs w:val="22"/>
              </w:rPr>
            </w:pPr>
            <w:r w:rsidRPr="00F86E5A">
              <w:rPr>
                <w:sz w:val="22"/>
                <w:szCs w:val="22"/>
              </w:rPr>
              <w:t xml:space="preserve">• modernizację systemów przejazdów kolejowych w 45 lokalizacjach; </w:t>
            </w:r>
          </w:p>
          <w:p w14:paraId="694D7E46" w14:textId="77777777" w:rsidR="0046650D" w:rsidRPr="00F86E5A" w:rsidRDefault="0046650D" w:rsidP="00C40440">
            <w:pPr>
              <w:pStyle w:val="Akapitzlist"/>
              <w:spacing w:line="240" w:lineRule="auto"/>
              <w:ind w:left="118"/>
              <w:rPr>
                <w:sz w:val="22"/>
                <w:szCs w:val="22"/>
              </w:rPr>
            </w:pPr>
            <w:r w:rsidRPr="00F86E5A">
              <w:rPr>
                <w:sz w:val="22"/>
                <w:szCs w:val="22"/>
              </w:rPr>
              <w:t xml:space="preserve">• budowę i renowację lokalnych ośrodków kontroli oraz inwestycje w zarządzanie ruchem, </w:t>
            </w:r>
          </w:p>
          <w:p w14:paraId="5CF237F1" w14:textId="77777777" w:rsidR="0046650D" w:rsidRPr="00F86E5A" w:rsidRDefault="0046650D" w:rsidP="00C40440">
            <w:pPr>
              <w:pStyle w:val="Akapitzlist"/>
              <w:spacing w:line="240" w:lineRule="auto"/>
              <w:ind w:left="118"/>
              <w:rPr>
                <w:sz w:val="22"/>
                <w:szCs w:val="22"/>
                <w:u w:val="single"/>
              </w:rPr>
            </w:pPr>
            <w:r w:rsidRPr="00F86E5A">
              <w:rPr>
                <w:sz w:val="22"/>
                <w:szCs w:val="22"/>
              </w:rPr>
              <w:lastRenderedPageBreak/>
              <w:t>które mają zostać zakończone do dnia 30 czerwca 2026 r., natomiast budowa SDIP (Systemów Dynamicznej Informacji Pasażerskiej) i innych systemów w 55 lokalizacjach – do dnia 31 marca 2025 r.</w:t>
            </w:r>
          </w:p>
          <w:p w14:paraId="535903B3" w14:textId="77777777" w:rsidR="0046650D" w:rsidRPr="00F86E5A" w:rsidRDefault="0046650D" w:rsidP="00C40440">
            <w:pPr>
              <w:pStyle w:val="Akapitzlist"/>
              <w:spacing w:line="240" w:lineRule="auto"/>
              <w:rPr>
                <w:sz w:val="22"/>
                <w:szCs w:val="22"/>
                <w:u w:val="single"/>
              </w:rPr>
            </w:pPr>
          </w:p>
          <w:p w14:paraId="18EFBA21" w14:textId="77777777" w:rsidR="0046650D" w:rsidRPr="00F86E5A" w:rsidRDefault="0046650D" w:rsidP="00C40440">
            <w:pPr>
              <w:pStyle w:val="Akapitzlist"/>
              <w:spacing w:line="240" w:lineRule="auto"/>
              <w:rPr>
                <w:sz w:val="22"/>
                <w:szCs w:val="22"/>
                <w:u w:val="single"/>
              </w:rPr>
            </w:pPr>
          </w:p>
          <w:p w14:paraId="3FC43E22" w14:textId="77777777" w:rsidR="0046650D" w:rsidRPr="00F86E5A" w:rsidRDefault="0046650D" w:rsidP="00C40440">
            <w:pPr>
              <w:pStyle w:val="Akapitzlist"/>
              <w:spacing w:line="240" w:lineRule="auto"/>
              <w:rPr>
                <w:sz w:val="22"/>
                <w:szCs w:val="22"/>
                <w:u w:val="single"/>
              </w:rPr>
            </w:pPr>
          </w:p>
          <w:p w14:paraId="66907664" w14:textId="77777777" w:rsidR="0046650D" w:rsidRPr="00F86E5A" w:rsidRDefault="0046650D" w:rsidP="00C40440">
            <w:pPr>
              <w:pStyle w:val="Akapitzlist"/>
              <w:spacing w:line="240" w:lineRule="auto"/>
              <w:rPr>
                <w:sz w:val="22"/>
                <w:szCs w:val="22"/>
                <w:u w:val="single"/>
              </w:rPr>
            </w:pPr>
          </w:p>
          <w:p w14:paraId="17E4AF0D" w14:textId="77777777" w:rsidR="0046650D" w:rsidRPr="00F86E5A" w:rsidRDefault="0046650D" w:rsidP="00C40440">
            <w:pPr>
              <w:spacing w:line="240" w:lineRule="auto"/>
            </w:pPr>
          </w:p>
          <w:p w14:paraId="31D0CBB5" w14:textId="37B99A95" w:rsidR="0046650D" w:rsidRPr="00C40440" w:rsidRDefault="0046650D">
            <w:pPr>
              <w:spacing w:after="0" w:line="240" w:lineRule="auto"/>
              <w:rPr>
                <w:rFonts w:ascii="Times New Roman" w:hAnsi="Times New Roman" w:cs="Times New Roman"/>
              </w:rPr>
            </w:pPr>
            <w:r w:rsidRPr="00C40440">
              <w:rPr>
                <w:rFonts w:ascii="Times New Roman" w:hAnsi="Times New Roman" w:cs="Times New Roman"/>
              </w:rPr>
              <w:t>E27G</w:t>
            </w:r>
          </w:p>
          <w:p w14:paraId="1B48C09D" w14:textId="666C0BCF" w:rsidR="0046650D" w:rsidRPr="00F86E5A" w:rsidRDefault="0046650D">
            <w:pPr>
              <w:spacing w:after="0" w:line="240" w:lineRule="auto"/>
              <w:rPr>
                <w:rFonts w:ascii="Times New Roman" w:hAnsi="Times New Roman" w:cs="Times New Roman"/>
              </w:rPr>
            </w:pPr>
            <w:r w:rsidRPr="00F86E5A">
              <w:rPr>
                <w:rFonts w:ascii="Times New Roman" w:hAnsi="Times New Roman" w:cs="Times New Roman"/>
              </w:rPr>
              <w:t>Instalacja: Systemu Dynamicznej Informacji Pasażerskiej (SDIP), systemów sterowania i przejazdów kolejowych w 55 obszarach</w:t>
            </w:r>
          </w:p>
          <w:p w14:paraId="24A258A9" w14:textId="77777777" w:rsidR="0046650D" w:rsidRPr="00C40440" w:rsidRDefault="0046650D" w:rsidP="00C40440">
            <w:pPr>
              <w:pStyle w:val="Akapitzlist"/>
              <w:spacing w:line="240" w:lineRule="auto"/>
              <w:ind w:left="-24"/>
              <w:rPr>
                <w:sz w:val="22"/>
                <w:szCs w:val="22"/>
              </w:rPr>
            </w:pPr>
          </w:p>
          <w:p w14:paraId="390233D0" w14:textId="037D7957" w:rsidR="008E7355" w:rsidRPr="003939F9" w:rsidRDefault="0046650D" w:rsidP="00C40440">
            <w:pPr>
              <w:pStyle w:val="Akapitzlist"/>
              <w:spacing w:line="240" w:lineRule="auto"/>
              <w:ind w:left="-24"/>
            </w:pPr>
            <w:r w:rsidRPr="00F86E5A">
              <w:rPr>
                <w:sz w:val="22"/>
                <w:szCs w:val="22"/>
              </w:rPr>
              <w:t>Instalacja Systemów Dynamicznej Informacji Pasażerskiej (SDIP) w 10 lokalizacjach w celu dostarczania pasażerom informacji o ruchu kolejowym w czasie rzeczywistym, systemów automatycznego sterowania w 15 lokalizacjach w celu umożliwienia zarządzania danym obszarem kolejowym z lokalnego centrum zarządzania ruchem, sterowanych automatycznie urządzeń bezpieczeństwa na 30 przejazdach kolejowych (rogatki, systemy sygnalizacji dźwiękowej i świetlnej)</w:t>
            </w:r>
          </w:p>
          <w:p w14:paraId="7239126D" w14:textId="40A5F058" w:rsidR="0046650D" w:rsidRPr="00C40440" w:rsidRDefault="0046650D" w:rsidP="00C40440">
            <w:pPr>
              <w:pStyle w:val="Akapitzlist"/>
              <w:spacing w:line="240" w:lineRule="auto"/>
              <w:ind w:left="0"/>
              <w:rPr>
                <w:sz w:val="22"/>
                <w:szCs w:val="22"/>
              </w:rPr>
            </w:pPr>
            <w:r w:rsidRPr="00C40440">
              <w:rPr>
                <w:sz w:val="22"/>
                <w:szCs w:val="22"/>
              </w:rPr>
              <w:t>E28G</w:t>
            </w:r>
          </w:p>
          <w:p w14:paraId="1284D829" w14:textId="7FA49EBF" w:rsidR="0046650D" w:rsidRPr="00F86E5A" w:rsidRDefault="0046650D" w:rsidP="00C40440">
            <w:pPr>
              <w:pStyle w:val="Akapitzlist"/>
              <w:spacing w:line="240" w:lineRule="auto"/>
              <w:ind w:left="0"/>
              <w:rPr>
                <w:i/>
                <w:sz w:val="22"/>
                <w:szCs w:val="22"/>
              </w:rPr>
            </w:pPr>
            <w:r w:rsidRPr="00F86E5A">
              <w:rPr>
                <w:i/>
                <w:sz w:val="22"/>
                <w:szCs w:val="22"/>
              </w:rPr>
              <w:t>Poziom bazowy</w:t>
            </w:r>
          </w:p>
          <w:p w14:paraId="0D655A6A" w14:textId="77777777" w:rsidR="0046650D" w:rsidRPr="00F86E5A" w:rsidRDefault="0046650D" w:rsidP="00C40440">
            <w:pPr>
              <w:pStyle w:val="Akapitzlist"/>
              <w:spacing w:line="240" w:lineRule="auto"/>
              <w:ind w:left="118"/>
              <w:rPr>
                <w:sz w:val="22"/>
                <w:szCs w:val="22"/>
              </w:rPr>
            </w:pPr>
            <w:r w:rsidRPr="00F86E5A">
              <w:rPr>
                <w:sz w:val="22"/>
                <w:szCs w:val="22"/>
              </w:rPr>
              <w:t>0</w:t>
            </w:r>
          </w:p>
          <w:p w14:paraId="044A4CDC" w14:textId="77777777" w:rsidR="0046650D" w:rsidRPr="00F86E5A" w:rsidRDefault="0046650D" w:rsidP="00C40440">
            <w:pPr>
              <w:pStyle w:val="Akapitzlist"/>
              <w:spacing w:line="240" w:lineRule="auto"/>
              <w:ind w:left="118"/>
              <w:rPr>
                <w:i/>
                <w:sz w:val="22"/>
                <w:szCs w:val="22"/>
              </w:rPr>
            </w:pPr>
          </w:p>
          <w:p w14:paraId="317337D0" w14:textId="77777777" w:rsidR="0046650D" w:rsidRPr="00F86E5A" w:rsidRDefault="0046650D" w:rsidP="00C40440">
            <w:pPr>
              <w:pStyle w:val="Akapitzlist"/>
              <w:spacing w:line="240" w:lineRule="auto"/>
              <w:ind w:left="118"/>
              <w:rPr>
                <w:i/>
                <w:sz w:val="22"/>
                <w:szCs w:val="22"/>
              </w:rPr>
            </w:pPr>
          </w:p>
          <w:p w14:paraId="2CC405A0" w14:textId="77777777" w:rsidR="0046650D" w:rsidRPr="00C40440" w:rsidRDefault="0046650D" w:rsidP="00C40440">
            <w:pPr>
              <w:spacing w:line="240" w:lineRule="auto"/>
              <w:rPr>
                <w:i/>
              </w:rPr>
            </w:pPr>
          </w:p>
          <w:p w14:paraId="208FC71D" w14:textId="74C11BAF" w:rsidR="0046650D" w:rsidRPr="00C40440" w:rsidRDefault="0046650D" w:rsidP="00C40440">
            <w:pPr>
              <w:pStyle w:val="Akapitzlist"/>
              <w:spacing w:line="240" w:lineRule="auto"/>
              <w:ind w:left="118"/>
              <w:rPr>
                <w:rFonts w:eastAsiaTheme="minorHAnsi"/>
              </w:rPr>
            </w:pPr>
            <w:r w:rsidRPr="00F86E5A">
              <w:rPr>
                <w:i/>
                <w:sz w:val="22"/>
                <w:szCs w:val="22"/>
              </w:rPr>
              <w:t>Cel</w:t>
            </w:r>
          </w:p>
          <w:p w14:paraId="46D65F1A" w14:textId="77777777" w:rsidR="0046650D" w:rsidRPr="00C40440" w:rsidRDefault="0046650D" w:rsidP="00C40440">
            <w:pPr>
              <w:numPr>
                <w:ilvl w:val="0"/>
                <w:numId w:val="12"/>
              </w:numPr>
              <w:spacing w:after="0" w:line="240" w:lineRule="auto"/>
              <w:rPr>
                <w:rFonts w:ascii="Times New Roman" w:hAnsi="Times New Roman" w:cs="Times New Roman"/>
                <w:i/>
                <w:lang w:val="en-GB"/>
              </w:rPr>
            </w:pPr>
            <w:r w:rsidRPr="00C40440">
              <w:rPr>
                <w:rFonts w:ascii="Times New Roman" w:hAnsi="Times New Roman" w:cs="Times New Roman"/>
              </w:rPr>
              <w:t xml:space="preserve">160 urządzeń pokładowych ERTMS; </w:t>
            </w:r>
          </w:p>
          <w:p w14:paraId="290B51CC" w14:textId="77777777" w:rsidR="0046650D" w:rsidRPr="00C40440" w:rsidRDefault="0046650D" w:rsidP="00C40440">
            <w:pPr>
              <w:numPr>
                <w:ilvl w:val="0"/>
                <w:numId w:val="12"/>
              </w:numPr>
              <w:spacing w:after="0" w:line="240" w:lineRule="auto"/>
              <w:rPr>
                <w:rFonts w:ascii="Times New Roman" w:hAnsi="Times New Roman" w:cs="Times New Roman"/>
                <w:i/>
                <w:lang w:val="en-GB"/>
              </w:rPr>
            </w:pPr>
            <w:r w:rsidRPr="00C40440">
              <w:rPr>
                <w:rFonts w:ascii="Times New Roman" w:hAnsi="Times New Roman" w:cs="Times New Roman"/>
              </w:rPr>
              <w:t xml:space="preserve">przejazdy kolejowe w 45 lokalizacjach; </w:t>
            </w:r>
          </w:p>
          <w:p w14:paraId="3BCA47AE" w14:textId="5448C770" w:rsidR="0046650D" w:rsidRPr="00F86E5A" w:rsidRDefault="0046650D" w:rsidP="00C40440">
            <w:pPr>
              <w:numPr>
                <w:ilvl w:val="0"/>
                <w:numId w:val="12"/>
              </w:numPr>
              <w:spacing w:after="0" w:line="240" w:lineRule="auto"/>
              <w:rPr>
                <w:rFonts w:ascii="Times New Roman" w:hAnsi="Times New Roman" w:cs="Times New Roman"/>
                <w:lang w:val="en-GB"/>
              </w:rPr>
            </w:pPr>
            <w:r w:rsidRPr="00C40440">
              <w:rPr>
                <w:rFonts w:ascii="Times New Roman" w:hAnsi="Times New Roman" w:cs="Times New Roman"/>
              </w:rPr>
              <w:t>automatyczne sterowanie w 35 lokalizacjach</w:t>
            </w:r>
          </w:p>
          <w:p w14:paraId="5A2CB3DA" w14:textId="77777777" w:rsidR="0046650D" w:rsidRPr="00F86E5A" w:rsidRDefault="0046650D" w:rsidP="00C40440">
            <w:pPr>
              <w:spacing w:after="0" w:line="240" w:lineRule="auto"/>
              <w:rPr>
                <w:rFonts w:ascii="Times New Roman" w:hAnsi="Times New Roman" w:cs="Times New Roman"/>
              </w:rPr>
            </w:pPr>
            <w:r w:rsidRPr="00F86E5A">
              <w:rPr>
                <w:rFonts w:ascii="Times New Roman" w:hAnsi="Times New Roman" w:cs="Times New Roman"/>
              </w:rPr>
              <w:t xml:space="preserve">Zakończenie prac związanych z: instalacją 160 urządzeń pokładowych ERTMS (oferta </w:t>
            </w:r>
            <w:r w:rsidRPr="00F86E5A">
              <w:rPr>
                <w:rFonts w:ascii="Times New Roman" w:hAnsi="Times New Roman" w:cs="Times New Roman"/>
              </w:rPr>
              <w:lastRenderedPageBreak/>
              <w:t>zostanie wybrana w trybie konkurencyjnego zaproszenia do składania wniosków), modernizacją systemów na przejazdach kolejowych w 45 lokalizacjach (w tym rogatek, dźwiękowych i świetlnych systemów bezpieczeństwa) oraz wprowadzeniem zdalnego sterowania posterunkami ruchu w 35 lokalizacjach.</w:t>
            </w:r>
          </w:p>
        </w:tc>
        <w:tc>
          <w:tcPr>
            <w:tcW w:w="2020" w:type="pct"/>
          </w:tcPr>
          <w:p w14:paraId="7FFCA3A2" w14:textId="0717E849" w:rsidR="0046650D" w:rsidRPr="00C40440" w:rsidRDefault="0046650D" w:rsidP="00C40440">
            <w:pPr>
              <w:spacing w:line="240" w:lineRule="auto"/>
            </w:pPr>
            <w:r w:rsidRPr="00C40440">
              <w:rPr>
                <w:rFonts w:ascii="Times New Roman" w:hAnsi="Times New Roman" w:cs="Times New Roman"/>
              </w:rPr>
              <w:lastRenderedPageBreak/>
              <w:t xml:space="preserve">Opis inwestycji </w:t>
            </w:r>
          </w:p>
          <w:p w14:paraId="3D8AF08E" w14:textId="2F7F0E18" w:rsidR="0046650D" w:rsidRPr="00C40440" w:rsidRDefault="0046650D" w:rsidP="00C40440">
            <w:pPr>
              <w:spacing w:after="0" w:line="240" w:lineRule="auto"/>
              <w:ind w:left="-5"/>
            </w:pPr>
            <w:r w:rsidRPr="00C40440">
              <w:rPr>
                <w:rFonts w:ascii="Times New Roman" w:hAnsi="Times New Roman" w:cs="Times New Roman"/>
              </w:rPr>
              <w:t xml:space="preserve"> </w:t>
            </w:r>
          </w:p>
          <w:p w14:paraId="163B53C0" w14:textId="77777777" w:rsidR="0046650D" w:rsidRPr="00B47988" w:rsidRDefault="0046650D" w:rsidP="00C40440">
            <w:pPr>
              <w:pStyle w:val="Akapitzlist"/>
              <w:spacing w:line="240" w:lineRule="auto"/>
              <w:ind w:left="55"/>
              <w:rPr>
                <w:sz w:val="22"/>
                <w:szCs w:val="22"/>
              </w:rPr>
            </w:pPr>
            <w:r w:rsidRPr="00B47988">
              <w:rPr>
                <w:sz w:val="22"/>
                <w:szCs w:val="22"/>
              </w:rPr>
              <w:t xml:space="preserve">(…) Działanie to obejmuje inwestycje w: </w:t>
            </w:r>
          </w:p>
          <w:p w14:paraId="7D08B042" w14:textId="77777777" w:rsidR="0046650D" w:rsidRPr="00B47988" w:rsidRDefault="0046650D" w:rsidP="00C40440">
            <w:pPr>
              <w:pStyle w:val="Akapitzlist"/>
              <w:spacing w:line="240" w:lineRule="auto"/>
              <w:ind w:left="55" w:firstLine="141"/>
              <w:rPr>
                <w:sz w:val="22"/>
                <w:szCs w:val="22"/>
              </w:rPr>
            </w:pPr>
            <w:r w:rsidRPr="00B47988">
              <w:rPr>
                <w:sz w:val="22"/>
                <w:szCs w:val="22"/>
              </w:rPr>
              <w:t xml:space="preserve">• </w:t>
            </w:r>
            <w:r w:rsidRPr="00B47988">
              <w:rPr>
                <w:color w:val="FF0000"/>
                <w:sz w:val="22"/>
                <w:szCs w:val="22"/>
              </w:rPr>
              <w:t xml:space="preserve">podpisanie umów na </w:t>
            </w:r>
            <w:r w:rsidRPr="00B47988">
              <w:rPr>
                <w:sz w:val="22"/>
                <w:szCs w:val="22"/>
              </w:rPr>
              <w:t>zakup i</w:t>
            </w:r>
            <w:r w:rsidRPr="00B47988">
              <w:rPr>
                <w:strike/>
                <w:color w:val="FF0000"/>
                <w:sz w:val="22"/>
                <w:szCs w:val="22"/>
              </w:rPr>
              <w:t xml:space="preserve"> </w:t>
            </w:r>
            <w:r w:rsidRPr="00B47988">
              <w:rPr>
                <w:sz w:val="22"/>
                <w:szCs w:val="22"/>
              </w:rPr>
              <w:t xml:space="preserve">instalację 160 urządzeń pokładowych ERTMS; </w:t>
            </w:r>
          </w:p>
          <w:p w14:paraId="515EC711" w14:textId="35E0D2FC" w:rsidR="0046650D" w:rsidRPr="00B47988" w:rsidRDefault="0046650D" w:rsidP="00C40440">
            <w:pPr>
              <w:pStyle w:val="Akapitzlist"/>
              <w:spacing w:line="240" w:lineRule="auto"/>
              <w:ind w:left="55" w:firstLine="141"/>
              <w:rPr>
                <w:sz w:val="22"/>
                <w:szCs w:val="22"/>
              </w:rPr>
            </w:pPr>
            <w:r w:rsidRPr="00B47988">
              <w:rPr>
                <w:sz w:val="22"/>
                <w:szCs w:val="22"/>
              </w:rPr>
              <w:t xml:space="preserve">• </w:t>
            </w:r>
            <w:r w:rsidRPr="00B47988">
              <w:rPr>
                <w:color w:val="FF0000"/>
                <w:sz w:val="22"/>
                <w:szCs w:val="22"/>
              </w:rPr>
              <w:t xml:space="preserve">zainstalowane urządzenia automatycznego sterowania umożliwiające zarządzanie poszczególnymi obszarami kolejowymi z lokalnych ośrodków zarządzania ruchem </w:t>
            </w:r>
            <w:r w:rsidRPr="00B47988">
              <w:rPr>
                <w:sz w:val="22"/>
                <w:szCs w:val="22"/>
              </w:rPr>
              <w:t xml:space="preserve">na </w:t>
            </w:r>
            <w:r w:rsidRPr="00B47988">
              <w:rPr>
                <w:color w:val="FF0000"/>
                <w:sz w:val="22"/>
                <w:szCs w:val="22"/>
              </w:rPr>
              <w:t xml:space="preserve">43 </w:t>
            </w:r>
            <w:r w:rsidRPr="00B47988">
              <w:rPr>
                <w:sz w:val="22"/>
                <w:szCs w:val="22"/>
              </w:rPr>
              <w:t xml:space="preserve">stacjach kolejowych; </w:t>
            </w:r>
          </w:p>
          <w:p w14:paraId="3C07B104" w14:textId="77777777" w:rsidR="0046650D" w:rsidRPr="00B47988" w:rsidRDefault="0046650D" w:rsidP="00C40440">
            <w:pPr>
              <w:pStyle w:val="Akapitzlist"/>
              <w:spacing w:line="240" w:lineRule="auto"/>
              <w:ind w:left="55" w:firstLine="141"/>
              <w:rPr>
                <w:color w:val="FF0000"/>
                <w:sz w:val="22"/>
                <w:szCs w:val="22"/>
              </w:rPr>
            </w:pPr>
            <w:r w:rsidRPr="00B47988">
              <w:rPr>
                <w:color w:val="FF0000"/>
                <w:sz w:val="22"/>
                <w:szCs w:val="22"/>
              </w:rPr>
              <w:t>• instalację 42 SDIP (Systemu Dynamicznej Informacji Pasażerskiej)</w:t>
            </w:r>
          </w:p>
          <w:p w14:paraId="0E1EB821" w14:textId="73A6E8CE" w:rsidR="0046650D" w:rsidRPr="00B47988" w:rsidRDefault="0046650D" w:rsidP="00C40440">
            <w:pPr>
              <w:pStyle w:val="Akapitzlist"/>
              <w:spacing w:line="240" w:lineRule="auto"/>
              <w:ind w:left="55" w:firstLine="141"/>
              <w:rPr>
                <w:sz w:val="22"/>
                <w:szCs w:val="22"/>
              </w:rPr>
            </w:pPr>
            <w:r w:rsidRPr="00B47988">
              <w:rPr>
                <w:sz w:val="22"/>
                <w:szCs w:val="22"/>
              </w:rPr>
              <w:lastRenderedPageBreak/>
              <w:t xml:space="preserve">• modernizację systemów przejazdów kolejowych w </w:t>
            </w:r>
            <w:r w:rsidRPr="00B47988">
              <w:rPr>
                <w:color w:val="FF0000"/>
                <w:sz w:val="22"/>
                <w:szCs w:val="22"/>
              </w:rPr>
              <w:t xml:space="preserve">102 </w:t>
            </w:r>
            <w:r w:rsidRPr="00B47988">
              <w:rPr>
                <w:sz w:val="22"/>
                <w:szCs w:val="22"/>
              </w:rPr>
              <w:t>lokalizacjach;</w:t>
            </w:r>
          </w:p>
          <w:p w14:paraId="1AEAD0AE" w14:textId="465059B7" w:rsidR="0046650D" w:rsidRPr="00B47988" w:rsidRDefault="0046650D" w:rsidP="00C40440">
            <w:pPr>
              <w:pStyle w:val="Akapitzlist"/>
              <w:spacing w:line="240" w:lineRule="auto"/>
              <w:ind w:left="55" w:firstLine="665"/>
              <w:rPr>
                <w:strike/>
                <w:color w:val="FF0000"/>
                <w:sz w:val="22"/>
                <w:szCs w:val="22"/>
              </w:rPr>
            </w:pPr>
            <w:r w:rsidRPr="00B47988">
              <w:rPr>
                <w:sz w:val="22"/>
                <w:szCs w:val="22"/>
              </w:rPr>
              <w:t>które mają zostać zakończone do dnia 30 czerwca 2026 r</w:t>
            </w:r>
          </w:p>
          <w:p w14:paraId="6F7A91A2" w14:textId="5FB8B82B" w:rsidR="0046650D" w:rsidRPr="00B47988" w:rsidRDefault="0046650D" w:rsidP="00C40440">
            <w:pPr>
              <w:pStyle w:val="Akapitzlist"/>
              <w:spacing w:line="240" w:lineRule="auto"/>
              <w:ind w:left="55"/>
            </w:pPr>
            <w:r w:rsidRPr="00B47988">
              <w:rPr>
                <w:color w:val="FF0000"/>
                <w:sz w:val="22"/>
                <w:szCs w:val="22"/>
              </w:rPr>
              <w:t>Pośrednie wartości wskazanych efektów docelowych – zakończenie budowy 10 lokalizacji SDIP (System Dynamicznej Informacji Pasażerskiej), 10 lokalizacji zdalnego sterowania i 30 lokalizacji przejazdów kolejowych – planuje się osiągnąć do 31 marca 2025 roku.</w:t>
            </w:r>
          </w:p>
          <w:p w14:paraId="7A5F9C7F" w14:textId="2D139F49" w:rsidR="0046650D" w:rsidRPr="00C40440" w:rsidRDefault="0046650D">
            <w:pPr>
              <w:spacing w:after="0" w:line="240" w:lineRule="auto"/>
              <w:rPr>
                <w:rFonts w:ascii="Times New Roman" w:hAnsi="Times New Roman" w:cs="Times New Roman"/>
                <w:u w:val="single"/>
              </w:rPr>
            </w:pPr>
            <w:r w:rsidRPr="00C40440">
              <w:rPr>
                <w:rFonts w:ascii="Times New Roman" w:hAnsi="Times New Roman" w:cs="Times New Roman"/>
              </w:rPr>
              <w:t>E27G</w:t>
            </w:r>
          </w:p>
          <w:p w14:paraId="4103B9E2" w14:textId="77777777" w:rsidR="0046650D" w:rsidRPr="00B47988" w:rsidRDefault="0046650D">
            <w:pPr>
              <w:spacing w:after="0" w:line="240" w:lineRule="auto"/>
              <w:rPr>
                <w:rFonts w:ascii="Times New Roman" w:hAnsi="Times New Roman" w:cs="Times New Roman"/>
                <w:color w:val="FF0000"/>
              </w:rPr>
            </w:pPr>
            <w:r w:rsidRPr="00B47988">
              <w:rPr>
                <w:rFonts w:ascii="Times New Roman" w:hAnsi="Times New Roman" w:cs="Times New Roman"/>
                <w:color w:val="FF0000"/>
              </w:rPr>
              <w:t>Instalacja: 10 lokalizacji SDIP, 10 lokalizacji zdalnego sterowania i 30 lokalizacji przejazdów kolejowych</w:t>
            </w:r>
          </w:p>
          <w:p w14:paraId="70F81AFD" w14:textId="77777777" w:rsidR="0046650D" w:rsidRPr="00C40440" w:rsidRDefault="0046650D" w:rsidP="00C40440"/>
          <w:p w14:paraId="4C2034B9" w14:textId="77777777" w:rsidR="0046650D" w:rsidRPr="00C40440" w:rsidRDefault="0046650D" w:rsidP="00C40440">
            <w:pPr>
              <w:spacing w:after="0" w:line="240" w:lineRule="auto"/>
            </w:pPr>
          </w:p>
          <w:p w14:paraId="0A9378D9" w14:textId="6B003C20" w:rsidR="0046650D" w:rsidRPr="00B47988" w:rsidRDefault="0046650D" w:rsidP="00C40440">
            <w:pPr>
              <w:pStyle w:val="Akapitzlist"/>
              <w:spacing w:line="240" w:lineRule="auto"/>
              <w:ind w:left="55"/>
              <w:rPr>
                <w:sz w:val="22"/>
                <w:szCs w:val="22"/>
              </w:rPr>
            </w:pPr>
            <w:r w:rsidRPr="00B47988">
              <w:rPr>
                <w:sz w:val="22"/>
                <w:szCs w:val="22"/>
              </w:rPr>
              <w:t xml:space="preserve">Instalacja Systemów Dynamicznej Informacji Pasażerskiej (SDIP) w 10 lokalizacjach w celu dostarczania pasażerom informacji o ruchu kolejowym w czasie rzeczywistym,  </w:t>
            </w:r>
            <w:r w:rsidRPr="00B47988">
              <w:rPr>
                <w:color w:val="FF0000"/>
                <w:sz w:val="22"/>
                <w:szCs w:val="22"/>
              </w:rPr>
              <w:t>urządzeń</w:t>
            </w:r>
            <w:r w:rsidRPr="00B47988">
              <w:rPr>
                <w:sz w:val="22"/>
                <w:szCs w:val="22"/>
              </w:rPr>
              <w:t xml:space="preserve"> automatycznego sterowania w </w:t>
            </w:r>
            <w:r w:rsidRPr="00B47988">
              <w:rPr>
                <w:color w:val="FF0000"/>
                <w:sz w:val="22"/>
                <w:szCs w:val="22"/>
              </w:rPr>
              <w:t>10</w:t>
            </w:r>
            <w:r w:rsidRPr="00B47988">
              <w:rPr>
                <w:sz w:val="22"/>
                <w:szCs w:val="22"/>
              </w:rPr>
              <w:t xml:space="preserve"> lokalizacjach w celu umożliwienia zarządzania danym obszarem kolejowym z lokalnego centrum zarządzania ruchem, sterowanych automatycznie urządzeń bezpieczeństwa na 30 przejazdach kolejowych (rogatki, systemy sygnalizacji dźwiękowej i świetlnej)</w:t>
            </w:r>
          </w:p>
          <w:p w14:paraId="568FD5ED" w14:textId="77777777" w:rsidR="0046650D" w:rsidRPr="00B47988" w:rsidRDefault="0046650D" w:rsidP="00C40440">
            <w:pPr>
              <w:pStyle w:val="Akapitzlist"/>
              <w:spacing w:line="240" w:lineRule="auto"/>
              <w:rPr>
                <w:sz w:val="22"/>
                <w:szCs w:val="22"/>
              </w:rPr>
            </w:pPr>
          </w:p>
          <w:p w14:paraId="0B4A691E" w14:textId="77777777" w:rsidR="003939F9" w:rsidRDefault="003939F9" w:rsidP="003939F9">
            <w:pPr>
              <w:pStyle w:val="Akapitzlist"/>
              <w:spacing w:line="240" w:lineRule="auto"/>
              <w:ind w:left="196"/>
              <w:rPr>
                <w:sz w:val="22"/>
                <w:szCs w:val="22"/>
              </w:rPr>
            </w:pPr>
          </w:p>
          <w:p w14:paraId="365D7933" w14:textId="030F7B82" w:rsidR="003939F9" w:rsidRPr="00C40440" w:rsidRDefault="0046650D" w:rsidP="00C40440">
            <w:pPr>
              <w:pStyle w:val="Akapitzlist"/>
              <w:spacing w:line="240" w:lineRule="auto"/>
              <w:ind w:left="196"/>
              <w:rPr>
                <w:i/>
                <w:iCs/>
                <w:sz w:val="22"/>
                <w:szCs w:val="22"/>
              </w:rPr>
            </w:pPr>
            <w:r w:rsidRPr="00C40440">
              <w:t>E28G</w:t>
            </w:r>
            <w:r w:rsidR="003939F9">
              <w:rPr>
                <w:sz w:val="22"/>
                <w:szCs w:val="22"/>
              </w:rPr>
              <w:t xml:space="preserve"> </w:t>
            </w:r>
          </w:p>
          <w:p w14:paraId="3E1B73B4" w14:textId="0401E2A7" w:rsidR="0046650D" w:rsidRPr="00C40440" w:rsidRDefault="0046650D" w:rsidP="00C40440">
            <w:pPr>
              <w:pStyle w:val="Akapitzlist"/>
              <w:spacing w:line="240" w:lineRule="auto"/>
              <w:ind w:left="196"/>
              <w:rPr>
                <w:i/>
                <w:iCs/>
                <w:sz w:val="22"/>
                <w:szCs w:val="22"/>
              </w:rPr>
            </w:pPr>
            <w:r w:rsidRPr="00C40440">
              <w:rPr>
                <w:i/>
                <w:iCs/>
                <w:sz w:val="22"/>
                <w:szCs w:val="22"/>
              </w:rPr>
              <w:t>Poziom bazowy</w:t>
            </w:r>
          </w:p>
          <w:p w14:paraId="211C4E1F" w14:textId="77777777" w:rsidR="0046650D" w:rsidRPr="00C40440" w:rsidRDefault="0046650D" w:rsidP="00C40440">
            <w:pPr>
              <w:numPr>
                <w:ilvl w:val="0"/>
                <w:numId w:val="13"/>
              </w:numPr>
              <w:spacing w:after="0" w:line="240" w:lineRule="auto"/>
              <w:ind w:left="505" w:right="46"/>
              <w:rPr>
                <w:rFonts w:ascii="Times New Roman" w:hAnsi="Times New Roman" w:cs="Times New Roman"/>
                <w:color w:val="FF0000"/>
                <w:lang w:val="en-GB"/>
              </w:rPr>
            </w:pPr>
            <w:r w:rsidRPr="00C40440">
              <w:rPr>
                <w:rFonts w:ascii="Times New Roman" w:hAnsi="Times New Roman" w:cs="Times New Roman"/>
                <w:color w:val="FF0000"/>
                <w:lang w:val="en-GB"/>
              </w:rPr>
              <w:t>ERTMS: 0</w:t>
            </w:r>
          </w:p>
          <w:p w14:paraId="55EDC0F2" w14:textId="77777777" w:rsidR="0046650D" w:rsidRPr="00C40440" w:rsidRDefault="0046650D" w:rsidP="00C40440">
            <w:pPr>
              <w:numPr>
                <w:ilvl w:val="0"/>
                <w:numId w:val="13"/>
              </w:numPr>
              <w:spacing w:after="0" w:line="240" w:lineRule="auto"/>
              <w:ind w:left="505" w:right="46"/>
              <w:rPr>
                <w:rFonts w:ascii="Times New Roman" w:hAnsi="Times New Roman" w:cs="Times New Roman"/>
                <w:color w:val="FF0000"/>
                <w:lang w:val="en-GB"/>
              </w:rPr>
            </w:pPr>
            <w:r w:rsidRPr="00C40440">
              <w:rPr>
                <w:rFonts w:ascii="Times New Roman" w:hAnsi="Times New Roman" w:cs="Times New Roman"/>
                <w:color w:val="FF0000"/>
                <w:lang w:val="en-GB"/>
              </w:rPr>
              <w:t xml:space="preserve">SDIP: 10 </w:t>
            </w:r>
            <w:proofErr w:type="spellStart"/>
            <w:r w:rsidRPr="00C40440">
              <w:rPr>
                <w:rFonts w:ascii="Times New Roman" w:hAnsi="Times New Roman" w:cs="Times New Roman"/>
                <w:color w:val="FF0000"/>
                <w:lang w:val="en-GB"/>
              </w:rPr>
              <w:t>lokalizacji</w:t>
            </w:r>
            <w:proofErr w:type="spellEnd"/>
          </w:p>
          <w:p w14:paraId="1D0FDAE9" w14:textId="77777777" w:rsidR="0046650D" w:rsidRPr="00C40440" w:rsidRDefault="0046650D" w:rsidP="00C40440">
            <w:pPr>
              <w:numPr>
                <w:ilvl w:val="0"/>
                <w:numId w:val="13"/>
              </w:numPr>
              <w:spacing w:after="0" w:line="240" w:lineRule="auto"/>
              <w:ind w:left="505" w:right="46"/>
              <w:rPr>
                <w:rFonts w:ascii="Times New Roman" w:hAnsi="Times New Roman" w:cs="Times New Roman"/>
                <w:color w:val="FF0000"/>
                <w:lang w:val="en-GB"/>
              </w:rPr>
            </w:pPr>
            <w:proofErr w:type="spellStart"/>
            <w:r w:rsidRPr="00C40440">
              <w:rPr>
                <w:rFonts w:ascii="Times New Roman" w:hAnsi="Times New Roman" w:cs="Times New Roman"/>
                <w:color w:val="FF0000"/>
                <w:lang w:val="en-GB"/>
              </w:rPr>
              <w:t>Sterowanie</w:t>
            </w:r>
            <w:proofErr w:type="spellEnd"/>
            <w:r w:rsidRPr="00C40440">
              <w:rPr>
                <w:rFonts w:ascii="Times New Roman" w:hAnsi="Times New Roman" w:cs="Times New Roman"/>
                <w:color w:val="FF0000"/>
                <w:lang w:val="en-GB"/>
              </w:rPr>
              <w:t xml:space="preserve">: 10 </w:t>
            </w:r>
            <w:proofErr w:type="spellStart"/>
            <w:r w:rsidRPr="00C40440">
              <w:rPr>
                <w:rFonts w:ascii="Times New Roman" w:hAnsi="Times New Roman" w:cs="Times New Roman"/>
                <w:color w:val="FF0000"/>
                <w:lang w:val="en-GB"/>
              </w:rPr>
              <w:t>lokalizacji</w:t>
            </w:r>
            <w:proofErr w:type="spellEnd"/>
          </w:p>
          <w:p w14:paraId="044DCBB4" w14:textId="77777777" w:rsidR="0046650D" w:rsidRPr="00C40440" w:rsidRDefault="0046650D" w:rsidP="00C40440">
            <w:pPr>
              <w:numPr>
                <w:ilvl w:val="0"/>
                <w:numId w:val="13"/>
              </w:numPr>
              <w:spacing w:after="0" w:line="240" w:lineRule="auto"/>
              <w:ind w:left="505" w:right="46"/>
              <w:rPr>
                <w:rFonts w:ascii="Times New Roman" w:hAnsi="Times New Roman" w:cs="Times New Roman"/>
                <w:color w:val="FF0000"/>
                <w:lang w:val="en-GB"/>
              </w:rPr>
            </w:pPr>
            <w:proofErr w:type="spellStart"/>
            <w:r w:rsidRPr="00C40440">
              <w:rPr>
                <w:rFonts w:ascii="Times New Roman" w:hAnsi="Times New Roman" w:cs="Times New Roman"/>
                <w:color w:val="FF0000"/>
                <w:lang w:val="en-GB"/>
              </w:rPr>
              <w:t>Przejazdy</w:t>
            </w:r>
            <w:proofErr w:type="spellEnd"/>
            <w:r w:rsidRPr="00C40440">
              <w:rPr>
                <w:rFonts w:ascii="Times New Roman" w:hAnsi="Times New Roman" w:cs="Times New Roman"/>
                <w:color w:val="FF0000"/>
                <w:lang w:val="en-GB"/>
              </w:rPr>
              <w:t xml:space="preserve"> </w:t>
            </w:r>
            <w:proofErr w:type="spellStart"/>
            <w:r w:rsidRPr="00C40440">
              <w:rPr>
                <w:rFonts w:ascii="Times New Roman" w:hAnsi="Times New Roman" w:cs="Times New Roman"/>
                <w:color w:val="FF0000"/>
                <w:lang w:val="en-GB"/>
              </w:rPr>
              <w:t>kolejowe</w:t>
            </w:r>
            <w:proofErr w:type="spellEnd"/>
            <w:r w:rsidRPr="00C40440">
              <w:rPr>
                <w:rFonts w:ascii="Times New Roman" w:hAnsi="Times New Roman" w:cs="Times New Roman"/>
                <w:color w:val="FF0000"/>
                <w:lang w:val="en-GB"/>
              </w:rPr>
              <w:t xml:space="preserve">: 30 </w:t>
            </w:r>
            <w:proofErr w:type="spellStart"/>
            <w:r w:rsidRPr="00C40440">
              <w:rPr>
                <w:rFonts w:ascii="Times New Roman" w:hAnsi="Times New Roman" w:cs="Times New Roman"/>
                <w:color w:val="FF0000"/>
                <w:lang w:val="en-GB"/>
              </w:rPr>
              <w:t>lokalizacji</w:t>
            </w:r>
            <w:proofErr w:type="spellEnd"/>
            <w:r w:rsidRPr="00C40440">
              <w:rPr>
                <w:rFonts w:ascii="Times New Roman" w:hAnsi="Times New Roman" w:cs="Times New Roman"/>
                <w:color w:val="FF0000"/>
                <w:lang w:val="en-GB"/>
              </w:rPr>
              <w:t xml:space="preserve">  </w:t>
            </w:r>
          </w:p>
          <w:p w14:paraId="378C6E91" w14:textId="7B5BE0FB" w:rsidR="0046650D" w:rsidRPr="00C40440" w:rsidRDefault="003939F9" w:rsidP="00C40440">
            <w:pPr>
              <w:spacing w:line="240" w:lineRule="auto"/>
              <w:rPr>
                <w:i/>
              </w:rPr>
            </w:pPr>
            <w:r w:rsidRPr="00C40440">
              <w:rPr>
                <w:rFonts w:ascii="Times New Roman" w:hAnsi="Times New Roman" w:cs="Times New Roman"/>
                <w:i/>
              </w:rPr>
              <w:t>C</w:t>
            </w:r>
            <w:r w:rsidR="0046650D" w:rsidRPr="00C40440">
              <w:rPr>
                <w:rFonts w:ascii="Times New Roman" w:hAnsi="Times New Roman" w:cs="Times New Roman"/>
                <w:i/>
              </w:rPr>
              <w:t>el</w:t>
            </w:r>
          </w:p>
          <w:p w14:paraId="46D84229" w14:textId="77777777" w:rsidR="0046650D" w:rsidRPr="00C40440" w:rsidRDefault="0046650D" w:rsidP="00C40440">
            <w:pPr>
              <w:numPr>
                <w:ilvl w:val="0"/>
                <w:numId w:val="12"/>
              </w:numPr>
              <w:spacing w:after="0" w:line="240" w:lineRule="auto"/>
              <w:rPr>
                <w:rFonts w:ascii="Times New Roman" w:hAnsi="Times New Roman" w:cs="Times New Roman"/>
                <w:i/>
                <w:lang w:val="en-GB"/>
              </w:rPr>
            </w:pPr>
            <w:r w:rsidRPr="00C40440">
              <w:rPr>
                <w:rFonts w:ascii="Times New Roman" w:hAnsi="Times New Roman" w:cs="Times New Roman"/>
              </w:rPr>
              <w:t xml:space="preserve">160 urządzeń pokładowych ERTMS; </w:t>
            </w:r>
          </w:p>
          <w:p w14:paraId="716EF67C" w14:textId="77777777" w:rsidR="0046650D" w:rsidRPr="00C40440" w:rsidRDefault="0046650D" w:rsidP="00C40440">
            <w:pPr>
              <w:numPr>
                <w:ilvl w:val="0"/>
                <w:numId w:val="12"/>
              </w:numPr>
              <w:spacing w:after="0" w:line="240" w:lineRule="auto"/>
              <w:rPr>
                <w:rFonts w:ascii="Times New Roman" w:hAnsi="Times New Roman" w:cs="Times New Roman"/>
                <w:i/>
                <w:color w:val="FF0000"/>
                <w:lang w:val="en-GB"/>
              </w:rPr>
            </w:pPr>
            <w:r w:rsidRPr="00C40440">
              <w:rPr>
                <w:rFonts w:ascii="Times New Roman" w:hAnsi="Times New Roman" w:cs="Times New Roman"/>
                <w:color w:val="FF0000"/>
                <w:lang w:val="en-GB"/>
              </w:rPr>
              <w:t>42 SDIP</w:t>
            </w:r>
          </w:p>
          <w:p w14:paraId="48F2D9D9" w14:textId="4468FE9A" w:rsidR="0046650D" w:rsidRPr="00C40440" w:rsidRDefault="0046650D" w:rsidP="00C40440">
            <w:pPr>
              <w:numPr>
                <w:ilvl w:val="0"/>
                <w:numId w:val="12"/>
              </w:numPr>
              <w:spacing w:after="0" w:line="240" w:lineRule="auto"/>
              <w:rPr>
                <w:rFonts w:ascii="Times New Roman" w:hAnsi="Times New Roman" w:cs="Times New Roman"/>
                <w:i/>
                <w:lang w:val="en-GB"/>
              </w:rPr>
            </w:pPr>
            <w:r w:rsidRPr="00C40440">
              <w:rPr>
                <w:rFonts w:ascii="Times New Roman" w:hAnsi="Times New Roman" w:cs="Times New Roman"/>
              </w:rPr>
              <w:t xml:space="preserve">przejazdy kolejowe w </w:t>
            </w:r>
            <w:r w:rsidRPr="00C40440">
              <w:rPr>
                <w:rFonts w:ascii="Times New Roman" w:hAnsi="Times New Roman" w:cs="Times New Roman"/>
                <w:color w:val="FF0000"/>
              </w:rPr>
              <w:t xml:space="preserve">102 </w:t>
            </w:r>
            <w:r w:rsidRPr="00C40440">
              <w:rPr>
                <w:rFonts w:ascii="Times New Roman" w:hAnsi="Times New Roman" w:cs="Times New Roman"/>
              </w:rPr>
              <w:t xml:space="preserve"> lokalizacjach; </w:t>
            </w:r>
          </w:p>
          <w:p w14:paraId="279C3BC4" w14:textId="67802966" w:rsidR="0046650D" w:rsidRPr="00C40440" w:rsidRDefault="0046650D" w:rsidP="00C40440">
            <w:pPr>
              <w:numPr>
                <w:ilvl w:val="0"/>
                <w:numId w:val="12"/>
              </w:numPr>
              <w:spacing w:after="0" w:line="240" w:lineRule="auto"/>
              <w:rPr>
                <w:rFonts w:ascii="Times New Roman" w:hAnsi="Times New Roman" w:cs="Times New Roman"/>
                <w:i/>
              </w:rPr>
            </w:pPr>
            <w:r w:rsidRPr="00C40440">
              <w:rPr>
                <w:rFonts w:ascii="Times New Roman" w:hAnsi="Times New Roman" w:cs="Times New Roman"/>
                <w:color w:val="FF0000"/>
              </w:rPr>
              <w:t>urządzenia</w:t>
            </w:r>
            <w:r w:rsidRPr="00C40440">
              <w:rPr>
                <w:rFonts w:ascii="Times New Roman" w:hAnsi="Times New Roman" w:cs="Times New Roman"/>
              </w:rPr>
              <w:t xml:space="preserve"> automatyczn</w:t>
            </w:r>
            <w:r w:rsidRPr="00C40440">
              <w:rPr>
                <w:rFonts w:ascii="Times New Roman" w:hAnsi="Times New Roman" w:cs="Times New Roman"/>
                <w:color w:val="FF0000"/>
              </w:rPr>
              <w:t>ego</w:t>
            </w:r>
            <w:r w:rsidRPr="00C40440">
              <w:rPr>
                <w:rFonts w:ascii="Times New Roman" w:hAnsi="Times New Roman" w:cs="Times New Roman"/>
              </w:rPr>
              <w:t xml:space="preserve"> </w:t>
            </w:r>
            <w:r w:rsidRPr="00C40440">
              <w:rPr>
                <w:rFonts w:ascii="Times New Roman" w:hAnsi="Times New Roman" w:cs="Times New Roman"/>
                <w:color w:val="FF0000"/>
              </w:rPr>
              <w:t>sterowania</w:t>
            </w:r>
            <w:r w:rsidRPr="00C40440">
              <w:rPr>
                <w:rFonts w:ascii="Times New Roman" w:hAnsi="Times New Roman" w:cs="Times New Roman"/>
              </w:rPr>
              <w:t xml:space="preserve"> w</w:t>
            </w:r>
            <w:r w:rsidRPr="00C40440">
              <w:rPr>
                <w:rFonts w:ascii="Times New Roman" w:hAnsi="Times New Roman" w:cs="Times New Roman"/>
                <w:color w:val="FF0000"/>
              </w:rPr>
              <w:t xml:space="preserve"> 43</w:t>
            </w:r>
            <w:r w:rsidRPr="00C40440">
              <w:rPr>
                <w:rFonts w:ascii="Times New Roman" w:hAnsi="Times New Roman" w:cs="Times New Roman"/>
              </w:rPr>
              <w:t xml:space="preserve"> lokalizacjach </w:t>
            </w:r>
          </w:p>
          <w:p w14:paraId="3E7A7740" w14:textId="18A3A2AC" w:rsidR="003939F9" w:rsidRPr="00C40440" w:rsidRDefault="0046650D" w:rsidP="00C40440">
            <w:pPr>
              <w:spacing w:after="0" w:line="240" w:lineRule="auto"/>
              <w:ind w:left="361"/>
              <w:rPr>
                <w:rFonts w:ascii="Times New Roman" w:hAnsi="Times New Roman" w:cs="Times New Roman"/>
                <w:i/>
              </w:rPr>
            </w:pPr>
            <w:r w:rsidRPr="00C40440">
              <w:rPr>
                <w:rFonts w:ascii="Times New Roman" w:hAnsi="Times New Roman" w:cs="Times New Roman"/>
                <w:color w:val="FF0000"/>
              </w:rPr>
              <w:t>(dane zawierają wartości z E27G)</w:t>
            </w:r>
          </w:p>
          <w:p w14:paraId="06FF8DFA" w14:textId="32A1F07F" w:rsidR="0046650D" w:rsidRPr="00B47988" w:rsidRDefault="0046650D" w:rsidP="00C40440">
            <w:pPr>
              <w:spacing w:after="0" w:line="240" w:lineRule="auto"/>
              <w:rPr>
                <w:rFonts w:ascii="Times New Roman" w:hAnsi="Times New Roman" w:cs="Times New Roman"/>
              </w:rPr>
            </w:pPr>
            <w:r w:rsidRPr="00B47988">
              <w:rPr>
                <w:rFonts w:ascii="Times New Roman" w:hAnsi="Times New Roman" w:cs="Times New Roman"/>
                <w:color w:val="FF0000"/>
              </w:rPr>
              <w:t>Podpisanie umów na zakup</w:t>
            </w:r>
            <w:r w:rsidRPr="00B47988">
              <w:rPr>
                <w:rFonts w:ascii="Times New Roman" w:hAnsi="Times New Roman" w:cs="Times New Roman"/>
              </w:rPr>
              <w:t xml:space="preserve"> </w:t>
            </w:r>
            <w:r w:rsidRPr="00B47988">
              <w:rPr>
                <w:rFonts w:ascii="Times New Roman" w:hAnsi="Times New Roman" w:cs="Times New Roman"/>
                <w:color w:val="FF0000"/>
              </w:rPr>
              <w:t>i</w:t>
            </w:r>
            <w:r w:rsidRPr="00B47988">
              <w:rPr>
                <w:rFonts w:ascii="Times New Roman" w:hAnsi="Times New Roman" w:cs="Times New Roman"/>
              </w:rPr>
              <w:t xml:space="preserve"> instalac</w:t>
            </w:r>
            <w:r w:rsidRPr="00B47988">
              <w:rPr>
                <w:rFonts w:ascii="Times New Roman" w:hAnsi="Times New Roman" w:cs="Times New Roman"/>
                <w:color w:val="FF0000"/>
              </w:rPr>
              <w:t>j</w:t>
            </w:r>
            <w:r w:rsidR="00806874" w:rsidRPr="00C40440">
              <w:rPr>
                <w:rFonts w:ascii="Times New Roman" w:hAnsi="Times New Roman" w:cs="Times New Roman"/>
                <w:color w:val="FF0000"/>
              </w:rPr>
              <w:t>a</w:t>
            </w:r>
            <w:r w:rsidR="00806874">
              <w:rPr>
                <w:rFonts w:ascii="Times New Roman" w:hAnsi="Times New Roman" w:cs="Times New Roman"/>
                <w:strike/>
              </w:rPr>
              <w:t xml:space="preserve"> </w:t>
            </w:r>
            <w:r w:rsidRPr="00B47988">
              <w:rPr>
                <w:rFonts w:ascii="Times New Roman" w:hAnsi="Times New Roman" w:cs="Times New Roman"/>
              </w:rPr>
              <w:t xml:space="preserve">160 urządzeń pokładowych ERTMS </w:t>
            </w:r>
            <w:r w:rsidRPr="00B47988">
              <w:rPr>
                <w:rFonts w:ascii="Times New Roman" w:hAnsi="Times New Roman" w:cs="Times New Roman"/>
              </w:rPr>
              <w:lastRenderedPageBreak/>
              <w:t xml:space="preserve">(oferta zostanie wybrana w trybie konkurencyjnego zaproszenia do składania wniosków). </w:t>
            </w:r>
            <w:r w:rsidRPr="00B47988">
              <w:rPr>
                <w:rFonts w:ascii="Times New Roman" w:hAnsi="Times New Roman" w:cs="Times New Roman"/>
                <w:color w:val="FF0000"/>
              </w:rPr>
              <w:t>Zakończenie prac związanych z:</w:t>
            </w:r>
            <w:r w:rsidRPr="00B47988">
              <w:rPr>
                <w:rFonts w:ascii="Times New Roman" w:hAnsi="Times New Roman" w:cs="Times New Roman"/>
              </w:rPr>
              <w:t xml:space="preserve"> </w:t>
            </w:r>
            <w:r w:rsidRPr="00B47988">
              <w:rPr>
                <w:rFonts w:ascii="Times New Roman" w:hAnsi="Times New Roman" w:cs="Times New Roman"/>
                <w:color w:val="FF0000"/>
              </w:rPr>
              <w:t>instalacją 42 SDIP,</w:t>
            </w:r>
            <w:r w:rsidRPr="00B47988">
              <w:rPr>
                <w:rFonts w:ascii="Times New Roman" w:hAnsi="Times New Roman" w:cs="Times New Roman"/>
              </w:rPr>
              <w:t xml:space="preserve"> modernizacją systemów na przejazdach kolejowych w </w:t>
            </w:r>
            <w:r w:rsidRPr="00B47988">
              <w:rPr>
                <w:rFonts w:ascii="Times New Roman" w:hAnsi="Times New Roman" w:cs="Times New Roman"/>
                <w:color w:val="FF0000"/>
              </w:rPr>
              <w:t xml:space="preserve">102 </w:t>
            </w:r>
            <w:r w:rsidRPr="00B47988">
              <w:rPr>
                <w:rFonts w:ascii="Times New Roman" w:hAnsi="Times New Roman" w:cs="Times New Roman"/>
              </w:rPr>
              <w:t xml:space="preserve">lokalizacjach (w tym rogatek, dźwiękowych i świetlnych systemów bezpieczeństwa) oraz wprowadzeniem zdalnego sterowania posterunkami ruchu w </w:t>
            </w:r>
            <w:r w:rsidRPr="00B47988">
              <w:rPr>
                <w:rFonts w:ascii="Times New Roman" w:hAnsi="Times New Roman" w:cs="Times New Roman"/>
                <w:color w:val="FF0000"/>
              </w:rPr>
              <w:t>43</w:t>
            </w:r>
            <w:r w:rsidRPr="00B47988">
              <w:rPr>
                <w:rFonts w:ascii="Times New Roman" w:hAnsi="Times New Roman" w:cs="Times New Roman"/>
              </w:rPr>
              <w:t xml:space="preserve"> lokalizacjach.</w:t>
            </w:r>
          </w:p>
        </w:tc>
      </w:tr>
      <w:tr w:rsidR="0046650D" w:rsidRPr="00A26E88" w14:paraId="31FA6282" w14:textId="77777777" w:rsidTr="00C40440">
        <w:tc>
          <w:tcPr>
            <w:tcW w:w="1249" w:type="pct"/>
          </w:tcPr>
          <w:p w14:paraId="492CE4B9" w14:textId="77777777" w:rsidR="0046650D" w:rsidRPr="00F86E5A" w:rsidRDefault="0046650D" w:rsidP="00144E7D">
            <w:pPr>
              <w:spacing w:after="0" w:line="240" w:lineRule="auto"/>
              <w:rPr>
                <w:rFonts w:ascii="Times New Roman" w:hAnsi="Times New Roman" w:cs="Times New Roman"/>
              </w:rPr>
            </w:pPr>
            <w:r w:rsidRPr="00F86E5A">
              <w:rPr>
                <w:rFonts w:ascii="Times New Roman" w:hAnsi="Times New Roman" w:cs="Times New Roman"/>
              </w:rPr>
              <w:lastRenderedPageBreak/>
              <w:t>Uzasadnienie</w:t>
            </w:r>
          </w:p>
        </w:tc>
        <w:tc>
          <w:tcPr>
            <w:tcW w:w="3751" w:type="pct"/>
            <w:gridSpan w:val="2"/>
          </w:tcPr>
          <w:p w14:paraId="5A4F7236" w14:textId="0993FA4D" w:rsidR="0046650D" w:rsidRPr="00F86E5A" w:rsidRDefault="0046650D" w:rsidP="00C40440">
            <w:pPr>
              <w:spacing w:after="120" w:line="240" w:lineRule="auto"/>
              <w:rPr>
                <w:rFonts w:ascii="Times New Roman" w:hAnsi="Times New Roman" w:cs="Times New Roman"/>
              </w:rPr>
            </w:pPr>
            <w:r w:rsidRPr="00F86E5A">
              <w:rPr>
                <w:rFonts w:ascii="Times New Roman" w:hAnsi="Times New Roman" w:cs="Times New Roman"/>
              </w:rPr>
              <w:t xml:space="preserve">Uporządkowanie tej kwestii było sugerowane przez KE w ramach prac nad </w:t>
            </w:r>
            <w:r w:rsidR="003939F9">
              <w:rPr>
                <w:rFonts w:ascii="Times New Roman" w:hAnsi="Times New Roman" w:cs="Times New Roman"/>
              </w:rPr>
              <w:t>kosztorysem</w:t>
            </w:r>
            <w:r w:rsidRPr="00F86E5A">
              <w:rPr>
                <w:rFonts w:ascii="Times New Roman" w:hAnsi="Times New Roman" w:cs="Times New Roman"/>
              </w:rPr>
              <w:t xml:space="preserve"> do pierwszej rewizji</w:t>
            </w:r>
            <w:r w:rsidR="00806874" w:rsidRPr="00F86E5A">
              <w:rPr>
                <w:rFonts w:ascii="Times New Roman" w:hAnsi="Times New Roman" w:cs="Times New Roman"/>
              </w:rPr>
              <w:t xml:space="preserve"> KPO</w:t>
            </w:r>
            <w:r w:rsidRPr="00F86E5A">
              <w:rPr>
                <w:rFonts w:ascii="Times New Roman" w:hAnsi="Times New Roman" w:cs="Times New Roman"/>
              </w:rPr>
              <w:t xml:space="preserve">. </w:t>
            </w:r>
          </w:p>
          <w:p w14:paraId="34DD55C3" w14:textId="0CF61E5D" w:rsidR="0046650D" w:rsidRPr="00F86E5A" w:rsidRDefault="0046650D" w:rsidP="00C40440">
            <w:pPr>
              <w:spacing w:after="120" w:line="240" w:lineRule="auto"/>
              <w:rPr>
                <w:rFonts w:ascii="Times New Roman" w:hAnsi="Times New Roman" w:cs="Times New Roman"/>
              </w:rPr>
            </w:pPr>
            <w:r w:rsidRPr="00F86E5A">
              <w:rPr>
                <w:rFonts w:ascii="Times New Roman" w:hAnsi="Times New Roman" w:cs="Times New Roman"/>
              </w:rPr>
              <w:t xml:space="preserve">Zakres inwestycji </w:t>
            </w:r>
            <w:r w:rsidRPr="00C40440">
              <w:rPr>
                <w:rFonts w:ascii="Times New Roman" w:hAnsi="Times New Roman" w:cs="Times New Roman"/>
                <w:iCs/>
              </w:rPr>
              <w:t>E2.2.2. Cyfryzacja transportu</w:t>
            </w:r>
            <w:r w:rsidRPr="00F86E5A">
              <w:rPr>
                <w:rFonts w:ascii="Times New Roman" w:hAnsi="Times New Roman" w:cs="Times New Roman"/>
              </w:rPr>
              <w:t xml:space="preserve"> finansowanej został podzielony na zadania: </w:t>
            </w:r>
          </w:p>
          <w:p w14:paraId="2A2FF302" w14:textId="77777777" w:rsidR="0046650D" w:rsidRPr="00C40440" w:rsidRDefault="0046650D" w:rsidP="00C40440">
            <w:pPr>
              <w:numPr>
                <w:ilvl w:val="0"/>
                <w:numId w:val="14"/>
              </w:numPr>
              <w:spacing w:after="120" w:line="240" w:lineRule="auto"/>
              <w:ind w:left="416" w:hanging="283"/>
              <w:rPr>
                <w:rFonts w:ascii="Times New Roman" w:hAnsi="Times New Roman" w:cs="Times New Roman"/>
              </w:rPr>
            </w:pPr>
            <w:r w:rsidRPr="00C40440">
              <w:rPr>
                <w:rFonts w:ascii="Times New Roman" w:hAnsi="Times New Roman" w:cs="Times New Roman"/>
              </w:rPr>
              <w:t xml:space="preserve">SDIP, Digitalizacja infrastruktury kolejowej </w:t>
            </w:r>
          </w:p>
          <w:p w14:paraId="0C8A4D0D" w14:textId="77777777" w:rsidR="0046650D" w:rsidRPr="00C40440" w:rsidRDefault="0046650D" w:rsidP="00C40440">
            <w:pPr>
              <w:numPr>
                <w:ilvl w:val="0"/>
                <w:numId w:val="14"/>
              </w:numPr>
              <w:spacing w:after="120" w:line="240" w:lineRule="auto"/>
              <w:ind w:left="416" w:hanging="283"/>
              <w:rPr>
                <w:rFonts w:ascii="Times New Roman" w:hAnsi="Times New Roman" w:cs="Times New Roman"/>
              </w:rPr>
            </w:pPr>
            <w:r w:rsidRPr="00C40440">
              <w:rPr>
                <w:rFonts w:ascii="Times New Roman" w:hAnsi="Times New Roman" w:cs="Times New Roman"/>
              </w:rPr>
              <w:t>Poprawa bezpieczeństwa na przejazdach kolejowych oraz zabudowa ERTMS.</w:t>
            </w:r>
          </w:p>
          <w:p w14:paraId="30BA9D7A" w14:textId="58F786B6" w:rsidR="0046650D" w:rsidRPr="00F86E5A" w:rsidRDefault="0046650D" w:rsidP="00C40440">
            <w:pPr>
              <w:spacing w:after="120" w:line="240" w:lineRule="auto"/>
              <w:rPr>
                <w:rFonts w:ascii="Times New Roman" w:hAnsi="Times New Roman" w:cs="Times New Roman"/>
              </w:rPr>
            </w:pPr>
            <w:r w:rsidRPr="00F86E5A">
              <w:rPr>
                <w:rFonts w:ascii="Times New Roman" w:hAnsi="Times New Roman" w:cs="Times New Roman"/>
              </w:rPr>
              <w:t xml:space="preserve">W ramach E27G zmieniono wskaźnik pośredni dla urządzeń automatycznego sterowania z 15 do 10 lokalizacji do uzyskania w 1Q 2025 roku z uwagi na krótki termin realizacji. Dodatkowo mogą wystąpić sytuacje, </w:t>
            </w:r>
            <w:r w:rsidR="000C0886" w:rsidRPr="00F86E5A">
              <w:rPr>
                <w:rFonts w:ascii="Times New Roman" w:hAnsi="Times New Roman" w:cs="Times New Roman"/>
              </w:rPr>
              <w:t>że</w:t>
            </w:r>
            <w:r w:rsidRPr="00F86E5A">
              <w:rPr>
                <w:rFonts w:ascii="Times New Roman" w:hAnsi="Times New Roman" w:cs="Times New Roman"/>
              </w:rPr>
              <w:t xml:space="preserve"> komplementarnie do realizacji zadań digitalizacyjnych zajdzie konieczność  uwzględnienia innych zadań (realizowanych z innych środków finansowych niż KPO), które mogą wpłynąć na wydłużenie czasu realizacji zadań digitalizacyjnych w KPO poza I kwartał 2025</w:t>
            </w:r>
            <w:r w:rsidR="000C0886" w:rsidRPr="00F86E5A">
              <w:rPr>
                <w:rFonts w:ascii="Times New Roman" w:hAnsi="Times New Roman" w:cs="Times New Roman"/>
              </w:rPr>
              <w:t>r</w:t>
            </w:r>
            <w:r w:rsidRPr="00F86E5A">
              <w:rPr>
                <w:rFonts w:ascii="Times New Roman" w:hAnsi="Times New Roman" w:cs="Times New Roman"/>
              </w:rPr>
              <w:t>.</w:t>
            </w:r>
          </w:p>
          <w:p w14:paraId="02381C2E" w14:textId="2AF7E569" w:rsidR="0046650D" w:rsidRPr="00F86E5A" w:rsidRDefault="000C0886" w:rsidP="00C40440">
            <w:pPr>
              <w:spacing w:after="120" w:line="240" w:lineRule="auto"/>
              <w:rPr>
                <w:rFonts w:ascii="Times New Roman" w:hAnsi="Times New Roman" w:cs="Times New Roman"/>
              </w:rPr>
            </w:pPr>
            <w:r w:rsidRPr="00F86E5A">
              <w:rPr>
                <w:rFonts w:ascii="Times New Roman" w:hAnsi="Times New Roman" w:cs="Times New Roman"/>
              </w:rPr>
              <w:t xml:space="preserve">Wartości wskaźników </w:t>
            </w:r>
            <w:r w:rsidR="0046650D" w:rsidRPr="00F86E5A">
              <w:rPr>
                <w:rFonts w:ascii="Times New Roman" w:hAnsi="Times New Roman" w:cs="Times New Roman"/>
              </w:rPr>
              <w:t xml:space="preserve">dla SDIP </w:t>
            </w:r>
            <w:r w:rsidRPr="00F86E5A">
              <w:rPr>
                <w:rFonts w:ascii="Times New Roman" w:hAnsi="Times New Roman" w:cs="Times New Roman"/>
              </w:rPr>
              <w:t xml:space="preserve">to </w:t>
            </w:r>
            <w:r w:rsidR="0046650D" w:rsidRPr="00F86E5A">
              <w:rPr>
                <w:rFonts w:ascii="Times New Roman" w:hAnsi="Times New Roman" w:cs="Times New Roman"/>
              </w:rPr>
              <w:t>10 lokalizacji, digitalizacji 45 przejazdów oraz 35 lokalizacjach zdalnego sterowania. Spółka wybrana do realizacji zadań – PKP PLK S.A. wyraziła gotowość realizacji ww. zadań odpowiednio na poziomie: SDIP - 42, przejazdy kolejowe - 102 szt., digitalizacja infrastruktury – 43 lokalizacji. Zmiany spowodowane są możliwością realizacji większej liczby SDIP i przejazdów kolejowych i zdalnego sterowania z uwagi na zmiany cen i wybrane do realizacji projekty.</w:t>
            </w:r>
          </w:p>
          <w:p w14:paraId="3D9DAF6F" w14:textId="77777777" w:rsidR="0046650D" w:rsidRPr="00F86E5A" w:rsidRDefault="0046650D" w:rsidP="00C40440">
            <w:pPr>
              <w:spacing w:after="120" w:line="240" w:lineRule="auto"/>
              <w:rPr>
                <w:rFonts w:ascii="Times New Roman" w:hAnsi="Times New Roman" w:cs="Times New Roman"/>
              </w:rPr>
            </w:pPr>
            <w:r w:rsidRPr="00F86E5A">
              <w:rPr>
                <w:rFonts w:ascii="Times New Roman" w:hAnsi="Times New Roman" w:cs="Times New Roman"/>
              </w:rPr>
              <w:t>Dodatkowo wprowadzono zapis uściślający, który wprost wskazuje, że wielkości z E27G zawierają się we wskaźniku E28G, czyli E28G zawiera docelowe wartości tych wskaźników. Dotychczasowa forma zapisu prowadziła do jego błędnej interpretacji.</w:t>
            </w:r>
          </w:p>
          <w:p w14:paraId="003CA7B4" w14:textId="5738B183" w:rsidR="0046650D" w:rsidRPr="00C40440" w:rsidRDefault="0046650D" w:rsidP="00C40440">
            <w:pPr>
              <w:spacing w:after="120" w:line="240" w:lineRule="auto"/>
              <w:rPr>
                <w:rFonts w:ascii="Times New Roman" w:hAnsi="Times New Roman" w:cs="Times New Roman"/>
              </w:rPr>
            </w:pPr>
            <w:r w:rsidRPr="00F86E5A">
              <w:rPr>
                <w:rFonts w:ascii="Times New Roman" w:hAnsi="Times New Roman" w:cs="Times New Roman"/>
              </w:rPr>
              <w:t>Ponadto zaproponowane wprowadzenie zapisu w ramach ERTMS, mówiącego nie tylko o zakupie i instalacji</w:t>
            </w:r>
            <w:r w:rsidR="000C0886" w:rsidRPr="00F86E5A">
              <w:rPr>
                <w:rFonts w:ascii="Times New Roman" w:hAnsi="Times New Roman" w:cs="Times New Roman"/>
              </w:rPr>
              <w:t>,</w:t>
            </w:r>
            <w:r w:rsidRPr="00F86E5A">
              <w:rPr>
                <w:rFonts w:ascii="Times New Roman" w:hAnsi="Times New Roman" w:cs="Times New Roman"/>
              </w:rPr>
              <w:t xml:space="preserve"> ale również o zamówieniu zwiększy możliwość realizacji wskaźnika. W związku z ograniczeniami terminowymi kwalifikowalności środków </w:t>
            </w:r>
            <w:r w:rsidR="000C0886" w:rsidRPr="00F86E5A">
              <w:rPr>
                <w:rFonts w:ascii="Times New Roman" w:hAnsi="Times New Roman" w:cs="Times New Roman"/>
              </w:rPr>
              <w:t xml:space="preserve">w </w:t>
            </w:r>
            <w:r w:rsidRPr="00F86E5A">
              <w:rPr>
                <w:rFonts w:ascii="Times New Roman" w:hAnsi="Times New Roman" w:cs="Times New Roman"/>
              </w:rPr>
              <w:t>KPO oraz przedłużającą się procedurą przyjęcia programu pomocowego, proponuje</w:t>
            </w:r>
            <w:r w:rsidR="000C0886" w:rsidRPr="00F86E5A">
              <w:rPr>
                <w:rFonts w:ascii="Times New Roman" w:hAnsi="Times New Roman" w:cs="Times New Roman"/>
              </w:rPr>
              <w:t xml:space="preserve"> się </w:t>
            </w:r>
            <w:r w:rsidRPr="00F86E5A">
              <w:rPr>
                <w:rFonts w:ascii="Times New Roman" w:hAnsi="Times New Roman" w:cs="Times New Roman"/>
              </w:rPr>
              <w:t>uznanie również zamówionych przez beneficjentów urządzeń znajdujących się na etapie produkcji, jako spełniających wartość wskaźnika E28G w ramach tej inwestycji. Zabudowa urządzeniami ERTMS zostanie zrealizowana zgodnie z podpisanymi umowami pomiędzy producentami a beneficjentami.</w:t>
            </w:r>
            <w:r w:rsidRPr="00C40440">
              <w:rPr>
                <w:rFonts w:ascii="Times New Roman" w:hAnsi="Times New Roman" w:cs="Times New Roman"/>
              </w:rPr>
              <w:t xml:space="preserve"> </w:t>
            </w:r>
          </w:p>
        </w:tc>
      </w:tr>
      <w:tr w:rsidR="0046650D" w:rsidRPr="00B47988" w14:paraId="0F2CC6FA" w14:textId="77777777" w:rsidTr="00C40440">
        <w:tc>
          <w:tcPr>
            <w:tcW w:w="1249" w:type="pct"/>
          </w:tcPr>
          <w:p w14:paraId="6DA1DEF4" w14:textId="77777777" w:rsidR="0046650D" w:rsidRPr="00B47988" w:rsidRDefault="0046650D" w:rsidP="00144E7D">
            <w:pPr>
              <w:spacing w:after="0" w:line="240" w:lineRule="auto"/>
              <w:rPr>
                <w:rFonts w:ascii="Times New Roman" w:hAnsi="Times New Roman" w:cs="Times New Roman"/>
              </w:rPr>
            </w:pPr>
            <w:r w:rsidRPr="00B47988">
              <w:rPr>
                <w:rFonts w:ascii="Times New Roman" w:hAnsi="Times New Roman" w:cs="Times New Roman"/>
              </w:rPr>
              <w:t>Szacowany koszt</w:t>
            </w:r>
          </w:p>
        </w:tc>
        <w:tc>
          <w:tcPr>
            <w:tcW w:w="3751" w:type="pct"/>
            <w:gridSpan w:val="2"/>
          </w:tcPr>
          <w:p w14:paraId="75F33B09" w14:textId="34FED9D0" w:rsidR="0046650D" w:rsidRPr="00B47988" w:rsidRDefault="00CA3662" w:rsidP="00144E7D">
            <w:pPr>
              <w:spacing w:after="0" w:line="240" w:lineRule="auto"/>
              <w:rPr>
                <w:rFonts w:ascii="Times New Roman" w:hAnsi="Times New Roman" w:cs="Times New Roman"/>
              </w:rPr>
            </w:pPr>
            <w:r w:rsidRPr="003B4E6E">
              <w:rPr>
                <w:rFonts w:ascii="Times New Roman" w:hAnsi="Times New Roman" w:cs="Times New Roman"/>
              </w:rPr>
              <w:t xml:space="preserve">Zmiana nie ma wpływu na szacowany koszt </w:t>
            </w:r>
          </w:p>
        </w:tc>
      </w:tr>
      <w:tr w:rsidR="0046650D" w:rsidRPr="00CA3662" w14:paraId="2AE8254F" w14:textId="77777777" w:rsidTr="00C40440">
        <w:tc>
          <w:tcPr>
            <w:tcW w:w="1249" w:type="pct"/>
          </w:tcPr>
          <w:p w14:paraId="43DA1E4A" w14:textId="77777777" w:rsidR="0046650D" w:rsidRPr="00B47988" w:rsidRDefault="0046650D" w:rsidP="00144E7D">
            <w:pPr>
              <w:spacing w:after="0" w:line="240" w:lineRule="auto"/>
              <w:rPr>
                <w:rFonts w:ascii="Times New Roman" w:hAnsi="Times New Roman" w:cs="Times New Roman"/>
              </w:rPr>
            </w:pPr>
            <w:r w:rsidRPr="00B47988">
              <w:rPr>
                <w:rFonts w:ascii="Times New Roman" w:hAnsi="Times New Roman" w:cs="Times New Roman"/>
              </w:rPr>
              <w:t xml:space="preserve">Cyfrowy i klimatyczny </w:t>
            </w:r>
            <w:proofErr w:type="spellStart"/>
            <w:r w:rsidRPr="00B47988">
              <w:rPr>
                <w:rFonts w:ascii="Times New Roman" w:hAnsi="Times New Roman" w:cs="Times New Roman"/>
              </w:rPr>
              <w:t>tagging</w:t>
            </w:r>
            <w:proofErr w:type="spellEnd"/>
            <w:r w:rsidRPr="00B47988">
              <w:rPr>
                <w:rFonts w:ascii="Times New Roman" w:hAnsi="Times New Roman" w:cs="Times New Roman"/>
              </w:rPr>
              <w:t xml:space="preserve"> </w:t>
            </w:r>
          </w:p>
        </w:tc>
        <w:tc>
          <w:tcPr>
            <w:tcW w:w="3751" w:type="pct"/>
            <w:gridSpan w:val="2"/>
            <w:shd w:val="clear" w:color="auto" w:fill="auto"/>
          </w:tcPr>
          <w:p w14:paraId="32B6D3CD" w14:textId="7D7D601B" w:rsidR="0046650D" w:rsidRPr="00C40440" w:rsidRDefault="00CA3662" w:rsidP="00144E7D">
            <w:pPr>
              <w:spacing w:after="0" w:line="240" w:lineRule="auto"/>
              <w:rPr>
                <w:rFonts w:ascii="Times New Roman" w:hAnsi="Times New Roman" w:cs="Times New Roman"/>
              </w:rPr>
            </w:pPr>
            <w:r w:rsidRPr="003B4E6E">
              <w:rPr>
                <w:rFonts w:ascii="Times New Roman" w:hAnsi="Times New Roman" w:cs="Times New Roman"/>
              </w:rPr>
              <w:t xml:space="preserve">Zmiana nie ma wpływu na </w:t>
            </w:r>
            <w:proofErr w:type="spellStart"/>
            <w:r w:rsidRPr="003B4E6E">
              <w:rPr>
                <w:rFonts w:ascii="Times New Roman" w:hAnsi="Times New Roman" w:cs="Times New Roman"/>
              </w:rPr>
              <w:t>tagging</w:t>
            </w:r>
            <w:proofErr w:type="spellEnd"/>
            <w:r w:rsidRPr="003B4E6E">
              <w:rPr>
                <w:rFonts w:ascii="Times New Roman" w:hAnsi="Times New Roman" w:cs="Times New Roman"/>
              </w:rPr>
              <w:t xml:space="preserve"> klimatyczny i cyfrowy </w:t>
            </w:r>
          </w:p>
        </w:tc>
      </w:tr>
      <w:tr w:rsidR="0046650D" w:rsidRPr="00CA3662" w14:paraId="7F39A97C" w14:textId="77777777" w:rsidTr="00C40440">
        <w:tc>
          <w:tcPr>
            <w:tcW w:w="1249" w:type="pct"/>
            <w:tcBorders>
              <w:bottom w:val="single" w:sz="4" w:space="0" w:color="auto"/>
            </w:tcBorders>
          </w:tcPr>
          <w:p w14:paraId="26EC0644" w14:textId="77777777" w:rsidR="0046650D" w:rsidRPr="00B47988" w:rsidRDefault="0046650D" w:rsidP="00144E7D">
            <w:pPr>
              <w:spacing w:after="0" w:line="240" w:lineRule="auto"/>
              <w:rPr>
                <w:rFonts w:ascii="Times New Roman" w:hAnsi="Times New Roman" w:cs="Times New Roman"/>
              </w:rPr>
            </w:pPr>
            <w:r w:rsidRPr="00B47988">
              <w:rPr>
                <w:rFonts w:ascii="Times New Roman" w:hAnsi="Times New Roman" w:cs="Times New Roman"/>
              </w:rPr>
              <w:t xml:space="preserve">Zasada DNSH </w:t>
            </w:r>
          </w:p>
        </w:tc>
        <w:tc>
          <w:tcPr>
            <w:tcW w:w="3751" w:type="pct"/>
            <w:gridSpan w:val="2"/>
            <w:tcBorders>
              <w:bottom w:val="single" w:sz="4" w:space="0" w:color="auto"/>
            </w:tcBorders>
            <w:shd w:val="clear" w:color="auto" w:fill="auto"/>
          </w:tcPr>
          <w:p w14:paraId="25D53407" w14:textId="2DEB0655" w:rsidR="0046650D" w:rsidRPr="00C40440" w:rsidRDefault="00CA3662" w:rsidP="00144E7D">
            <w:pPr>
              <w:spacing w:after="0" w:line="240" w:lineRule="auto"/>
              <w:rPr>
                <w:rFonts w:ascii="Times New Roman" w:hAnsi="Times New Roman" w:cs="Times New Roman"/>
              </w:rPr>
            </w:pPr>
            <w:r w:rsidRPr="00C40440">
              <w:rPr>
                <w:rFonts w:ascii="Times New Roman" w:hAnsi="Times New Roman" w:cs="Times New Roman"/>
              </w:rPr>
              <w:t>Zmiana nie ma wpływu n</w:t>
            </w:r>
            <w:r>
              <w:rPr>
                <w:rFonts w:ascii="Times New Roman" w:hAnsi="Times New Roman" w:cs="Times New Roman"/>
              </w:rPr>
              <w:t>a DNSH</w:t>
            </w:r>
          </w:p>
        </w:tc>
      </w:tr>
      <w:tr w:rsidR="0046650D" w:rsidRPr="00A26E88" w14:paraId="7CA50D9B" w14:textId="77777777" w:rsidTr="00C40440">
        <w:tc>
          <w:tcPr>
            <w:tcW w:w="1249" w:type="pct"/>
            <w:tcBorders>
              <w:bottom w:val="single" w:sz="4" w:space="0" w:color="auto"/>
            </w:tcBorders>
          </w:tcPr>
          <w:p w14:paraId="6227FC0C" w14:textId="77777777" w:rsidR="0046650D" w:rsidRPr="00B47988" w:rsidRDefault="0046650D" w:rsidP="00144E7D">
            <w:pPr>
              <w:spacing w:after="0" w:line="240" w:lineRule="auto"/>
              <w:rPr>
                <w:rFonts w:ascii="Times New Roman" w:hAnsi="Times New Roman" w:cs="Times New Roman"/>
              </w:rPr>
            </w:pPr>
            <w:r w:rsidRPr="00B47988">
              <w:rPr>
                <w:rFonts w:ascii="Times New Roman" w:hAnsi="Times New Roman" w:cs="Times New Roman"/>
              </w:rPr>
              <w:lastRenderedPageBreak/>
              <w:t xml:space="preserve">Pomoc publiczna </w:t>
            </w:r>
          </w:p>
        </w:tc>
        <w:tc>
          <w:tcPr>
            <w:tcW w:w="3751" w:type="pct"/>
            <w:gridSpan w:val="2"/>
            <w:tcBorders>
              <w:bottom w:val="single" w:sz="4" w:space="0" w:color="auto"/>
            </w:tcBorders>
          </w:tcPr>
          <w:p w14:paraId="3756165F" w14:textId="488B7116" w:rsidR="0046650D" w:rsidRPr="00C40440" w:rsidRDefault="0046650D" w:rsidP="00144E7D">
            <w:pPr>
              <w:spacing w:after="0" w:line="240" w:lineRule="auto"/>
              <w:rPr>
                <w:rFonts w:ascii="Times New Roman" w:hAnsi="Times New Roman" w:cs="Times New Roman"/>
              </w:rPr>
            </w:pPr>
            <w:r w:rsidRPr="00B47988">
              <w:rPr>
                <w:rFonts w:ascii="Times New Roman" w:hAnsi="Times New Roman" w:cs="Times New Roman"/>
              </w:rPr>
              <w:t>Dotyczy w zakresie ERTMS. Zmiana ma związek z procedowanym rozporządzeniem pomocowym.</w:t>
            </w:r>
          </w:p>
        </w:tc>
      </w:tr>
    </w:tbl>
    <w:p w14:paraId="1AB9E212" w14:textId="77777777" w:rsidR="0046650D" w:rsidRPr="00C40440" w:rsidRDefault="0046650D" w:rsidP="00B0152F">
      <w:pPr>
        <w:rPr>
          <w:b/>
          <w:u w:val="single"/>
        </w:rPr>
      </w:pPr>
    </w:p>
    <w:p w14:paraId="6D32A379" w14:textId="77777777" w:rsidR="007B2370" w:rsidRPr="00C40440" w:rsidRDefault="007B2370" w:rsidP="00B06471">
      <w:pPr>
        <w:spacing w:after="120" w:line="240" w:lineRule="auto"/>
        <w:rPr>
          <w:b/>
          <w:bCs/>
          <w:sz w:val="2"/>
          <w:szCs w:val="2"/>
        </w:rPr>
      </w:pPr>
    </w:p>
    <w:p w14:paraId="5B0353F7" w14:textId="03B58AC4" w:rsidR="004E38D6" w:rsidRPr="00026221" w:rsidRDefault="004E38D6" w:rsidP="00B06471">
      <w:pPr>
        <w:rPr>
          <w:rFonts w:ascii="Times New Roman" w:hAnsi="Times New Roman" w:cs="Times New Roman"/>
          <w:b/>
          <w:bCs/>
          <w:sz w:val="26"/>
          <w:szCs w:val="26"/>
        </w:rPr>
      </w:pPr>
      <w:r w:rsidRPr="004E38D6">
        <w:rPr>
          <w:rFonts w:ascii="Times New Roman" w:hAnsi="Times New Roman" w:cs="Times New Roman"/>
          <w:b/>
          <w:bCs/>
          <w:sz w:val="26"/>
          <w:szCs w:val="26"/>
        </w:rPr>
        <w:t>Część pożyczkowa</w:t>
      </w:r>
    </w:p>
    <w:p w14:paraId="44029C05" w14:textId="287E421E" w:rsidR="00BC6A23" w:rsidRDefault="003733FD" w:rsidP="00C40440">
      <w:pPr>
        <w:spacing w:after="120" w:line="240" w:lineRule="auto"/>
        <w:rPr>
          <w:rFonts w:cstheme="minorHAnsi"/>
        </w:rPr>
      </w:pPr>
      <w:r w:rsidRPr="00870400">
        <w:rPr>
          <w:rFonts w:ascii="Times New Roman" w:hAnsi="Times New Roman" w:cs="Times New Roman"/>
          <w:b/>
          <w:bCs/>
          <w:sz w:val="26"/>
          <w:szCs w:val="26"/>
        </w:rPr>
        <w:t>Komponent A – Odporność i konkurencyjność gospodarki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3411"/>
        <w:gridCol w:w="3661"/>
      </w:tblGrid>
      <w:tr w:rsidR="009779EA" w:rsidRPr="009779EA" w14:paraId="54A11C4F" w14:textId="77777777" w:rsidTr="00144E7D">
        <w:tc>
          <w:tcPr>
            <w:tcW w:w="1098" w:type="pct"/>
          </w:tcPr>
          <w:p w14:paraId="0B1278FC" w14:textId="77777777" w:rsidR="009779EA" w:rsidRPr="009779EA" w:rsidRDefault="009779EA" w:rsidP="009779EA">
            <w:pPr>
              <w:spacing w:after="120" w:line="240" w:lineRule="auto"/>
              <w:ind w:right="-73"/>
              <w:rPr>
                <w:rFonts w:ascii="Times New Roman" w:hAnsi="Times New Roman" w:cs="Times New Roman"/>
                <w:b/>
                <w:bCs/>
              </w:rPr>
            </w:pPr>
            <w:r w:rsidRPr="009779EA">
              <w:rPr>
                <w:rFonts w:ascii="Times New Roman" w:hAnsi="Times New Roman" w:cs="Times New Roman"/>
                <w:b/>
                <w:bCs/>
              </w:rPr>
              <w:t>Numer inwestycji</w:t>
            </w:r>
          </w:p>
        </w:tc>
        <w:tc>
          <w:tcPr>
            <w:tcW w:w="3902" w:type="pct"/>
            <w:gridSpan w:val="2"/>
          </w:tcPr>
          <w:p w14:paraId="5EB804E8"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b/>
                <w:bCs/>
                <w:color w:val="000000"/>
                <w:lang w:val="en-GB" w:eastAsia="en-GB"/>
              </w:rPr>
            </w:pPr>
            <w:r w:rsidRPr="009779EA">
              <w:rPr>
                <w:rFonts w:ascii="Times New Roman" w:eastAsia="Calibri" w:hAnsi="Times New Roman" w:cs="Times New Roman"/>
                <w:b/>
                <w:bCs/>
                <w:color w:val="000000"/>
                <w:lang w:val="en-GB" w:eastAsia="en-GB"/>
              </w:rPr>
              <w:t>A2.5.1.</w:t>
            </w:r>
          </w:p>
        </w:tc>
      </w:tr>
      <w:tr w:rsidR="009779EA" w:rsidRPr="009779EA" w14:paraId="779269C7" w14:textId="77777777" w:rsidTr="00144E7D">
        <w:tc>
          <w:tcPr>
            <w:tcW w:w="1098" w:type="pct"/>
          </w:tcPr>
          <w:p w14:paraId="43C7EF58"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b/>
                <w:bCs/>
                <w:color w:val="000000"/>
                <w:lang w:val="en-GB" w:eastAsia="en-GB"/>
              </w:rPr>
            </w:pPr>
            <w:proofErr w:type="spellStart"/>
            <w:r w:rsidRPr="009779EA">
              <w:rPr>
                <w:rFonts w:ascii="Times New Roman" w:eastAsia="Calibri" w:hAnsi="Times New Roman" w:cs="Times New Roman"/>
                <w:b/>
                <w:bCs/>
                <w:color w:val="000000"/>
                <w:lang w:val="en-GB" w:eastAsia="en-GB"/>
              </w:rPr>
              <w:t>Nazwa</w:t>
            </w:r>
            <w:proofErr w:type="spellEnd"/>
            <w:r w:rsidRPr="009779EA">
              <w:rPr>
                <w:rFonts w:ascii="Times New Roman" w:eastAsia="Calibri" w:hAnsi="Times New Roman" w:cs="Times New Roman"/>
                <w:b/>
                <w:bCs/>
                <w:color w:val="000000"/>
                <w:lang w:val="en-GB" w:eastAsia="en-GB"/>
              </w:rPr>
              <w:t xml:space="preserve"> </w:t>
            </w:r>
            <w:proofErr w:type="spellStart"/>
            <w:r w:rsidRPr="009779EA">
              <w:rPr>
                <w:rFonts w:ascii="Times New Roman" w:eastAsia="Calibri" w:hAnsi="Times New Roman" w:cs="Times New Roman"/>
                <w:b/>
                <w:bCs/>
                <w:color w:val="000000"/>
                <w:lang w:val="en-GB" w:eastAsia="en-GB"/>
              </w:rPr>
              <w:t>inwestycji</w:t>
            </w:r>
            <w:proofErr w:type="spellEnd"/>
            <w:r w:rsidRPr="009779EA">
              <w:rPr>
                <w:rFonts w:ascii="Times New Roman" w:eastAsia="Calibri" w:hAnsi="Times New Roman" w:cs="Times New Roman"/>
                <w:b/>
                <w:bCs/>
                <w:color w:val="000000"/>
                <w:lang w:val="en-GB" w:eastAsia="en-GB"/>
              </w:rPr>
              <w:t xml:space="preserve"> </w:t>
            </w:r>
          </w:p>
        </w:tc>
        <w:tc>
          <w:tcPr>
            <w:tcW w:w="3902" w:type="pct"/>
            <w:gridSpan w:val="2"/>
          </w:tcPr>
          <w:p w14:paraId="6835EB57"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b/>
                <w:bCs/>
                <w:color w:val="000000"/>
                <w:lang w:eastAsia="en-GB"/>
              </w:rPr>
            </w:pPr>
            <w:r w:rsidRPr="009779EA">
              <w:rPr>
                <w:rFonts w:ascii="Times New Roman" w:eastAsia="Calibri" w:hAnsi="Times New Roman" w:cs="Times New Roman"/>
                <w:b/>
                <w:bCs/>
                <w:color w:val="000000"/>
                <w:lang w:eastAsia="en-GB"/>
              </w:rPr>
              <w:t xml:space="preserve">Program wspierania działalności podmiotów działających w sektorze kultury i sektorze kreatywnym w celu stymulowania ich rozwoju </w:t>
            </w:r>
          </w:p>
        </w:tc>
      </w:tr>
      <w:tr w:rsidR="009779EA" w:rsidRPr="009779EA" w14:paraId="4F6AF226" w14:textId="77777777" w:rsidTr="00144E7D">
        <w:tc>
          <w:tcPr>
            <w:tcW w:w="1098" w:type="pct"/>
          </w:tcPr>
          <w:p w14:paraId="46F0FD31"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eastAsia="en-GB"/>
              </w:rPr>
            </w:pPr>
            <w:r w:rsidRPr="009779EA">
              <w:rPr>
                <w:rFonts w:ascii="Times New Roman" w:eastAsia="Calibri" w:hAnsi="Times New Roman" w:cs="Times New Roman"/>
                <w:color w:val="000000"/>
                <w:lang w:eastAsia="en-GB"/>
              </w:rPr>
              <w:t>Rodzaj wprowadzonej zmiany w odniesieniu do CID</w:t>
            </w:r>
          </w:p>
        </w:tc>
        <w:tc>
          <w:tcPr>
            <w:tcW w:w="3902" w:type="pct"/>
            <w:gridSpan w:val="2"/>
          </w:tcPr>
          <w:p w14:paraId="262E0B0E" w14:textId="77777777" w:rsidR="009779EA" w:rsidRPr="009779EA" w:rsidRDefault="009779EA" w:rsidP="009779EA">
            <w:pPr>
              <w:autoSpaceDE w:val="0"/>
              <w:autoSpaceDN w:val="0"/>
              <w:adjustRightInd w:val="0"/>
              <w:spacing w:after="120" w:line="240" w:lineRule="auto"/>
              <w:jc w:val="both"/>
              <w:rPr>
                <w:rFonts w:ascii="Times New Roman" w:eastAsia="Calibri" w:hAnsi="Times New Roman" w:cs="Times New Roman"/>
                <w:color w:val="000000"/>
                <w:lang w:eastAsia="en-GB"/>
              </w:rPr>
            </w:pPr>
            <w:r w:rsidRPr="009779EA">
              <w:rPr>
                <w:rFonts w:ascii="Times New Roman" w:eastAsia="Calibri" w:hAnsi="Times New Roman" w:cs="Times New Roman"/>
                <w:color w:val="000000"/>
                <w:lang w:eastAsia="en-GB"/>
              </w:rPr>
              <w:t>Modyfikacja wartości wskaźnika A3L, zmiana techniczna (</w:t>
            </w:r>
            <w:proofErr w:type="spellStart"/>
            <w:r w:rsidRPr="009779EA">
              <w:rPr>
                <w:rFonts w:ascii="Times New Roman" w:eastAsia="Calibri" w:hAnsi="Times New Roman" w:cs="Times New Roman"/>
                <w:color w:val="000000"/>
                <w:lang w:eastAsia="en-GB"/>
              </w:rPr>
              <w:t>clerical</w:t>
            </w:r>
            <w:proofErr w:type="spellEnd"/>
            <w:r w:rsidRPr="009779EA">
              <w:rPr>
                <w:rFonts w:ascii="Times New Roman" w:eastAsia="Calibri" w:hAnsi="Times New Roman" w:cs="Times New Roman"/>
                <w:color w:val="000000"/>
                <w:lang w:eastAsia="en-GB"/>
              </w:rPr>
              <w:t xml:space="preserve"> error) w opisie inwestycji</w:t>
            </w:r>
          </w:p>
        </w:tc>
      </w:tr>
      <w:tr w:rsidR="009779EA" w:rsidRPr="009779EA" w14:paraId="7C810DD5" w14:textId="77777777" w:rsidTr="00144E7D">
        <w:tc>
          <w:tcPr>
            <w:tcW w:w="1098" w:type="pct"/>
            <w:shd w:val="clear" w:color="auto" w:fill="FFFFFF" w:themeFill="background1"/>
          </w:tcPr>
          <w:p w14:paraId="54D88261"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val="en-GB" w:eastAsia="en-GB"/>
              </w:rPr>
            </w:pPr>
            <w:proofErr w:type="spellStart"/>
            <w:r w:rsidRPr="009779EA">
              <w:rPr>
                <w:rFonts w:ascii="Times New Roman" w:eastAsia="Calibri" w:hAnsi="Times New Roman" w:cs="Times New Roman"/>
                <w:color w:val="000000"/>
                <w:lang w:val="en-GB" w:eastAsia="en-GB"/>
              </w:rPr>
              <w:t>Podstawa</w:t>
            </w:r>
            <w:proofErr w:type="spellEnd"/>
            <w:r w:rsidRPr="009779EA">
              <w:rPr>
                <w:rFonts w:ascii="Times New Roman" w:eastAsia="Calibri" w:hAnsi="Times New Roman" w:cs="Times New Roman"/>
                <w:color w:val="000000"/>
                <w:lang w:val="en-GB" w:eastAsia="en-GB"/>
              </w:rPr>
              <w:t xml:space="preserve"> </w:t>
            </w:r>
            <w:proofErr w:type="spellStart"/>
            <w:r w:rsidRPr="009779EA">
              <w:rPr>
                <w:rFonts w:ascii="Times New Roman" w:eastAsia="Calibri" w:hAnsi="Times New Roman" w:cs="Times New Roman"/>
                <w:color w:val="000000"/>
                <w:lang w:val="en-GB" w:eastAsia="en-GB"/>
              </w:rPr>
              <w:t>prawna</w:t>
            </w:r>
            <w:proofErr w:type="spellEnd"/>
            <w:r w:rsidRPr="009779EA">
              <w:rPr>
                <w:rFonts w:ascii="Times New Roman" w:eastAsia="Calibri" w:hAnsi="Times New Roman" w:cs="Times New Roman"/>
                <w:color w:val="000000"/>
                <w:lang w:val="en-GB" w:eastAsia="en-GB"/>
              </w:rPr>
              <w:t xml:space="preserve"> </w:t>
            </w:r>
            <w:proofErr w:type="spellStart"/>
            <w:r w:rsidRPr="009779EA">
              <w:rPr>
                <w:rFonts w:ascii="Times New Roman" w:eastAsia="Calibri" w:hAnsi="Times New Roman" w:cs="Times New Roman"/>
                <w:color w:val="000000"/>
                <w:lang w:val="en-GB" w:eastAsia="en-GB"/>
              </w:rPr>
              <w:t>zmiany</w:t>
            </w:r>
            <w:proofErr w:type="spellEnd"/>
          </w:p>
        </w:tc>
        <w:tc>
          <w:tcPr>
            <w:tcW w:w="3902" w:type="pct"/>
            <w:gridSpan w:val="2"/>
            <w:shd w:val="clear" w:color="auto" w:fill="FFFFFF" w:themeFill="background1"/>
          </w:tcPr>
          <w:p w14:paraId="110EB6A2" w14:textId="427918CF" w:rsidR="009779EA" w:rsidRPr="009779EA" w:rsidRDefault="00CA3662" w:rsidP="009779EA">
            <w:pPr>
              <w:spacing w:after="120" w:line="240" w:lineRule="auto"/>
              <w:rPr>
                <w:rFonts w:ascii="Times New Roman" w:hAnsi="Times New Roman" w:cs="Times New Roman"/>
              </w:rPr>
            </w:pPr>
            <w:r w:rsidRPr="003B4E6E">
              <w:rPr>
                <w:rFonts w:ascii="Times New Roman" w:hAnsi="Times New Roman" w:cs="Times New Roman"/>
              </w:rPr>
              <w:t>art. 21 rozporządzenia Parlamentu Europejskiego i Rady (UE) 2021/241 z dnia 12 lutego 2021 r. ustanawiające Instrument na rzecz Odbudowy i Zwiększania Odporności</w:t>
            </w:r>
            <w:r w:rsidRPr="003B4E6E" w:rsidDel="00A106E1">
              <w:rPr>
                <w:rFonts w:ascii="Times New Roman" w:hAnsi="Times New Roman" w:cs="Times New Roman"/>
              </w:rPr>
              <w:t xml:space="preserve"> </w:t>
            </w:r>
          </w:p>
        </w:tc>
      </w:tr>
      <w:tr w:rsidR="009779EA" w:rsidRPr="009779EA" w14:paraId="079CE346" w14:textId="77777777" w:rsidTr="00144E7D">
        <w:tc>
          <w:tcPr>
            <w:tcW w:w="1098" w:type="pct"/>
            <w:shd w:val="clear" w:color="auto" w:fill="D9D9D9" w:themeFill="background1" w:themeFillShade="D9"/>
          </w:tcPr>
          <w:p w14:paraId="7DFCB24A"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Modyfikowany element</w:t>
            </w:r>
          </w:p>
        </w:tc>
        <w:tc>
          <w:tcPr>
            <w:tcW w:w="1882" w:type="pct"/>
            <w:shd w:val="clear" w:color="auto" w:fill="D9D9D9" w:themeFill="background1" w:themeFillShade="D9"/>
          </w:tcPr>
          <w:p w14:paraId="6250C248" w14:textId="77777777" w:rsidR="009779EA" w:rsidRPr="009779EA" w:rsidRDefault="009779EA" w:rsidP="009779EA">
            <w:pPr>
              <w:spacing w:after="120" w:line="240" w:lineRule="auto"/>
              <w:jc w:val="center"/>
              <w:rPr>
                <w:rFonts w:ascii="Times New Roman" w:hAnsi="Times New Roman" w:cs="Times New Roman"/>
              </w:rPr>
            </w:pPr>
            <w:r w:rsidRPr="009779EA">
              <w:rPr>
                <w:rFonts w:ascii="Times New Roman" w:hAnsi="Times New Roman" w:cs="Times New Roman"/>
              </w:rPr>
              <w:t>Wersja aktualna</w:t>
            </w:r>
          </w:p>
        </w:tc>
        <w:tc>
          <w:tcPr>
            <w:tcW w:w="2020" w:type="pct"/>
            <w:shd w:val="clear" w:color="auto" w:fill="D9D9D9" w:themeFill="background1" w:themeFillShade="D9"/>
          </w:tcPr>
          <w:p w14:paraId="4F3A38AB" w14:textId="77777777" w:rsidR="009779EA" w:rsidRPr="009779EA" w:rsidRDefault="009779EA" w:rsidP="009779EA">
            <w:pPr>
              <w:spacing w:after="120" w:line="240" w:lineRule="auto"/>
              <w:jc w:val="center"/>
              <w:rPr>
                <w:rFonts w:ascii="Times New Roman" w:hAnsi="Times New Roman" w:cs="Times New Roman"/>
              </w:rPr>
            </w:pPr>
            <w:r w:rsidRPr="009779EA">
              <w:rPr>
                <w:rFonts w:ascii="Times New Roman" w:hAnsi="Times New Roman" w:cs="Times New Roman"/>
              </w:rPr>
              <w:t>Wersja zmieniona</w:t>
            </w:r>
          </w:p>
        </w:tc>
      </w:tr>
      <w:tr w:rsidR="009779EA" w:rsidRPr="009779EA" w14:paraId="34B808C6" w14:textId="77777777" w:rsidTr="00144E7D">
        <w:tc>
          <w:tcPr>
            <w:tcW w:w="1098" w:type="pct"/>
          </w:tcPr>
          <w:p w14:paraId="28C79E2B"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Opis komponentu oraz/lub działania (inwestycji/reformy)</w:t>
            </w:r>
          </w:p>
        </w:tc>
        <w:tc>
          <w:tcPr>
            <w:tcW w:w="1882" w:type="pct"/>
          </w:tcPr>
          <w:p w14:paraId="0D0B91C5"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eastAsia="en-GB"/>
              </w:rPr>
            </w:pPr>
            <w:r w:rsidRPr="009779EA">
              <w:rPr>
                <w:rFonts w:ascii="Times New Roman" w:eastAsia="Calibri" w:hAnsi="Times New Roman" w:cs="Times New Roman"/>
                <w:color w:val="000000"/>
                <w:lang w:eastAsia="en-GB"/>
              </w:rPr>
              <w:t>Realizacja inwestycji zostanie zakończona do dnia 31 grudnia 2024 r.</w:t>
            </w:r>
          </w:p>
        </w:tc>
        <w:tc>
          <w:tcPr>
            <w:tcW w:w="2020" w:type="pct"/>
          </w:tcPr>
          <w:p w14:paraId="0FE3E43F"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 xml:space="preserve">Realizacja inwestycji zostanie zakończona do dnia 31 grudnia </w:t>
            </w:r>
            <w:r w:rsidRPr="009779EA">
              <w:rPr>
                <w:rFonts w:ascii="Times New Roman" w:hAnsi="Times New Roman" w:cs="Times New Roman"/>
                <w:color w:val="FF0000"/>
              </w:rPr>
              <w:t>2025 r.</w:t>
            </w:r>
          </w:p>
        </w:tc>
      </w:tr>
      <w:tr w:rsidR="009779EA" w:rsidRPr="009779EA" w14:paraId="56C6C14A" w14:textId="77777777" w:rsidTr="00144E7D">
        <w:tc>
          <w:tcPr>
            <w:tcW w:w="1098" w:type="pct"/>
          </w:tcPr>
          <w:p w14:paraId="21C27727"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Opis kamienia milowego lub wskaźnika.</w:t>
            </w:r>
          </w:p>
        </w:tc>
        <w:tc>
          <w:tcPr>
            <w:tcW w:w="1882" w:type="pct"/>
          </w:tcPr>
          <w:p w14:paraId="3C61E73D"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eastAsia="en-GB"/>
              </w:rPr>
            </w:pPr>
            <w:r w:rsidRPr="009779EA">
              <w:rPr>
                <w:rFonts w:ascii="Times New Roman" w:eastAsia="Calibri" w:hAnsi="Times New Roman" w:cs="Times New Roman"/>
                <w:color w:val="000000"/>
                <w:lang w:eastAsia="en-GB"/>
              </w:rPr>
              <w:t>A3L</w:t>
            </w:r>
          </w:p>
          <w:p w14:paraId="12F0E15C"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eastAsia="en-GB"/>
              </w:rPr>
            </w:pPr>
            <w:r w:rsidRPr="009779EA">
              <w:rPr>
                <w:rFonts w:ascii="Times New Roman" w:eastAsia="Calibri" w:hAnsi="Times New Roman" w:cs="Times New Roman"/>
                <w:color w:val="000000"/>
                <w:lang w:eastAsia="en-GB"/>
              </w:rPr>
              <w:t>Liczba podpisanych umów dotyczących projektów instytucji kultury, organizacji pozarządowych, MŚP i mikroprzedsiębiorstw działających w sektorze kultury i sektorze kreatywnym</w:t>
            </w:r>
          </w:p>
          <w:p w14:paraId="3E0243DD"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eastAsia="en-GB"/>
              </w:rPr>
            </w:pPr>
            <w:proofErr w:type="spellStart"/>
            <w:r w:rsidRPr="009779EA">
              <w:rPr>
                <w:rFonts w:ascii="Times New Roman" w:eastAsia="Calibri" w:hAnsi="Times New Roman" w:cs="Times New Roman"/>
                <w:color w:val="000000"/>
                <w:lang w:val="en-GB" w:eastAsia="en-GB"/>
              </w:rPr>
              <w:t>Cel</w:t>
            </w:r>
            <w:proofErr w:type="spellEnd"/>
            <w:r w:rsidRPr="009779EA">
              <w:rPr>
                <w:rFonts w:ascii="Times New Roman" w:eastAsia="Calibri" w:hAnsi="Times New Roman" w:cs="Times New Roman"/>
                <w:color w:val="000000"/>
                <w:lang w:val="en-GB" w:eastAsia="en-GB"/>
              </w:rPr>
              <w:t>: 4324</w:t>
            </w:r>
          </w:p>
        </w:tc>
        <w:tc>
          <w:tcPr>
            <w:tcW w:w="2020" w:type="pct"/>
          </w:tcPr>
          <w:p w14:paraId="77F24D06"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eastAsia="en-GB"/>
              </w:rPr>
            </w:pPr>
            <w:r w:rsidRPr="009779EA">
              <w:rPr>
                <w:rFonts w:ascii="Times New Roman" w:eastAsia="Calibri" w:hAnsi="Times New Roman" w:cs="Times New Roman"/>
                <w:color w:val="000000"/>
                <w:lang w:eastAsia="en-GB"/>
              </w:rPr>
              <w:t>A3L</w:t>
            </w:r>
          </w:p>
          <w:p w14:paraId="2581D3EB" w14:textId="77777777" w:rsidR="009779EA" w:rsidRPr="009779EA" w:rsidRDefault="009779EA" w:rsidP="009779EA">
            <w:pPr>
              <w:autoSpaceDE w:val="0"/>
              <w:autoSpaceDN w:val="0"/>
              <w:adjustRightInd w:val="0"/>
              <w:spacing w:after="120" w:line="240" w:lineRule="auto"/>
              <w:rPr>
                <w:rFonts w:ascii="Times New Roman" w:eastAsia="Calibri" w:hAnsi="Times New Roman" w:cs="Times New Roman"/>
                <w:color w:val="000000"/>
                <w:lang w:eastAsia="en-GB"/>
              </w:rPr>
            </w:pPr>
            <w:r w:rsidRPr="009779EA">
              <w:rPr>
                <w:rFonts w:ascii="Times New Roman" w:eastAsia="Calibri" w:hAnsi="Times New Roman" w:cs="Times New Roman"/>
                <w:color w:val="000000"/>
                <w:lang w:eastAsia="en-GB"/>
              </w:rPr>
              <w:t>Liczba podpisanych umów dotyczących projektów instytucji kultury, organizacji pozarządowych, MŚP i mikroprzedsiębiorstw działających w sektorze kultury i sektorze kreatywnym</w:t>
            </w:r>
          </w:p>
          <w:p w14:paraId="00ABB837" w14:textId="77777777" w:rsidR="009779EA" w:rsidRPr="009779EA" w:rsidRDefault="009779EA" w:rsidP="009779EA">
            <w:pPr>
              <w:spacing w:after="120" w:line="240" w:lineRule="auto"/>
              <w:rPr>
                <w:rFonts w:ascii="Times New Roman" w:hAnsi="Times New Roman" w:cs="Times New Roman"/>
                <w:lang w:val="en-US"/>
              </w:rPr>
            </w:pPr>
            <w:r w:rsidRPr="009779EA">
              <w:rPr>
                <w:rFonts w:ascii="Times New Roman" w:hAnsi="Times New Roman" w:cs="Times New Roman"/>
              </w:rPr>
              <w:t xml:space="preserve">Cel: </w:t>
            </w:r>
            <w:r w:rsidRPr="009779EA">
              <w:rPr>
                <w:rFonts w:ascii="Times New Roman" w:hAnsi="Times New Roman" w:cs="Times New Roman"/>
                <w:color w:val="FF0000"/>
              </w:rPr>
              <w:t xml:space="preserve">2876 </w:t>
            </w:r>
          </w:p>
        </w:tc>
      </w:tr>
      <w:tr w:rsidR="009779EA" w:rsidRPr="009779EA" w14:paraId="47D8D453" w14:textId="77777777" w:rsidTr="00144E7D">
        <w:tc>
          <w:tcPr>
            <w:tcW w:w="1098" w:type="pct"/>
          </w:tcPr>
          <w:p w14:paraId="5C891F5E"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Uzasadnienie</w:t>
            </w:r>
          </w:p>
        </w:tc>
        <w:tc>
          <w:tcPr>
            <w:tcW w:w="3902" w:type="pct"/>
            <w:gridSpan w:val="2"/>
          </w:tcPr>
          <w:p w14:paraId="13854F8A" w14:textId="77777777" w:rsidR="009779EA" w:rsidRPr="009779EA" w:rsidRDefault="009779EA" w:rsidP="00C40440">
            <w:pPr>
              <w:spacing w:after="120" w:line="240" w:lineRule="auto"/>
              <w:rPr>
                <w:rFonts w:ascii="Times New Roman" w:hAnsi="Times New Roman" w:cs="Times New Roman"/>
              </w:rPr>
            </w:pPr>
            <w:r w:rsidRPr="009779EA">
              <w:rPr>
                <w:rFonts w:ascii="Times New Roman" w:hAnsi="Times New Roman" w:cs="Times New Roman"/>
              </w:rPr>
              <w:t xml:space="preserve">Zmiana wartości wskaźnika wynika ze zmiany metodologii wyliczania kosztu jednostkowego poprzedzonej analizą adresatów i celu „Programu wspierania działalności podmiotów sektora kultury i przemysłów kreatywnych”. </w:t>
            </w:r>
          </w:p>
          <w:p w14:paraId="7C49144E" w14:textId="77777777" w:rsidR="009779EA" w:rsidRPr="009779EA" w:rsidRDefault="009779EA" w:rsidP="00C40440">
            <w:pPr>
              <w:spacing w:after="120" w:line="240" w:lineRule="auto"/>
              <w:rPr>
                <w:rFonts w:ascii="Times New Roman" w:hAnsi="Times New Roman" w:cs="Times New Roman"/>
              </w:rPr>
            </w:pPr>
            <w:r w:rsidRPr="009779EA">
              <w:rPr>
                <w:rFonts w:ascii="Times New Roman" w:hAnsi="Times New Roman" w:cs="Times New Roman"/>
              </w:rPr>
              <w:t xml:space="preserve">W metodologii wyliczenia kosztu jednostkowego grantu, na podstawie którego określono wysokość wskaźnika A3L uwzględniono zarówno Programy Ministra (tak jak dotychczas), jak i dotacje celowe dla państwowych instytucji kultury oraz instytucji współprowadzonych przez </w:t>
            </w:r>
            <w:proofErr w:type="spellStart"/>
            <w:r w:rsidRPr="009779EA">
              <w:rPr>
                <w:rFonts w:ascii="Times New Roman" w:hAnsi="Times New Roman" w:cs="Times New Roman"/>
              </w:rPr>
              <w:t>MKiDN</w:t>
            </w:r>
            <w:proofErr w:type="spellEnd"/>
            <w:r w:rsidRPr="009779EA">
              <w:rPr>
                <w:rFonts w:ascii="Times New Roman" w:hAnsi="Times New Roman" w:cs="Times New Roman"/>
              </w:rPr>
              <w:t xml:space="preserve">. Dotychczas, do wyliczania wskaźników brano pod uwagę tylko instytucje lokalne i lokalne , bez uwzględnienia instytucji o oddziaływaniu ponadregionalnym i NGO, które mierzą się z tymi samymi problemami co lokalne, ale ze względu na swój potencjał i zasięg oddziaływania realizują projekty o wyższym budżecie. </w:t>
            </w:r>
          </w:p>
          <w:p w14:paraId="1A9CF6DD" w14:textId="77777777" w:rsidR="009779EA" w:rsidRPr="009779EA" w:rsidRDefault="009779EA" w:rsidP="00C40440">
            <w:pPr>
              <w:spacing w:after="120" w:line="240" w:lineRule="auto"/>
              <w:rPr>
                <w:rFonts w:ascii="Times New Roman" w:hAnsi="Times New Roman" w:cs="Times New Roman"/>
                <w:b/>
              </w:rPr>
            </w:pPr>
            <w:r w:rsidRPr="009779EA">
              <w:rPr>
                <w:rFonts w:ascii="Times New Roman" w:hAnsi="Times New Roman" w:cs="Times New Roman"/>
              </w:rPr>
              <w:t xml:space="preserve">Nie uwzględniano dotacji celowych z budżetu państwa udzielanych instytucjom kultury, których koszt jednostawkowy znacznie przewyższa koszt jednostkowy wsparcia udzielanego w Programach Ministra.  Obniżono w ten sposób kwotę przeznaczoną na jedno przedsięwzięcie. W efekcie wysokość wsparcia znacząco odbiega od kwot przeznaczanych na wydarzenia </w:t>
            </w:r>
            <w:r w:rsidRPr="009779EA">
              <w:rPr>
                <w:rFonts w:ascii="Times New Roman" w:hAnsi="Times New Roman" w:cs="Times New Roman"/>
              </w:rPr>
              <w:lastRenderedPageBreak/>
              <w:t>realizowane przez duże instytucje kultury stanowiące jedną z grup docelowych inwestycji.</w:t>
            </w:r>
            <w:r w:rsidRPr="009779EA">
              <w:rPr>
                <w:rFonts w:ascii="Times New Roman" w:hAnsi="Times New Roman" w:cs="Times New Roman"/>
                <w:b/>
              </w:rPr>
              <w:t xml:space="preserve"> </w:t>
            </w:r>
          </w:p>
          <w:p w14:paraId="774731DF" w14:textId="5AC8C11C" w:rsidR="00CB710A" w:rsidRDefault="009779EA" w:rsidP="00C40440">
            <w:pPr>
              <w:spacing w:after="120" w:line="240" w:lineRule="auto"/>
              <w:rPr>
                <w:rFonts w:ascii="Times New Roman" w:hAnsi="Times New Roman" w:cs="Times New Roman"/>
              </w:rPr>
            </w:pPr>
            <w:r w:rsidRPr="009779EA">
              <w:rPr>
                <w:rFonts w:ascii="Times New Roman" w:hAnsi="Times New Roman" w:cs="Times New Roman"/>
              </w:rPr>
              <w:t xml:space="preserve">Obecnie koszt jednostawkowy jednego grantu wyliczony na podstawie Programów Ministra przy zastosowaniu kursu </w:t>
            </w:r>
            <w:r w:rsidR="00CA3662">
              <w:rPr>
                <w:rFonts w:ascii="Times New Roman" w:hAnsi="Times New Roman" w:cs="Times New Roman"/>
              </w:rPr>
              <w:t>e</w:t>
            </w:r>
            <w:r w:rsidRPr="009779EA">
              <w:rPr>
                <w:rFonts w:ascii="Times New Roman" w:hAnsi="Times New Roman" w:cs="Times New Roman"/>
              </w:rPr>
              <w:t xml:space="preserve">uro  4,4673 zł wynosi  </w:t>
            </w:r>
            <w:r w:rsidRPr="009779EA">
              <w:rPr>
                <w:rFonts w:ascii="Times New Roman" w:hAnsi="Times New Roman" w:cs="Times New Roman"/>
                <w:bCs/>
              </w:rPr>
              <w:t>86.370,55 zł. Po zmianie średni koszt jednostkowy wzrośnie do 261 666,66 zł</w:t>
            </w:r>
          </w:p>
          <w:p w14:paraId="1B1D0194" w14:textId="52147E89" w:rsidR="009779EA" w:rsidRPr="009779EA" w:rsidRDefault="009779EA" w:rsidP="00C40440">
            <w:pPr>
              <w:spacing w:after="120" w:line="240" w:lineRule="auto"/>
              <w:rPr>
                <w:rFonts w:ascii="Times New Roman" w:hAnsi="Times New Roman" w:cs="Times New Roman"/>
              </w:rPr>
            </w:pPr>
            <w:r w:rsidRPr="009779EA">
              <w:rPr>
                <w:rFonts w:ascii="Times New Roman" w:hAnsi="Times New Roman" w:cs="Times New Roman"/>
              </w:rPr>
              <w:t>Uzasadnienie dla zmiany technicznej dotyczącej daty realizacji inwestycji:</w:t>
            </w:r>
          </w:p>
          <w:p w14:paraId="42D25C5D" w14:textId="77777777" w:rsidR="009779EA" w:rsidRPr="009779EA" w:rsidRDefault="009779EA" w:rsidP="00C40440">
            <w:pPr>
              <w:spacing w:after="120" w:line="240" w:lineRule="auto"/>
              <w:rPr>
                <w:rFonts w:ascii="Times New Roman" w:hAnsi="Times New Roman" w:cs="Times New Roman"/>
              </w:rPr>
            </w:pPr>
            <w:r w:rsidRPr="009779EA">
              <w:rPr>
                <w:rFonts w:ascii="Times New Roman" w:hAnsi="Times New Roman" w:cs="Times New Roman"/>
              </w:rPr>
              <w:t>W załączniku do decyzji wykonawczej Rady zmieniającej decyzję wykonawczą z dnia 17 czerwca 2022 r. w sprawie zatwierdzenia oceny planu odbudowy i zwiększania odporności Polski w części opisowej pozostał termin realizacji inwestycji A.2.5.1. – 31 grudzień 2024 r. – do zmiany na 31 grudnia 2025 r.</w:t>
            </w:r>
          </w:p>
          <w:p w14:paraId="1B2E2E35" w14:textId="77777777" w:rsidR="009779EA" w:rsidRPr="009779EA" w:rsidRDefault="009779EA" w:rsidP="00C40440">
            <w:pPr>
              <w:spacing w:after="120" w:line="240" w:lineRule="auto"/>
              <w:rPr>
                <w:rFonts w:ascii="Times New Roman" w:hAnsi="Times New Roman" w:cs="Times New Roman"/>
              </w:rPr>
            </w:pPr>
            <w:r w:rsidRPr="009779EA">
              <w:rPr>
                <w:rFonts w:ascii="Times New Roman" w:hAnsi="Times New Roman" w:cs="Times New Roman"/>
              </w:rPr>
              <w:t>W załączniku do decyzji wykonawczej Rady zmieniającej decyzję wykonawczą z dnia 17  czerwca 2022 r. w sprawie zatwierdzenia oceny planu odbudowy i zwiększania odporności Polski (rewizja z grudnia 2023 r.)  wskazano jako termin  wykonania wskaźników A3L i A4L - Q42025.</w:t>
            </w:r>
          </w:p>
          <w:p w14:paraId="55AF7999" w14:textId="62A52EB4" w:rsidR="00CB710A" w:rsidRPr="009779EA" w:rsidRDefault="009779EA" w:rsidP="00C40440">
            <w:pPr>
              <w:spacing w:before="240" w:after="120" w:line="240" w:lineRule="auto"/>
              <w:contextualSpacing/>
              <w:jc w:val="both"/>
              <w:rPr>
                <w:rFonts w:ascii="Times New Roman" w:eastAsia="Times New Roman" w:hAnsi="Times New Roman" w:cs="Times New Roman"/>
              </w:rPr>
            </w:pPr>
            <w:r w:rsidRPr="009779EA">
              <w:rPr>
                <w:rFonts w:ascii="Times New Roman" w:eastAsia="Times New Roman" w:hAnsi="Times New Roman" w:cs="Times New Roman"/>
              </w:rPr>
              <w:t xml:space="preserve">Natomiast w części opisowej pozostał termin realizacji inwestycji A.2.5.1. – 31 grudzień 2024 r. Należy zmienić tę datę na 31 grudnia 2025 r. Jest to wyłącznie zmiana techniczna. </w:t>
            </w:r>
          </w:p>
        </w:tc>
      </w:tr>
      <w:tr w:rsidR="009779EA" w:rsidRPr="009779EA" w14:paraId="09B93A65" w14:textId="77777777" w:rsidTr="00144E7D">
        <w:tc>
          <w:tcPr>
            <w:tcW w:w="1098" w:type="pct"/>
          </w:tcPr>
          <w:p w14:paraId="645643A6"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lastRenderedPageBreak/>
              <w:t>Szacowany koszt</w:t>
            </w:r>
          </w:p>
        </w:tc>
        <w:tc>
          <w:tcPr>
            <w:tcW w:w="3902" w:type="pct"/>
            <w:gridSpan w:val="2"/>
          </w:tcPr>
          <w:p w14:paraId="5C6E2CCA"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 xml:space="preserve">Zmiana nie ma wpływu na szacowany koszt </w:t>
            </w:r>
          </w:p>
        </w:tc>
      </w:tr>
      <w:tr w:rsidR="009779EA" w:rsidRPr="009779EA" w14:paraId="1C0CA011" w14:textId="77777777" w:rsidTr="00144E7D">
        <w:tc>
          <w:tcPr>
            <w:tcW w:w="1098" w:type="pct"/>
          </w:tcPr>
          <w:p w14:paraId="2201F595"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 xml:space="preserve">Cyfrowy i klimatyczny </w:t>
            </w:r>
            <w:proofErr w:type="spellStart"/>
            <w:r w:rsidRPr="009779EA">
              <w:rPr>
                <w:rFonts w:ascii="Times New Roman" w:hAnsi="Times New Roman" w:cs="Times New Roman"/>
              </w:rPr>
              <w:t>tagging</w:t>
            </w:r>
            <w:proofErr w:type="spellEnd"/>
            <w:r w:rsidRPr="009779EA">
              <w:rPr>
                <w:rFonts w:ascii="Times New Roman" w:hAnsi="Times New Roman" w:cs="Times New Roman"/>
              </w:rPr>
              <w:t xml:space="preserve"> </w:t>
            </w:r>
          </w:p>
        </w:tc>
        <w:tc>
          <w:tcPr>
            <w:tcW w:w="3902" w:type="pct"/>
            <w:gridSpan w:val="2"/>
          </w:tcPr>
          <w:p w14:paraId="40371425"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 xml:space="preserve">Zmiana nie ma wpływu na </w:t>
            </w:r>
            <w:proofErr w:type="spellStart"/>
            <w:r w:rsidRPr="009779EA">
              <w:rPr>
                <w:rFonts w:ascii="Times New Roman" w:hAnsi="Times New Roman" w:cs="Times New Roman"/>
              </w:rPr>
              <w:t>tagging</w:t>
            </w:r>
            <w:proofErr w:type="spellEnd"/>
            <w:r w:rsidRPr="009779EA">
              <w:rPr>
                <w:rFonts w:ascii="Times New Roman" w:hAnsi="Times New Roman" w:cs="Times New Roman"/>
              </w:rPr>
              <w:t xml:space="preserve"> klimatyczny i cyfrowy</w:t>
            </w:r>
          </w:p>
        </w:tc>
      </w:tr>
      <w:tr w:rsidR="009779EA" w:rsidRPr="009779EA" w14:paraId="175A4112" w14:textId="77777777" w:rsidTr="00144E7D">
        <w:tc>
          <w:tcPr>
            <w:tcW w:w="1098" w:type="pct"/>
            <w:tcBorders>
              <w:bottom w:val="single" w:sz="4" w:space="0" w:color="auto"/>
            </w:tcBorders>
          </w:tcPr>
          <w:p w14:paraId="2B6570BD"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 xml:space="preserve">Zasada DNSH </w:t>
            </w:r>
          </w:p>
        </w:tc>
        <w:tc>
          <w:tcPr>
            <w:tcW w:w="3902" w:type="pct"/>
            <w:gridSpan w:val="2"/>
            <w:tcBorders>
              <w:bottom w:val="single" w:sz="4" w:space="0" w:color="auto"/>
            </w:tcBorders>
          </w:tcPr>
          <w:p w14:paraId="6DA2BDDA"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Zmiana nie ma wpływu na DNSH</w:t>
            </w:r>
          </w:p>
        </w:tc>
      </w:tr>
      <w:tr w:rsidR="009779EA" w:rsidRPr="009779EA" w14:paraId="5050272B" w14:textId="77777777" w:rsidTr="00144E7D">
        <w:tc>
          <w:tcPr>
            <w:tcW w:w="1098" w:type="pct"/>
            <w:tcBorders>
              <w:bottom w:val="single" w:sz="4" w:space="0" w:color="auto"/>
            </w:tcBorders>
          </w:tcPr>
          <w:p w14:paraId="7C7F002A" w14:textId="77777777" w:rsidR="009779EA" w:rsidRPr="009779EA" w:rsidRDefault="009779EA" w:rsidP="009779EA">
            <w:pPr>
              <w:spacing w:after="120" w:line="240" w:lineRule="auto"/>
              <w:rPr>
                <w:rFonts w:ascii="Times New Roman" w:hAnsi="Times New Roman" w:cs="Times New Roman"/>
              </w:rPr>
            </w:pPr>
            <w:r w:rsidRPr="009779EA">
              <w:rPr>
                <w:rFonts w:ascii="Times New Roman" w:hAnsi="Times New Roman" w:cs="Times New Roman"/>
              </w:rPr>
              <w:t xml:space="preserve">Pomoc publiczna </w:t>
            </w:r>
          </w:p>
        </w:tc>
        <w:tc>
          <w:tcPr>
            <w:tcW w:w="3902" w:type="pct"/>
            <w:gridSpan w:val="2"/>
            <w:tcBorders>
              <w:bottom w:val="single" w:sz="4" w:space="0" w:color="auto"/>
            </w:tcBorders>
          </w:tcPr>
          <w:p w14:paraId="2F36470A" w14:textId="75FD9FEE" w:rsidR="009779EA" w:rsidRPr="009779EA" w:rsidRDefault="00C179A1" w:rsidP="009779EA">
            <w:pPr>
              <w:spacing w:after="120" w:line="240" w:lineRule="auto"/>
              <w:rPr>
                <w:rFonts w:ascii="Times New Roman" w:hAnsi="Times New Roman" w:cs="Times New Roman"/>
              </w:rPr>
            </w:pPr>
            <w:r>
              <w:rPr>
                <w:rFonts w:ascii="Times New Roman" w:hAnsi="Times New Roman" w:cs="Times New Roman"/>
              </w:rPr>
              <w:t>Nie dotyczy</w:t>
            </w:r>
          </w:p>
        </w:tc>
      </w:tr>
    </w:tbl>
    <w:p w14:paraId="2C431637" w14:textId="77777777" w:rsidR="009779EA" w:rsidRDefault="009779EA" w:rsidP="003733FD">
      <w:pPr>
        <w:spacing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3422"/>
        <w:gridCol w:w="3661"/>
      </w:tblGrid>
      <w:tr w:rsidR="00BC6A23" w:rsidRPr="00BC6A23" w14:paraId="50AFA995" w14:textId="77777777" w:rsidTr="00C40440">
        <w:tc>
          <w:tcPr>
            <w:tcW w:w="1092" w:type="pct"/>
          </w:tcPr>
          <w:p w14:paraId="2520DA40" w14:textId="77777777" w:rsidR="00BC6A23" w:rsidRPr="00BC6A23" w:rsidRDefault="00BC6A23" w:rsidP="00BC6A23">
            <w:pPr>
              <w:spacing w:after="120" w:line="240" w:lineRule="auto"/>
              <w:jc w:val="both"/>
              <w:rPr>
                <w:rFonts w:ascii="Times New Roman" w:eastAsia="Times New Roman" w:hAnsi="Times New Roman" w:cs="Times New Roman"/>
                <w:b/>
                <w:bCs/>
              </w:rPr>
            </w:pPr>
            <w:r w:rsidRPr="00BC6A23">
              <w:rPr>
                <w:rFonts w:ascii="Times New Roman" w:eastAsia="Times New Roman" w:hAnsi="Times New Roman" w:cs="Times New Roman"/>
                <w:b/>
                <w:bCs/>
              </w:rPr>
              <w:t>Numer inwestycji</w:t>
            </w:r>
          </w:p>
        </w:tc>
        <w:tc>
          <w:tcPr>
            <w:tcW w:w="3908" w:type="pct"/>
            <w:gridSpan w:val="2"/>
          </w:tcPr>
          <w:p w14:paraId="7861881D" w14:textId="1DED66EC" w:rsidR="00BC6A23" w:rsidRPr="00BC6A23" w:rsidRDefault="00BC6A23" w:rsidP="00BC6A23">
            <w:pPr>
              <w:autoSpaceDE w:val="0"/>
              <w:autoSpaceDN w:val="0"/>
              <w:adjustRightInd w:val="0"/>
              <w:spacing w:after="120" w:line="240" w:lineRule="auto"/>
              <w:rPr>
                <w:rFonts w:ascii="Times New Roman" w:eastAsia="Calibri" w:hAnsi="Times New Roman" w:cs="Times New Roman"/>
                <w:b/>
                <w:bCs/>
                <w:color w:val="000000"/>
                <w:lang w:val="en-GB" w:eastAsia="en-GB"/>
              </w:rPr>
            </w:pPr>
            <w:r w:rsidRPr="00BC6A23">
              <w:rPr>
                <w:rFonts w:ascii="Times New Roman" w:eastAsia="Calibri" w:hAnsi="Times New Roman" w:cs="Times New Roman"/>
                <w:b/>
                <w:bCs/>
                <w:color w:val="000000"/>
                <w:lang w:val="en-GB" w:eastAsia="en-GB"/>
              </w:rPr>
              <w:t>A2.6.1.</w:t>
            </w:r>
          </w:p>
        </w:tc>
      </w:tr>
      <w:tr w:rsidR="00BC6A23" w:rsidRPr="00BC6A23" w14:paraId="5166AC91" w14:textId="77777777" w:rsidTr="00C40440">
        <w:tc>
          <w:tcPr>
            <w:tcW w:w="1092" w:type="pct"/>
          </w:tcPr>
          <w:p w14:paraId="7E09AC71" w14:textId="77777777" w:rsidR="00BC6A23" w:rsidRPr="00BC6A23" w:rsidRDefault="00BC6A23" w:rsidP="00BC6A23">
            <w:pPr>
              <w:autoSpaceDE w:val="0"/>
              <w:autoSpaceDN w:val="0"/>
              <w:adjustRightInd w:val="0"/>
              <w:spacing w:after="120" w:line="240" w:lineRule="auto"/>
              <w:rPr>
                <w:rFonts w:ascii="Times New Roman" w:eastAsia="Calibri" w:hAnsi="Times New Roman" w:cs="Times New Roman"/>
                <w:b/>
                <w:bCs/>
                <w:color w:val="000000"/>
                <w:lang w:val="en-GB" w:eastAsia="en-GB"/>
              </w:rPr>
            </w:pPr>
            <w:proofErr w:type="spellStart"/>
            <w:r w:rsidRPr="00BC6A23">
              <w:rPr>
                <w:rFonts w:ascii="Times New Roman" w:eastAsia="Calibri" w:hAnsi="Times New Roman" w:cs="Times New Roman"/>
                <w:b/>
                <w:bCs/>
                <w:color w:val="000000"/>
                <w:lang w:val="en-GB" w:eastAsia="en-GB"/>
              </w:rPr>
              <w:t>Nazwa</w:t>
            </w:r>
            <w:proofErr w:type="spellEnd"/>
            <w:r w:rsidRPr="00BC6A23">
              <w:rPr>
                <w:rFonts w:ascii="Times New Roman" w:eastAsia="Calibri" w:hAnsi="Times New Roman" w:cs="Times New Roman"/>
                <w:b/>
                <w:bCs/>
                <w:color w:val="000000"/>
                <w:lang w:val="en-GB" w:eastAsia="en-GB"/>
              </w:rPr>
              <w:t xml:space="preserve"> </w:t>
            </w:r>
            <w:proofErr w:type="spellStart"/>
            <w:r w:rsidRPr="00BC6A23">
              <w:rPr>
                <w:rFonts w:ascii="Times New Roman" w:eastAsia="Calibri" w:hAnsi="Times New Roman" w:cs="Times New Roman"/>
                <w:b/>
                <w:bCs/>
                <w:color w:val="000000"/>
                <w:lang w:val="en-GB" w:eastAsia="en-GB"/>
              </w:rPr>
              <w:t>inwestycji</w:t>
            </w:r>
            <w:proofErr w:type="spellEnd"/>
            <w:r w:rsidRPr="00BC6A23">
              <w:rPr>
                <w:rFonts w:ascii="Times New Roman" w:eastAsia="Calibri" w:hAnsi="Times New Roman" w:cs="Times New Roman"/>
                <w:b/>
                <w:bCs/>
                <w:color w:val="000000"/>
                <w:lang w:val="en-GB" w:eastAsia="en-GB"/>
              </w:rPr>
              <w:t xml:space="preserve"> </w:t>
            </w:r>
          </w:p>
        </w:tc>
        <w:tc>
          <w:tcPr>
            <w:tcW w:w="3908" w:type="pct"/>
            <w:gridSpan w:val="2"/>
          </w:tcPr>
          <w:p w14:paraId="542959CB" w14:textId="77777777" w:rsidR="00BC6A23" w:rsidRPr="00BC6A23" w:rsidRDefault="00BC6A23" w:rsidP="00BC6A23">
            <w:pPr>
              <w:autoSpaceDE w:val="0"/>
              <w:autoSpaceDN w:val="0"/>
              <w:adjustRightInd w:val="0"/>
              <w:spacing w:after="120" w:line="240" w:lineRule="auto"/>
              <w:rPr>
                <w:rFonts w:ascii="Times New Roman" w:eastAsia="Calibri" w:hAnsi="Times New Roman" w:cs="Times New Roman"/>
                <w:b/>
                <w:bCs/>
                <w:color w:val="000000"/>
                <w:lang w:eastAsia="en-GB"/>
              </w:rPr>
            </w:pPr>
            <w:r w:rsidRPr="00BC6A23">
              <w:rPr>
                <w:rFonts w:ascii="Times New Roman" w:eastAsia="Calibri" w:hAnsi="Times New Roman" w:cs="Times New Roman"/>
                <w:b/>
                <w:bCs/>
                <w:color w:val="000000"/>
                <w:lang w:eastAsia="en-GB"/>
              </w:rPr>
              <w:t>Rozbudowa krajowego systemu serwisów monitoringowych, produktów, narzędzi analitycznych i usług oraz towarzyszącej infrastruktury wykorzystujących dane satelitarne</w:t>
            </w:r>
          </w:p>
        </w:tc>
      </w:tr>
      <w:tr w:rsidR="00BC6A23" w:rsidRPr="00BC6A23" w14:paraId="1F20A145" w14:textId="77777777" w:rsidTr="00C40440">
        <w:tc>
          <w:tcPr>
            <w:tcW w:w="1092" w:type="pct"/>
          </w:tcPr>
          <w:p w14:paraId="6AF71F20" w14:textId="77777777" w:rsidR="00BC6A23" w:rsidRPr="00BC6A23" w:rsidRDefault="00BC6A23" w:rsidP="00BC6A23">
            <w:pPr>
              <w:autoSpaceDE w:val="0"/>
              <w:autoSpaceDN w:val="0"/>
              <w:adjustRightInd w:val="0"/>
              <w:spacing w:after="120" w:line="240" w:lineRule="auto"/>
              <w:rPr>
                <w:rFonts w:ascii="Times New Roman" w:eastAsia="Calibri" w:hAnsi="Times New Roman" w:cs="Times New Roman"/>
                <w:color w:val="000000"/>
                <w:lang w:eastAsia="en-GB"/>
              </w:rPr>
            </w:pPr>
            <w:r w:rsidRPr="00BC6A23">
              <w:rPr>
                <w:rFonts w:ascii="Times New Roman" w:eastAsia="Calibri" w:hAnsi="Times New Roman" w:cs="Times New Roman"/>
                <w:color w:val="000000"/>
                <w:lang w:eastAsia="en-GB"/>
              </w:rPr>
              <w:t>Rodzaj wprowadzonej zmiany w odniesieniu do CID</w:t>
            </w:r>
          </w:p>
        </w:tc>
        <w:tc>
          <w:tcPr>
            <w:tcW w:w="3908" w:type="pct"/>
            <w:gridSpan w:val="2"/>
          </w:tcPr>
          <w:p w14:paraId="2571F069" w14:textId="37923025" w:rsidR="00BC6A23" w:rsidRPr="00BC6A23" w:rsidRDefault="00F361BA" w:rsidP="00BC6A23">
            <w:pPr>
              <w:autoSpaceDE w:val="0"/>
              <w:autoSpaceDN w:val="0"/>
              <w:adjustRightInd w:val="0"/>
              <w:spacing w:after="120" w:line="240" w:lineRule="auto"/>
              <w:rPr>
                <w:rFonts w:ascii="Times New Roman" w:eastAsia="Calibri" w:hAnsi="Times New Roman" w:cs="Times New Roman"/>
                <w:color w:val="000000"/>
                <w:lang w:eastAsia="en-GB"/>
              </w:rPr>
            </w:pPr>
            <w:r w:rsidRPr="00BC6A23">
              <w:rPr>
                <w:rFonts w:ascii="Times New Roman" w:eastAsia="Calibri" w:hAnsi="Times New Roman" w:cs="Times New Roman"/>
                <w:color w:val="000000"/>
                <w:lang w:eastAsia="en-GB"/>
              </w:rPr>
              <w:t>Zmniejszenie</w:t>
            </w:r>
            <w:r w:rsidR="00BC6A23" w:rsidRPr="00BC6A23">
              <w:rPr>
                <w:rFonts w:ascii="Times New Roman" w:eastAsia="Calibri" w:hAnsi="Times New Roman" w:cs="Times New Roman"/>
                <w:color w:val="000000"/>
                <w:lang w:eastAsia="en-GB"/>
              </w:rPr>
              <w:t xml:space="preserve"> o 26 mln euro alokacji na realizację wskaźnika A8L w zakresie Narodowego Systemu Informacji Satelitarnej (NSIS).</w:t>
            </w:r>
          </w:p>
        </w:tc>
      </w:tr>
      <w:tr w:rsidR="00BC6A23" w:rsidRPr="00BC6A23" w14:paraId="3B20762B" w14:textId="77777777" w:rsidTr="00C40440">
        <w:tc>
          <w:tcPr>
            <w:tcW w:w="1092" w:type="pct"/>
            <w:shd w:val="clear" w:color="auto" w:fill="FFFFFF"/>
          </w:tcPr>
          <w:p w14:paraId="41D7A597" w14:textId="77777777" w:rsidR="00BC6A23" w:rsidRPr="00BC6A23" w:rsidRDefault="00BC6A23" w:rsidP="00BC6A23">
            <w:pPr>
              <w:autoSpaceDE w:val="0"/>
              <w:autoSpaceDN w:val="0"/>
              <w:adjustRightInd w:val="0"/>
              <w:spacing w:after="120" w:line="240" w:lineRule="auto"/>
              <w:rPr>
                <w:rFonts w:ascii="Times New Roman" w:eastAsia="Calibri" w:hAnsi="Times New Roman" w:cs="Times New Roman"/>
                <w:color w:val="000000"/>
                <w:lang w:val="en-GB" w:eastAsia="en-GB"/>
              </w:rPr>
            </w:pPr>
            <w:proofErr w:type="spellStart"/>
            <w:r w:rsidRPr="00BC6A23">
              <w:rPr>
                <w:rFonts w:ascii="Times New Roman" w:eastAsia="Calibri" w:hAnsi="Times New Roman" w:cs="Times New Roman"/>
                <w:color w:val="000000"/>
                <w:lang w:val="en-GB" w:eastAsia="en-GB"/>
              </w:rPr>
              <w:t>Podstawa</w:t>
            </w:r>
            <w:proofErr w:type="spellEnd"/>
            <w:r w:rsidRPr="00BC6A23">
              <w:rPr>
                <w:rFonts w:ascii="Times New Roman" w:eastAsia="Calibri" w:hAnsi="Times New Roman" w:cs="Times New Roman"/>
                <w:color w:val="000000"/>
                <w:lang w:val="en-GB" w:eastAsia="en-GB"/>
              </w:rPr>
              <w:t xml:space="preserve"> </w:t>
            </w:r>
            <w:proofErr w:type="spellStart"/>
            <w:r w:rsidRPr="00BC6A23">
              <w:rPr>
                <w:rFonts w:ascii="Times New Roman" w:eastAsia="Calibri" w:hAnsi="Times New Roman" w:cs="Times New Roman"/>
                <w:color w:val="000000"/>
                <w:lang w:val="en-GB" w:eastAsia="en-GB"/>
              </w:rPr>
              <w:t>prawna</w:t>
            </w:r>
            <w:proofErr w:type="spellEnd"/>
            <w:r w:rsidRPr="00BC6A23">
              <w:rPr>
                <w:rFonts w:ascii="Times New Roman" w:eastAsia="Calibri" w:hAnsi="Times New Roman" w:cs="Times New Roman"/>
                <w:color w:val="000000"/>
                <w:lang w:val="en-GB" w:eastAsia="en-GB"/>
              </w:rPr>
              <w:t xml:space="preserve"> </w:t>
            </w:r>
            <w:proofErr w:type="spellStart"/>
            <w:r w:rsidRPr="00BC6A23">
              <w:rPr>
                <w:rFonts w:ascii="Times New Roman" w:eastAsia="Calibri" w:hAnsi="Times New Roman" w:cs="Times New Roman"/>
                <w:color w:val="000000"/>
                <w:lang w:val="en-GB" w:eastAsia="en-GB"/>
              </w:rPr>
              <w:t>zmiany</w:t>
            </w:r>
            <w:proofErr w:type="spellEnd"/>
          </w:p>
        </w:tc>
        <w:tc>
          <w:tcPr>
            <w:tcW w:w="3908" w:type="pct"/>
            <w:gridSpan w:val="2"/>
            <w:shd w:val="clear" w:color="auto" w:fill="FFFFFF"/>
          </w:tcPr>
          <w:p w14:paraId="08F85D50" w14:textId="7E4DCF0F" w:rsidR="00BC6A23" w:rsidRPr="00BC6A23" w:rsidRDefault="00CA3662" w:rsidP="00BC6A23">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a</w:t>
            </w:r>
            <w:r w:rsidR="00BC6A23" w:rsidRPr="00BC6A23">
              <w:rPr>
                <w:rFonts w:ascii="Times New Roman" w:eastAsia="Times New Roman" w:hAnsi="Times New Roman" w:cs="Times New Roman"/>
              </w:rPr>
              <w:t xml:space="preserve">rt. 21 rozporządzenia Parlamentu Europejskiego i Rady (UE) 2021/241 z dnia 12 lutego 2021 r. ustanawiającego Instrument na rzecz Odbudowy i Zwiększania Odporności </w:t>
            </w:r>
          </w:p>
        </w:tc>
      </w:tr>
      <w:tr w:rsidR="00BC6A23" w:rsidRPr="00BC6A23" w14:paraId="32B832C2" w14:textId="77777777" w:rsidTr="00C40440">
        <w:trPr>
          <w:trHeight w:val="541"/>
        </w:trPr>
        <w:tc>
          <w:tcPr>
            <w:tcW w:w="1092" w:type="pct"/>
            <w:shd w:val="clear" w:color="auto" w:fill="D9D9D9"/>
          </w:tcPr>
          <w:p w14:paraId="67621A9F" w14:textId="77777777" w:rsidR="00BC6A23" w:rsidRPr="00BC6A23" w:rsidRDefault="00BC6A23" w:rsidP="00BC6A23">
            <w:pPr>
              <w:spacing w:after="120" w:line="240" w:lineRule="auto"/>
              <w:jc w:val="both"/>
              <w:rPr>
                <w:rFonts w:ascii="Times New Roman" w:eastAsia="Times New Roman" w:hAnsi="Times New Roman" w:cs="Times New Roman"/>
                <w:highlight w:val="lightGray"/>
              </w:rPr>
            </w:pPr>
            <w:r w:rsidRPr="00BC6A23">
              <w:rPr>
                <w:rFonts w:ascii="Times New Roman" w:eastAsia="Times New Roman" w:hAnsi="Times New Roman" w:cs="Times New Roman"/>
                <w:highlight w:val="lightGray"/>
              </w:rPr>
              <w:t>Modyfikowany element</w:t>
            </w:r>
          </w:p>
        </w:tc>
        <w:tc>
          <w:tcPr>
            <w:tcW w:w="1888" w:type="pct"/>
            <w:shd w:val="clear" w:color="auto" w:fill="D9D9D9"/>
          </w:tcPr>
          <w:p w14:paraId="39A43F25" w14:textId="77777777" w:rsidR="00BC6A23" w:rsidRPr="00BC6A23" w:rsidRDefault="00BC6A23" w:rsidP="00BC6A23">
            <w:pPr>
              <w:spacing w:after="120" w:line="240" w:lineRule="auto"/>
              <w:jc w:val="center"/>
              <w:rPr>
                <w:rFonts w:ascii="Times New Roman" w:eastAsia="Times New Roman" w:hAnsi="Times New Roman" w:cs="Times New Roman"/>
                <w:highlight w:val="lightGray"/>
              </w:rPr>
            </w:pPr>
            <w:r w:rsidRPr="00BC6A23">
              <w:rPr>
                <w:rFonts w:ascii="Times New Roman" w:eastAsia="Times New Roman" w:hAnsi="Times New Roman" w:cs="Times New Roman"/>
                <w:highlight w:val="lightGray"/>
              </w:rPr>
              <w:t>Wersja aktualna</w:t>
            </w:r>
          </w:p>
        </w:tc>
        <w:tc>
          <w:tcPr>
            <w:tcW w:w="2020" w:type="pct"/>
            <w:shd w:val="clear" w:color="auto" w:fill="D9D9D9"/>
          </w:tcPr>
          <w:p w14:paraId="6D17522B" w14:textId="77777777" w:rsidR="00BC6A23" w:rsidRPr="00BC6A23" w:rsidRDefault="00BC6A23" w:rsidP="00BC6A23">
            <w:pPr>
              <w:spacing w:after="120" w:line="240" w:lineRule="auto"/>
              <w:jc w:val="center"/>
              <w:rPr>
                <w:rFonts w:ascii="Times New Roman" w:eastAsia="Times New Roman" w:hAnsi="Times New Roman" w:cs="Times New Roman"/>
                <w:highlight w:val="lightGray"/>
              </w:rPr>
            </w:pPr>
            <w:r w:rsidRPr="00BC6A23">
              <w:rPr>
                <w:rFonts w:ascii="Times New Roman" w:eastAsia="Times New Roman" w:hAnsi="Times New Roman" w:cs="Times New Roman"/>
                <w:highlight w:val="lightGray"/>
              </w:rPr>
              <w:t>Wersja zmieniona</w:t>
            </w:r>
          </w:p>
        </w:tc>
      </w:tr>
      <w:tr w:rsidR="00BC6A23" w:rsidRPr="00BC6A23" w14:paraId="31F42882" w14:textId="77777777" w:rsidTr="00C40440">
        <w:tc>
          <w:tcPr>
            <w:tcW w:w="1092" w:type="pct"/>
          </w:tcPr>
          <w:p w14:paraId="5F800F1F" w14:textId="77777777"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t>Opis kamienia milowego lub wskaźnika.</w:t>
            </w:r>
          </w:p>
        </w:tc>
        <w:tc>
          <w:tcPr>
            <w:tcW w:w="1888" w:type="pct"/>
          </w:tcPr>
          <w:p w14:paraId="4ED0FF83" w14:textId="77777777" w:rsidR="00BC6A23" w:rsidRPr="00BC6A23" w:rsidRDefault="00BC6A23" w:rsidP="00BC6A23">
            <w:pPr>
              <w:autoSpaceDE w:val="0"/>
              <w:autoSpaceDN w:val="0"/>
              <w:adjustRightInd w:val="0"/>
              <w:spacing w:after="120" w:line="240" w:lineRule="auto"/>
              <w:rPr>
                <w:rFonts w:ascii="Times New Roman" w:eastAsia="Calibri" w:hAnsi="Times New Roman" w:cs="Times New Roman"/>
                <w:color w:val="000000"/>
                <w:lang w:eastAsia="en-GB"/>
              </w:rPr>
            </w:pPr>
            <w:r w:rsidRPr="00BC6A23">
              <w:rPr>
                <w:rFonts w:ascii="Times New Roman" w:eastAsia="Calibri" w:hAnsi="Times New Roman" w:cs="Times New Roman"/>
                <w:color w:val="000000"/>
                <w:lang w:eastAsia="en-GB"/>
              </w:rPr>
              <w:t>A8L</w:t>
            </w:r>
          </w:p>
          <w:p w14:paraId="42E729F8" w14:textId="0A0D6791" w:rsidR="00BC6A23" w:rsidRDefault="0056498B" w:rsidP="00BC6A23">
            <w:pPr>
              <w:autoSpaceDE w:val="0"/>
              <w:autoSpaceDN w:val="0"/>
              <w:adjustRightInd w:val="0"/>
              <w:spacing w:after="120" w:line="240" w:lineRule="auto"/>
              <w:rPr>
                <w:rFonts w:ascii="Times New Roman" w:eastAsia="Calibri" w:hAnsi="Times New Roman" w:cs="Times New Roman"/>
                <w:color w:val="000000"/>
                <w:lang w:eastAsia="en-GB"/>
              </w:rPr>
            </w:pPr>
            <w:r w:rsidRPr="00BC6A23">
              <w:rPr>
                <w:rFonts w:ascii="Times New Roman" w:eastAsia="Calibri" w:hAnsi="Times New Roman" w:cs="Times New Roman"/>
                <w:color w:val="000000"/>
                <w:lang w:eastAsia="en-GB"/>
              </w:rPr>
              <w:t>Alokacja</w:t>
            </w:r>
            <w:r w:rsidR="00BC6A23" w:rsidRPr="00BC6A23">
              <w:rPr>
                <w:rFonts w:ascii="Times New Roman" w:eastAsia="Calibri" w:hAnsi="Times New Roman" w:cs="Times New Roman"/>
                <w:color w:val="000000"/>
                <w:lang w:eastAsia="en-GB"/>
              </w:rPr>
              <w:t xml:space="preserve"> </w:t>
            </w:r>
            <w:r>
              <w:rPr>
                <w:rFonts w:ascii="Times New Roman" w:eastAsia="Calibri" w:hAnsi="Times New Roman" w:cs="Times New Roman"/>
                <w:color w:val="000000"/>
                <w:lang w:eastAsia="en-GB"/>
              </w:rPr>
              <w:t xml:space="preserve">dla inwestycji A2.6.1: </w:t>
            </w:r>
            <w:r w:rsidR="00BC6A23" w:rsidRPr="00BC6A23">
              <w:rPr>
                <w:rFonts w:ascii="Times New Roman" w:eastAsia="Calibri" w:hAnsi="Times New Roman" w:cs="Times New Roman"/>
                <w:color w:val="000000"/>
                <w:lang w:eastAsia="en-GB"/>
              </w:rPr>
              <w:t>150 000 000 EUR</w:t>
            </w:r>
          </w:p>
          <w:p w14:paraId="55F58EEF" w14:textId="615849C3" w:rsidR="0056498B" w:rsidRPr="00BC6A23" w:rsidRDefault="0056498B" w:rsidP="00BC6A23">
            <w:pPr>
              <w:autoSpaceDE w:val="0"/>
              <w:autoSpaceDN w:val="0"/>
              <w:adjustRightInd w:val="0"/>
              <w:spacing w:after="120" w:line="240" w:lineRule="auto"/>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 xml:space="preserve">W tym dla wskaźnika A8L: </w:t>
            </w:r>
          </w:p>
          <w:p w14:paraId="3941DFB8" w14:textId="200DE966" w:rsidR="00BC6A23" w:rsidRPr="00BC6A23" w:rsidRDefault="0056498B" w:rsidP="00C40440">
            <w:pPr>
              <w:autoSpaceDE w:val="0"/>
              <w:autoSpaceDN w:val="0"/>
              <w:adjustRightInd w:val="0"/>
              <w:spacing w:after="120" w:line="240" w:lineRule="auto"/>
              <w:ind w:left="58"/>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41 800 000 EUR</w:t>
            </w:r>
          </w:p>
        </w:tc>
        <w:tc>
          <w:tcPr>
            <w:tcW w:w="2020" w:type="pct"/>
          </w:tcPr>
          <w:p w14:paraId="2F305A68" w14:textId="77777777" w:rsidR="00BC6A23" w:rsidRPr="00BC6A23" w:rsidRDefault="00BC6A23" w:rsidP="00BC6A23">
            <w:pPr>
              <w:autoSpaceDE w:val="0"/>
              <w:autoSpaceDN w:val="0"/>
              <w:adjustRightInd w:val="0"/>
              <w:spacing w:after="120" w:line="240" w:lineRule="auto"/>
              <w:rPr>
                <w:rFonts w:ascii="Times New Roman" w:eastAsia="Calibri" w:hAnsi="Times New Roman" w:cs="Times New Roman"/>
                <w:color w:val="000000"/>
                <w:lang w:eastAsia="en-GB"/>
              </w:rPr>
            </w:pPr>
            <w:r w:rsidRPr="00BC6A23">
              <w:rPr>
                <w:rFonts w:ascii="Times New Roman" w:eastAsia="Calibri" w:hAnsi="Times New Roman" w:cs="Times New Roman"/>
                <w:color w:val="000000"/>
                <w:lang w:eastAsia="en-GB"/>
              </w:rPr>
              <w:t>A8L</w:t>
            </w:r>
          </w:p>
          <w:p w14:paraId="6D0902F9" w14:textId="2BF4B09A" w:rsidR="00BC6A23" w:rsidRPr="00BC6A23" w:rsidRDefault="00BC6A23" w:rsidP="00BC6A23">
            <w:pPr>
              <w:autoSpaceDE w:val="0"/>
              <w:autoSpaceDN w:val="0"/>
              <w:adjustRightInd w:val="0"/>
              <w:spacing w:after="120" w:line="240" w:lineRule="auto"/>
              <w:rPr>
                <w:rFonts w:ascii="Times New Roman" w:eastAsia="Calibri" w:hAnsi="Times New Roman" w:cs="Times New Roman"/>
                <w:color w:val="000000"/>
                <w:lang w:eastAsia="en-GB"/>
              </w:rPr>
            </w:pPr>
            <w:r w:rsidRPr="00BC6A23">
              <w:rPr>
                <w:rFonts w:ascii="Times New Roman" w:eastAsia="Calibri" w:hAnsi="Times New Roman" w:cs="Times New Roman"/>
                <w:color w:val="000000"/>
                <w:lang w:eastAsia="en-GB"/>
              </w:rPr>
              <w:t xml:space="preserve">Alokacja </w:t>
            </w:r>
            <w:r w:rsidR="0056498B">
              <w:rPr>
                <w:rFonts w:ascii="Times New Roman" w:eastAsia="Calibri" w:hAnsi="Times New Roman" w:cs="Times New Roman"/>
                <w:color w:val="000000"/>
                <w:lang w:eastAsia="en-GB"/>
              </w:rPr>
              <w:t xml:space="preserve">dla inwestycji A2.6.1: </w:t>
            </w:r>
            <w:r w:rsidRPr="00BC6A23">
              <w:rPr>
                <w:rFonts w:ascii="Times New Roman" w:eastAsia="Calibri" w:hAnsi="Times New Roman" w:cs="Times New Roman"/>
                <w:color w:val="FF0000"/>
                <w:lang w:eastAsia="en-GB"/>
              </w:rPr>
              <w:t>124 000 000 EUR</w:t>
            </w:r>
          </w:p>
          <w:p w14:paraId="2AD3E630" w14:textId="77777777" w:rsidR="0056498B" w:rsidRPr="00BC6A23" w:rsidRDefault="0056498B" w:rsidP="0056498B">
            <w:pPr>
              <w:autoSpaceDE w:val="0"/>
              <w:autoSpaceDN w:val="0"/>
              <w:adjustRightInd w:val="0"/>
              <w:spacing w:after="120" w:line="240" w:lineRule="auto"/>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 xml:space="preserve">W tym dla wskaźnika A8L: </w:t>
            </w:r>
          </w:p>
          <w:p w14:paraId="0DC3F755" w14:textId="01585A9A" w:rsidR="00BC6A23" w:rsidRPr="00BC6A23" w:rsidRDefault="0056498B" w:rsidP="00BC6A23">
            <w:pPr>
              <w:autoSpaceDE w:val="0"/>
              <w:autoSpaceDN w:val="0"/>
              <w:adjustRightInd w:val="0"/>
              <w:spacing w:after="120" w:line="240" w:lineRule="auto"/>
              <w:ind w:left="226" w:hanging="226"/>
              <w:rPr>
                <w:rFonts w:ascii="Times New Roman" w:eastAsia="Calibri" w:hAnsi="Times New Roman" w:cs="Times New Roman"/>
                <w:color w:val="000000"/>
                <w:lang w:eastAsia="en-GB"/>
              </w:rPr>
            </w:pPr>
            <w:r w:rsidRPr="00C40440">
              <w:rPr>
                <w:rFonts w:ascii="Times New Roman" w:eastAsia="Calibri" w:hAnsi="Times New Roman" w:cs="Times New Roman"/>
                <w:color w:val="FF0000"/>
                <w:lang w:eastAsia="en-GB"/>
              </w:rPr>
              <w:t>15 800 000 EUR</w:t>
            </w:r>
          </w:p>
        </w:tc>
      </w:tr>
      <w:tr w:rsidR="00BC6A23" w:rsidRPr="00BC6A23" w14:paraId="147E44C0" w14:textId="77777777" w:rsidTr="00C40440">
        <w:tc>
          <w:tcPr>
            <w:tcW w:w="1092" w:type="pct"/>
          </w:tcPr>
          <w:p w14:paraId="7EC2D8A4" w14:textId="77777777"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t>Uzasadnienie</w:t>
            </w:r>
          </w:p>
        </w:tc>
        <w:tc>
          <w:tcPr>
            <w:tcW w:w="3908" w:type="pct"/>
            <w:gridSpan w:val="2"/>
          </w:tcPr>
          <w:p w14:paraId="13FE0E7B" w14:textId="77777777" w:rsidR="00BC6A23" w:rsidRPr="00BC6A23" w:rsidRDefault="00BC6A23" w:rsidP="00BC6A23">
            <w:pPr>
              <w:autoSpaceDE w:val="0"/>
              <w:autoSpaceDN w:val="0"/>
              <w:spacing w:after="0" w:line="240" w:lineRule="auto"/>
              <w:jc w:val="both"/>
              <w:rPr>
                <w:rFonts w:ascii="Times New Roman" w:eastAsia="Calibri" w:hAnsi="Times New Roman" w:cs="Times New Roman"/>
                <w:color w:val="000000"/>
                <w:lang w:eastAsia="en-GB"/>
              </w:rPr>
            </w:pPr>
            <w:r w:rsidRPr="00BC6A23">
              <w:rPr>
                <w:rFonts w:ascii="Times New Roman" w:eastAsia="Calibri" w:hAnsi="Times New Roman" w:cs="Times New Roman"/>
                <w:color w:val="000000"/>
                <w:lang w:eastAsia="en-GB"/>
              </w:rPr>
              <w:t xml:space="preserve">Kwota 15,8 mln euro jest wystarczająca na zrealizowanie wskaźnika </w:t>
            </w:r>
            <w:r w:rsidRPr="00BC6A23">
              <w:rPr>
                <w:rFonts w:ascii="Times New Roman" w:eastAsia="Calibri" w:hAnsi="Times New Roman" w:cs="Times New Roman"/>
                <w:b/>
                <w:bCs/>
                <w:color w:val="000000"/>
                <w:lang w:eastAsia="en-GB"/>
              </w:rPr>
              <w:t>A8L</w:t>
            </w:r>
            <w:r w:rsidRPr="00BC6A23">
              <w:rPr>
                <w:rFonts w:ascii="Times New Roman" w:eastAsia="Calibri" w:hAnsi="Times New Roman" w:cs="Times New Roman"/>
                <w:color w:val="000000"/>
                <w:lang w:eastAsia="en-GB"/>
              </w:rPr>
              <w:t xml:space="preserve">  </w:t>
            </w:r>
            <w:r w:rsidRPr="00BC6A23">
              <w:rPr>
                <w:rFonts w:ascii="Times New Roman" w:eastAsia="Calibri" w:hAnsi="Times New Roman" w:cs="Times New Roman"/>
                <w:i/>
                <w:iCs/>
                <w:color w:val="000000"/>
                <w:lang w:eastAsia="zh-CN"/>
              </w:rPr>
              <w:t xml:space="preserve">Rozwój niezbędnej infrastruktury: Narodowy System Informacji Satelitarnej, który będzie świadczyć usługi monitoringu z wykorzystaniem danych z </w:t>
            </w:r>
            <w:r w:rsidRPr="00BC6A23">
              <w:rPr>
                <w:rFonts w:ascii="Times New Roman" w:eastAsia="Calibri" w:hAnsi="Times New Roman" w:cs="Times New Roman"/>
                <w:i/>
                <w:iCs/>
                <w:color w:val="000000"/>
                <w:lang w:eastAsia="zh-CN"/>
              </w:rPr>
              <w:lastRenderedPageBreak/>
              <w:t>satelitarnych obserwacji</w:t>
            </w:r>
            <w:r w:rsidRPr="00BC6A23">
              <w:rPr>
                <w:rFonts w:ascii="Times New Roman" w:eastAsia="Calibri" w:hAnsi="Times New Roman" w:cs="Times New Roman"/>
                <w:color w:val="000000"/>
                <w:lang w:eastAsia="zh-CN"/>
              </w:rPr>
              <w:t xml:space="preserve"> </w:t>
            </w:r>
            <w:r w:rsidRPr="00BC6A23">
              <w:rPr>
                <w:rFonts w:ascii="Times New Roman" w:eastAsia="Calibri" w:hAnsi="Times New Roman" w:cs="Times New Roman"/>
                <w:i/>
                <w:iCs/>
                <w:color w:val="000000"/>
                <w:lang w:eastAsia="zh-CN"/>
              </w:rPr>
              <w:t>Ziemi (EO)”</w:t>
            </w:r>
            <w:r w:rsidRPr="00BC6A23">
              <w:rPr>
                <w:rFonts w:ascii="Times New Roman" w:eastAsia="Calibri" w:hAnsi="Times New Roman" w:cs="Times New Roman"/>
                <w:color w:val="000000"/>
                <w:lang w:eastAsia="zh-CN"/>
              </w:rPr>
              <w:t>.</w:t>
            </w:r>
            <w:r w:rsidRPr="00BC6A23">
              <w:rPr>
                <w:rFonts w:ascii="Times New Roman" w:eastAsia="Calibri" w:hAnsi="Times New Roman" w:cs="Times New Roman"/>
                <w:color w:val="000000"/>
                <w:lang w:eastAsia="en-GB"/>
              </w:rPr>
              <w:t xml:space="preserve"> Zgodnie z opisem zawartym w CID realizacja wskaźnika polega na „</w:t>
            </w:r>
            <w:r w:rsidRPr="00BC6A23">
              <w:rPr>
                <w:rFonts w:ascii="Times New Roman" w:eastAsia="Calibri" w:hAnsi="Times New Roman" w:cs="Times New Roman"/>
                <w:i/>
                <w:iCs/>
                <w:color w:val="000000"/>
                <w:lang w:eastAsia="en-GB"/>
              </w:rPr>
              <w:t xml:space="preserve">uruchomieniu wstępnych usług we współpracy z użytkownikami </w:t>
            </w:r>
            <w:r w:rsidRPr="00BC6A23">
              <w:rPr>
                <w:rFonts w:ascii="Times New Roman" w:eastAsia="Calibri" w:hAnsi="Times New Roman" w:cs="Times New Roman"/>
                <w:b/>
                <w:bCs/>
                <w:i/>
                <w:iCs/>
                <w:color w:val="000000"/>
                <w:lang w:eastAsia="en-GB"/>
              </w:rPr>
              <w:t>w dwóch obszarach zastosowań</w:t>
            </w:r>
            <w:r w:rsidRPr="00BC6A23">
              <w:rPr>
                <w:rFonts w:ascii="Times New Roman" w:eastAsia="Calibri" w:hAnsi="Times New Roman" w:cs="Times New Roman"/>
                <w:i/>
                <w:iCs/>
                <w:color w:val="000000"/>
                <w:lang w:eastAsia="en-GB"/>
              </w:rPr>
              <w:t xml:space="preserve"> Elektronicznego Przechwytywania Danych (EDC) o dużym znaczeniu dla gospodarki i bezpieczeństwa Polski, wybranych spośród następujących obszarów: gospodarka przestrzenna, zarządzanie kryzysowe, rolnictwo i leśnictwo, gospodarka wodna, monitoring środowisko bałtyckie”</w:t>
            </w:r>
            <w:r w:rsidRPr="00BC6A23">
              <w:rPr>
                <w:rFonts w:ascii="Times New Roman" w:eastAsia="Calibri" w:hAnsi="Times New Roman" w:cs="Times New Roman"/>
                <w:color w:val="000000"/>
                <w:lang w:eastAsia="en-GB"/>
              </w:rPr>
              <w:t>.</w:t>
            </w:r>
          </w:p>
        </w:tc>
      </w:tr>
      <w:tr w:rsidR="00BC6A23" w:rsidRPr="00BC6A23" w14:paraId="3863FE77" w14:textId="77777777" w:rsidTr="00C40440">
        <w:tc>
          <w:tcPr>
            <w:tcW w:w="1092" w:type="pct"/>
          </w:tcPr>
          <w:p w14:paraId="4B2038D7" w14:textId="77777777"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lastRenderedPageBreak/>
              <w:t>Szacowany koszt</w:t>
            </w:r>
          </w:p>
        </w:tc>
        <w:tc>
          <w:tcPr>
            <w:tcW w:w="3908" w:type="pct"/>
            <w:gridSpan w:val="2"/>
          </w:tcPr>
          <w:p w14:paraId="2E3167B3" w14:textId="77777777"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t>Obniżenie kwoty finansowania z 150 mln EUR na 124 mln EUR (obniżenie o 26 mln EUR)</w:t>
            </w:r>
          </w:p>
        </w:tc>
      </w:tr>
      <w:tr w:rsidR="00BC6A23" w:rsidRPr="00BC6A23" w14:paraId="58B2EE59" w14:textId="77777777" w:rsidTr="00C40440">
        <w:tc>
          <w:tcPr>
            <w:tcW w:w="1092" w:type="pct"/>
          </w:tcPr>
          <w:p w14:paraId="6F25FD29" w14:textId="77777777"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t xml:space="preserve">Cyfrowy i klimatyczny </w:t>
            </w:r>
            <w:proofErr w:type="spellStart"/>
            <w:r w:rsidRPr="00BC6A23">
              <w:rPr>
                <w:rFonts w:ascii="Times New Roman" w:eastAsia="Times New Roman" w:hAnsi="Times New Roman" w:cs="Times New Roman"/>
              </w:rPr>
              <w:t>tagging</w:t>
            </w:r>
            <w:proofErr w:type="spellEnd"/>
            <w:r w:rsidRPr="00BC6A23">
              <w:rPr>
                <w:rFonts w:ascii="Times New Roman" w:eastAsia="Times New Roman" w:hAnsi="Times New Roman" w:cs="Times New Roman"/>
              </w:rPr>
              <w:t xml:space="preserve"> </w:t>
            </w:r>
          </w:p>
        </w:tc>
        <w:tc>
          <w:tcPr>
            <w:tcW w:w="3908" w:type="pct"/>
            <w:gridSpan w:val="2"/>
          </w:tcPr>
          <w:p w14:paraId="1F6DF73F" w14:textId="3D1FE7A1" w:rsidR="00BC6A23" w:rsidRPr="00BC6A23" w:rsidRDefault="00CA3662" w:rsidP="00BC6A23">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Zmiana ma wpływ na o</w:t>
            </w:r>
            <w:r w:rsidR="00BC6A23" w:rsidRPr="00C40440">
              <w:rPr>
                <w:rFonts w:ascii="Times New Roman" w:eastAsia="Times New Roman" w:hAnsi="Times New Roman" w:cs="Times New Roman"/>
              </w:rPr>
              <w:t xml:space="preserve">bniżenie </w:t>
            </w:r>
            <w:proofErr w:type="spellStart"/>
            <w:r>
              <w:rPr>
                <w:rFonts w:ascii="Times New Roman" w:eastAsia="Times New Roman" w:hAnsi="Times New Roman" w:cs="Times New Roman"/>
              </w:rPr>
              <w:t>taggingu</w:t>
            </w:r>
            <w:proofErr w:type="spellEnd"/>
            <w:r>
              <w:rPr>
                <w:rFonts w:ascii="Times New Roman" w:eastAsia="Times New Roman" w:hAnsi="Times New Roman" w:cs="Times New Roman"/>
              </w:rPr>
              <w:t xml:space="preserve"> cyfrowego (</w:t>
            </w:r>
            <w:r w:rsidR="00BC6A23" w:rsidRPr="00C40440">
              <w:rPr>
                <w:rFonts w:ascii="Times New Roman" w:eastAsia="Times New Roman" w:hAnsi="Times New Roman" w:cs="Times New Roman"/>
              </w:rPr>
              <w:t>o 26 mln EUR</w:t>
            </w:r>
            <w:r>
              <w:rPr>
                <w:rFonts w:ascii="Times New Roman" w:eastAsia="Times New Roman" w:hAnsi="Times New Roman" w:cs="Times New Roman"/>
              </w:rPr>
              <w:t>)</w:t>
            </w:r>
            <w:r w:rsidR="00BC6A23" w:rsidRPr="00C40440">
              <w:rPr>
                <w:rFonts w:ascii="Times New Roman" w:eastAsia="Times New Roman" w:hAnsi="Times New Roman" w:cs="Times New Roman"/>
              </w:rPr>
              <w:t xml:space="preserve"> </w:t>
            </w:r>
          </w:p>
        </w:tc>
      </w:tr>
      <w:tr w:rsidR="00BC6A23" w:rsidRPr="00BC6A23" w14:paraId="5971E8F8" w14:textId="77777777" w:rsidTr="00C40440">
        <w:tc>
          <w:tcPr>
            <w:tcW w:w="1092" w:type="pct"/>
            <w:tcBorders>
              <w:bottom w:val="single" w:sz="4" w:space="0" w:color="auto"/>
            </w:tcBorders>
          </w:tcPr>
          <w:p w14:paraId="636EAA97" w14:textId="77777777"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t xml:space="preserve">Zasada DNSH </w:t>
            </w:r>
          </w:p>
        </w:tc>
        <w:tc>
          <w:tcPr>
            <w:tcW w:w="3908" w:type="pct"/>
            <w:gridSpan w:val="2"/>
            <w:tcBorders>
              <w:bottom w:val="single" w:sz="4" w:space="0" w:color="auto"/>
            </w:tcBorders>
          </w:tcPr>
          <w:p w14:paraId="27935007" w14:textId="0C05E6D4"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t>Zmiana nie ma wpływu na DNSH.</w:t>
            </w:r>
          </w:p>
        </w:tc>
      </w:tr>
      <w:tr w:rsidR="00BC6A23" w:rsidRPr="00BC6A23" w14:paraId="7A4D8738" w14:textId="77777777" w:rsidTr="00C40440">
        <w:tc>
          <w:tcPr>
            <w:tcW w:w="1092" w:type="pct"/>
            <w:tcBorders>
              <w:bottom w:val="single" w:sz="4" w:space="0" w:color="auto"/>
            </w:tcBorders>
          </w:tcPr>
          <w:p w14:paraId="0203566D" w14:textId="77777777" w:rsidR="00BC6A23" w:rsidRPr="00BC6A23" w:rsidRDefault="00BC6A23" w:rsidP="00BC6A23">
            <w:pPr>
              <w:spacing w:after="120" w:line="240" w:lineRule="auto"/>
              <w:jc w:val="both"/>
              <w:rPr>
                <w:rFonts w:ascii="Times New Roman" w:eastAsia="Times New Roman" w:hAnsi="Times New Roman" w:cs="Times New Roman"/>
              </w:rPr>
            </w:pPr>
            <w:r w:rsidRPr="00BC6A23">
              <w:rPr>
                <w:rFonts w:ascii="Times New Roman" w:eastAsia="Times New Roman" w:hAnsi="Times New Roman" w:cs="Times New Roman"/>
              </w:rPr>
              <w:t xml:space="preserve">Pomoc publiczna </w:t>
            </w:r>
          </w:p>
        </w:tc>
        <w:tc>
          <w:tcPr>
            <w:tcW w:w="3908" w:type="pct"/>
            <w:gridSpan w:val="2"/>
            <w:tcBorders>
              <w:bottom w:val="single" w:sz="4" w:space="0" w:color="auto"/>
            </w:tcBorders>
          </w:tcPr>
          <w:p w14:paraId="55174F64" w14:textId="7BF0E5A3" w:rsidR="00BC6A23" w:rsidRPr="00BC6A23" w:rsidRDefault="00C179A1" w:rsidP="00BC6A23">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Nie dotyczy </w:t>
            </w:r>
          </w:p>
        </w:tc>
      </w:tr>
    </w:tbl>
    <w:p w14:paraId="09F528D2" w14:textId="77777777" w:rsidR="00A2369D" w:rsidRPr="006E3FE8" w:rsidRDefault="00A2369D" w:rsidP="003733FD">
      <w:pPr>
        <w:spacing w:line="240" w:lineRule="auto"/>
        <w:rPr>
          <w:rFonts w:cstheme="minorHAnsi"/>
        </w:rPr>
      </w:pPr>
    </w:p>
    <w:p w14:paraId="46051C06" w14:textId="2D48556D" w:rsidR="003733FD" w:rsidRPr="00026221" w:rsidRDefault="003733FD" w:rsidP="00026221">
      <w:pPr>
        <w:shd w:val="clear" w:color="auto" w:fill="FFFFFF" w:themeFill="background1"/>
        <w:autoSpaceDE w:val="0"/>
        <w:autoSpaceDN w:val="0"/>
        <w:adjustRightInd w:val="0"/>
        <w:spacing w:after="120" w:line="240" w:lineRule="auto"/>
        <w:rPr>
          <w:rFonts w:ascii="Times New Roman" w:hAnsi="Times New Roman" w:cs="Times New Roman"/>
          <w:b/>
          <w:bCs/>
          <w:sz w:val="26"/>
          <w:szCs w:val="26"/>
        </w:rPr>
      </w:pPr>
      <w:r w:rsidRPr="007B2370">
        <w:rPr>
          <w:rFonts w:ascii="Times New Roman" w:hAnsi="Times New Roman" w:cs="Times New Roman"/>
          <w:b/>
          <w:bCs/>
          <w:sz w:val="26"/>
          <w:szCs w:val="26"/>
        </w:rPr>
        <w:t xml:space="preserve">Komponent B </w:t>
      </w:r>
      <w:r>
        <w:rPr>
          <w:rFonts w:ascii="Times New Roman" w:hAnsi="Times New Roman" w:cs="Times New Roman"/>
          <w:b/>
          <w:bCs/>
          <w:sz w:val="26"/>
          <w:szCs w:val="26"/>
        </w:rPr>
        <w:t xml:space="preserve">- </w:t>
      </w:r>
      <w:r w:rsidRPr="007B2370">
        <w:rPr>
          <w:rFonts w:ascii="Times New Roman" w:hAnsi="Times New Roman" w:cs="Times New Roman"/>
          <w:b/>
          <w:bCs/>
          <w:sz w:val="26"/>
          <w:szCs w:val="26"/>
        </w:rPr>
        <w:t>Zielona energia i zmniejszenie energochłonności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6"/>
        <w:gridCol w:w="3465"/>
        <w:gridCol w:w="3661"/>
      </w:tblGrid>
      <w:tr w:rsidR="003733FD" w:rsidRPr="00EF63DD" w14:paraId="3C0715EA" w14:textId="77777777" w:rsidTr="00927429">
        <w:tc>
          <w:tcPr>
            <w:tcW w:w="1068" w:type="pct"/>
            <w:shd w:val="clear" w:color="auto" w:fill="FFFFFF" w:themeFill="background1"/>
          </w:tcPr>
          <w:p w14:paraId="4D10F589" w14:textId="77777777" w:rsidR="003733FD" w:rsidRPr="00EF63DD" w:rsidRDefault="003733FD" w:rsidP="00927429">
            <w:pPr>
              <w:spacing w:after="120" w:line="240" w:lineRule="auto"/>
              <w:rPr>
                <w:rFonts w:ascii="Times New Roman" w:hAnsi="Times New Roman" w:cs="Times New Roman"/>
                <w:b/>
                <w:bCs/>
              </w:rPr>
            </w:pPr>
            <w:r w:rsidRPr="00EF63DD">
              <w:rPr>
                <w:rFonts w:ascii="Times New Roman" w:hAnsi="Times New Roman" w:cs="Times New Roman"/>
                <w:b/>
                <w:bCs/>
              </w:rPr>
              <w:t>Numer inwestycji</w:t>
            </w:r>
          </w:p>
        </w:tc>
        <w:tc>
          <w:tcPr>
            <w:tcW w:w="3932" w:type="pct"/>
            <w:gridSpan w:val="2"/>
            <w:shd w:val="clear" w:color="auto" w:fill="FFFFFF" w:themeFill="background1"/>
          </w:tcPr>
          <w:p w14:paraId="1EA85D11" w14:textId="61368D1B" w:rsidR="003733FD" w:rsidRPr="00EF63DD" w:rsidRDefault="003733FD" w:rsidP="00C40440">
            <w:pPr>
              <w:pStyle w:val="Akapitzlist"/>
              <w:spacing w:after="120"/>
              <w:ind w:left="0"/>
              <w:rPr>
                <w:b/>
                <w:bCs/>
                <w:sz w:val="22"/>
                <w:szCs w:val="22"/>
              </w:rPr>
            </w:pPr>
            <w:r w:rsidRPr="00EF63DD">
              <w:rPr>
                <w:b/>
                <w:bCs/>
                <w:sz w:val="22"/>
                <w:szCs w:val="22"/>
              </w:rPr>
              <w:t>B3.2</w:t>
            </w:r>
            <w:r w:rsidR="000569C4">
              <w:rPr>
                <w:b/>
                <w:bCs/>
                <w:sz w:val="22"/>
                <w:szCs w:val="22"/>
              </w:rPr>
              <w:t>.1</w:t>
            </w:r>
            <w:r w:rsidR="00C179A1">
              <w:rPr>
                <w:b/>
                <w:bCs/>
                <w:sz w:val="22"/>
                <w:szCs w:val="22"/>
              </w:rPr>
              <w:t>.</w:t>
            </w:r>
          </w:p>
        </w:tc>
      </w:tr>
      <w:tr w:rsidR="003733FD" w:rsidRPr="00EF63DD" w14:paraId="3E7B52E7" w14:textId="77777777" w:rsidTr="00927429">
        <w:tc>
          <w:tcPr>
            <w:tcW w:w="1068" w:type="pct"/>
            <w:shd w:val="clear" w:color="auto" w:fill="FFFFFF" w:themeFill="background1"/>
          </w:tcPr>
          <w:p w14:paraId="76E08972" w14:textId="77777777" w:rsidR="003733FD" w:rsidRPr="00EF63DD" w:rsidRDefault="003733FD" w:rsidP="00C40440">
            <w:pPr>
              <w:pStyle w:val="Akapitzlist"/>
              <w:spacing w:after="120"/>
              <w:ind w:left="67"/>
              <w:rPr>
                <w:b/>
                <w:bCs/>
                <w:sz w:val="22"/>
                <w:szCs w:val="22"/>
              </w:rPr>
            </w:pPr>
            <w:r w:rsidRPr="00EF63DD">
              <w:rPr>
                <w:b/>
                <w:bCs/>
                <w:sz w:val="22"/>
                <w:szCs w:val="22"/>
              </w:rPr>
              <w:t xml:space="preserve">Nazwa inwestycji </w:t>
            </w:r>
          </w:p>
        </w:tc>
        <w:tc>
          <w:tcPr>
            <w:tcW w:w="3932" w:type="pct"/>
            <w:gridSpan w:val="2"/>
            <w:shd w:val="clear" w:color="auto" w:fill="FFFFFF" w:themeFill="background1"/>
          </w:tcPr>
          <w:p w14:paraId="1F05D9A5" w14:textId="77777777" w:rsidR="003733FD" w:rsidRPr="00EF63DD" w:rsidRDefault="003733FD" w:rsidP="00C40440">
            <w:pPr>
              <w:pStyle w:val="Akapitzlist"/>
              <w:spacing w:after="120"/>
              <w:ind w:left="0" w:hanging="24"/>
              <w:rPr>
                <w:b/>
                <w:bCs/>
                <w:sz w:val="22"/>
                <w:szCs w:val="22"/>
              </w:rPr>
            </w:pPr>
            <w:r w:rsidRPr="00EF63DD">
              <w:rPr>
                <w:b/>
                <w:bCs/>
                <w:sz w:val="22"/>
                <w:szCs w:val="22"/>
              </w:rPr>
              <w:t>Inwestycje w neutralizację zagrożeń oraz odnowę wielkoobszarowych terenów zdegradowanych i Morza Bałtyckiego</w:t>
            </w:r>
          </w:p>
        </w:tc>
      </w:tr>
      <w:tr w:rsidR="003733FD" w:rsidRPr="00C179A1" w14:paraId="41DA858E" w14:textId="77777777" w:rsidTr="00927429">
        <w:tc>
          <w:tcPr>
            <w:tcW w:w="1068" w:type="pct"/>
            <w:shd w:val="clear" w:color="auto" w:fill="FFFFFF" w:themeFill="background1"/>
          </w:tcPr>
          <w:p w14:paraId="4DFCB1D5" w14:textId="097A27A9" w:rsidR="003733FD" w:rsidRPr="00EF63DD" w:rsidRDefault="003733FD" w:rsidP="00C40440">
            <w:pPr>
              <w:pStyle w:val="Akapitzlist"/>
              <w:spacing w:after="120"/>
              <w:ind w:left="67"/>
              <w:rPr>
                <w:sz w:val="22"/>
                <w:szCs w:val="22"/>
              </w:rPr>
            </w:pPr>
            <w:r w:rsidRPr="00EF63DD">
              <w:rPr>
                <w:sz w:val="22"/>
                <w:szCs w:val="22"/>
              </w:rPr>
              <w:t>Rodzaj wprowadzonej zmiany w odniesieniu do CID</w:t>
            </w:r>
          </w:p>
        </w:tc>
        <w:tc>
          <w:tcPr>
            <w:tcW w:w="3932" w:type="pct"/>
            <w:gridSpan w:val="2"/>
            <w:shd w:val="clear" w:color="auto" w:fill="FFFFFF" w:themeFill="background1"/>
          </w:tcPr>
          <w:p w14:paraId="77C7AA3B" w14:textId="29A00A6A" w:rsidR="003733FD" w:rsidRPr="00C179A1" w:rsidRDefault="003733FD" w:rsidP="00C40440">
            <w:pPr>
              <w:pStyle w:val="Akapitzlist"/>
              <w:spacing w:after="120"/>
              <w:ind w:left="0"/>
              <w:rPr>
                <w:sz w:val="22"/>
                <w:szCs w:val="22"/>
              </w:rPr>
            </w:pPr>
            <w:r w:rsidRPr="00EF63DD">
              <w:rPr>
                <w:sz w:val="22"/>
                <w:szCs w:val="22"/>
              </w:rPr>
              <w:t xml:space="preserve">Przesunięcie terminu </w:t>
            </w:r>
            <w:r w:rsidR="00C179A1">
              <w:rPr>
                <w:sz w:val="22"/>
                <w:szCs w:val="22"/>
              </w:rPr>
              <w:t>realizacji</w:t>
            </w:r>
            <w:r w:rsidRPr="00EF63DD">
              <w:rPr>
                <w:sz w:val="22"/>
                <w:szCs w:val="22"/>
              </w:rPr>
              <w:t xml:space="preserve"> kamienia milowego B17L </w:t>
            </w:r>
          </w:p>
        </w:tc>
      </w:tr>
      <w:tr w:rsidR="003733FD" w:rsidRPr="00A637DB" w14:paraId="45798522" w14:textId="77777777" w:rsidTr="00927429">
        <w:tc>
          <w:tcPr>
            <w:tcW w:w="1068" w:type="pct"/>
            <w:shd w:val="clear" w:color="auto" w:fill="FFFFFF" w:themeFill="background1"/>
          </w:tcPr>
          <w:p w14:paraId="7742769E" w14:textId="77777777" w:rsidR="003733FD" w:rsidRPr="00EF63DD" w:rsidRDefault="003733FD" w:rsidP="00C40440">
            <w:pPr>
              <w:pStyle w:val="Akapitzlist"/>
              <w:spacing w:after="120"/>
              <w:ind w:left="67"/>
              <w:rPr>
                <w:sz w:val="22"/>
                <w:szCs w:val="22"/>
              </w:rPr>
            </w:pPr>
            <w:r w:rsidRPr="00EF63DD">
              <w:rPr>
                <w:sz w:val="22"/>
                <w:szCs w:val="22"/>
              </w:rPr>
              <w:t>Podstawa prawna zmiany</w:t>
            </w:r>
          </w:p>
          <w:p w14:paraId="4BCD8A07" w14:textId="7BBC4ED5" w:rsidR="003733FD" w:rsidRPr="00EF63DD" w:rsidRDefault="003733FD" w:rsidP="00927429">
            <w:pPr>
              <w:pStyle w:val="Akapitzlist"/>
              <w:spacing w:after="120"/>
              <w:rPr>
                <w:sz w:val="22"/>
                <w:szCs w:val="22"/>
              </w:rPr>
            </w:pPr>
          </w:p>
        </w:tc>
        <w:tc>
          <w:tcPr>
            <w:tcW w:w="3932" w:type="pct"/>
            <w:gridSpan w:val="2"/>
            <w:shd w:val="clear" w:color="auto" w:fill="FFFFFF" w:themeFill="background1"/>
          </w:tcPr>
          <w:p w14:paraId="386CEAD3" w14:textId="022948C7" w:rsidR="003733FD" w:rsidRPr="00A637DB" w:rsidRDefault="00C179A1" w:rsidP="00927429">
            <w:pPr>
              <w:spacing w:after="120" w:line="240" w:lineRule="auto"/>
              <w:rPr>
                <w:rFonts w:ascii="Times New Roman" w:hAnsi="Times New Roman" w:cs="Times New Roman"/>
              </w:rPr>
            </w:pPr>
            <w:r>
              <w:rPr>
                <w:rFonts w:ascii="Times New Roman" w:eastAsia="Times New Roman" w:hAnsi="Times New Roman" w:cs="Times New Roman"/>
              </w:rPr>
              <w:t>a</w:t>
            </w:r>
            <w:r w:rsidRPr="00BC6A23">
              <w:rPr>
                <w:rFonts w:ascii="Times New Roman" w:eastAsia="Times New Roman" w:hAnsi="Times New Roman" w:cs="Times New Roman"/>
              </w:rPr>
              <w:t xml:space="preserve">rt. 21 rozporządzenia Parlamentu Europejskiego i Rady (UE) 2021/241 z dnia 12 lutego 2021 r. ustanawiającego Instrument na rzecz Odbudowy i Zwiększania Odporności </w:t>
            </w:r>
          </w:p>
        </w:tc>
      </w:tr>
      <w:tr w:rsidR="003733FD" w:rsidRPr="00EF63DD" w14:paraId="4D24005E" w14:textId="77777777" w:rsidTr="00C40440">
        <w:tc>
          <w:tcPr>
            <w:tcW w:w="1068" w:type="pct"/>
            <w:shd w:val="clear" w:color="auto" w:fill="D0CECE" w:themeFill="background2" w:themeFillShade="E6"/>
          </w:tcPr>
          <w:p w14:paraId="16B57C48" w14:textId="2F39A13D" w:rsidR="003733FD" w:rsidRPr="00EF63DD" w:rsidRDefault="003733FD" w:rsidP="00927429">
            <w:pPr>
              <w:spacing w:after="120" w:line="240" w:lineRule="auto"/>
              <w:rPr>
                <w:rFonts w:ascii="Times New Roman" w:hAnsi="Times New Roman" w:cs="Times New Roman"/>
              </w:rPr>
            </w:pPr>
            <w:r w:rsidRPr="00EF63DD">
              <w:rPr>
                <w:rFonts w:ascii="Times New Roman" w:hAnsi="Times New Roman" w:cs="Times New Roman"/>
              </w:rPr>
              <w:t>Modyfikowany element</w:t>
            </w:r>
          </w:p>
        </w:tc>
        <w:tc>
          <w:tcPr>
            <w:tcW w:w="1912" w:type="pct"/>
            <w:shd w:val="clear" w:color="auto" w:fill="D0CECE" w:themeFill="background2" w:themeFillShade="E6"/>
          </w:tcPr>
          <w:p w14:paraId="4B6D8CDB" w14:textId="77777777" w:rsidR="003733FD" w:rsidRPr="00EF63DD" w:rsidRDefault="003733FD" w:rsidP="00927429">
            <w:pPr>
              <w:spacing w:after="120" w:line="240" w:lineRule="auto"/>
              <w:jc w:val="center"/>
              <w:rPr>
                <w:rFonts w:ascii="Times New Roman" w:hAnsi="Times New Roman" w:cs="Times New Roman"/>
              </w:rPr>
            </w:pPr>
            <w:r w:rsidRPr="00EF63DD">
              <w:rPr>
                <w:rFonts w:ascii="Times New Roman" w:hAnsi="Times New Roman" w:cs="Times New Roman"/>
              </w:rPr>
              <w:t>Wersja aktualna</w:t>
            </w:r>
          </w:p>
        </w:tc>
        <w:tc>
          <w:tcPr>
            <w:tcW w:w="2020" w:type="pct"/>
            <w:shd w:val="clear" w:color="auto" w:fill="D0CECE" w:themeFill="background2" w:themeFillShade="E6"/>
          </w:tcPr>
          <w:p w14:paraId="44C177F6" w14:textId="77777777" w:rsidR="003733FD" w:rsidRPr="00EF63DD" w:rsidRDefault="003733FD" w:rsidP="00927429">
            <w:pPr>
              <w:spacing w:after="120" w:line="240" w:lineRule="auto"/>
              <w:jc w:val="center"/>
              <w:rPr>
                <w:rFonts w:ascii="Times New Roman" w:hAnsi="Times New Roman" w:cs="Times New Roman"/>
              </w:rPr>
            </w:pPr>
            <w:r w:rsidRPr="00EF63DD">
              <w:rPr>
                <w:rFonts w:ascii="Times New Roman" w:hAnsi="Times New Roman" w:cs="Times New Roman"/>
              </w:rPr>
              <w:t>Wersja zmieniona</w:t>
            </w:r>
          </w:p>
        </w:tc>
      </w:tr>
      <w:tr w:rsidR="003733FD" w:rsidRPr="00A106E1" w14:paraId="318293BE" w14:textId="77777777" w:rsidTr="00C40440">
        <w:trPr>
          <w:trHeight w:val="977"/>
        </w:trPr>
        <w:tc>
          <w:tcPr>
            <w:tcW w:w="1068" w:type="pct"/>
            <w:shd w:val="clear" w:color="auto" w:fill="FFFFFF" w:themeFill="background1"/>
          </w:tcPr>
          <w:p w14:paraId="196606D3" w14:textId="7594FC4A" w:rsidR="003733FD" w:rsidRPr="00C40440" w:rsidRDefault="003733FD">
            <w:pPr>
              <w:spacing w:after="120" w:line="240" w:lineRule="auto"/>
              <w:rPr>
                <w:rFonts w:ascii="Times New Roman" w:hAnsi="Times New Roman" w:cs="Times New Roman"/>
              </w:rPr>
            </w:pPr>
            <w:r w:rsidRPr="00EF63DD">
              <w:rPr>
                <w:rFonts w:ascii="Times New Roman" w:hAnsi="Times New Roman" w:cs="Times New Roman"/>
              </w:rPr>
              <w:t>Opis kamienia milowego lub wskaźnika.</w:t>
            </w:r>
          </w:p>
        </w:tc>
        <w:tc>
          <w:tcPr>
            <w:tcW w:w="1912" w:type="pct"/>
            <w:shd w:val="clear" w:color="auto" w:fill="FFFFFF" w:themeFill="background1"/>
          </w:tcPr>
          <w:p w14:paraId="4F051F73" w14:textId="7EE96982" w:rsidR="003733FD" w:rsidRPr="00C40440" w:rsidRDefault="00C179A1">
            <w:pPr>
              <w:spacing w:after="120" w:line="240" w:lineRule="auto"/>
              <w:rPr>
                <w:rFonts w:ascii="Times New Roman" w:hAnsi="Times New Roman" w:cs="Times New Roman"/>
              </w:rPr>
            </w:pPr>
            <w:r>
              <w:rPr>
                <w:rFonts w:ascii="Times New Roman" w:hAnsi="Times New Roman" w:cs="Times New Roman"/>
              </w:rPr>
              <w:t xml:space="preserve">B17L </w:t>
            </w:r>
            <w:r w:rsidR="003733FD" w:rsidRPr="00EF63DD">
              <w:rPr>
                <w:rFonts w:ascii="Times New Roman" w:hAnsi="Times New Roman" w:cs="Times New Roman"/>
              </w:rPr>
              <w:br/>
            </w:r>
            <w:r w:rsidRPr="00C40440">
              <w:rPr>
                <w:rFonts w:ascii="Times New Roman" w:hAnsi="Times New Roman" w:cs="Times New Roman"/>
              </w:rPr>
              <w:t xml:space="preserve">Termin realizacji: </w:t>
            </w:r>
            <w:r w:rsidR="003733FD" w:rsidRPr="00C40440">
              <w:rPr>
                <w:rFonts w:ascii="Times New Roman" w:hAnsi="Times New Roman" w:cs="Times New Roman"/>
              </w:rPr>
              <w:t>IV kwartał 2024 r.</w:t>
            </w:r>
          </w:p>
        </w:tc>
        <w:tc>
          <w:tcPr>
            <w:tcW w:w="2020" w:type="pct"/>
            <w:shd w:val="clear" w:color="auto" w:fill="FFFFFF" w:themeFill="background1"/>
          </w:tcPr>
          <w:p w14:paraId="5F99FCC2" w14:textId="264F9D69" w:rsidR="003733FD" w:rsidRPr="00C40440" w:rsidRDefault="00C179A1">
            <w:pPr>
              <w:spacing w:after="120" w:line="240" w:lineRule="auto"/>
              <w:rPr>
                <w:rFonts w:ascii="Times New Roman" w:hAnsi="Times New Roman" w:cs="Times New Roman"/>
                <w:b/>
                <w:bCs/>
              </w:rPr>
            </w:pPr>
            <w:r>
              <w:rPr>
                <w:rFonts w:ascii="Times New Roman" w:hAnsi="Times New Roman" w:cs="Times New Roman"/>
              </w:rPr>
              <w:t xml:space="preserve">B17L </w:t>
            </w:r>
            <w:r w:rsidRPr="00EF63DD">
              <w:rPr>
                <w:rFonts w:ascii="Times New Roman" w:hAnsi="Times New Roman" w:cs="Times New Roman"/>
              </w:rPr>
              <w:br/>
            </w:r>
            <w:r w:rsidRPr="003B4E6E">
              <w:rPr>
                <w:rFonts w:ascii="Times New Roman" w:hAnsi="Times New Roman" w:cs="Times New Roman"/>
              </w:rPr>
              <w:t>Termin realizacji</w:t>
            </w:r>
            <w:r>
              <w:rPr>
                <w:rFonts w:ascii="Times New Roman" w:hAnsi="Times New Roman" w:cs="Times New Roman"/>
                <w:color w:val="FF0000"/>
              </w:rPr>
              <w:t xml:space="preserve">: </w:t>
            </w:r>
            <w:r w:rsidR="003733FD" w:rsidRPr="00EF63DD">
              <w:rPr>
                <w:rFonts w:ascii="Times New Roman" w:hAnsi="Times New Roman" w:cs="Times New Roman"/>
                <w:color w:val="FF0000"/>
              </w:rPr>
              <w:t>IV kwartał 2025 r.</w:t>
            </w:r>
          </w:p>
        </w:tc>
      </w:tr>
      <w:tr w:rsidR="003733FD" w:rsidRPr="00A26E88" w14:paraId="02D14263" w14:textId="77777777" w:rsidTr="00927429">
        <w:tc>
          <w:tcPr>
            <w:tcW w:w="1068" w:type="pct"/>
            <w:shd w:val="clear" w:color="auto" w:fill="FFFFFF" w:themeFill="background1"/>
          </w:tcPr>
          <w:p w14:paraId="796A9DC3" w14:textId="77777777" w:rsidR="003733FD" w:rsidRPr="00EF63DD" w:rsidRDefault="003733FD">
            <w:pPr>
              <w:spacing w:after="120" w:line="240" w:lineRule="auto"/>
              <w:rPr>
                <w:rFonts w:ascii="Times New Roman" w:hAnsi="Times New Roman" w:cs="Times New Roman"/>
              </w:rPr>
            </w:pPr>
            <w:r w:rsidRPr="00EF63DD">
              <w:rPr>
                <w:rFonts w:ascii="Times New Roman" w:hAnsi="Times New Roman" w:cs="Times New Roman"/>
              </w:rPr>
              <w:t>Uzasadnienie</w:t>
            </w:r>
          </w:p>
          <w:p w14:paraId="0A333575" w14:textId="57569D7C" w:rsidR="003733FD" w:rsidRPr="00EF63DD" w:rsidRDefault="003733FD">
            <w:pPr>
              <w:spacing w:after="120" w:line="240" w:lineRule="auto"/>
              <w:rPr>
                <w:rFonts w:ascii="Times New Roman" w:hAnsi="Times New Roman" w:cs="Times New Roman"/>
              </w:rPr>
            </w:pPr>
          </w:p>
        </w:tc>
        <w:tc>
          <w:tcPr>
            <w:tcW w:w="3932" w:type="pct"/>
            <w:gridSpan w:val="2"/>
            <w:shd w:val="clear" w:color="auto" w:fill="FFFFFF" w:themeFill="background1"/>
          </w:tcPr>
          <w:p w14:paraId="69968778" w14:textId="77777777" w:rsidR="003733FD" w:rsidRPr="00EF63DD" w:rsidRDefault="003733FD">
            <w:pPr>
              <w:spacing w:after="120" w:line="240" w:lineRule="auto"/>
              <w:rPr>
                <w:rFonts w:ascii="Times New Roman" w:hAnsi="Times New Roman" w:cs="Times New Roman"/>
              </w:rPr>
            </w:pPr>
            <w:r w:rsidRPr="00EF63DD">
              <w:rPr>
                <w:rFonts w:ascii="Times New Roman" w:hAnsi="Times New Roman" w:cs="Times New Roman"/>
              </w:rPr>
              <w:t xml:space="preserve">Art. 6 ust. 1 ustawy o wielkoobszarowych terenach zdegradowanych (WTZ) obliguje właściwy organ do wykonania kompleksowej oceny stanu środowiska na WTZ oraz opracowania projektu planu poprawy stanu środowiska na WTZ dopiero po objęciu tego przedsięwzięcia wskazanym dofinansowaniem, m.in. z KPO. </w:t>
            </w:r>
          </w:p>
          <w:p w14:paraId="4ED7E8C0" w14:textId="40F2AB0D" w:rsidR="003733FD" w:rsidRPr="00EF63DD" w:rsidRDefault="00C179A1">
            <w:pPr>
              <w:spacing w:after="120" w:line="240" w:lineRule="auto"/>
              <w:rPr>
                <w:rFonts w:ascii="Times New Roman" w:hAnsi="Times New Roman" w:cs="Times New Roman"/>
              </w:rPr>
            </w:pPr>
            <w:r>
              <w:rPr>
                <w:rFonts w:ascii="Times New Roman" w:hAnsi="Times New Roman" w:cs="Times New Roman"/>
              </w:rPr>
              <w:t xml:space="preserve">Ze względu na </w:t>
            </w:r>
            <w:r w:rsidR="003733FD" w:rsidRPr="00EF63DD">
              <w:rPr>
                <w:rFonts w:ascii="Times New Roman" w:hAnsi="Times New Roman" w:cs="Times New Roman"/>
              </w:rPr>
              <w:t xml:space="preserve">brak dostępności środków z </w:t>
            </w:r>
            <w:r>
              <w:rPr>
                <w:rFonts w:ascii="Times New Roman" w:hAnsi="Times New Roman" w:cs="Times New Roman"/>
              </w:rPr>
              <w:t>RRF</w:t>
            </w:r>
            <w:r w:rsidR="003733FD" w:rsidRPr="00EF63DD">
              <w:rPr>
                <w:rFonts w:ascii="Times New Roman" w:hAnsi="Times New Roman" w:cs="Times New Roman"/>
              </w:rPr>
              <w:t xml:space="preserve"> </w:t>
            </w:r>
            <w:r>
              <w:rPr>
                <w:rFonts w:ascii="Times New Roman" w:hAnsi="Times New Roman" w:cs="Times New Roman"/>
              </w:rPr>
              <w:t xml:space="preserve">niemożliwe było </w:t>
            </w:r>
            <w:r w:rsidR="003733FD" w:rsidRPr="00EF63DD">
              <w:rPr>
                <w:rFonts w:ascii="Times New Roman" w:hAnsi="Times New Roman" w:cs="Times New Roman"/>
              </w:rPr>
              <w:t xml:space="preserve">rozpoczęcie stosownych prac terenowych i tym samym opracowanie niezbędnej dokumentacji, co powoduje przesunięcia w harmonogramie wykonania prac, na co wpływa również rozkład pór roku (brak możliwości wykonania niektórych badań terenowych w okresie jesienno-zimowym). </w:t>
            </w:r>
          </w:p>
          <w:p w14:paraId="66FC9446" w14:textId="5F401FE6" w:rsidR="003733FD" w:rsidRPr="00C40440" w:rsidRDefault="003733FD">
            <w:pPr>
              <w:spacing w:after="120" w:line="240" w:lineRule="auto"/>
              <w:rPr>
                <w:rFonts w:ascii="Times New Roman" w:hAnsi="Times New Roman" w:cs="Times New Roman"/>
              </w:rPr>
            </w:pPr>
            <w:r w:rsidRPr="00EF63DD">
              <w:rPr>
                <w:rFonts w:ascii="Times New Roman" w:hAnsi="Times New Roman" w:cs="Times New Roman"/>
              </w:rPr>
              <w:t>Po analizie informacji nt. stopnia zaawansowania przygotowań do prac inwentaryzacyjnych w gminach wskazanych ustawą niezbędne jest przesunięcie terminu zakończenia wszystkich prac w ramach wskaźnika B17L na IV kw. 2025.</w:t>
            </w:r>
          </w:p>
        </w:tc>
      </w:tr>
      <w:tr w:rsidR="003733FD" w:rsidRPr="00AA27EC" w14:paraId="75D72959" w14:textId="77777777" w:rsidTr="00C40440">
        <w:trPr>
          <w:trHeight w:val="513"/>
        </w:trPr>
        <w:tc>
          <w:tcPr>
            <w:tcW w:w="1068" w:type="pct"/>
            <w:shd w:val="clear" w:color="auto" w:fill="FFFFFF" w:themeFill="background1"/>
          </w:tcPr>
          <w:p w14:paraId="7A33D1FA" w14:textId="469889CE" w:rsidR="003733FD" w:rsidRPr="00EF63DD" w:rsidRDefault="003733FD" w:rsidP="00927429">
            <w:pPr>
              <w:spacing w:after="120" w:line="240" w:lineRule="auto"/>
              <w:rPr>
                <w:rFonts w:ascii="Times New Roman" w:hAnsi="Times New Roman" w:cs="Times New Roman"/>
              </w:rPr>
            </w:pPr>
            <w:r w:rsidRPr="00EF63DD">
              <w:rPr>
                <w:rFonts w:ascii="Times New Roman" w:hAnsi="Times New Roman" w:cs="Times New Roman"/>
              </w:rPr>
              <w:t>Szacowany koszt</w:t>
            </w:r>
          </w:p>
        </w:tc>
        <w:tc>
          <w:tcPr>
            <w:tcW w:w="3932" w:type="pct"/>
            <w:gridSpan w:val="2"/>
            <w:shd w:val="clear" w:color="auto" w:fill="FFFFFF" w:themeFill="background1"/>
          </w:tcPr>
          <w:p w14:paraId="198DF405" w14:textId="3B12D292" w:rsidR="003733FD" w:rsidRPr="00C40440" w:rsidRDefault="003733FD" w:rsidP="00927429">
            <w:pPr>
              <w:spacing w:after="120" w:line="240" w:lineRule="auto"/>
              <w:rPr>
                <w:rFonts w:ascii="Times New Roman" w:hAnsi="Times New Roman" w:cs="Times New Roman"/>
              </w:rPr>
            </w:pPr>
            <w:r w:rsidRPr="00EF63DD">
              <w:rPr>
                <w:rFonts w:ascii="Times New Roman" w:hAnsi="Times New Roman" w:cs="Times New Roman"/>
              </w:rPr>
              <w:t>Zmiana nie ma wpływu na szacowany koszt.</w:t>
            </w:r>
          </w:p>
        </w:tc>
      </w:tr>
      <w:tr w:rsidR="003733FD" w:rsidRPr="0020386D" w14:paraId="7622E62A" w14:textId="77777777" w:rsidTr="00927429">
        <w:tc>
          <w:tcPr>
            <w:tcW w:w="1068" w:type="pct"/>
            <w:shd w:val="clear" w:color="auto" w:fill="FFFFFF" w:themeFill="background1"/>
          </w:tcPr>
          <w:p w14:paraId="5026E57C" w14:textId="10D798D5" w:rsidR="003733FD" w:rsidRPr="00EF63DD" w:rsidRDefault="003733FD" w:rsidP="00927429">
            <w:pPr>
              <w:spacing w:after="120" w:line="240" w:lineRule="auto"/>
              <w:rPr>
                <w:rFonts w:ascii="Times New Roman" w:hAnsi="Times New Roman" w:cs="Times New Roman"/>
                <w:lang w:val="en-GB"/>
              </w:rPr>
            </w:pPr>
            <w:proofErr w:type="spellStart"/>
            <w:r w:rsidRPr="00EF63DD">
              <w:rPr>
                <w:rFonts w:ascii="Times New Roman" w:hAnsi="Times New Roman" w:cs="Times New Roman"/>
                <w:lang w:val="en-GB"/>
              </w:rPr>
              <w:lastRenderedPageBreak/>
              <w:t>Cyfrowy</w:t>
            </w:r>
            <w:proofErr w:type="spellEnd"/>
            <w:r w:rsidRPr="00EF63DD">
              <w:rPr>
                <w:rFonts w:ascii="Times New Roman" w:hAnsi="Times New Roman" w:cs="Times New Roman"/>
                <w:lang w:val="en-GB"/>
              </w:rPr>
              <w:t xml:space="preserve"> i </w:t>
            </w:r>
            <w:proofErr w:type="spellStart"/>
            <w:r w:rsidRPr="00EF63DD">
              <w:rPr>
                <w:rFonts w:ascii="Times New Roman" w:hAnsi="Times New Roman" w:cs="Times New Roman"/>
                <w:lang w:val="en-GB"/>
              </w:rPr>
              <w:t>klimatyczny</w:t>
            </w:r>
            <w:proofErr w:type="spellEnd"/>
            <w:r w:rsidRPr="00EF63DD">
              <w:rPr>
                <w:rFonts w:ascii="Times New Roman" w:hAnsi="Times New Roman" w:cs="Times New Roman"/>
                <w:lang w:val="en-GB"/>
              </w:rPr>
              <w:t xml:space="preserve"> tagging </w:t>
            </w:r>
          </w:p>
        </w:tc>
        <w:tc>
          <w:tcPr>
            <w:tcW w:w="3932" w:type="pct"/>
            <w:gridSpan w:val="2"/>
            <w:shd w:val="clear" w:color="auto" w:fill="FFFFFF" w:themeFill="background1"/>
          </w:tcPr>
          <w:p w14:paraId="21DEA9C0" w14:textId="66F17729" w:rsidR="003733FD" w:rsidRPr="00C40440" w:rsidRDefault="003733FD" w:rsidP="00927429">
            <w:pPr>
              <w:spacing w:after="120" w:line="240" w:lineRule="auto"/>
              <w:rPr>
                <w:rFonts w:ascii="Times New Roman" w:hAnsi="Times New Roman" w:cs="Times New Roman"/>
              </w:rPr>
            </w:pPr>
            <w:r w:rsidRPr="00EF63DD">
              <w:rPr>
                <w:rFonts w:ascii="Times New Roman" w:hAnsi="Times New Roman" w:cs="Times New Roman"/>
              </w:rPr>
              <w:t xml:space="preserve">Zmiana nie ma wpływu na </w:t>
            </w:r>
            <w:proofErr w:type="spellStart"/>
            <w:r w:rsidRPr="00EF63DD">
              <w:rPr>
                <w:rFonts w:ascii="Times New Roman" w:hAnsi="Times New Roman" w:cs="Times New Roman"/>
              </w:rPr>
              <w:t>tagging</w:t>
            </w:r>
            <w:proofErr w:type="spellEnd"/>
            <w:r w:rsidRPr="00EF63DD">
              <w:rPr>
                <w:rFonts w:ascii="Times New Roman" w:hAnsi="Times New Roman" w:cs="Times New Roman"/>
              </w:rPr>
              <w:t xml:space="preserve"> klimatyczny i cyfrowy.</w:t>
            </w:r>
          </w:p>
        </w:tc>
      </w:tr>
      <w:tr w:rsidR="003733FD" w:rsidRPr="00E54FAC" w14:paraId="169FBC87" w14:textId="77777777" w:rsidTr="00C40440">
        <w:trPr>
          <w:trHeight w:val="378"/>
        </w:trPr>
        <w:tc>
          <w:tcPr>
            <w:tcW w:w="1068" w:type="pct"/>
            <w:tcBorders>
              <w:bottom w:val="single" w:sz="4" w:space="0" w:color="auto"/>
            </w:tcBorders>
            <w:shd w:val="clear" w:color="auto" w:fill="FFFFFF" w:themeFill="background1"/>
          </w:tcPr>
          <w:p w14:paraId="6DB3B2D2" w14:textId="25FFCF2B" w:rsidR="003733FD" w:rsidRPr="00EF63DD" w:rsidRDefault="003733FD">
            <w:pPr>
              <w:spacing w:after="120" w:line="240" w:lineRule="auto"/>
              <w:rPr>
                <w:rFonts w:ascii="Times New Roman" w:hAnsi="Times New Roman" w:cs="Times New Roman"/>
              </w:rPr>
            </w:pPr>
            <w:r w:rsidRPr="00EF63DD">
              <w:rPr>
                <w:rFonts w:ascii="Times New Roman" w:hAnsi="Times New Roman" w:cs="Times New Roman"/>
              </w:rPr>
              <w:t>Zasada DNSH</w:t>
            </w:r>
          </w:p>
        </w:tc>
        <w:tc>
          <w:tcPr>
            <w:tcW w:w="3932" w:type="pct"/>
            <w:gridSpan w:val="2"/>
            <w:tcBorders>
              <w:bottom w:val="single" w:sz="4" w:space="0" w:color="auto"/>
            </w:tcBorders>
            <w:shd w:val="clear" w:color="auto" w:fill="FFFFFF" w:themeFill="background1"/>
          </w:tcPr>
          <w:p w14:paraId="2D0E3F50" w14:textId="118628D3" w:rsidR="003733FD" w:rsidRPr="00C40440" w:rsidRDefault="003733FD" w:rsidP="00927429">
            <w:pPr>
              <w:spacing w:after="120" w:line="240" w:lineRule="auto"/>
              <w:rPr>
                <w:rFonts w:ascii="Times New Roman" w:hAnsi="Times New Roman" w:cs="Times New Roman"/>
              </w:rPr>
            </w:pPr>
            <w:r w:rsidRPr="00EF63DD">
              <w:rPr>
                <w:rFonts w:ascii="Times New Roman" w:hAnsi="Times New Roman" w:cs="Times New Roman"/>
              </w:rPr>
              <w:t>Zmiana nie ma wpływu na DNSH.</w:t>
            </w:r>
          </w:p>
        </w:tc>
      </w:tr>
      <w:tr w:rsidR="003733FD" w:rsidRPr="00A106E1" w14:paraId="03BDD997" w14:textId="77777777" w:rsidTr="00927429">
        <w:tc>
          <w:tcPr>
            <w:tcW w:w="1068" w:type="pct"/>
            <w:tcBorders>
              <w:bottom w:val="single" w:sz="4" w:space="0" w:color="auto"/>
            </w:tcBorders>
            <w:shd w:val="clear" w:color="auto" w:fill="FFFFFF" w:themeFill="background1"/>
          </w:tcPr>
          <w:p w14:paraId="4F76886B" w14:textId="333DC0C9" w:rsidR="003733FD" w:rsidRPr="00EF63DD" w:rsidRDefault="003733FD" w:rsidP="00927429">
            <w:pPr>
              <w:spacing w:after="120" w:line="240" w:lineRule="auto"/>
              <w:rPr>
                <w:rFonts w:ascii="Times New Roman" w:hAnsi="Times New Roman" w:cs="Times New Roman"/>
              </w:rPr>
            </w:pPr>
            <w:r w:rsidRPr="00EF63DD">
              <w:rPr>
                <w:rFonts w:ascii="Times New Roman" w:hAnsi="Times New Roman" w:cs="Times New Roman"/>
              </w:rPr>
              <w:t xml:space="preserve">Pomoc publiczna </w:t>
            </w:r>
          </w:p>
        </w:tc>
        <w:tc>
          <w:tcPr>
            <w:tcW w:w="3932" w:type="pct"/>
            <w:gridSpan w:val="2"/>
            <w:tcBorders>
              <w:bottom w:val="single" w:sz="4" w:space="0" w:color="auto"/>
            </w:tcBorders>
            <w:shd w:val="clear" w:color="auto" w:fill="FFFFFF" w:themeFill="background1"/>
          </w:tcPr>
          <w:p w14:paraId="1CE47734" w14:textId="7161A799" w:rsidR="003733FD" w:rsidRPr="00EF63DD" w:rsidRDefault="00E54FAC" w:rsidP="00927429">
            <w:pPr>
              <w:spacing w:after="120" w:line="240" w:lineRule="auto"/>
              <w:rPr>
                <w:rFonts w:ascii="Times New Roman" w:hAnsi="Times New Roman" w:cs="Times New Roman"/>
                <w:lang w:val="en-GB"/>
              </w:rPr>
            </w:pPr>
            <w:r>
              <w:rPr>
                <w:rFonts w:ascii="Times New Roman" w:hAnsi="Times New Roman" w:cs="Times New Roman"/>
              </w:rPr>
              <w:t xml:space="preserve">Nie dotyczy </w:t>
            </w:r>
          </w:p>
        </w:tc>
      </w:tr>
    </w:tbl>
    <w:p w14:paraId="573371F7" w14:textId="64406FBF" w:rsidR="003733FD" w:rsidRDefault="003733FD" w:rsidP="003733FD">
      <w:pPr>
        <w:rPr>
          <w:rFonts w:ascii="Times New Roman" w:hAnsi="Times New Roman" w:cs="Times New Roman"/>
          <w:b/>
          <w:bCs/>
          <w:sz w:val="26"/>
          <w:szCs w:val="26"/>
          <w:lang w:val="en-GB"/>
        </w:rPr>
      </w:pPr>
    </w:p>
    <w:p w14:paraId="1E4BF1AB" w14:textId="4A67982F" w:rsidR="005D64C9" w:rsidRDefault="005D64C9" w:rsidP="005D64C9">
      <w:pPr>
        <w:rPr>
          <w:rFonts w:ascii="Times New Roman" w:hAnsi="Times New Roman" w:cs="Times New Roman"/>
          <w:b/>
          <w:bCs/>
          <w:sz w:val="26"/>
          <w:szCs w:val="26"/>
        </w:rPr>
      </w:pPr>
      <w:r w:rsidRPr="00CC0687">
        <w:rPr>
          <w:rFonts w:ascii="Times New Roman" w:hAnsi="Times New Roman" w:cs="Times New Roman"/>
          <w:b/>
          <w:bCs/>
          <w:sz w:val="26"/>
          <w:szCs w:val="26"/>
        </w:rPr>
        <w:t>Komponent C Transformacja cyfrowa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7050"/>
      </w:tblGrid>
      <w:tr w:rsidR="005D64C9" w:rsidRPr="00EF63DD" w14:paraId="51ADFCAA" w14:textId="77777777" w:rsidTr="00F26277">
        <w:tc>
          <w:tcPr>
            <w:tcW w:w="1110" w:type="pct"/>
            <w:shd w:val="clear" w:color="auto" w:fill="auto"/>
          </w:tcPr>
          <w:p w14:paraId="793A4C9D" w14:textId="77777777" w:rsidR="005D64C9" w:rsidRPr="00EF63DD" w:rsidRDefault="005D64C9" w:rsidP="00F26277">
            <w:pPr>
              <w:spacing w:after="120" w:line="240" w:lineRule="auto"/>
              <w:rPr>
                <w:rFonts w:ascii="Times New Roman" w:hAnsi="Times New Roman" w:cs="Times New Roman"/>
                <w:b/>
                <w:bCs/>
              </w:rPr>
            </w:pPr>
            <w:r w:rsidRPr="00EF63DD">
              <w:rPr>
                <w:rFonts w:ascii="Times New Roman" w:hAnsi="Times New Roman" w:cs="Times New Roman"/>
                <w:b/>
                <w:bCs/>
              </w:rPr>
              <w:t>Numer inwestycji</w:t>
            </w:r>
          </w:p>
        </w:tc>
        <w:tc>
          <w:tcPr>
            <w:tcW w:w="3890" w:type="pct"/>
            <w:shd w:val="clear" w:color="auto" w:fill="auto"/>
          </w:tcPr>
          <w:p w14:paraId="4C9A2C9A" w14:textId="20411728" w:rsidR="005D64C9" w:rsidRPr="00EF63DD" w:rsidRDefault="005D64C9" w:rsidP="00C40440">
            <w:pPr>
              <w:pStyle w:val="Akapitzlist"/>
              <w:spacing w:after="120"/>
              <w:ind w:left="0" w:firstLine="34"/>
              <w:rPr>
                <w:b/>
                <w:bCs/>
                <w:sz w:val="22"/>
                <w:szCs w:val="22"/>
              </w:rPr>
            </w:pPr>
            <w:r>
              <w:rPr>
                <w:b/>
                <w:bCs/>
              </w:rPr>
              <w:t>C2.2.1</w:t>
            </w:r>
            <w:r w:rsidR="00A73A09">
              <w:rPr>
                <w:b/>
                <w:bCs/>
              </w:rPr>
              <w:t>.</w:t>
            </w:r>
          </w:p>
        </w:tc>
      </w:tr>
      <w:tr w:rsidR="005D64C9" w:rsidRPr="007336F5" w14:paraId="2901C7A0" w14:textId="77777777" w:rsidTr="00F26277">
        <w:tc>
          <w:tcPr>
            <w:tcW w:w="1110" w:type="pct"/>
            <w:shd w:val="clear" w:color="auto" w:fill="auto"/>
          </w:tcPr>
          <w:p w14:paraId="1AC2F51B" w14:textId="77777777" w:rsidR="005D64C9" w:rsidRPr="00EF63DD" w:rsidRDefault="005D64C9" w:rsidP="00C40440">
            <w:pPr>
              <w:pStyle w:val="Akapitzlist"/>
              <w:spacing w:after="120"/>
              <w:ind w:left="67"/>
              <w:rPr>
                <w:b/>
                <w:bCs/>
                <w:sz w:val="22"/>
                <w:szCs w:val="22"/>
              </w:rPr>
            </w:pPr>
            <w:r w:rsidRPr="00EF63DD">
              <w:rPr>
                <w:b/>
                <w:bCs/>
                <w:sz w:val="22"/>
                <w:szCs w:val="22"/>
              </w:rPr>
              <w:t xml:space="preserve">Nazwa inwestycji </w:t>
            </w:r>
          </w:p>
        </w:tc>
        <w:tc>
          <w:tcPr>
            <w:tcW w:w="3890" w:type="pct"/>
            <w:shd w:val="clear" w:color="auto" w:fill="auto"/>
          </w:tcPr>
          <w:p w14:paraId="4441BD23" w14:textId="61B07BFE" w:rsidR="005D64C9" w:rsidRPr="007336F5" w:rsidRDefault="005D64C9" w:rsidP="00C40440">
            <w:pPr>
              <w:pStyle w:val="Akapitzlist"/>
              <w:spacing w:after="120"/>
              <w:ind w:left="34"/>
              <w:rPr>
                <w:b/>
                <w:bCs/>
                <w:sz w:val="22"/>
                <w:szCs w:val="22"/>
              </w:rPr>
            </w:pPr>
            <w:r w:rsidRPr="00CC0687">
              <w:rPr>
                <w:b/>
                <w:bCs/>
                <w:sz w:val="22"/>
                <w:szCs w:val="22"/>
              </w:rPr>
              <w:t>C2.2.1</w:t>
            </w:r>
            <w:r w:rsidR="00175581">
              <w:rPr>
                <w:b/>
                <w:bCs/>
                <w:sz w:val="22"/>
                <w:szCs w:val="22"/>
              </w:rPr>
              <w:t>.</w:t>
            </w:r>
            <w:r w:rsidRPr="00CC0687">
              <w:rPr>
                <w:b/>
                <w:bCs/>
                <w:sz w:val="22"/>
                <w:szCs w:val="22"/>
              </w:rPr>
              <w:t xml:space="preserve"> Wyposażenie szkół/instytucji w odpowiednie urządzenia i infrastrukturę ICT w celu poprawy ogólnych wyników systemów edukacji</w:t>
            </w:r>
          </w:p>
        </w:tc>
      </w:tr>
      <w:tr w:rsidR="005D64C9" w:rsidRPr="00EF63DD" w14:paraId="3D9C53CC" w14:textId="77777777" w:rsidTr="00F26277">
        <w:trPr>
          <w:trHeight w:val="1212"/>
        </w:trPr>
        <w:tc>
          <w:tcPr>
            <w:tcW w:w="1110" w:type="pct"/>
            <w:shd w:val="clear" w:color="auto" w:fill="auto"/>
          </w:tcPr>
          <w:p w14:paraId="44540BC8" w14:textId="77777777" w:rsidR="005D64C9" w:rsidRPr="00EF63DD" w:rsidRDefault="005D64C9" w:rsidP="00F26277">
            <w:pPr>
              <w:pStyle w:val="Akapitzlist"/>
              <w:spacing w:after="120"/>
              <w:ind w:left="0"/>
              <w:rPr>
                <w:sz w:val="22"/>
                <w:szCs w:val="22"/>
              </w:rPr>
            </w:pPr>
            <w:r w:rsidRPr="00EF63DD">
              <w:rPr>
                <w:sz w:val="22"/>
                <w:szCs w:val="22"/>
              </w:rPr>
              <w:t>Rodzaj wprowadzonej zmiany w odniesieniu do CID</w:t>
            </w:r>
          </w:p>
        </w:tc>
        <w:tc>
          <w:tcPr>
            <w:tcW w:w="3890" w:type="pct"/>
            <w:shd w:val="clear" w:color="auto" w:fill="auto"/>
          </w:tcPr>
          <w:p w14:paraId="6754DC82" w14:textId="034629CE" w:rsidR="005D64C9" w:rsidRPr="00EF63DD" w:rsidRDefault="005D64C9" w:rsidP="00C40440">
            <w:pPr>
              <w:pStyle w:val="Akapitzlist"/>
              <w:spacing w:after="120"/>
              <w:ind w:left="43" w:hanging="9"/>
              <w:rPr>
                <w:sz w:val="22"/>
                <w:szCs w:val="22"/>
              </w:rPr>
            </w:pPr>
            <w:r>
              <w:rPr>
                <w:sz w:val="22"/>
                <w:szCs w:val="22"/>
              </w:rPr>
              <w:t xml:space="preserve">Przeniesienie inwestycji </w:t>
            </w:r>
            <w:r w:rsidR="00A73A09">
              <w:rPr>
                <w:sz w:val="22"/>
                <w:szCs w:val="22"/>
              </w:rPr>
              <w:t xml:space="preserve">z części pożyczkowej </w:t>
            </w:r>
            <w:r>
              <w:rPr>
                <w:sz w:val="22"/>
                <w:szCs w:val="22"/>
              </w:rPr>
              <w:t>do części grantowej KPO</w:t>
            </w:r>
            <w:r w:rsidR="00175581">
              <w:rPr>
                <w:sz w:val="22"/>
                <w:szCs w:val="22"/>
              </w:rPr>
              <w:t xml:space="preserve"> </w:t>
            </w:r>
          </w:p>
        </w:tc>
      </w:tr>
      <w:tr w:rsidR="005D64C9" w:rsidRPr="005917AF" w14:paraId="42991BA0" w14:textId="77777777" w:rsidTr="00F26277">
        <w:tc>
          <w:tcPr>
            <w:tcW w:w="1110" w:type="pct"/>
            <w:shd w:val="clear" w:color="auto" w:fill="auto"/>
          </w:tcPr>
          <w:p w14:paraId="31479A84" w14:textId="77777777" w:rsidR="005D64C9" w:rsidRPr="00EF63DD" w:rsidRDefault="005D64C9" w:rsidP="00C40440">
            <w:pPr>
              <w:pStyle w:val="Akapitzlist"/>
              <w:spacing w:after="120"/>
              <w:ind w:left="0"/>
              <w:rPr>
                <w:sz w:val="22"/>
                <w:szCs w:val="22"/>
              </w:rPr>
            </w:pPr>
            <w:r w:rsidRPr="00EF63DD">
              <w:rPr>
                <w:sz w:val="22"/>
                <w:szCs w:val="22"/>
              </w:rPr>
              <w:t>Podstawa prawna zmiany</w:t>
            </w:r>
          </w:p>
        </w:tc>
        <w:tc>
          <w:tcPr>
            <w:tcW w:w="3890" w:type="pct"/>
            <w:shd w:val="clear" w:color="auto" w:fill="auto"/>
          </w:tcPr>
          <w:p w14:paraId="22FF98E4" w14:textId="35BE7870" w:rsidR="005D64C9" w:rsidRPr="00A73A09" w:rsidRDefault="005D64C9" w:rsidP="00C40440">
            <w:pPr>
              <w:pStyle w:val="Akapitzlist"/>
              <w:ind w:left="43"/>
              <w:rPr>
                <w:sz w:val="22"/>
                <w:szCs w:val="22"/>
              </w:rPr>
            </w:pPr>
            <w:r w:rsidRPr="00C40440">
              <w:rPr>
                <w:sz w:val="22"/>
                <w:szCs w:val="22"/>
              </w:rPr>
              <w:t xml:space="preserve">Art. 18, ust. 2 </w:t>
            </w:r>
            <w:r w:rsidR="00A73A09" w:rsidRPr="00C40440">
              <w:rPr>
                <w:sz w:val="22"/>
                <w:szCs w:val="22"/>
              </w:rPr>
              <w:t xml:space="preserve">rozporządzenia Parlamentu Europejskiego i Rady (UE) 2021/241 z dnia 12 lutego 2021 r. ustanawiającego Instrument na rzecz Odbudowy i Zwiększania Odporności </w:t>
            </w:r>
          </w:p>
        </w:tc>
      </w:tr>
      <w:tr w:rsidR="005D64C9" w:rsidRPr="007C5A0C" w14:paraId="45DF5418" w14:textId="77777777" w:rsidTr="00F26277">
        <w:tc>
          <w:tcPr>
            <w:tcW w:w="1110" w:type="pct"/>
          </w:tcPr>
          <w:p w14:paraId="17EF1E64" w14:textId="77777777" w:rsidR="005D64C9" w:rsidRPr="00EF63DD" w:rsidRDefault="005D64C9" w:rsidP="00F26277">
            <w:pPr>
              <w:spacing w:after="120" w:line="240" w:lineRule="auto"/>
              <w:rPr>
                <w:rFonts w:ascii="Times New Roman" w:hAnsi="Times New Roman" w:cs="Times New Roman"/>
              </w:rPr>
            </w:pPr>
            <w:r w:rsidRPr="00EF63DD">
              <w:rPr>
                <w:rFonts w:ascii="Times New Roman" w:hAnsi="Times New Roman" w:cs="Times New Roman"/>
              </w:rPr>
              <w:t>Uzasadnienie</w:t>
            </w:r>
          </w:p>
        </w:tc>
        <w:tc>
          <w:tcPr>
            <w:tcW w:w="3890" w:type="pct"/>
          </w:tcPr>
          <w:p w14:paraId="4B6D944E" w14:textId="77777777" w:rsidR="005D64C9" w:rsidRPr="00F26277" w:rsidRDefault="005D64C9" w:rsidP="00F26277">
            <w:pPr>
              <w:spacing w:after="120" w:line="240" w:lineRule="auto"/>
              <w:rPr>
                <w:rFonts w:ascii="Times New Roman" w:hAnsi="Times New Roman" w:cs="Times New Roman"/>
              </w:rPr>
            </w:pPr>
            <w:r w:rsidRPr="00F26277">
              <w:rPr>
                <w:rFonts w:ascii="Times New Roman" w:hAnsi="Times New Roman" w:cs="Times New Roman"/>
              </w:rPr>
              <w:t>W związku z planowanymi w</w:t>
            </w:r>
            <w:r>
              <w:rPr>
                <w:rFonts w:ascii="Times New Roman" w:hAnsi="Times New Roman" w:cs="Times New Roman"/>
              </w:rPr>
              <w:t xml:space="preserve"> ramach rewizji KPO zmianami w alokacji części grantowej, planuje się przesunięcie do części grantowej KPO inwestycji C2.2.1, ponieważ w jej ramach udzielane dofinansowanie nie może być </w:t>
            </w:r>
            <w:r w:rsidRPr="007C5A0C">
              <w:rPr>
                <w:rFonts w:ascii="Times New Roman" w:hAnsi="Times New Roman" w:cs="Times New Roman"/>
              </w:rPr>
              <w:t>w żadnej formie zwracane przez odbiorców końcowych lub samorządy polskiemu rządowi.</w:t>
            </w:r>
          </w:p>
        </w:tc>
      </w:tr>
      <w:tr w:rsidR="005D64C9" w:rsidRPr="00460E47" w14:paraId="3840AA80" w14:textId="77777777" w:rsidTr="00F26277">
        <w:tc>
          <w:tcPr>
            <w:tcW w:w="1110" w:type="pct"/>
          </w:tcPr>
          <w:p w14:paraId="23A9FBCE" w14:textId="77777777" w:rsidR="005D64C9" w:rsidRPr="00EF63DD" w:rsidRDefault="005D64C9" w:rsidP="00F26277">
            <w:pPr>
              <w:spacing w:after="120" w:line="240" w:lineRule="auto"/>
              <w:rPr>
                <w:rFonts w:ascii="Times New Roman" w:hAnsi="Times New Roman" w:cs="Times New Roman"/>
              </w:rPr>
            </w:pPr>
            <w:r w:rsidRPr="00EF63DD">
              <w:rPr>
                <w:rFonts w:ascii="Times New Roman" w:hAnsi="Times New Roman" w:cs="Times New Roman"/>
              </w:rPr>
              <w:t>Szacowany koszt</w:t>
            </w:r>
          </w:p>
        </w:tc>
        <w:tc>
          <w:tcPr>
            <w:tcW w:w="3890" w:type="pct"/>
            <w:shd w:val="clear" w:color="auto" w:fill="auto"/>
          </w:tcPr>
          <w:p w14:paraId="4B2DD491" w14:textId="671F27CB" w:rsidR="005D64C9" w:rsidRPr="00460E47" w:rsidRDefault="005D64C9" w:rsidP="00F26277">
            <w:pPr>
              <w:spacing w:after="120" w:line="240" w:lineRule="auto"/>
              <w:rPr>
                <w:rFonts w:ascii="Times New Roman" w:hAnsi="Times New Roman" w:cs="Times New Roman"/>
                <w:b/>
                <w:bCs/>
              </w:rPr>
            </w:pPr>
            <w:r w:rsidRPr="00460E47">
              <w:rPr>
                <w:rFonts w:ascii="Times New Roman" w:hAnsi="Times New Roman" w:cs="Times New Roman"/>
              </w:rPr>
              <w:t xml:space="preserve">Zmiana </w:t>
            </w:r>
            <w:r w:rsidR="00175581">
              <w:rPr>
                <w:rFonts w:ascii="Times New Roman" w:hAnsi="Times New Roman" w:cs="Times New Roman"/>
              </w:rPr>
              <w:t>wpływa na wartość części pożyczkowej KPO</w:t>
            </w:r>
          </w:p>
        </w:tc>
      </w:tr>
      <w:tr w:rsidR="005D64C9" w:rsidRPr="00460E47" w14:paraId="62EE86D7" w14:textId="77777777" w:rsidTr="00F26277">
        <w:tc>
          <w:tcPr>
            <w:tcW w:w="1110" w:type="pct"/>
          </w:tcPr>
          <w:p w14:paraId="23D9B297" w14:textId="77777777" w:rsidR="005D64C9" w:rsidRPr="00EF63DD" w:rsidRDefault="005D64C9" w:rsidP="00F26277">
            <w:pPr>
              <w:spacing w:after="120" w:line="240" w:lineRule="auto"/>
              <w:rPr>
                <w:rFonts w:ascii="Times New Roman" w:hAnsi="Times New Roman" w:cs="Times New Roman"/>
              </w:rPr>
            </w:pPr>
            <w:r w:rsidRPr="00EF63DD">
              <w:rPr>
                <w:rFonts w:ascii="Times New Roman" w:hAnsi="Times New Roman" w:cs="Times New Roman"/>
              </w:rPr>
              <w:t xml:space="preserve">Cyfrowy i klimatyczny </w:t>
            </w:r>
            <w:proofErr w:type="spellStart"/>
            <w:r w:rsidRPr="00EF63DD">
              <w:rPr>
                <w:rFonts w:ascii="Times New Roman" w:hAnsi="Times New Roman" w:cs="Times New Roman"/>
              </w:rPr>
              <w:t>tagging</w:t>
            </w:r>
            <w:proofErr w:type="spellEnd"/>
            <w:r w:rsidRPr="00EF63DD">
              <w:rPr>
                <w:rFonts w:ascii="Times New Roman" w:hAnsi="Times New Roman" w:cs="Times New Roman"/>
              </w:rPr>
              <w:t xml:space="preserve"> </w:t>
            </w:r>
          </w:p>
        </w:tc>
        <w:tc>
          <w:tcPr>
            <w:tcW w:w="3890" w:type="pct"/>
            <w:shd w:val="clear" w:color="auto" w:fill="auto"/>
          </w:tcPr>
          <w:p w14:paraId="71A50645" w14:textId="3FBE1D0F" w:rsidR="005D64C9" w:rsidRPr="00460E47" w:rsidRDefault="005D64C9" w:rsidP="00F26277">
            <w:pPr>
              <w:spacing w:after="120" w:line="240" w:lineRule="auto"/>
              <w:rPr>
                <w:rFonts w:ascii="Times New Roman" w:hAnsi="Times New Roman" w:cs="Times New Roman"/>
              </w:rPr>
            </w:pPr>
            <w:r w:rsidRPr="00460E47">
              <w:rPr>
                <w:rFonts w:ascii="Times New Roman" w:hAnsi="Times New Roman" w:cs="Times New Roman"/>
              </w:rPr>
              <w:t xml:space="preserve">Zmiana nie ma wpływu na </w:t>
            </w:r>
            <w:proofErr w:type="spellStart"/>
            <w:r w:rsidRPr="00460E47">
              <w:rPr>
                <w:rFonts w:ascii="Times New Roman" w:hAnsi="Times New Roman" w:cs="Times New Roman"/>
              </w:rPr>
              <w:t>tagging</w:t>
            </w:r>
            <w:proofErr w:type="spellEnd"/>
            <w:r w:rsidRPr="00460E47">
              <w:rPr>
                <w:rFonts w:ascii="Times New Roman" w:hAnsi="Times New Roman" w:cs="Times New Roman"/>
              </w:rPr>
              <w:t xml:space="preserve"> klimatyczny i cyfrowy</w:t>
            </w:r>
            <w:r w:rsidR="00175581">
              <w:rPr>
                <w:rFonts w:ascii="Times New Roman" w:hAnsi="Times New Roman" w:cs="Times New Roman"/>
              </w:rPr>
              <w:t xml:space="preserve"> (nie zmienia się wartość inwestycji)</w:t>
            </w:r>
          </w:p>
        </w:tc>
      </w:tr>
      <w:tr w:rsidR="005D64C9" w:rsidRPr="00460E47" w14:paraId="7615525A" w14:textId="77777777" w:rsidTr="00F26277">
        <w:tc>
          <w:tcPr>
            <w:tcW w:w="1110" w:type="pct"/>
            <w:tcBorders>
              <w:bottom w:val="single" w:sz="4" w:space="0" w:color="auto"/>
            </w:tcBorders>
          </w:tcPr>
          <w:p w14:paraId="73B7D705" w14:textId="77777777" w:rsidR="005D64C9" w:rsidRPr="00EF63DD" w:rsidRDefault="005D64C9" w:rsidP="00F26277">
            <w:pPr>
              <w:spacing w:after="120" w:line="240" w:lineRule="auto"/>
              <w:rPr>
                <w:rFonts w:ascii="Times New Roman" w:hAnsi="Times New Roman" w:cs="Times New Roman"/>
              </w:rPr>
            </w:pPr>
            <w:r w:rsidRPr="00EF63DD">
              <w:rPr>
                <w:rFonts w:ascii="Times New Roman" w:hAnsi="Times New Roman" w:cs="Times New Roman"/>
              </w:rPr>
              <w:t xml:space="preserve">Zasada DNSH </w:t>
            </w:r>
          </w:p>
        </w:tc>
        <w:tc>
          <w:tcPr>
            <w:tcW w:w="3890" w:type="pct"/>
            <w:tcBorders>
              <w:bottom w:val="single" w:sz="4" w:space="0" w:color="auto"/>
            </w:tcBorders>
            <w:shd w:val="clear" w:color="auto" w:fill="auto"/>
          </w:tcPr>
          <w:p w14:paraId="6EC0D0C0" w14:textId="77777777" w:rsidR="005D64C9" w:rsidRPr="00460E47" w:rsidRDefault="005D64C9" w:rsidP="00F26277">
            <w:pPr>
              <w:spacing w:after="120" w:line="240" w:lineRule="auto"/>
              <w:rPr>
                <w:rFonts w:ascii="Times New Roman" w:hAnsi="Times New Roman" w:cs="Times New Roman"/>
              </w:rPr>
            </w:pPr>
            <w:r w:rsidRPr="00460E47">
              <w:rPr>
                <w:rFonts w:ascii="Times New Roman" w:hAnsi="Times New Roman" w:cs="Times New Roman"/>
              </w:rPr>
              <w:t>Zmiana nie ma wpływu na DNSH</w:t>
            </w:r>
          </w:p>
        </w:tc>
      </w:tr>
      <w:tr w:rsidR="005D64C9" w:rsidRPr="00460E47" w14:paraId="67D4C964" w14:textId="77777777" w:rsidTr="00F26277">
        <w:tc>
          <w:tcPr>
            <w:tcW w:w="1110" w:type="pct"/>
            <w:tcBorders>
              <w:bottom w:val="single" w:sz="4" w:space="0" w:color="auto"/>
            </w:tcBorders>
          </w:tcPr>
          <w:p w14:paraId="2B054999" w14:textId="77777777" w:rsidR="005D64C9" w:rsidRPr="00EF63DD" w:rsidRDefault="005D64C9" w:rsidP="00F26277">
            <w:pPr>
              <w:spacing w:after="120" w:line="240" w:lineRule="auto"/>
              <w:rPr>
                <w:rFonts w:ascii="Times New Roman" w:hAnsi="Times New Roman" w:cs="Times New Roman"/>
              </w:rPr>
            </w:pPr>
            <w:r w:rsidRPr="00EF63DD">
              <w:rPr>
                <w:rFonts w:ascii="Times New Roman" w:hAnsi="Times New Roman" w:cs="Times New Roman"/>
              </w:rPr>
              <w:t xml:space="preserve">Pomoc publiczna </w:t>
            </w:r>
          </w:p>
        </w:tc>
        <w:tc>
          <w:tcPr>
            <w:tcW w:w="3890" w:type="pct"/>
            <w:tcBorders>
              <w:bottom w:val="single" w:sz="4" w:space="0" w:color="auto"/>
            </w:tcBorders>
            <w:shd w:val="clear" w:color="auto" w:fill="auto"/>
          </w:tcPr>
          <w:p w14:paraId="04E532A6" w14:textId="3146960D" w:rsidR="005D64C9" w:rsidRPr="00460E47" w:rsidRDefault="00A73A09" w:rsidP="00F26277">
            <w:pPr>
              <w:spacing w:after="120" w:line="240" w:lineRule="auto"/>
              <w:rPr>
                <w:rFonts w:ascii="Times New Roman" w:hAnsi="Times New Roman" w:cs="Times New Roman"/>
              </w:rPr>
            </w:pPr>
            <w:r>
              <w:rPr>
                <w:rFonts w:ascii="Times New Roman" w:hAnsi="Times New Roman" w:cs="Times New Roman"/>
              </w:rPr>
              <w:t>Nie dotyczy</w:t>
            </w:r>
          </w:p>
        </w:tc>
      </w:tr>
    </w:tbl>
    <w:p w14:paraId="666F088D" w14:textId="77777777" w:rsidR="005D64C9" w:rsidRDefault="005D64C9" w:rsidP="003733FD">
      <w:pPr>
        <w:rPr>
          <w:rFonts w:ascii="Times New Roman" w:hAnsi="Times New Roman" w:cs="Times New Roman"/>
          <w:b/>
          <w:bCs/>
          <w:sz w:val="26"/>
          <w:szCs w:val="26"/>
        </w:rPr>
      </w:pPr>
    </w:p>
    <w:p w14:paraId="18EF4FF6" w14:textId="7BF73B7F" w:rsidR="00A73A09" w:rsidRDefault="003733FD" w:rsidP="003733FD">
      <w:pPr>
        <w:spacing w:after="120" w:line="240" w:lineRule="auto"/>
        <w:rPr>
          <w:rFonts w:ascii="Times New Roman" w:hAnsi="Times New Roman" w:cs="Times New Roman"/>
          <w:b/>
          <w:bCs/>
          <w:sz w:val="26"/>
          <w:szCs w:val="26"/>
        </w:rPr>
      </w:pPr>
      <w:r w:rsidRPr="00870400">
        <w:rPr>
          <w:rFonts w:ascii="Times New Roman" w:hAnsi="Times New Roman" w:cs="Times New Roman"/>
          <w:b/>
          <w:bCs/>
          <w:sz w:val="26"/>
          <w:szCs w:val="26"/>
        </w:rPr>
        <w:t>Komponent D Efektywność, dostępność i jakość systemu ochrony zdrowia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6998"/>
      </w:tblGrid>
      <w:tr w:rsidR="00A73A09" w:rsidRPr="00430CEC" w14:paraId="0752861A" w14:textId="77777777" w:rsidTr="003B4E6E">
        <w:tc>
          <w:tcPr>
            <w:tcW w:w="1139" w:type="pct"/>
            <w:shd w:val="clear" w:color="auto" w:fill="auto"/>
          </w:tcPr>
          <w:p w14:paraId="0C5C9516" w14:textId="77777777" w:rsidR="00A73A09" w:rsidRPr="00430CEC" w:rsidRDefault="00A73A09" w:rsidP="003B4E6E">
            <w:pPr>
              <w:spacing w:after="120" w:line="240" w:lineRule="auto"/>
              <w:rPr>
                <w:rFonts w:ascii="Times New Roman" w:hAnsi="Times New Roman" w:cs="Times New Roman"/>
                <w:b/>
                <w:bCs/>
              </w:rPr>
            </w:pPr>
            <w:r w:rsidRPr="00430CEC">
              <w:rPr>
                <w:rFonts w:ascii="Times New Roman" w:hAnsi="Times New Roman" w:cs="Times New Roman"/>
                <w:b/>
                <w:bCs/>
              </w:rPr>
              <w:t>Numer inwestycji</w:t>
            </w:r>
          </w:p>
        </w:tc>
        <w:tc>
          <w:tcPr>
            <w:tcW w:w="3861" w:type="pct"/>
            <w:shd w:val="clear" w:color="auto" w:fill="auto"/>
          </w:tcPr>
          <w:p w14:paraId="56D01215" w14:textId="527F9600" w:rsidR="00A73A09" w:rsidRPr="00430CEC" w:rsidRDefault="00A73A09" w:rsidP="00C40440">
            <w:pPr>
              <w:pStyle w:val="Akapitzlist"/>
              <w:spacing w:after="120"/>
              <w:ind w:left="550" w:hanging="567"/>
              <w:rPr>
                <w:b/>
                <w:bCs/>
                <w:sz w:val="22"/>
                <w:szCs w:val="22"/>
              </w:rPr>
            </w:pPr>
            <w:r w:rsidRPr="007A4127">
              <w:rPr>
                <w:b/>
                <w:bCs/>
                <w:sz w:val="22"/>
                <w:szCs w:val="22"/>
              </w:rPr>
              <w:t>D1.2.1</w:t>
            </w:r>
            <w:r>
              <w:rPr>
                <w:b/>
                <w:bCs/>
              </w:rPr>
              <w:t>.</w:t>
            </w:r>
          </w:p>
        </w:tc>
      </w:tr>
      <w:tr w:rsidR="00A73A09" w:rsidRPr="0020386D" w14:paraId="50BFF610" w14:textId="77777777" w:rsidTr="003B4E6E">
        <w:tc>
          <w:tcPr>
            <w:tcW w:w="1139" w:type="pct"/>
            <w:shd w:val="clear" w:color="auto" w:fill="auto"/>
          </w:tcPr>
          <w:p w14:paraId="03EF3817" w14:textId="77777777" w:rsidR="00A73A09" w:rsidRPr="00430CEC" w:rsidRDefault="00A73A09" w:rsidP="00C40440">
            <w:pPr>
              <w:pStyle w:val="Akapitzlist"/>
              <w:spacing w:after="120"/>
              <w:ind w:left="67"/>
              <w:rPr>
                <w:b/>
                <w:bCs/>
                <w:sz w:val="22"/>
                <w:szCs w:val="22"/>
              </w:rPr>
            </w:pPr>
            <w:r w:rsidRPr="00430CEC">
              <w:rPr>
                <w:b/>
                <w:bCs/>
                <w:sz w:val="22"/>
                <w:szCs w:val="22"/>
              </w:rPr>
              <w:t xml:space="preserve">Nazwa inwestycji </w:t>
            </w:r>
          </w:p>
        </w:tc>
        <w:tc>
          <w:tcPr>
            <w:tcW w:w="3861" w:type="pct"/>
            <w:shd w:val="clear" w:color="auto" w:fill="auto"/>
          </w:tcPr>
          <w:p w14:paraId="4FAD91D2" w14:textId="2F38E812" w:rsidR="00A73A09" w:rsidRPr="00A73A09" w:rsidRDefault="00A73A09" w:rsidP="00C40440">
            <w:pPr>
              <w:pStyle w:val="Akapitzlist"/>
              <w:spacing w:after="120"/>
              <w:ind w:left="0"/>
              <w:rPr>
                <w:b/>
                <w:bCs/>
                <w:sz w:val="22"/>
                <w:szCs w:val="22"/>
              </w:rPr>
            </w:pPr>
            <w:r w:rsidRPr="007A4127">
              <w:rPr>
                <w:b/>
                <w:bCs/>
                <w:sz w:val="22"/>
                <w:szCs w:val="22"/>
              </w:rPr>
              <w:t>Rozwój opieki długoterminowej poprzez modernizację infrastruktury podmiotów leczniczych na poziomie powiatowym</w:t>
            </w:r>
            <w:r w:rsidRPr="00430CEC" w:rsidDel="007A4127">
              <w:rPr>
                <w:sz w:val="22"/>
                <w:szCs w:val="22"/>
                <w:lang w:eastAsia="pl-PL"/>
              </w:rPr>
              <w:t xml:space="preserve"> </w:t>
            </w:r>
          </w:p>
        </w:tc>
      </w:tr>
      <w:tr w:rsidR="00A73A09" w:rsidRPr="007A4127" w14:paraId="2E6016B6" w14:textId="77777777" w:rsidTr="003B4E6E">
        <w:trPr>
          <w:trHeight w:val="1212"/>
        </w:trPr>
        <w:tc>
          <w:tcPr>
            <w:tcW w:w="1139" w:type="pct"/>
            <w:shd w:val="clear" w:color="auto" w:fill="auto"/>
          </w:tcPr>
          <w:p w14:paraId="6F4F964E" w14:textId="77777777" w:rsidR="00A73A09" w:rsidRPr="00430CEC" w:rsidRDefault="00A73A09" w:rsidP="00C40440">
            <w:pPr>
              <w:pStyle w:val="Akapitzlist"/>
              <w:spacing w:after="120"/>
              <w:ind w:left="67"/>
              <w:rPr>
                <w:sz w:val="22"/>
                <w:szCs w:val="22"/>
              </w:rPr>
            </w:pPr>
            <w:r w:rsidRPr="00430CEC">
              <w:rPr>
                <w:sz w:val="22"/>
                <w:szCs w:val="22"/>
              </w:rPr>
              <w:t>Rodzaj wprowadzonej zmiany w odniesieniu do CID</w:t>
            </w:r>
          </w:p>
        </w:tc>
        <w:tc>
          <w:tcPr>
            <w:tcW w:w="3861" w:type="pct"/>
            <w:shd w:val="clear" w:color="auto" w:fill="auto"/>
          </w:tcPr>
          <w:p w14:paraId="5B462E03" w14:textId="43F86AC7" w:rsidR="00A73A09" w:rsidRPr="007A4127" w:rsidRDefault="00A73A09" w:rsidP="003B4E6E">
            <w:r w:rsidRPr="007A4127">
              <w:rPr>
                <w:rFonts w:ascii="Times New Roman" w:eastAsia="Calibri" w:hAnsi="Times New Roman" w:cs="Times New Roman"/>
                <w:color w:val="000000"/>
                <w:sz w:val="24"/>
                <w:szCs w:val="24"/>
                <w:lang w:eastAsia="en-GB"/>
              </w:rPr>
              <w:t>P</w:t>
            </w:r>
            <w:r>
              <w:rPr>
                <w:rFonts w:ascii="Times New Roman" w:hAnsi="Times New Roman" w:cs="Times New Roman"/>
              </w:rPr>
              <w:t>roponowane jest przeniesienie inwestycji z części pożyczkowej do części grantowej KPO (do inwestycji D1.1.1.) i zwiększenie budżetu do 300 mln EUR.</w:t>
            </w:r>
          </w:p>
        </w:tc>
      </w:tr>
      <w:tr w:rsidR="00A73A09" w:rsidRPr="00A73A09" w14:paraId="50A0DA44" w14:textId="77777777" w:rsidTr="003B4E6E">
        <w:tc>
          <w:tcPr>
            <w:tcW w:w="1139" w:type="pct"/>
            <w:shd w:val="clear" w:color="auto" w:fill="auto"/>
          </w:tcPr>
          <w:p w14:paraId="375413FE" w14:textId="77777777" w:rsidR="00A73A09" w:rsidRPr="00430CEC" w:rsidRDefault="00A73A09" w:rsidP="00C40440">
            <w:pPr>
              <w:pStyle w:val="Akapitzlist"/>
              <w:spacing w:after="120"/>
              <w:ind w:left="67"/>
              <w:rPr>
                <w:sz w:val="22"/>
                <w:szCs w:val="22"/>
              </w:rPr>
            </w:pPr>
            <w:r w:rsidRPr="00430CEC">
              <w:rPr>
                <w:sz w:val="22"/>
                <w:szCs w:val="22"/>
              </w:rPr>
              <w:t>Podstawa prawna zmiany</w:t>
            </w:r>
          </w:p>
        </w:tc>
        <w:tc>
          <w:tcPr>
            <w:tcW w:w="3861" w:type="pct"/>
            <w:shd w:val="clear" w:color="auto" w:fill="auto"/>
          </w:tcPr>
          <w:p w14:paraId="639E72A4" w14:textId="1FB73ED1" w:rsidR="00A73A09" w:rsidRPr="00A73A09" w:rsidRDefault="00A73A09" w:rsidP="00C40440">
            <w:pPr>
              <w:pStyle w:val="Akapitzlist"/>
              <w:ind w:left="0"/>
              <w:rPr>
                <w:sz w:val="22"/>
                <w:szCs w:val="22"/>
              </w:rPr>
            </w:pPr>
            <w:r w:rsidRPr="003B4E6E">
              <w:rPr>
                <w:sz w:val="22"/>
                <w:szCs w:val="22"/>
              </w:rPr>
              <w:t>Art. 18, ust. 2 rozporządzenia Parlamentu Europejskiego i Rady (UE) 2021/241 z dnia 12 lutego 2021 r. ustanawiającego Instrument na rzecz Odbudowy i Zwiększania Odporności</w:t>
            </w:r>
          </w:p>
        </w:tc>
      </w:tr>
      <w:tr w:rsidR="00A73A09" w:rsidRPr="00A26E88" w14:paraId="4FF482E8" w14:textId="77777777" w:rsidTr="003B4E6E">
        <w:tc>
          <w:tcPr>
            <w:tcW w:w="1139" w:type="pct"/>
          </w:tcPr>
          <w:p w14:paraId="45E230A1" w14:textId="77777777" w:rsidR="00A73A09" w:rsidRPr="00430CEC" w:rsidRDefault="00A73A09" w:rsidP="003B4E6E">
            <w:pPr>
              <w:spacing w:after="120" w:line="240" w:lineRule="auto"/>
              <w:rPr>
                <w:rFonts w:ascii="Times New Roman" w:hAnsi="Times New Roman" w:cs="Times New Roman"/>
              </w:rPr>
            </w:pPr>
            <w:r w:rsidRPr="00430CEC">
              <w:rPr>
                <w:rFonts w:ascii="Times New Roman" w:hAnsi="Times New Roman" w:cs="Times New Roman"/>
              </w:rPr>
              <w:t>Uzasadnienie</w:t>
            </w:r>
          </w:p>
        </w:tc>
        <w:tc>
          <w:tcPr>
            <w:tcW w:w="3861" w:type="pct"/>
          </w:tcPr>
          <w:p w14:paraId="166F8957" w14:textId="56ACE23C" w:rsidR="00A73A09" w:rsidRPr="00C40440" w:rsidRDefault="00A73A09" w:rsidP="00C40440">
            <w:pPr>
              <w:autoSpaceDE w:val="0"/>
              <w:autoSpaceDN w:val="0"/>
              <w:adjustRightInd w:val="0"/>
              <w:spacing w:after="0" w:line="240" w:lineRule="auto"/>
              <w:rPr>
                <w:rFonts w:ascii="Times New Roman" w:hAnsi="Times New Roman" w:cs="Times New Roman"/>
              </w:rPr>
            </w:pPr>
            <w:bookmarkStart w:id="8" w:name="_Hlk161302942"/>
            <w:r w:rsidRPr="007A4127">
              <w:rPr>
                <w:rFonts w:ascii="Times New Roman" w:hAnsi="Times New Roman" w:cs="Times New Roman"/>
              </w:rPr>
              <w:t xml:space="preserve">Proponowane jest przeniesienie inwestycji z </w:t>
            </w:r>
            <w:r w:rsidRPr="007A4127">
              <w:rPr>
                <w:rFonts w:ascii="Times New Roman" w:hAnsi="Times New Roman" w:cs="Times New Roman"/>
                <w:i/>
                <w:iCs/>
              </w:rPr>
              <w:t xml:space="preserve">D1.2.1 Rozwój opieki długoterminowej poprzez modernizację infrastruktury podmiotów leczniczych </w:t>
            </w:r>
            <w:r w:rsidRPr="007A4127">
              <w:rPr>
                <w:rFonts w:ascii="Times New Roman" w:hAnsi="Times New Roman" w:cs="Times New Roman"/>
                <w:i/>
                <w:iCs/>
              </w:rPr>
              <w:lastRenderedPageBreak/>
              <w:t>na poziomie powiatowym</w:t>
            </w:r>
            <w:r w:rsidRPr="007A4127">
              <w:rPr>
                <w:rFonts w:ascii="Times New Roman" w:hAnsi="Times New Roman" w:cs="Times New Roman"/>
              </w:rPr>
              <w:t xml:space="preserve"> części pożyczkowej do części grantowej z uwagi na fakt, że reforma D1.1 musi być traktowana całościowo i obejmuje również istotny obszar jakim jest opieka długoterminowa. </w:t>
            </w:r>
            <w:bookmarkEnd w:id="8"/>
          </w:p>
        </w:tc>
      </w:tr>
      <w:tr w:rsidR="00A73A09" w:rsidRPr="00430CEC" w14:paraId="432AA03E" w14:textId="77777777" w:rsidTr="003B4E6E">
        <w:tc>
          <w:tcPr>
            <w:tcW w:w="1139" w:type="pct"/>
          </w:tcPr>
          <w:p w14:paraId="724ECFE0" w14:textId="77777777" w:rsidR="00A73A09" w:rsidRPr="00430CEC" w:rsidRDefault="00A73A09" w:rsidP="003B4E6E">
            <w:pPr>
              <w:spacing w:after="120" w:line="240" w:lineRule="auto"/>
              <w:rPr>
                <w:rFonts w:ascii="Times New Roman" w:hAnsi="Times New Roman" w:cs="Times New Roman"/>
              </w:rPr>
            </w:pPr>
            <w:r w:rsidRPr="00430CEC">
              <w:rPr>
                <w:rFonts w:ascii="Times New Roman" w:hAnsi="Times New Roman" w:cs="Times New Roman"/>
              </w:rPr>
              <w:lastRenderedPageBreak/>
              <w:t>Szacowany koszt</w:t>
            </w:r>
          </w:p>
        </w:tc>
        <w:tc>
          <w:tcPr>
            <w:tcW w:w="3861" w:type="pct"/>
          </w:tcPr>
          <w:p w14:paraId="5489BD29" w14:textId="19F4CD6E" w:rsidR="00A73A09" w:rsidRPr="00430CEC" w:rsidRDefault="00175581" w:rsidP="003B4E6E">
            <w:pPr>
              <w:spacing w:after="120" w:line="240" w:lineRule="auto"/>
              <w:rPr>
                <w:rFonts w:ascii="Times New Roman" w:hAnsi="Times New Roman" w:cs="Times New Roman"/>
                <w:b/>
                <w:bCs/>
              </w:rPr>
            </w:pPr>
            <w:r w:rsidRPr="00460E47">
              <w:rPr>
                <w:rFonts w:ascii="Times New Roman" w:hAnsi="Times New Roman" w:cs="Times New Roman"/>
              </w:rPr>
              <w:t xml:space="preserve">Zmiana </w:t>
            </w:r>
            <w:r>
              <w:rPr>
                <w:rFonts w:ascii="Times New Roman" w:hAnsi="Times New Roman" w:cs="Times New Roman"/>
              </w:rPr>
              <w:t>wpływa na wartość części pożyczkowej KPO</w:t>
            </w:r>
          </w:p>
        </w:tc>
      </w:tr>
      <w:tr w:rsidR="00A73A09" w:rsidRPr="00430CEC" w14:paraId="3F320DFF" w14:textId="77777777" w:rsidTr="003B4E6E">
        <w:tc>
          <w:tcPr>
            <w:tcW w:w="1139" w:type="pct"/>
          </w:tcPr>
          <w:p w14:paraId="555235E6" w14:textId="77777777" w:rsidR="00A73A09" w:rsidRPr="00430CEC" w:rsidRDefault="00A73A09" w:rsidP="003B4E6E">
            <w:pPr>
              <w:spacing w:after="120" w:line="240" w:lineRule="auto"/>
              <w:rPr>
                <w:rFonts w:ascii="Times New Roman" w:hAnsi="Times New Roman" w:cs="Times New Roman"/>
              </w:rPr>
            </w:pPr>
            <w:r w:rsidRPr="00430CEC">
              <w:rPr>
                <w:rFonts w:ascii="Times New Roman" w:hAnsi="Times New Roman" w:cs="Times New Roman"/>
              </w:rPr>
              <w:t xml:space="preserve">Cyfrowy i klimatyczny </w:t>
            </w:r>
            <w:proofErr w:type="spellStart"/>
            <w:r w:rsidRPr="00430CEC">
              <w:rPr>
                <w:rFonts w:ascii="Times New Roman" w:hAnsi="Times New Roman" w:cs="Times New Roman"/>
              </w:rPr>
              <w:t>tagging</w:t>
            </w:r>
            <w:proofErr w:type="spellEnd"/>
            <w:r w:rsidRPr="00430CEC">
              <w:rPr>
                <w:rFonts w:ascii="Times New Roman" w:hAnsi="Times New Roman" w:cs="Times New Roman"/>
              </w:rPr>
              <w:t xml:space="preserve"> </w:t>
            </w:r>
          </w:p>
        </w:tc>
        <w:tc>
          <w:tcPr>
            <w:tcW w:w="3861" w:type="pct"/>
          </w:tcPr>
          <w:p w14:paraId="4DEAAE6B" w14:textId="77777777" w:rsidR="00A73A09" w:rsidRPr="00430CEC" w:rsidRDefault="00A73A09" w:rsidP="003B4E6E">
            <w:pPr>
              <w:spacing w:after="120" w:line="240" w:lineRule="auto"/>
              <w:rPr>
                <w:rFonts w:ascii="Times New Roman" w:hAnsi="Times New Roman" w:cs="Times New Roman"/>
              </w:rPr>
            </w:pPr>
            <w:r w:rsidRPr="00430CEC">
              <w:rPr>
                <w:rFonts w:ascii="Times New Roman" w:hAnsi="Times New Roman" w:cs="Times New Roman"/>
              </w:rPr>
              <w:t xml:space="preserve">Zmiana nie ma wpływu na </w:t>
            </w:r>
            <w:proofErr w:type="spellStart"/>
            <w:r w:rsidRPr="00430CEC">
              <w:rPr>
                <w:rFonts w:ascii="Times New Roman" w:hAnsi="Times New Roman" w:cs="Times New Roman"/>
              </w:rPr>
              <w:t>tagging</w:t>
            </w:r>
            <w:proofErr w:type="spellEnd"/>
            <w:r w:rsidRPr="00430CEC">
              <w:rPr>
                <w:rFonts w:ascii="Times New Roman" w:hAnsi="Times New Roman" w:cs="Times New Roman"/>
              </w:rPr>
              <w:t xml:space="preserve"> klimatyczny i cyfrowy</w:t>
            </w:r>
          </w:p>
        </w:tc>
      </w:tr>
      <w:tr w:rsidR="00A73A09" w:rsidRPr="00430CEC" w14:paraId="43D71A4F" w14:textId="77777777" w:rsidTr="003B4E6E">
        <w:tc>
          <w:tcPr>
            <w:tcW w:w="1139" w:type="pct"/>
            <w:tcBorders>
              <w:bottom w:val="single" w:sz="4" w:space="0" w:color="auto"/>
            </w:tcBorders>
          </w:tcPr>
          <w:p w14:paraId="7E4FC247" w14:textId="77777777" w:rsidR="00A73A09" w:rsidRPr="00430CEC" w:rsidRDefault="00A73A09" w:rsidP="003B4E6E">
            <w:pPr>
              <w:spacing w:after="120" w:line="240" w:lineRule="auto"/>
              <w:rPr>
                <w:rFonts w:ascii="Times New Roman" w:hAnsi="Times New Roman" w:cs="Times New Roman"/>
              </w:rPr>
            </w:pPr>
            <w:r w:rsidRPr="00430CEC">
              <w:rPr>
                <w:rFonts w:ascii="Times New Roman" w:hAnsi="Times New Roman" w:cs="Times New Roman"/>
              </w:rPr>
              <w:t xml:space="preserve">Zasada DNSH </w:t>
            </w:r>
          </w:p>
        </w:tc>
        <w:tc>
          <w:tcPr>
            <w:tcW w:w="3861" w:type="pct"/>
            <w:tcBorders>
              <w:bottom w:val="single" w:sz="4" w:space="0" w:color="auto"/>
            </w:tcBorders>
          </w:tcPr>
          <w:p w14:paraId="54DD2B68" w14:textId="77777777" w:rsidR="00A73A09" w:rsidRPr="00430CEC" w:rsidRDefault="00A73A09" w:rsidP="003B4E6E">
            <w:pPr>
              <w:spacing w:after="120" w:line="240" w:lineRule="auto"/>
              <w:rPr>
                <w:rFonts w:ascii="Times New Roman" w:hAnsi="Times New Roman" w:cs="Times New Roman"/>
              </w:rPr>
            </w:pPr>
            <w:r w:rsidRPr="00430CEC">
              <w:rPr>
                <w:rFonts w:ascii="Times New Roman" w:hAnsi="Times New Roman" w:cs="Times New Roman"/>
              </w:rPr>
              <w:t>Zmiana nie ma wpływu na DNSH</w:t>
            </w:r>
          </w:p>
        </w:tc>
      </w:tr>
      <w:tr w:rsidR="00A73A09" w:rsidRPr="006954CE" w14:paraId="305A9C57" w14:textId="77777777" w:rsidTr="003B4E6E">
        <w:tc>
          <w:tcPr>
            <w:tcW w:w="1139" w:type="pct"/>
            <w:tcBorders>
              <w:bottom w:val="single" w:sz="4" w:space="0" w:color="auto"/>
            </w:tcBorders>
          </w:tcPr>
          <w:p w14:paraId="2E192743" w14:textId="77777777" w:rsidR="00A73A09" w:rsidRPr="00430CEC" w:rsidRDefault="00A73A09" w:rsidP="003B4E6E">
            <w:pPr>
              <w:spacing w:after="120" w:line="240" w:lineRule="auto"/>
              <w:rPr>
                <w:rFonts w:ascii="Times New Roman" w:hAnsi="Times New Roman" w:cs="Times New Roman"/>
              </w:rPr>
            </w:pPr>
            <w:r w:rsidRPr="00430CEC">
              <w:rPr>
                <w:rFonts w:ascii="Times New Roman" w:hAnsi="Times New Roman" w:cs="Times New Roman"/>
              </w:rPr>
              <w:t xml:space="preserve">Pomoc publiczna </w:t>
            </w:r>
          </w:p>
        </w:tc>
        <w:tc>
          <w:tcPr>
            <w:tcW w:w="3861" w:type="pct"/>
            <w:tcBorders>
              <w:bottom w:val="single" w:sz="4" w:space="0" w:color="auto"/>
            </w:tcBorders>
          </w:tcPr>
          <w:p w14:paraId="1603F1A9" w14:textId="7E2448BA" w:rsidR="00A73A09" w:rsidRPr="00430CEC" w:rsidRDefault="00A73A09" w:rsidP="003B4E6E">
            <w:pPr>
              <w:spacing w:after="120" w:line="240" w:lineRule="auto"/>
              <w:rPr>
                <w:rFonts w:ascii="Times New Roman" w:hAnsi="Times New Roman" w:cs="Times New Roman"/>
              </w:rPr>
            </w:pPr>
            <w:r>
              <w:rPr>
                <w:rFonts w:ascii="Times New Roman" w:hAnsi="Times New Roman" w:cs="Times New Roman"/>
              </w:rPr>
              <w:t>Nie dotyczy</w:t>
            </w:r>
          </w:p>
        </w:tc>
      </w:tr>
    </w:tbl>
    <w:p w14:paraId="6CC7EB2F" w14:textId="77777777" w:rsidR="0020386D" w:rsidRDefault="0020386D" w:rsidP="003733FD">
      <w:pPr>
        <w:spacing w:after="120" w:line="240" w:lineRule="auto"/>
        <w:rPr>
          <w:rFonts w:ascii="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3425"/>
        <w:gridCol w:w="3625"/>
      </w:tblGrid>
      <w:tr w:rsidR="00BC6A23" w:rsidRPr="00EF63DD" w14:paraId="3BE64938" w14:textId="77777777" w:rsidTr="00BC6A23">
        <w:tc>
          <w:tcPr>
            <w:tcW w:w="1110" w:type="pct"/>
            <w:shd w:val="clear" w:color="auto" w:fill="auto"/>
          </w:tcPr>
          <w:p w14:paraId="39ABE874" w14:textId="77777777" w:rsidR="00BC6A23" w:rsidRPr="0056498B" w:rsidRDefault="00BC6A23" w:rsidP="00144E7D">
            <w:pPr>
              <w:spacing w:after="120" w:line="240" w:lineRule="auto"/>
              <w:rPr>
                <w:rFonts w:ascii="Times New Roman" w:hAnsi="Times New Roman" w:cs="Times New Roman"/>
                <w:b/>
                <w:bCs/>
              </w:rPr>
            </w:pPr>
            <w:bookmarkStart w:id="9" w:name="_Hlk161299052"/>
            <w:r w:rsidRPr="00B7189E">
              <w:rPr>
                <w:rFonts w:ascii="Times New Roman" w:hAnsi="Times New Roman" w:cs="Times New Roman"/>
                <w:b/>
                <w:bCs/>
              </w:rPr>
              <w:t>Numer inwestycji</w:t>
            </w:r>
          </w:p>
        </w:tc>
        <w:tc>
          <w:tcPr>
            <w:tcW w:w="3890" w:type="pct"/>
            <w:gridSpan w:val="2"/>
            <w:shd w:val="clear" w:color="auto" w:fill="auto"/>
          </w:tcPr>
          <w:p w14:paraId="13018209" w14:textId="2D020EFC" w:rsidR="00BC6A23" w:rsidRPr="00B7189E" w:rsidRDefault="00BC6A23" w:rsidP="00C40440">
            <w:pPr>
              <w:pStyle w:val="Akapitzlist"/>
              <w:spacing w:after="120"/>
              <w:ind w:left="-99" w:firstLine="142"/>
              <w:rPr>
                <w:b/>
                <w:bCs/>
                <w:sz w:val="22"/>
                <w:szCs w:val="22"/>
              </w:rPr>
            </w:pPr>
            <w:r w:rsidRPr="00C40440">
              <w:rPr>
                <w:b/>
                <w:bCs/>
                <w:sz w:val="22"/>
                <w:szCs w:val="22"/>
              </w:rPr>
              <w:t>D3.2.1</w:t>
            </w:r>
            <w:r w:rsidR="00051A64">
              <w:rPr>
                <w:b/>
                <w:bCs/>
                <w:sz w:val="22"/>
                <w:szCs w:val="22"/>
              </w:rPr>
              <w:t>.</w:t>
            </w:r>
          </w:p>
        </w:tc>
      </w:tr>
      <w:tr w:rsidR="00BC6A23" w:rsidRPr="007336F5" w14:paraId="19352C06" w14:textId="77777777" w:rsidTr="00BC6A23">
        <w:tc>
          <w:tcPr>
            <w:tcW w:w="1110" w:type="pct"/>
            <w:shd w:val="clear" w:color="auto" w:fill="auto"/>
          </w:tcPr>
          <w:p w14:paraId="0C93BACB" w14:textId="77777777" w:rsidR="00BC6A23" w:rsidRPr="0056498B" w:rsidRDefault="00BC6A23" w:rsidP="00C40440">
            <w:pPr>
              <w:pStyle w:val="Akapitzlist"/>
              <w:spacing w:after="120"/>
              <w:ind w:left="0"/>
              <w:rPr>
                <w:b/>
                <w:bCs/>
                <w:sz w:val="22"/>
                <w:szCs w:val="22"/>
              </w:rPr>
            </w:pPr>
            <w:r w:rsidRPr="00B7189E">
              <w:rPr>
                <w:b/>
                <w:bCs/>
                <w:sz w:val="22"/>
                <w:szCs w:val="22"/>
              </w:rPr>
              <w:t xml:space="preserve">Nazwa inwestycji </w:t>
            </w:r>
          </w:p>
        </w:tc>
        <w:tc>
          <w:tcPr>
            <w:tcW w:w="3890" w:type="pct"/>
            <w:gridSpan w:val="2"/>
            <w:shd w:val="clear" w:color="auto" w:fill="auto"/>
          </w:tcPr>
          <w:p w14:paraId="1A71C23C" w14:textId="77777777" w:rsidR="00BC6A23" w:rsidRPr="0056498B" w:rsidRDefault="00BC6A23" w:rsidP="00C40440">
            <w:pPr>
              <w:pStyle w:val="Akapitzlist"/>
              <w:spacing w:after="120"/>
              <w:ind w:left="43"/>
              <w:rPr>
                <w:b/>
                <w:bCs/>
                <w:sz w:val="22"/>
                <w:szCs w:val="22"/>
              </w:rPr>
            </w:pPr>
            <w:r w:rsidRPr="0056498B">
              <w:rPr>
                <w:b/>
                <w:bCs/>
                <w:sz w:val="22"/>
                <w:szCs w:val="22"/>
              </w:rPr>
              <w:t>Rozwój potencjału sektora leków i wyrobów medycznych – inwestycje związane z produkcją w Polsce API</w:t>
            </w:r>
          </w:p>
        </w:tc>
      </w:tr>
      <w:tr w:rsidR="00BC6A23" w:rsidRPr="00EF63DD" w14:paraId="772E3688" w14:textId="77777777" w:rsidTr="00BC6A23">
        <w:trPr>
          <w:trHeight w:val="1212"/>
        </w:trPr>
        <w:tc>
          <w:tcPr>
            <w:tcW w:w="1110" w:type="pct"/>
            <w:shd w:val="clear" w:color="auto" w:fill="auto"/>
          </w:tcPr>
          <w:p w14:paraId="27E6ACCF" w14:textId="77777777" w:rsidR="00BC6A23" w:rsidRPr="0056498B" w:rsidRDefault="00BC6A23" w:rsidP="00C40440">
            <w:pPr>
              <w:pStyle w:val="Akapitzlist"/>
              <w:spacing w:after="120"/>
              <w:ind w:left="67"/>
              <w:rPr>
                <w:sz w:val="22"/>
                <w:szCs w:val="22"/>
              </w:rPr>
            </w:pPr>
            <w:r w:rsidRPr="00B7189E">
              <w:rPr>
                <w:sz w:val="22"/>
                <w:szCs w:val="22"/>
              </w:rPr>
              <w:t xml:space="preserve">Rodzaj </w:t>
            </w:r>
            <w:r w:rsidRPr="0056498B">
              <w:rPr>
                <w:sz w:val="22"/>
                <w:szCs w:val="22"/>
              </w:rPr>
              <w:t>wprowadzonej zmiany w odniesieniu do CID</w:t>
            </w:r>
          </w:p>
        </w:tc>
        <w:tc>
          <w:tcPr>
            <w:tcW w:w="3890" w:type="pct"/>
            <w:gridSpan w:val="2"/>
            <w:shd w:val="clear" w:color="auto" w:fill="auto"/>
          </w:tcPr>
          <w:p w14:paraId="71B2E5FE" w14:textId="50B9A125" w:rsidR="00BC6A23" w:rsidRPr="003939F9" w:rsidRDefault="00BC6A23" w:rsidP="00C40440">
            <w:pPr>
              <w:pStyle w:val="Akapitzlist"/>
              <w:ind w:left="43"/>
            </w:pPr>
            <w:r w:rsidRPr="00C40440">
              <w:rPr>
                <w:sz w:val="22"/>
                <w:szCs w:val="22"/>
              </w:rPr>
              <w:t>Modyfikacja nazwy inwestycji D3.2.1. poprzez usunięcie odwołania w nazwie do API.</w:t>
            </w:r>
            <w:r w:rsidR="003939F9" w:rsidRPr="003939F9">
              <w:t xml:space="preserve"> </w:t>
            </w:r>
            <w:r w:rsidR="009570C9" w:rsidRPr="00C40440">
              <w:rPr>
                <w:sz w:val="22"/>
                <w:szCs w:val="22"/>
              </w:rPr>
              <w:t xml:space="preserve">Modyfikacja nazwy i opisów oraz przesunięcie </w:t>
            </w:r>
            <w:r w:rsidRPr="00C40440">
              <w:rPr>
                <w:sz w:val="22"/>
                <w:szCs w:val="22"/>
              </w:rPr>
              <w:t>terminu realizacji wskaźników</w:t>
            </w:r>
            <w:r w:rsidR="009570C9" w:rsidRPr="00C40440">
              <w:rPr>
                <w:sz w:val="22"/>
                <w:szCs w:val="22"/>
              </w:rPr>
              <w:t xml:space="preserve"> </w:t>
            </w:r>
            <w:r w:rsidRPr="00C40440">
              <w:rPr>
                <w:sz w:val="22"/>
                <w:szCs w:val="22"/>
              </w:rPr>
              <w:t xml:space="preserve"> D7L i D8L.</w:t>
            </w:r>
          </w:p>
        </w:tc>
      </w:tr>
      <w:tr w:rsidR="00BC6A23" w:rsidRPr="005917AF" w14:paraId="098D5F25" w14:textId="77777777" w:rsidTr="00BC6A23">
        <w:tc>
          <w:tcPr>
            <w:tcW w:w="1110" w:type="pct"/>
            <w:shd w:val="clear" w:color="auto" w:fill="auto"/>
          </w:tcPr>
          <w:p w14:paraId="42EF09F3" w14:textId="77777777" w:rsidR="00BC6A23" w:rsidRPr="0056498B" w:rsidRDefault="00BC6A23" w:rsidP="00C40440">
            <w:pPr>
              <w:pStyle w:val="Akapitzlist"/>
              <w:spacing w:after="120"/>
              <w:ind w:left="67"/>
              <w:rPr>
                <w:sz w:val="22"/>
                <w:szCs w:val="22"/>
              </w:rPr>
            </w:pPr>
            <w:r w:rsidRPr="00B7189E">
              <w:rPr>
                <w:sz w:val="22"/>
                <w:szCs w:val="22"/>
              </w:rPr>
              <w:t>Podstawa prawna zmiany</w:t>
            </w:r>
          </w:p>
        </w:tc>
        <w:tc>
          <w:tcPr>
            <w:tcW w:w="3890" w:type="pct"/>
            <w:gridSpan w:val="2"/>
            <w:shd w:val="clear" w:color="auto" w:fill="auto"/>
          </w:tcPr>
          <w:p w14:paraId="675D8392" w14:textId="77777777" w:rsidR="00BC6A23" w:rsidRPr="00B7189E" w:rsidRDefault="00BC6A23" w:rsidP="00C40440">
            <w:pPr>
              <w:pStyle w:val="Akapitzlist"/>
              <w:ind w:left="0"/>
              <w:rPr>
                <w:sz w:val="22"/>
                <w:szCs w:val="22"/>
              </w:rPr>
            </w:pPr>
            <w:r w:rsidRPr="00C40440">
              <w:rPr>
                <w:sz w:val="22"/>
                <w:szCs w:val="22"/>
              </w:rPr>
              <w:t>art. 21 rozporządzenia Parlamentu Europejskiego i Rady (UE) 2021/241 z dnia 12 lutego 2021 r. ustanawiające Instrument na rzecz Odbudowy i Zwiększania Odporności</w:t>
            </w:r>
          </w:p>
        </w:tc>
      </w:tr>
      <w:tr w:rsidR="00BC6A23" w:rsidRPr="00EF63DD" w14:paraId="227A96B4" w14:textId="77777777" w:rsidTr="00BC6A23">
        <w:tc>
          <w:tcPr>
            <w:tcW w:w="1110" w:type="pct"/>
            <w:shd w:val="clear" w:color="auto" w:fill="D9D9D9" w:themeFill="background1" w:themeFillShade="D9"/>
          </w:tcPr>
          <w:p w14:paraId="0F87BF86" w14:textId="77777777" w:rsidR="00BC6A23" w:rsidRPr="0056498B" w:rsidRDefault="00BC6A23" w:rsidP="00144E7D">
            <w:pPr>
              <w:spacing w:after="120" w:line="240" w:lineRule="auto"/>
              <w:rPr>
                <w:rFonts w:ascii="Times New Roman" w:hAnsi="Times New Roman" w:cs="Times New Roman"/>
              </w:rPr>
            </w:pPr>
            <w:r w:rsidRPr="00B7189E">
              <w:rPr>
                <w:rFonts w:ascii="Times New Roman" w:hAnsi="Times New Roman" w:cs="Times New Roman"/>
              </w:rPr>
              <w:t>Modyfikowany element</w:t>
            </w:r>
          </w:p>
        </w:tc>
        <w:tc>
          <w:tcPr>
            <w:tcW w:w="1890" w:type="pct"/>
            <w:shd w:val="clear" w:color="auto" w:fill="D9D9D9" w:themeFill="background1" w:themeFillShade="D9"/>
          </w:tcPr>
          <w:p w14:paraId="65CB2A2E" w14:textId="77777777" w:rsidR="00BC6A23" w:rsidRPr="0056498B" w:rsidRDefault="00BC6A23" w:rsidP="00144E7D">
            <w:pPr>
              <w:spacing w:after="120" w:line="240" w:lineRule="auto"/>
              <w:jc w:val="center"/>
              <w:rPr>
                <w:rFonts w:ascii="Times New Roman" w:hAnsi="Times New Roman" w:cs="Times New Roman"/>
              </w:rPr>
            </w:pPr>
            <w:r w:rsidRPr="0056498B">
              <w:rPr>
                <w:rFonts w:ascii="Times New Roman" w:hAnsi="Times New Roman" w:cs="Times New Roman"/>
                <w:highlight w:val="lightGray"/>
              </w:rPr>
              <w:t>Bieżąca wersja</w:t>
            </w:r>
          </w:p>
        </w:tc>
        <w:tc>
          <w:tcPr>
            <w:tcW w:w="2000" w:type="pct"/>
            <w:shd w:val="clear" w:color="auto" w:fill="D9D9D9" w:themeFill="background1" w:themeFillShade="D9"/>
          </w:tcPr>
          <w:p w14:paraId="3E1E10E3" w14:textId="77777777" w:rsidR="00BC6A23" w:rsidRPr="0056498B" w:rsidRDefault="00BC6A23" w:rsidP="00144E7D">
            <w:pPr>
              <w:spacing w:after="120" w:line="240" w:lineRule="auto"/>
              <w:jc w:val="center"/>
              <w:rPr>
                <w:rFonts w:ascii="Times New Roman" w:hAnsi="Times New Roman" w:cs="Times New Roman"/>
              </w:rPr>
            </w:pPr>
            <w:r w:rsidRPr="0056498B">
              <w:rPr>
                <w:rFonts w:ascii="Times New Roman" w:hAnsi="Times New Roman" w:cs="Times New Roman"/>
                <w:highlight w:val="lightGray"/>
              </w:rPr>
              <w:t>Wersja zmieniona</w:t>
            </w:r>
          </w:p>
        </w:tc>
      </w:tr>
      <w:tr w:rsidR="00BC6A23" w:rsidRPr="00B2181D" w14:paraId="66D0B7C8" w14:textId="77777777" w:rsidTr="00BC6A23">
        <w:tc>
          <w:tcPr>
            <w:tcW w:w="1110" w:type="pct"/>
            <w:vMerge w:val="restart"/>
          </w:tcPr>
          <w:p w14:paraId="53F440BF" w14:textId="77777777" w:rsidR="00BC6A23" w:rsidRPr="0056498B" w:rsidRDefault="00BC6A23" w:rsidP="00144E7D">
            <w:pPr>
              <w:spacing w:after="120" w:line="240" w:lineRule="auto"/>
              <w:rPr>
                <w:rFonts w:ascii="Times New Roman" w:hAnsi="Times New Roman" w:cs="Times New Roman"/>
              </w:rPr>
            </w:pPr>
            <w:r w:rsidRPr="00B7189E">
              <w:rPr>
                <w:rFonts w:ascii="Times New Roman" w:hAnsi="Times New Roman" w:cs="Times New Roman"/>
              </w:rPr>
              <w:t>Opis</w:t>
            </w:r>
            <w:r w:rsidRPr="0056498B">
              <w:rPr>
                <w:rFonts w:ascii="Times New Roman" w:hAnsi="Times New Roman" w:cs="Times New Roman"/>
              </w:rPr>
              <w:t xml:space="preserve"> inwestycji/ kamienia milowego/wskaźnika</w:t>
            </w:r>
          </w:p>
        </w:tc>
        <w:tc>
          <w:tcPr>
            <w:tcW w:w="1890" w:type="pct"/>
          </w:tcPr>
          <w:p w14:paraId="5C64B28E"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6498B">
              <w:rPr>
                <w:rFonts w:ascii="Times New Roman" w:hAnsi="Times New Roman" w:cs="Times New Roman"/>
              </w:rPr>
              <w:t xml:space="preserve">Celem inwestycji jest wsparcie projektów w dziedzinie opracowywania API. Wsparcie przyczyni się do rozwoju linii produkcyjnych API (w tym oryginalnych, </w:t>
            </w:r>
            <w:proofErr w:type="spellStart"/>
            <w:r w:rsidRPr="0056498B">
              <w:rPr>
                <w:rFonts w:ascii="Times New Roman" w:hAnsi="Times New Roman" w:cs="Times New Roman"/>
              </w:rPr>
              <w:t>biopodobnych</w:t>
            </w:r>
            <w:proofErr w:type="spellEnd"/>
            <w:r w:rsidRPr="0056498B">
              <w:rPr>
                <w:rFonts w:ascii="Times New Roman" w:hAnsi="Times New Roman" w:cs="Times New Roman"/>
              </w:rPr>
              <w:t xml:space="preserve"> i generycznych API) oraz powiązanych wyrobów medycznych, w tym za sprawą budowy/rozbudowy niezbędnej infrastruktury. Inwestycje w tej dziedzinie wspomogą co najmniej 11 API.</w:t>
            </w:r>
          </w:p>
          <w:p w14:paraId="1E22E341"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3B74FD25"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122047B1"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6498B">
              <w:rPr>
                <w:rFonts w:ascii="Times New Roman" w:hAnsi="Times New Roman" w:cs="Times New Roman"/>
              </w:rPr>
              <w:t>Termin realizacji: 31.12.2023r.</w:t>
            </w:r>
          </w:p>
          <w:p w14:paraId="7B6AFD35"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2000" w:type="pct"/>
          </w:tcPr>
          <w:p w14:paraId="5280C507"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6498B">
              <w:rPr>
                <w:rFonts w:ascii="Times New Roman" w:hAnsi="Times New Roman" w:cs="Times New Roman"/>
              </w:rPr>
              <w:t xml:space="preserve">Celem inwestycji jest wsparcie projektów w dziedzinie opracowywania API </w:t>
            </w:r>
            <w:r w:rsidRPr="0056498B">
              <w:rPr>
                <w:rFonts w:ascii="Times New Roman" w:hAnsi="Times New Roman" w:cs="Times New Roman"/>
                <w:color w:val="FF0000"/>
              </w:rPr>
              <w:t>i gotowych form leków - istotnych z punktu widzenia zachowania bezpieczeństwa zdrowotnego obywateli UE.</w:t>
            </w:r>
            <w:r w:rsidRPr="0056498B">
              <w:rPr>
                <w:rFonts w:ascii="Times New Roman" w:hAnsi="Times New Roman" w:cs="Times New Roman"/>
              </w:rPr>
              <w:t xml:space="preserve"> Wsparcie przyczyni się do rozwoju linii produkcyjnych API </w:t>
            </w:r>
            <w:r w:rsidRPr="0056498B">
              <w:rPr>
                <w:rFonts w:ascii="Times New Roman" w:hAnsi="Times New Roman" w:cs="Times New Roman"/>
                <w:color w:val="FF0000"/>
              </w:rPr>
              <w:t xml:space="preserve">oraz gotowych form leków </w:t>
            </w:r>
            <w:r w:rsidRPr="0056498B">
              <w:rPr>
                <w:rFonts w:ascii="Times New Roman" w:hAnsi="Times New Roman" w:cs="Times New Roman"/>
              </w:rPr>
              <w:t xml:space="preserve">(w tym oryginalnych, </w:t>
            </w:r>
            <w:proofErr w:type="spellStart"/>
            <w:r w:rsidRPr="0056498B">
              <w:rPr>
                <w:rFonts w:ascii="Times New Roman" w:hAnsi="Times New Roman" w:cs="Times New Roman"/>
              </w:rPr>
              <w:t>biopodobnych</w:t>
            </w:r>
            <w:proofErr w:type="spellEnd"/>
            <w:r w:rsidRPr="0056498B">
              <w:rPr>
                <w:rFonts w:ascii="Times New Roman" w:hAnsi="Times New Roman" w:cs="Times New Roman"/>
              </w:rPr>
              <w:t xml:space="preserve"> i generycznych</w:t>
            </w:r>
            <w:r w:rsidRPr="0056498B">
              <w:rPr>
                <w:rFonts w:ascii="Times New Roman" w:hAnsi="Times New Roman" w:cs="Times New Roman"/>
                <w:strike/>
                <w:color w:val="FF0000"/>
              </w:rPr>
              <w:t xml:space="preserve"> API</w:t>
            </w:r>
            <w:r w:rsidRPr="0056498B">
              <w:rPr>
                <w:rFonts w:ascii="Times New Roman" w:hAnsi="Times New Roman" w:cs="Times New Roman"/>
              </w:rPr>
              <w:t xml:space="preserve">), </w:t>
            </w:r>
            <w:r w:rsidRPr="0056498B">
              <w:rPr>
                <w:rFonts w:ascii="Times New Roman" w:hAnsi="Times New Roman" w:cs="Times New Roman"/>
                <w:color w:val="FF0000"/>
              </w:rPr>
              <w:t>w tym za sprawą budowy/rozbudowy niezbędnej infrastruktury. Inwestycje w tej dziedzinie wspomogą co najmniej 11 projektów z zakresu API i leków</w:t>
            </w:r>
          </w:p>
          <w:p w14:paraId="3113713D"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51EC06E1" w14:textId="77777777" w:rsidR="00BC6A23" w:rsidRPr="005649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rPr>
            </w:pPr>
            <w:r w:rsidRPr="0056498B">
              <w:rPr>
                <w:rFonts w:ascii="Times New Roman" w:hAnsi="Times New Roman" w:cs="Times New Roman"/>
              </w:rPr>
              <w:t>Termin realizacji: 31.</w:t>
            </w:r>
            <w:r w:rsidRPr="0056498B">
              <w:rPr>
                <w:rFonts w:ascii="Times New Roman" w:hAnsi="Times New Roman" w:cs="Times New Roman"/>
                <w:color w:val="FF0000"/>
              </w:rPr>
              <w:t>03.2026r.</w:t>
            </w:r>
          </w:p>
        </w:tc>
      </w:tr>
      <w:tr w:rsidR="00BC6A23" w:rsidRPr="00B2181D" w14:paraId="5890AC34" w14:textId="77777777" w:rsidTr="00BC6A23">
        <w:tc>
          <w:tcPr>
            <w:tcW w:w="1110" w:type="pct"/>
            <w:vMerge/>
          </w:tcPr>
          <w:p w14:paraId="70276FE2" w14:textId="77777777" w:rsidR="00BC6A23" w:rsidRPr="005917AF" w:rsidRDefault="00BC6A23" w:rsidP="00144E7D">
            <w:pPr>
              <w:spacing w:after="120" w:line="240" w:lineRule="auto"/>
              <w:rPr>
                <w:rFonts w:ascii="Times New Roman" w:hAnsi="Times New Roman" w:cs="Times New Roman"/>
              </w:rPr>
            </w:pPr>
          </w:p>
        </w:tc>
        <w:tc>
          <w:tcPr>
            <w:tcW w:w="1890" w:type="pct"/>
          </w:tcPr>
          <w:p w14:paraId="33FC3773" w14:textId="77777777" w:rsidR="00BC6A23" w:rsidRPr="00C107AE" w:rsidRDefault="00BC6A23" w:rsidP="00144E7D">
            <w:pPr>
              <w:spacing w:after="0" w:line="240" w:lineRule="auto"/>
              <w:rPr>
                <w:rFonts w:ascii="Times New Roman" w:hAnsi="Times New Roman" w:cs="Times New Roman"/>
              </w:rPr>
            </w:pPr>
            <w:r w:rsidRPr="00C107AE">
              <w:rPr>
                <w:rFonts w:ascii="Times New Roman" w:hAnsi="Times New Roman" w:cs="Times New Roman"/>
              </w:rPr>
              <w:t>D</w:t>
            </w:r>
            <w:r>
              <w:rPr>
                <w:rFonts w:ascii="Times New Roman" w:hAnsi="Times New Roman" w:cs="Times New Roman"/>
              </w:rPr>
              <w:t>7L</w:t>
            </w:r>
          </w:p>
          <w:p w14:paraId="6DE8047A" w14:textId="77777777" w:rsidR="00BC6A23" w:rsidRPr="003C358B"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F0C90">
              <w:rPr>
                <w:rFonts w:ascii="Times New Roman" w:hAnsi="Times New Roman" w:cs="Times New Roman"/>
              </w:rPr>
              <w:t xml:space="preserve">Wybór projektów dotyczących produkcji API, które mają zostać objęte wsparciem </w:t>
            </w:r>
          </w:p>
          <w:p w14:paraId="105B7254" w14:textId="19CCE01C" w:rsidR="00BC6A23" w:rsidRPr="00C40440" w:rsidRDefault="00BC6A23" w:rsidP="00C40440">
            <w:pPr>
              <w:spacing w:after="0" w:line="240" w:lineRule="auto"/>
              <w:rPr>
                <w:rFonts w:ascii="Times New Roman" w:hAnsi="Times New Roman" w:cs="Times New Roman"/>
              </w:rPr>
            </w:pPr>
            <w:r w:rsidRPr="00C107AE">
              <w:rPr>
                <w:rFonts w:ascii="Times New Roman" w:hAnsi="Times New Roman" w:cs="Times New Roman"/>
              </w:rPr>
              <w:t xml:space="preserve">Termin realizacji: </w:t>
            </w:r>
            <w:r>
              <w:rPr>
                <w:rFonts w:ascii="Times New Roman" w:hAnsi="Times New Roman" w:cs="Times New Roman"/>
              </w:rPr>
              <w:t>III kw. 2023r.</w:t>
            </w:r>
            <w:r w:rsidRPr="003C358B">
              <w:rPr>
                <w:rFonts w:ascii="Times New Roman" w:hAnsi="Times New Roman" w:cs="Times New Roman"/>
              </w:rPr>
              <w:t xml:space="preserve"> </w:t>
            </w:r>
          </w:p>
          <w:p w14:paraId="1F3DBEDC" w14:textId="195F967E" w:rsidR="003939F9" w:rsidRPr="00C40440" w:rsidRDefault="003939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2000" w:type="pct"/>
          </w:tcPr>
          <w:p w14:paraId="1ECFB632" w14:textId="77777777" w:rsidR="00BC6A23" w:rsidRPr="00B2181D" w:rsidRDefault="00BC6A23" w:rsidP="00144E7D">
            <w:pPr>
              <w:spacing w:after="0" w:line="240" w:lineRule="auto"/>
              <w:rPr>
                <w:rFonts w:ascii="Times New Roman" w:hAnsi="Times New Roman" w:cs="Times New Roman"/>
              </w:rPr>
            </w:pPr>
            <w:r w:rsidRPr="00B2181D">
              <w:rPr>
                <w:rFonts w:ascii="Times New Roman" w:hAnsi="Times New Roman" w:cs="Times New Roman"/>
              </w:rPr>
              <w:t>D7L</w:t>
            </w:r>
          </w:p>
          <w:p w14:paraId="218D5F74" w14:textId="77777777" w:rsidR="00BC6A23" w:rsidRPr="00D721F8"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rPr>
            </w:pPr>
            <w:r w:rsidRPr="00D721F8">
              <w:rPr>
                <w:rFonts w:ascii="Times New Roman" w:hAnsi="Times New Roman" w:cs="Times New Roman"/>
                <w:color w:val="FF0000"/>
              </w:rPr>
              <w:t xml:space="preserve">Przyjęcie kryteriów wyboru projektów do wsparcia </w:t>
            </w:r>
          </w:p>
          <w:p w14:paraId="47939CF6" w14:textId="77777777" w:rsidR="00BC6A23" w:rsidRPr="00B2181D"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703A0496" w14:textId="031D149A" w:rsidR="00BC6A23" w:rsidRPr="003C358B" w:rsidRDefault="00BC6A23" w:rsidP="00144E7D">
            <w:pPr>
              <w:spacing w:after="0" w:line="240" w:lineRule="auto"/>
              <w:rPr>
                <w:rFonts w:ascii="Times New Roman" w:hAnsi="Times New Roman" w:cs="Times New Roman"/>
              </w:rPr>
            </w:pPr>
            <w:r w:rsidRPr="00B2181D">
              <w:rPr>
                <w:rFonts w:ascii="Times New Roman" w:hAnsi="Times New Roman" w:cs="Times New Roman"/>
              </w:rPr>
              <w:t xml:space="preserve">Termin realizacji: </w:t>
            </w:r>
            <w:r>
              <w:rPr>
                <w:rFonts w:ascii="Times New Roman" w:hAnsi="Times New Roman" w:cs="Times New Roman"/>
              </w:rPr>
              <w:t xml:space="preserve">I kw. </w:t>
            </w:r>
            <w:r w:rsidRPr="00D721F8">
              <w:rPr>
                <w:rFonts w:ascii="Times New Roman" w:hAnsi="Times New Roman" w:cs="Times New Roman"/>
                <w:color w:val="FF0000"/>
              </w:rPr>
              <w:t>2025</w:t>
            </w:r>
            <w:r>
              <w:rPr>
                <w:rFonts w:ascii="Times New Roman" w:hAnsi="Times New Roman" w:cs="Times New Roman"/>
                <w:color w:val="FF0000"/>
              </w:rPr>
              <w:t>r.</w:t>
            </w:r>
            <w:r w:rsidRPr="003C358B">
              <w:rPr>
                <w:rFonts w:ascii="Times New Roman" w:hAnsi="Times New Roman" w:cs="Times New Roman"/>
              </w:rPr>
              <w:t xml:space="preserve"> </w:t>
            </w:r>
          </w:p>
          <w:p w14:paraId="06968C4A" w14:textId="448B7801" w:rsidR="00BC6A23" w:rsidRPr="00B2181D"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r>
      <w:tr w:rsidR="00BC6A23" w:rsidRPr="00B2181D" w14:paraId="34D4782C" w14:textId="77777777" w:rsidTr="00BC6A23">
        <w:tc>
          <w:tcPr>
            <w:tcW w:w="1110" w:type="pct"/>
            <w:vMerge/>
          </w:tcPr>
          <w:p w14:paraId="412B1F02" w14:textId="77777777" w:rsidR="00BC6A23" w:rsidRPr="00C40440" w:rsidRDefault="00BC6A23" w:rsidP="00144E7D">
            <w:pPr>
              <w:spacing w:after="120" w:line="240" w:lineRule="auto"/>
              <w:rPr>
                <w:rFonts w:ascii="Times New Roman" w:hAnsi="Times New Roman" w:cs="Times New Roman"/>
                <w:rPrChange w:id="10" w:author="Dziubek-Grudzińska Magdalena" w:date="2024-03-15T12:21:00Z">
                  <w:rPr>
                    <w:rFonts w:ascii="Times New Roman" w:hAnsi="Times New Roman" w:cs="Times New Roman"/>
                    <w:lang w:val="en-GB"/>
                  </w:rPr>
                </w:rPrChange>
              </w:rPr>
            </w:pPr>
          </w:p>
        </w:tc>
        <w:tc>
          <w:tcPr>
            <w:tcW w:w="1890" w:type="pct"/>
          </w:tcPr>
          <w:p w14:paraId="2E515A95" w14:textId="77777777" w:rsidR="00BC6A23" w:rsidRPr="00C107AE" w:rsidRDefault="00BC6A23" w:rsidP="00144E7D">
            <w:pPr>
              <w:spacing w:after="0" w:line="240" w:lineRule="auto"/>
              <w:rPr>
                <w:rFonts w:ascii="Times New Roman" w:hAnsi="Times New Roman" w:cs="Times New Roman"/>
              </w:rPr>
            </w:pPr>
            <w:r w:rsidRPr="00C107AE">
              <w:rPr>
                <w:rFonts w:ascii="Times New Roman" w:hAnsi="Times New Roman" w:cs="Times New Roman"/>
              </w:rPr>
              <w:t>D</w:t>
            </w:r>
            <w:r>
              <w:rPr>
                <w:rFonts w:ascii="Times New Roman" w:hAnsi="Times New Roman" w:cs="Times New Roman"/>
              </w:rPr>
              <w:t>8L</w:t>
            </w:r>
          </w:p>
          <w:p w14:paraId="020CCB38" w14:textId="77777777" w:rsidR="00BC6A23" w:rsidRPr="00460E47"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60E47">
              <w:rPr>
                <w:rFonts w:ascii="Times New Roman" w:hAnsi="Times New Roman" w:cs="Times New Roman"/>
              </w:rPr>
              <w:t xml:space="preserve">Liczba wspieranych farmaceutycznych składników czynnych o krytycznym znaczeniu </w:t>
            </w:r>
          </w:p>
          <w:p w14:paraId="3FDCC297" w14:textId="77777777" w:rsidR="00BC6A23"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rPr>
            </w:pPr>
          </w:p>
          <w:p w14:paraId="1321EAE2" w14:textId="77777777" w:rsidR="00BC6A23"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173CAA49" w14:textId="77777777" w:rsidR="00BC6A23" w:rsidRPr="003C358B" w:rsidRDefault="00BC6A23" w:rsidP="00144E7D">
            <w:pPr>
              <w:spacing w:after="0" w:line="240" w:lineRule="auto"/>
              <w:rPr>
                <w:rFonts w:ascii="Times New Roman" w:hAnsi="Times New Roman" w:cs="Times New Roman"/>
              </w:rPr>
            </w:pPr>
            <w:r w:rsidRPr="00C107AE">
              <w:rPr>
                <w:rFonts w:ascii="Times New Roman" w:hAnsi="Times New Roman" w:cs="Times New Roman"/>
              </w:rPr>
              <w:t xml:space="preserve">Termin realizacji: </w:t>
            </w:r>
            <w:r>
              <w:rPr>
                <w:rFonts w:ascii="Times New Roman" w:hAnsi="Times New Roman" w:cs="Times New Roman"/>
              </w:rPr>
              <w:t>IV kw. 2023r.</w:t>
            </w:r>
            <w:r w:rsidRPr="003C358B">
              <w:rPr>
                <w:rFonts w:ascii="Times New Roman" w:hAnsi="Times New Roman" w:cs="Times New Roman"/>
              </w:rPr>
              <w:t xml:space="preserve"> </w:t>
            </w:r>
          </w:p>
          <w:p w14:paraId="72192092" w14:textId="19D58AE7" w:rsidR="00BC6A23" w:rsidRPr="00C107AE"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rPr>
            </w:pPr>
          </w:p>
        </w:tc>
        <w:tc>
          <w:tcPr>
            <w:tcW w:w="2000" w:type="pct"/>
          </w:tcPr>
          <w:p w14:paraId="49038031" w14:textId="77777777" w:rsidR="00BC6A23" w:rsidRPr="00B2181D" w:rsidRDefault="00BC6A23" w:rsidP="00144E7D">
            <w:pPr>
              <w:spacing w:after="0" w:line="240" w:lineRule="auto"/>
              <w:rPr>
                <w:rFonts w:ascii="Times New Roman" w:hAnsi="Times New Roman" w:cs="Times New Roman"/>
              </w:rPr>
            </w:pPr>
            <w:r w:rsidRPr="00B2181D">
              <w:rPr>
                <w:rFonts w:ascii="Times New Roman" w:hAnsi="Times New Roman" w:cs="Times New Roman"/>
              </w:rPr>
              <w:lastRenderedPageBreak/>
              <w:t>D8L</w:t>
            </w:r>
          </w:p>
          <w:p w14:paraId="2659BB15" w14:textId="77777777" w:rsidR="00BC6A23" w:rsidRPr="00B2181D"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2181D">
              <w:rPr>
                <w:rFonts w:ascii="Times New Roman" w:hAnsi="Times New Roman" w:cs="Times New Roman"/>
              </w:rPr>
              <w:t xml:space="preserve">Liczba </w:t>
            </w:r>
            <w:r w:rsidRPr="00D721F8">
              <w:rPr>
                <w:rFonts w:ascii="Times New Roman" w:hAnsi="Times New Roman" w:cs="Times New Roman"/>
                <w:color w:val="FF0000"/>
              </w:rPr>
              <w:t xml:space="preserve">podpisanych umów na projekty dotyczące budowy lub rozbudowy </w:t>
            </w:r>
            <w:r w:rsidRPr="00D721F8">
              <w:rPr>
                <w:rFonts w:ascii="Times New Roman" w:hAnsi="Times New Roman" w:cs="Times New Roman"/>
                <w:color w:val="FF0000"/>
              </w:rPr>
              <w:lastRenderedPageBreak/>
              <w:t xml:space="preserve">infrastruktury do produkcji API, leków (generycznych lub </w:t>
            </w:r>
            <w:proofErr w:type="spellStart"/>
            <w:r w:rsidRPr="00D721F8">
              <w:rPr>
                <w:rFonts w:ascii="Times New Roman" w:hAnsi="Times New Roman" w:cs="Times New Roman"/>
                <w:color w:val="FF0000"/>
              </w:rPr>
              <w:t>biopodobnych</w:t>
            </w:r>
            <w:proofErr w:type="spellEnd"/>
            <w:r w:rsidRPr="00D721F8">
              <w:rPr>
                <w:rFonts w:ascii="Times New Roman" w:hAnsi="Times New Roman" w:cs="Times New Roman"/>
                <w:color w:val="FF0000"/>
              </w:rPr>
              <w:t xml:space="preserve">) </w:t>
            </w:r>
          </w:p>
          <w:p w14:paraId="62714D5A" w14:textId="303E9197" w:rsidR="00BC6A23" w:rsidRPr="003C358B" w:rsidRDefault="00BC6A23" w:rsidP="00144E7D">
            <w:pPr>
              <w:spacing w:after="0" w:line="240" w:lineRule="auto"/>
              <w:rPr>
                <w:rFonts w:ascii="Times New Roman" w:hAnsi="Times New Roman" w:cs="Times New Roman"/>
              </w:rPr>
            </w:pPr>
            <w:r w:rsidRPr="00B2181D">
              <w:rPr>
                <w:rFonts w:ascii="Times New Roman" w:hAnsi="Times New Roman" w:cs="Times New Roman"/>
              </w:rPr>
              <w:t xml:space="preserve">Termin realizacji: </w:t>
            </w:r>
            <w:r>
              <w:rPr>
                <w:rFonts w:ascii="Times New Roman" w:hAnsi="Times New Roman" w:cs="Times New Roman"/>
              </w:rPr>
              <w:t xml:space="preserve">I kw. </w:t>
            </w:r>
            <w:r w:rsidRPr="00D721F8">
              <w:rPr>
                <w:rFonts w:ascii="Times New Roman" w:hAnsi="Times New Roman" w:cs="Times New Roman"/>
                <w:color w:val="FF0000"/>
              </w:rPr>
              <w:t>2026</w:t>
            </w:r>
            <w:r>
              <w:rPr>
                <w:rFonts w:ascii="Times New Roman" w:hAnsi="Times New Roman" w:cs="Times New Roman"/>
                <w:color w:val="FF0000"/>
              </w:rPr>
              <w:t>r.</w:t>
            </w:r>
            <w:r w:rsidRPr="003C358B">
              <w:rPr>
                <w:rFonts w:ascii="Times New Roman" w:hAnsi="Times New Roman" w:cs="Times New Roman"/>
              </w:rPr>
              <w:t xml:space="preserve"> </w:t>
            </w:r>
          </w:p>
          <w:p w14:paraId="595534B9" w14:textId="3F18453F" w:rsidR="00BC6A23" w:rsidRPr="00B2181D" w:rsidRDefault="00BC6A23" w:rsidP="0014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r>
      <w:tr w:rsidR="00BC6A23" w:rsidRPr="00A26E88" w14:paraId="591E81BC" w14:textId="77777777" w:rsidTr="00BC6A23">
        <w:tc>
          <w:tcPr>
            <w:tcW w:w="1110" w:type="pct"/>
          </w:tcPr>
          <w:p w14:paraId="5612F717" w14:textId="77777777" w:rsidR="00BC6A23" w:rsidRPr="00EF63DD" w:rsidRDefault="00BC6A23">
            <w:pPr>
              <w:spacing w:after="120" w:line="240" w:lineRule="auto"/>
              <w:rPr>
                <w:rFonts w:ascii="Times New Roman" w:hAnsi="Times New Roman" w:cs="Times New Roman"/>
              </w:rPr>
            </w:pPr>
            <w:r w:rsidRPr="00EF63DD">
              <w:rPr>
                <w:rFonts w:ascii="Times New Roman" w:hAnsi="Times New Roman" w:cs="Times New Roman"/>
              </w:rPr>
              <w:lastRenderedPageBreak/>
              <w:t>Uzasadnienie</w:t>
            </w:r>
          </w:p>
        </w:tc>
        <w:tc>
          <w:tcPr>
            <w:tcW w:w="3890" w:type="pct"/>
            <w:gridSpan w:val="2"/>
          </w:tcPr>
          <w:p w14:paraId="309E15A8" w14:textId="77777777" w:rsidR="00BC6A23" w:rsidRDefault="00BC6A23">
            <w:pPr>
              <w:spacing w:after="120" w:line="240" w:lineRule="auto"/>
              <w:rPr>
                <w:rFonts w:ascii="Times New Roman" w:hAnsi="Times New Roman" w:cs="Times New Roman"/>
              </w:rPr>
            </w:pPr>
            <w:r>
              <w:rPr>
                <w:rFonts w:ascii="Times New Roman" w:hAnsi="Times New Roman" w:cs="Times New Roman"/>
              </w:rPr>
              <w:t xml:space="preserve">Zmiana opisu inwestycji wynika ze zmian w opisach wskaźników. </w:t>
            </w:r>
          </w:p>
          <w:p w14:paraId="3BB1A1E0" w14:textId="77777777" w:rsidR="00BC6A23" w:rsidRPr="00460E47" w:rsidRDefault="00BC6A23">
            <w:pPr>
              <w:spacing w:after="120" w:line="240" w:lineRule="auto"/>
              <w:rPr>
                <w:rFonts w:ascii="Times New Roman" w:hAnsi="Times New Roman" w:cs="Times New Roman"/>
              </w:rPr>
            </w:pPr>
            <w:r w:rsidRPr="00460E47">
              <w:rPr>
                <w:rFonts w:ascii="Times New Roman" w:hAnsi="Times New Roman" w:cs="Times New Roman"/>
              </w:rPr>
              <w:t xml:space="preserve">Zmiana wskaźnika D7L stanowi doprecyzowanie nazwy oraz </w:t>
            </w:r>
            <w:proofErr w:type="spellStart"/>
            <w:r w:rsidRPr="00460E47">
              <w:rPr>
                <w:rFonts w:ascii="Times New Roman" w:hAnsi="Times New Roman" w:cs="Times New Roman"/>
              </w:rPr>
              <w:t>uspójnienie</w:t>
            </w:r>
            <w:proofErr w:type="spellEnd"/>
            <w:r w:rsidRPr="00460E47">
              <w:rPr>
                <w:rFonts w:ascii="Times New Roman" w:hAnsi="Times New Roman" w:cs="Times New Roman"/>
              </w:rPr>
              <w:t xml:space="preserve"> dla zaproponowanego obecnie wskaźnika D8L.</w:t>
            </w:r>
          </w:p>
          <w:p w14:paraId="289BF208" w14:textId="77777777" w:rsidR="00BC6A23" w:rsidRPr="00460E47" w:rsidRDefault="00BC6A23">
            <w:pPr>
              <w:spacing w:after="120" w:line="240" w:lineRule="auto"/>
              <w:rPr>
                <w:rFonts w:ascii="Times New Roman" w:hAnsi="Times New Roman" w:cs="Times New Roman"/>
              </w:rPr>
            </w:pPr>
            <w:r w:rsidRPr="00460E47">
              <w:rPr>
                <w:rFonts w:ascii="Times New Roman" w:hAnsi="Times New Roman" w:cs="Times New Roman"/>
              </w:rPr>
              <w:t xml:space="preserve">D8L - </w:t>
            </w:r>
            <w:proofErr w:type="spellStart"/>
            <w:r w:rsidRPr="00460E47">
              <w:rPr>
                <w:rFonts w:ascii="Times New Roman" w:hAnsi="Times New Roman" w:cs="Times New Roman"/>
              </w:rPr>
              <w:t>MRiT</w:t>
            </w:r>
            <w:proofErr w:type="spellEnd"/>
            <w:r w:rsidRPr="00460E47">
              <w:rPr>
                <w:rFonts w:ascii="Times New Roman" w:hAnsi="Times New Roman" w:cs="Times New Roman"/>
              </w:rPr>
              <w:t xml:space="preserve"> przeprowadziło konsultacje publiczne z przedstawicielami przemysłu farmaceutycznego, w celu zweryfikowania, czy możliwe jest zrealizowanie inwestycji </w:t>
            </w:r>
            <w:r>
              <w:rPr>
                <w:rFonts w:ascii="Times New Roman" w:hAnsi="Times New Roman" w:cs="Times New Roman"/>
              </w:rPr>
              <w:t>na obecnie obowiązujących zasadach</w:t>
            </w:r>
            <w:r w:rsidRPr="00460E47">
              <w:rPr>
                <w:rFonts w:ascii="Times New Roman" w:hAnsi="Times New Roman" w:cs="Times New Roman"/>
              </w:rPr>
              <w:t>. Z informacji otrzymanych od przedsiębiorców wynika, że budow</w:t>
            </w:r>
            <w:r>
              <w:rPr>
                <w:rFonts w:ascii="Times New Roman" w:hAnsi="Times New Roman" w:cs="Times New Roman"/>
              </w:rPr>
              <w:t>a</w:t>
            </w:r>
            <w:r w:rsidRPr="00460E47">
              <w:rPr>
                <w:rFonts w:ascii="Times New Roman" w:hAnsi="Times New Roman" w:cs="Times New Roman"/>
              </w:rPr>
              <w:t xml:space="preserve"> nowej inwestycji </w:t>
            </w:r>
            <w:r>
              <w:rPr>
                <w:rFonts w:ascii="Times New Roman" w:hAnsi="Times New Roman" w:cs="Times New Roman"/>
              </w:rPr>
              <w:t>trwa</w:t>
            </w:r>
            <w:r w:rsidRPr="00460E47">
              <w:rPr>
                <w:rFonts w:ascii="Times New Roman" w:hAnsi="Times New Roman" w:cs="Times New Roman"/>
              </w:rPr>
              <w:t xml:space="preserve"> średnio 3-6 lat (w zależności od skali</w:t>
            </w:r>
            <w:r>
              <w:rPr>
                <w:rFonts w:ascii="Times New Roman" w:hAnsi="Times New Roman" w:cs="Times New Roman"/>
              </w:rPr>
              <w:t xml:space="preserve"> projektu</w:t>
            </w:r>
            <w:r w:rsidRPr="00460E47">
              <w:rPr>
                <w:rFonts w:ascii="Times New Roman" w:hAnsi="Times New Roman" w:cs="Times New Roman"/>
              </w:rPr>
              <w:t>). W przypadku projektów o charakterze modernizacyjno-inwestycyjnym optymalny czas na ich realizację może wynosić od 12 do 48 m-</w:t>
            </w:r>
            <w:proofErr w:type="spellStart"/>
            <w:r w:rsidRPr="00460E47">
              <w:rPr>
                <w:rFonts w:ascii="Times New Roman" w:hAnsi="Times New Roman" w:cs="Times New Roman"/>
              </w:rPr>
              <w:t>cy</w:t>
            </w:r>
            <w:proofErr w:type="spellEnd"/>
            <w:r w:rsidRPr="00460E47">
              <w:rPr>
                <w:rFonts w:ascii="Times New Roman" w:hAnsi="Times New Roman" w:cs="Times New Roman"/>
              </w:rPr>
              <w:t xml:space="preserve">, </w:t>
            </w:r>
            <w:r>
              <w:rPr>
                <w:rFonts w:ascii="Times New Roman" w:hAnsi="Times New Roman" w:cs="Times New Roman"/>
              </w:rPr>
              <w:t xml:space="preserve">licząc </w:t>
            </w:r>
            <w:r w:rsidRPr="00460E47">
              <w:rPr>
                <w:rFonts w:ascii="Times New Roman" w:hAnsi="Times New Roman" w:cs="Times New Roman"/>
              </w:rPr>
              <w:t xml:space="preserve">od momentu </w:t>
            </w:r>
            <w:r>
              <w:rPr>
                <w:rFonts w:ascii="Times New Roman" w:hAnsi="Times New Roman" w:cs="Times New Roman"/>
              </w:rPr>
              <w:t>uzyskania</w:t>
            </w:r>
            <w:r w:rsidRPr="00460E47">
              <w:rPr>
                <w:rFonts w:ascii="Times New Roman" w:hAnsi="Times New Roman" w:cs="Times New Roman"/>
              </w:rPr>
              <w:t xml:space="preserve"> środków. Dodatkowo</w:t>
            </w:r>
            <w:r>
              <w:rPr>
                <w:rFonts w:ascii="Times New Roman" w:hAnsi="Times New Roman" w:cs="Times New Roman"/>
              </w:rPr>
              <w:t xml:space="preserve">, </w:t>
            </w:r>
            <w:r w:rsidRPr="00460E47">
              <w:rPr>
                <w:rFonts w:ascii="Times New Roman" w:hAnsi="Times New Roman" w:cs="Times New Roman"/>
              </w:rPr>
              <w:t xml:space="preserve">przedsiębiorcy podkreślali konieczność </w:t>
            </w:r>
            <w:r>
              <w:rPr>
                <w:rFonts w:ascii="Times New Roman" w:hAnsi="Times New Roman" w:cs="Times New Roman"/>
              </w:rPr>
              <w:t>bardziej kompleksowego</w:t>
            </w:r>
            <w:r w:rsidRPr="00460E47">
              <w:rPr>
                <w:rFonts w:ascii="Times New Roman" w:hAnsi="Times New Roman" w:cs="Times New Roman"/>
              </w:rPr>
              <w:t xml:space="preserve"> wsparcia w obszarze produkcji leków, nie tylko kwestii API.</w:t>
            </w:r>
            <w:r>
              <w:rPr>
                <w:rFonts w:ascii="Times New Roman" w:hAnsi="Times New Roman" w:cs="Times New Roman"/>
              </w:rPr>
              <w:t xml:space="preserve"> Powyższe stanowi </w:t>
            </w:r>
            <w:r w:rsidRPr="00832752">
              <w:rPr>
                <w:rFonts w:ascii="Times New Roman" w:hAnsi="Times New Roman" w:cs="Times New Roman"/>
              </w:rPr>
              <w:t>obiektywne okoliczności</w:t>
            </w:r>
            <w:r>
              <w:rPr>
                <w:rFonts w:ascii="Times New Roman" w:hAnsi="Times New Roman" w:cs="Times New Roman"/>
              </w:rPr>
              <w:t xml:space="preserve"> do zmiany inwestycji. </w:t>
            </w:r>
          </w:p>
          <w:p w14:paraId="01A0E6B7" w14:textId="77777777" w:rsidR="00BC6A23" w:rsidRPr="00460E47" w:rsidRDefault="00BC6A23">
            <w:pPr>
              <w:spacing w:after="120" w:line="240" w:lineRule="auto"/>
              <w:rPr>
                <w:rFonts w:ascii="Times New Roman" w:hAnsi="Times New Roman" w:cs="Times New Roman"/>
              </w:rPr>
            </w:pPr>
            <w:r w:rsidRPr="00460E47">
              <w:rPr>
                <w:rFonts w:ascii="Times New Roman" w:hAnsi="Times New Roman" w:cs="Times New Roman"/>
              </w:rPr>
              <w:t>Mając na uwadze powyższe, w celu rzetelnego zrealizowania inwestycji konieczne jest przemodelowanie</w:t>
            </w:r>
            <w:r>
              <w:rPr>
                <w:rFonts w:ascii="Times New Roman" w:hAnsi="Times New Roman" w:cs="Times New Roman"/>
              </w:rPr>
              <w:t xml:space="preserve"> zakresu i nazwy inwestycji</w:t>
            </w:r>
            <w:r w:rsidRPr="00460E47">
              <w:rPr>
                <w:rFonts w:ascii="Times New Roman" w:hAnsi="Times New Roman" w:cs="Times New Roman"/>
              </w:rPr>
              <w:t xml:space="preserve"> tak, aby zapewnić przedsiębiorcom </w:t>
            </w:r>
            <w:r>
              <w:rPr>
                <w:rFonts w:ascii="Times New Roman" w:hAnsi="Times New Roman" w:cs="Times New Roman"/>
              </w:rPr>
              <w:t>optymalny</w:t>
            </w:r>
            <w:r w:rsidRPr="00460E47">
              <w:rPr>
                <w:rFonts w:ascii="Times New Roman" w:hAnsi="Times New Roman" w:cs="Times New Roman"/>
              </w:rPr>
              <w:t xml:space="preserve"> czas na realizację </w:t>
            </w:r>
            <w:r>
              <w:rPr>
                <w:rFonts w:ascii="Times New Roman" w:hAnsi="Times New Roman" w:cs="Times New Roman"/>
              </w:rPr>
              <w:t>projektów</w:t>
            </w:r>
            <w:r w:rsidRPr="00460E47">
              <w:rPr>
                <w:rFonts w:ascii="Times New Roman" w:hAnsi="Times New Roman" w:cs="Times New Roman"/>
              </w:rPr>
              <w:t xml:space="preserve">. Rozszerzenie brzmienia wskaźników i objęcie wsparciem takich grup jak: leki (generyczne lub </w:t>
            </w:r>
            <w:proofErr w:type="spellStart"/>
            <w:r w:rsidRPr="00460E47">
              <w:rPr>
                <w:rFonts w:ascii="Times New Roman" w:hAnsi="Times New Roman" w:cs="Times New Roman"/>
              </w:rPr>
              <w:t>biopodobne</w:t>
            </w:r>
            <w:proofErr w:type="spellEnd"/>
            <w:r>
              <w:rPr>
                <w:rFonts w:ascii="Times New Roman" w:hAnsi="Times New Roman" w:cs="Times New Roman"/>
              </w:rPr>
              <w:t xml:space="preserve"> - </w:t>
            </w:r>
            <w:r w:rsidRPr="00460E47">
              <w:rPr>
                <w:rFonts w:ascii="Times New Roman" w:hAnsi="Times New Roman" w:cs="Times New Roman"/>
              </w:rPr>
              <w:t>nie tylko API) stanowi doprecyzowanie zapisu zgodnie z opisem całe</w:t>
            </w:r>
            <w:r>
              <w:rPr>
                <w:rFonts w:ascii="Times New Roman" w:hAnsi="Times New Roman" w:cs="Times New Roman"/>
              </w:rPr>
              <w:t>j inwestycji</w:t>
            </w:r>
            <w:r w:rsidRPr="00460E47">
              <w:rPr>
                <w:rFonts w:ascii="Times New Roman" w:hAnsi="Times New Roman" w:cs="Times New Roman"/>
              </w:rPr>
              <w:t xml:space="preserve">. Chcąc prowadzić działania w obszarze budowania bezpieczeństwa zdrowotnego obywateli </w:t>
            </w:r>
            <w:r>
              <w:rPr>
                <w:rFonts w:ascii="Times New Roman" w:hAnsi="Times New Roman" w:cs="Times New Roman"/>
              </w:rPr>
              <w:t xml:space="preserve">konieczne jest ujęcie </w:t>
            </w:r>
            <w:r w:rsidRPr="00460E47">
              <w:rPr>
                <w:rFonts w:ascii="Times New Roman" w:hAnsi="Times New Roman" w:cs="Times New Roman"/>
              </w:rPr>
              <w:t>cał</w:t>
            </w:r>
            <w:r>
              <w:rPr>
                <w:rFonts w:ascii="Times New Roman" w:hAnsi="Times New Roman" w:cs="Times New Roman"/>
              </w:rPr>
              <w:t>ego</w:t>
            </w:r>
            <w:r w:rsidRPr="00460E47">
              <w:rPr>
                <w:rFonts w:ascii="Times New Roman" w:hAnsi="Times New Roman" w:cs="Times New Roman"/>
              </w:rPr>
              <w:t xml:space="preserve"> etap</w:t>
            </w:r>
            <w:r>
              <w:rPr>
                <w:rFonts w:ascii="Times New Roman" w:hAnsi="Times New Roman" w:cs="Times New Roman"/>
              </w:rPr>
              <w:t>u</w:t>
            </w:r>
            <w:r w:rsidRPr="00460E47">
              <w:rPr>
                <w:rFonts w:ascii="Times New Roman" w:hAnsi="Times New Roman" w:cs="Times New Roman"/>
              </w:rPr>
              <w:t xml:space="preserve"> tworzenia leku</w:t>
            </w:r>
            <w:r>
              <w:rPr>
                <w:rFonts w:ascii="Times New Roman" w:hAnsi="Times New Roman" w:cs="Times New Roman"/>
              </w:rPr>
              <w:t xml:space="preserve"> </w:t>
            </w:r>
            <w:r w:rsidRPr="00460E47">
              <w:rPr>
                <w:rFonts w:ascii="Times New Roman" w:hAnsi="Times New Roman" w:cs="Times New Roman"/>
              </w:rPr>
              <w:t xml:space="preserve">– </w:t>
            </w:r>
            <w:r>
              <w:rPr>
                <w:rFonts w:ascii="Times New Roman" w:hAnsi="Times New Roman" w:cs="Times New Roman"/>
              </w:rPr>
              <w:t xml:space="preserve">w tym sensie </w:t>
            </w:r>
            <w:r w:rsidRPr="00460E47">
              <w:rPr>
                <w:rFonts w:ascii="Times New Roman" w:hAnsi="Times New Roman" w:cs="Times New Roman"/>
              </w:rPr>
              <w:t xml:space="preserve">API stanowi jedynie jeden z elementów. </w:t>
            </w:r>
          </w:p>
          <w:p w14:paraId="592AC6EE" w14:textId="4751F89C" w:rsidR="00BC6A23" w:rsidRPr="00C40440" w:rsidRDefault="00BC6A23">
            <w:pPr>
              <w:spacing w:after="120" w:line="240" w:lineRule="auto"/>
              <w:rPr>
                <w:rFonts w:ascii="Times New Roman" w:hAnsi="Times New Roman" w:cs="Times New Roman"/>
              </w:rPr>
            </w:pPr>
            <w:r>
              <w:rPr>
                <w:rFonts w:ascii="Times New Roman" w:hAnsi="Times New Roman" w:cs="Times New Roman"/>
              </w:rPr>
              <w:t xml:space="preserve">Zmiana opisu inwestycji wynika ze zmian w opisach wskaźników. </w:t>
            </w:r>
          </w:p>
        </w:tc>
      </w:tr>
      <w:tr w:rsidR="00BC6A23" w:rsidRPr="00460E47" w14:paraId="55F128E0" w14:textId="77777777" w:rsidTr="00BC6A23">
        <w:tc>
          <w:tcPr>
            <w:tcW w:w="1110" w:type="pct"/>
          </w:tcPr>
          <w:p w14:paraId="0263EB02" w14:textId="77777777" w:rsidR="00BC6A23" w:rsidRPr="00EF63DD" w:rsidRDefault="00BC6A23">
            <w:pPr>
              <w:spacing w:after="120" w:line="240" w:lineRule="auto"/>
              <w:rPr>
                <w:rFonts w:ascii="Times New Roman" w:hAnsi="Times New Roman" w:cs="Times New Roman"/>
              </w:rPr>
            </w:pPr>
            <w:r w:rsidRPr="00EF63DD">
              <w:rPr>
                <w:rFonts w:ascii="Times New Roman" w:hAnsi="Times New Roman" w:cs="Times New Roman"/>
              </w:rPr>
              <w:t>Szacowany koszt</w:t>
            </w:r>
          </w:p>
        </w:tc>
        <w:tc>
          <w:tcPr>
            <w:tcW w:w="3890" w:type="pct"/>
            <w:gridSpan w:val="2"/>
            <w:shd w:val="clear" w:color="auto" w:fill="auto"/>
          </w:tcPr>
          <w:p w14:paraId="4E3B59CF" w14:textId="77777777" w:rsidR="00BC6A23" w:rsidRPr="00460E47" w:rsidRDefault="00BC6A23">
            <w:pPr>
              <w:spacing w:after="120" w:line="240" w:lineRule="auto"/>
              <w:rPr>
                <w:rFonts w:ascii="Times New Roman" w:hAnsi="Times New Roman" w:cs="Times New Roman"/>
                <w:b/>
                <w:bCs/>
              </w:rPr>
            </w:pPr>
            <w:r w:rsidRPr="00460E47">
              <w:rPr>
                <w:rFonts w:ascii="Times New Roman" w:hAnsi="Times New Roman" w:cs="Times New Roman"/>
              </w:rPr>
              <w:t xml:space="preserve">Zmiana nie ma wpływu na szacowany koszt </w:t>
            </w:r>
          </w:p>
        </w:tc>
      </w:tr>
      <w:tr w:rsidR="00BC6A23" w:rsidRPr="00460E47" w14:paraId="23CF5E05" w14:textId="77777777" w:rsidTr="00BC6A23">
        <w:tc>
          <w:tcPr>
            <w:tcW w:w="1110" w:type="pct"/>
          </w:tcPr>
          <w:p w14:paraId="1FB9FF94" w14:textId="77777777" w:rsidR="00BC6A23" w:rsidRPr="00EF63DD" w:rsidRDefault="00BC6A23">
            <w:pPr>
              <w:spacing w:after="120" w:line="240" w:lineRule="auto"/>
              <w:rPr>
                <w:rFonts w:ascii="Times New Roman" w:hAnsi="Times New Roman" w:cs="Times New Roman"/>
              </w:rPr>
            </w:pPr>
            <w:r w:rsidRPr="00EF63DD">
              <w:rPr>
                <w:rFonts w:ascii="Times New Roman" w:hAnsi="Times New Roman" w:cs="Times New Roman"/>
              </w:rPr>
              <w:t xml:space="preserve">Cyfrowy i klimatyczny </w:t>
            </w:r>
            <w:proofErr w:type="spellStart"/>
            <w:r w:rsidRPr="00EF63DD">
              <w:rPr>
                <w:rFonts w:ascii="Times New Roman" w:hAnsi="Times New Roman" w:cs="Times New Roman"/>
              </w:rPr>
              <w:t>tagging</w:t>
            </w:r>
            <w:proofErr w:type="spellEnd"/>
            <w:r w:rsidRPr="00EF63DD">
              <w:rPr>
                <w:rFonts w:ascii="Times New Roman" w:hAnsi="Times New Roman" w:cs="Times New Roman"/>
              </w:rPr>
              <w:t xml:space="preserve"> </w:t>
            </w:r>
          </w:p>
        </w:tc>
        <w:tc>
          <w:tcPr>
            <w:tcW w:w="3890" w:type="pct"/>
            <w:gridSpan w:val="2"/>
            <w:shd w:val="clear" w:color="auto" w:fill="auto"/>
          </w:tcPr>
          <w:p w14:paraId="3D8EA150" w14:textId="77777777" w:rsidR="00BC6A23" w:rsidRPr="00460E47" w:rsidRDefault="00BC6A23">
            <w:pPr>
              <w:spacing w:after="120" w:line="240" w:lineRule="auto"/>
              <w:rPr>
                <w:rFonts w:ascii="Times New Roman" w:hAnsi="Times New Roman" w:cs="Times New Roman"/>
              </w:rPr>
            </w:pPr>
            <w:r w:rsidRPr="00460E47">
              <w:rPr>
                <w:rFonts w:ascii="Times New Roman" w:hAnsi="Times New Roman" w:cs="Times New Roman"/>
              </w:rPr>
              <w:t xml:space="preserve">Zmiana nie ma wpływu na </w:t>
            </w:r>
            <w:proofErr w:type="spellStart"/>
            <w:r w:rsidRPr="00460E47">
              <w:rPr>
                <w:rFonts w:ascii="Times New Roman" w:hAnsi="Times New Roman" w:cs="Times New Roman"/>
              </w:rPr>
              <w:t>tagging</w:t>
            </w:r>
            <w:proofErr w:type="spellEnd"/>
            <w:r w:rsidRPr="00460E47">
              <w:rPr>
                <w:rFonts w:ascii="Times New Roman" w:hAnsi="Times New Roman" w:cs="Times New Roman"/>
              </w:rPr>
              <w:t xml:space="preserve"> klimatyczny i cyfrowy</w:t>
            </w:r>
          </w:p>
        </w:tc>
      </w:tr>
      <w:tr w:rsidR="00BC6A23" w:rsidRPr="00460E47" w14:paraId="3B69A27C" w14:textId="77777777" w:rsidTr="00BC6A23">
        <w:tc>
          <w:tcPr>
            <w:tcW w:w="1110" w:type="pct"/>
            <w:tcBorders>
              <w:bottom w:val="single" w:sz="4" w:space="0" w:color="auto"/>
            </w:tcBorders>
          </w:tcPr>
          <w:p w14:paraId="6556A521" w14:textId="77777777" w:rsidR="00BC6A23" w:rsidRPr="00EF63DD" w:rsidRDefault="00BC6A23">
            <w:pPr>
              <w:spacing w:after="120" w:line="240" w:lineRule="auto"/>
              <w:rPr>
                <w:rFonts w:ascii="Times New Roman" w:hAnsi="Times New Roman" w:cs="Times New Roman"/>
              </w:rPr>
            </w:pPr>
            <w:r w:rsidRPr="00EF63DD">
              <w:rPr>
                <w:rFonts w:ascii="Times New Roman" w:hAnsi="Times New Roman" w:cs="Times New Roman"/>
              </w:rPr>
              <w:t xml:space="preserve">Zasada DNSH </w:t>
            </w:r>
          </w:p>
        </w:tc>
        <w:tc>
          <w:tcPr>
            <w:tcW w:w="3890" w:type="pct"/>
            <w:gridSpan w:val="2"/>
            <w:tcBorders>
              <w:bottom w:val="single" w:sz="4" w:space="0" w:color="auto"/>
            </w:tcBorders>
            <w:shd w:val="clear" w:color="auto" w:fill="auto"/>
          </w:tcPr>
          <w:p w14:paraId="4809CF7C" w14:textId="77777777" w:rsidR="00BC6A23" w:rsidRPr="00460E47" w:rsidRDefault="00BC6A23">
            <w:pPr>
              <w:spacing w:after="120" w:line="240" w:lineRule="auto"/>
              <w:rPr>
                <w:rFonts w:ascii="Times New Roman" w:hAnsi="Times New Roman" w:cs="Times New Roman"/>
              </w:rPr>
            </w:pPr>
            <w:r w:rsidRPr="00460E47">
              <w:rPr>
                <w:rFonts w:ascii="Times New Roman" w:hAnsi="Times New Roman" w:cs="Times New Roman"/>
              </w:rPr>
              <w:t>Zmiana nie ma wpływu na DNSH</w:t>
            </w:r>
          </w:p>
        </w:tc>
      </w:tr>
      <w:tr w:rsidR="00BC6A23" w:rsidRPr="00460E47" w14:paraId="32323EA8" w14:textId="77777777" w:rsidTr="00BC6A23">
        <w:tc>
          <w:tcPr>
            <w:tcW w:w="1110" w:type="pct"/>
            <w:tcBorders>
              <w:bottom w:val="single" w:sz="4" w:space="0" w:color="auto"/>
            </w:tcBorders>
          </w:tcPr>
          <w:p w14:paraId="5E8B521A" w14:textId="77777777" w:rsidR="00BC6A23" w:rsidRPr="00EF63DD" w:rsidRDefault="00BC6A23">
            <w:pPr>
              <w:spacing w:after="120" w:line="240" w:lineRule="auto"/>
              <w:rPr>
                <w:rFonts w:ascii="Times New Roman" w:hAnsi="Times New Roman" w:cs="Times New Roman"/>
              </w:rPr>
            </w:pPr>
            <w:r w:rsidRPr="00EF63DD">
              <w:rPr>
                <w:rFonts w:ascii="Times New Roman" w:hAnsi="Times New Roman" w:cs="Times New Roman"/>
              </w:rPr>
              <w:t xml:space="preserve">Pomoc publiczna </w:t>
            </w:r>
          </w:p>
        </w:tc>
        <w:tc>
          <w:tcPr>
            <w:tcW w:w="3890" w:type="pct"/>
            <w:gridSpan w:val="2"/>
            <w:tcBorders>
              <w:bottom w:val="single" w:sz="4" w:space="0" w:color="auto"/>
            </w:tcBorders>
            <w:shd w:val="clear" w:color="auto" w:fill="auto"/>
          </w:tcPr>
          <w:p w14:paraId="21D98E3B" w14:textId="2EBB49E5" w:rsidR="00BC6A23" w:rsidRPr="00460E47" w:rsidRDefault="007A5B4B">
            <w:pPr>
              <w:spacing w:after="120" w:line="240" w:lineRule="auto"/>
              <w:rPr>
                <w:rFonts w:ascii="Times New Roman" w:hAnsi="Times New Roman" w:cs="Times New Roman"/>
              </w:rPr>
            </w:pPr>
            <w:r>
              <w:rPr>
                <w:rFonts w:ascii="Times New Roman" w:hAnsi="Times New Roman" w:cs="Times New Roman"/>
              </w:rPr>
              <w:t>Nie dotyczy</w:t>
            </w:r>
          </w:p>
        </w:tc>
      </w:tr>
      <w:bookmarkEnd w:id="9"/>
    </w:tbl>
    <w:p w14:paraId="179F0773" w14:textId="77777777" w:rsidR="007A5B4B" w:rsidRPr="00EF63DD" w:rsidRDefault="007A5B4B" w:rsidP="00C40440">
      <w:pPr>
        <w:spacing w:line="240" w:lineRule="auto"/>
        <w:rPr>
          <w:rFonts w:ascii="Times New Roman" w:hAnsi="Times New Roman" w:cs="Times New Roman"/>
          <w:b/>
          <w:bCs/>
          <w:sz w:val="26"/>
          <w:szCs w:val="26"/>
        </w:rPr>
      </w:pPr>
    </w:p>
    <w:p w14:paraId="50E82806" w14:textId="29FC68D6" w:rsidR="003733FD" w:rsidRDefault="003733FD" w:rsidP="00C40440">
      <w:pPr>
        <w:spacing w:line="240" w:lineRule="auto"/>
        <w:rPr>
          <w:rFonts w:ascii="Times New Roman" w:hAnsi="Times New Roman" w:cs="Times New Roman"/>
          <w:b/>
          <w:bCs/>
          <w:sz w:val="26"/>
          <w:szCs w:val="26"/>
        </w:rPr>
      </w:pPr>
      <w:r w:rsidRPr="007B2370">
        <w:rPr>
          <w:rFonts w:ascii="Times New Roman" w:hAnsi="Times New Roman" w:cs="Times New Roman"/>
          <w:b/>
          <w:bCs/>
          <w:sz w:val="26"/>
          <w:szCs w:val="26"/>
        </w:rPr>
        <w:t>Komponent E Zielona, inteligentna mobilność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6"/>
        <w:gridCol w:w="3465"/>
        <w:gridCol w:w="3661"/>
      </w:tblGrid>
      <w:tr w:rsidR="00D4225F" w:rsidRPr="00B47988" w14:paraId="1B1026D3" w14:textId="77777777" w:rsidTr="00144E7D">
        <w:tc>
          <w:tcPr>
            <w:tcW w:w="1068" w:type="pct"/>
            <w:shd w:val="clear" w:color="auto" w:fill="FFFFFF" w:themeFill="background1"/>
          </w:tcPr>
          <w:p w14:paraId="56F0994C" w14:textId="77777777" w:rsidR="00D4225F" w:rsidRPr="009D13F0" w:rsidRDefault="00D4225F">
            <w:pPr>
              <w:spacing w:after="0" w:line="240" w:lineRule="auto"/>
              <w:rPr>
                <w:rFonts w:ascii="Times New Roman" w:hAnsi="Times New Roman" w:cs="Times New Roman"/>
                <w:b/>
                <w:bCs/>
              </w:rPr>
            </w:pPr>
            <w:r w:rsidRPr="009D13F0">
              <w:rPr>
                <w:rFonts w:ascii="Times New Roman" w:hAnsi="Times New Roman" w:cs="Times New Roman"/>
                <w:b/>
                <w:bCs/>
              </w:rPr>
              <w:t>Numer inwestycji</w:t>
            </w:r>
          </w:p>
        </w:tc>
        <w:tc>
          <w:tcPr>
            <w:tcW w:w="3932" w:type="pct"/>
            <w:gridSpan w:val="2"/>
            <w:shd w:val="clear" w:color="auto" w:fill="FFFFFF" w:themeFill="background1"/>
          </w:tcPr>
          <w:p w14:paraId="6735EE9F" w14:textId="23D0EA2D" w:rsidR="00D4225F" w:rsidRPr="009D13F0" w:rsidRDefault="00D4225F" w:rsidP="00C40440">
            <w:pPr>
              <w:pStyle w:val="Akapitzlist"/>
              <w:spacing w:line="240" w:lineRule="auto"/>
              <w:ind w:left="0"/>
              <w:rPr>
                <w:b/>
                <w:bCs/>
                <w:sz w:val="22"/>
                <w:szCs w:val="22"/>
              </w:rPr>
            </w:pPr>
            <w:r w:rsidRPr="009D13F0">
              <w:rPr>
                <w:b/>
                <w:bCs/>
                <w:sz w:val="22"/>
                <w:szCs w:val="22"/>
              </w:rPr>
              <w:t>E1.2.1</w:t>
            </w:r>
            <w:r w:rsidR="007A5B4B">
              <w:rPr>
                <w:b/>
                <w:bCs/>
                <w:sz w:val="22"/>
                <w:szCs w:val="22"/>
              </w:rPr>
              <w:t>.</w:t>
            </w:r>
          </w:p>
        </w:tc>
      </w:tr>
      <w:tr w:rsidR="00D4225F" w:rsidRPr="00B47988" w14:paraId="0418824C" w14:textId="77777777" w:rsidTr="00144E7D">
        <w:tc>
          <w:tcPr>
            <w:tcW w:w="1068" w:type="pct"/>
            <w:shd w:val="clear" w:color="auto" w:fill="FFFFFF" w:themeFill="background1"/>
          </w:tcPr>
          <w:p w14:paraId="55AE370E" w14:textId="77777777" w:rsidR="00D4225F" w:rsidRPr="009D13F0" w:rsidRDefault="00D4225F" w:rsidP="00C40440">
            <w:pPr>
              <w:pStyle w:val="Akapitzlist"/>
              <w:spacing w:line="240" w:lineRule="auto"/>
              <w:ind w:left="0" w:hanging="75"/>
              <w:rPr>
                <w:b/>
                <w:bCs/>
                <w:sz w:val="22"/>
                <w:szCs w:val="22"/>
              </w:rPr>
            </w:pPr>
            <w:r w:rsidRPr="009D13F0">
              <w:rPr>
                <w:b/>
                <w:bCs/>
                <w:sz w:val="22"/>
                <w:szCs w:val="22"/>
              </w:rPr>
              <w:t xml:space="preserve">Nazwa inwestycji </w:t>
            </w:r>
          </w:p>
        </w:tc>
        <w:tc>
          <w:tcPr>
            <w:tcW w:w="3932" w:type="pct"/>
            <w:gridSpan w:val="2"/>
            <w:shd w:val="clear" w:color="auto" w:fill="FFFFFF" w:themeFill="background1"/>
          </w:tcPr>
          <w:p w14:paraId="1782FC17" w14:textId="77777777" w:rsidR="00D4225F" w:rsidRPr="009D13F0" w:rsidRDefault="00D4225F" w:rsidP="00C40440">
            <w:pPr>
              <w:pStyle w:val="Akapitzlist"/>
              <w:spacing w:line="240" w:lineRule="auto"/>
              <w:ind w:left="0"/>
              <w:rPr>
                <w:b/>
                <w:sz w:val="22"/>
                <w:szCs w:val="22"/>
              </w:rPr>
            </w:pPr>
            <w:r w:rsidRPr="009D13F0">
              <w:rPr>
                <w:b/>
                <w:sz w:val="22"/>
                <w:szCs w:val="22"/>
              </w:rPr>
              <w:t>Zeroemisyjny transport zbiorowy w miastach (tramwaje)</w:t>
            </w:r>
          </w:p>
          <w:p w14:paraId="170DB654" w14:textId="77777777" w:rsidR="00D4225F" w:rsidRPr="003733FD" w:rsidRDefault="00D4225F" w:rsidP="00C40440">
            <w:pPr>
              <w:pStyle w:val="Akapitzlist"/>
              <w:spacing w:line="240" w:lineRule="auto"/>
              <w:rPr>
                <w:b/>
                <w:bCs/>
                <w:sz w:val="22"/>
                <w:szCs w:val="22"/>
              </w:rPr>
            </w:pPr>
          </w:p>
        </w:tc>
      </w:tr>
      <w:tr w:rsidR="00D4225F" w:rsidRPr="003733FD" w14:paraId="2F5FB195" w14:textId="77777777" w:rsidTr="00144E7D">
        <w:tc>
          <w:tcPr>
            <w:tcW w:w="1068" w:type="pct"/>
            <w:shd w:val="clear" w:color="auto" w:fill="FFFFFF" w:themeFill="background1"/>
          </w:tcPr>
          <w:p w14:paraId="3B4B3F8D" w14:textId="77777777" w:rsidR="00D4225F" w:rsidRPr="009D13F0" w:rsidRDefault="00D4225F" w:rsidP="00C40440">
            <w:pPr>
              <w:pStyle w:val="Akapitzlist"/>
              <w:spacing w:line="240" w:lineRule="auto"/>
              <w:ind w:left="0"/>
              <w:rPr>
                <w:sz w:val="22"/>
                <w:szCs w:val="22"/>
              </w:rPr>
            </w:pPr>
            <w:r w:rsidRPr="009D13F0">
              <w:rPr>
                <w:sz w:val="22"/>
                <w:szCs w:val="22"/>
              </w:rPr>
              <w:t>Rodzaj wprowadzonej zmiany w odniesieniu do CID</w:t>
            </w:r>
          </w:p>
        </w:tc>
        <w:tc>
          <w:tcPr>
            <w:tcW w:w="3932" w:type="pct"/>
            <w:gridSpan w:val="2"/>
            <w:shd w:val="clear" w:color="auto" w:fill="FFFFFF" w:themeFill="background1"/>
          </w:tcPr>
          <w:p w14:paraId="50D1E8ED" w14:textId="20B49206" w:rsidR="00D4225F" w:rsidRPr="009D13F0" w:rsidRDefault="007A5B4B" w:rsidP="00C40440">
            <w:pPr>
              <w:pStyle w:val="Akapitzlist"/>
              <w:spacing w:line="240" w:lineRule="auto"/>
              <w:ind w:left="-24"/>
              <w:rPr>
                <w:sz w:val="22"/>
                <w:szCs w:val="22"/>
              </w:rPr>
            </w:pPr>
            <w:r>
              <w:rPr>
                <w:sz w:val="22"/>
                <w:szCs w:val="22"/>
              </w:rPr>
              <w:t>Modyfikacja</w:t>
            </w:r>
            <w:r w:rsidR="00D4225F" w:rsidRPr="009D13F0">
              <w:rPr>
                <w:sz w:val="22"/>
                <w:szCs w:val="22"/>
              </w:rPr>
              <w:t xml:space="preserve"> nazwy i opisu wskaźnika E4L oraz opisu inwestycji </w:t>
            </w:r>
          </w:p>
          <w:p w14:paraId="1FE1AABC" w14:textId="77777777" w:rsidR="00D4225F" w:rsidRPr="00D3240A" w:rsidRDefault="00D4225F" w:rsidP="00C40440">
            <w:pPr>
              <w:pStyle w:val="Akapitzlist"/>
              <w:spacing w:line="240" w:lineRule="auto"/>
              <w:rPr>
                <w:sz w:val="22"/>
                <w:szCs w:val="22"/>
              </w:rPr>
            </w:pPr>
          </w:p>
        </w:tc>
      </w:tr>
      <w:tr w:rsidR="00D4225F" w:rsidRPr="00B47988" w14:paraId="4F862F40" w14:textId="77777777" w:rsidTr="00144E7D">
        <w:tc>
          <w:tcPr>
            <w:tcW w:w="1068" w:type="pct"/>
            <w:shd w:val="clear" w:color="auto" w:fill="FFFFFF" w:themeFill="background1"/>
          </w:tcPr>
          <w:p w14:paraId="052C7F51" w14:textId="77777777" w:rsidR="00D4225F" w:rsidRPr="009D13F0" w:rsidRDefault="00D4225F" w:rsidP="00C40440">
            <w:pPr>
              <w:pStyle w:val="Akapitzlist"/>
              <w:spacing w:line="240" w:lineRule="auto"/>
              <w:ind w:left="67"/>
              <w:rPr>
                <w:sz w:val="22"/>
                <w:szCs w:val="22"/>
              </w:rPr>
            </w:pPr>
            <w:r w:rsidRPr="009D13F0">
              <w:rPr>
                <w:sz w:val="22"/>
                <w:szCs w:val="22"/>
              </w:rPr>
              <w:t>Podstawa prawna zmiany</w:t>
            </w:r>
          </w:p>
        </w:tc>
        <w:tc>
          <w:tcPr>
            <w:tcW w:w="3932" w:type="pct"/>
            <w:gridSpan w:val="2"/>
            <w:shd w:val="clear" w:color="auto" w:fill="FFFFFF" w:themeFill="background1"/>
          </w:tcPr>
          <w:p w14:paraId="171D0644" w14:textId="4A52A335" w:rsidR="00D4225F" w:rsidRPr="007A5B4B" w:rsidRDefault="007A5B4B">
            <w:pPr>
              <w:spacing w:after="0" w:line="240" w:lineRule="auto"/>
              <w:rPr>
                <w:rFonts w:ascii="Times New Roman" w:hAnsi="Times New Roman" w:cs="Times New Roman"/>
              </w:rPr>
            </w:pPr>
            <w:r w:rsidRPr="00C40440">
              <w:rPr>
                <w:rFonts w:ascii="Times New Roman" w:hAnsi="Times New Roman" w:cs="Times New Roman"/>
              </w:rPr>
              <w:t>art. 21 rozporządzenia Parlamentu Europejskiego i Rady (UE) 2021/241 z dnia 12 lutego 2021 r. ustanawiające Instrument na rzecz Odbudowy i Zwiększania Odporności</w:t>
            </w:r>
            <w:r w:rsidRPr="007A5B4B" w:rsidDel="007A5B4B">
              <w:rPr>
                <w:rFonts w:ascii="Times New Roman" w:hAnsi="Times New Roman" w:cs="Times New Roman"/>
              </w:rPr>
              <w:t xml:space="preserve"> </w:t>
            </w:r>
          </w:p>
        </w:tc>
      </w:tr>
      <w:tr w:rsidR="00D4225F" w:rsidRPr="00B47988" w14:paraId="36A0136C" w14:textId="77777777" w:rsidTr="00C40440">
        <w:tc>
          <w:tcPr>
            <w:tcW w:w="1068" w:type="pct"/>
            <w:shd w:val="clear" w:color="auto" w:fill="D0CECE" w:themeFill="background2" w:themeFillShade="E6"/>
          </w:tcPr>
          <w:p w14:paraId="69CF8E34" w14:textId="77777777" w:rsidR="00D4225F" w:rsidRPr="009D13F0" w:rsidRDefault="00D4225F">
            <w:pPr>
              <w:spacing w:after="0" w:line="240" w:lineRule="auto"/>
              <w:rPr>
                <w:rFonts w:ascii="Times New Roman" w:hAnsi="Times New Roman" w:cs="Times New Roman"/>
              </w:rPr>
            </w:pPr>
            <w:r w:rsidRPr="009D13F0">
              <w:rPr>
                <w:rFonts w:ascii="Times New Roman" w:hAnsi="Times New Roman" w:cs="Times New Roman"/>
              </w:rPr>
              <w:t>Modyfikowany element</w:t>
            </w:r>
          </w:p>
        </w:tc>
        <w:tc>
          <w:tcPr>
            <w:tcW w:w="1912" w:type="pct"/>
            <w:shd w:val="clear" w:color="auto" w:fill="D0CECE" w:themeFill="background2" w:themeFillShade="E6"/>
          </w:tcPr>
          <w:p w14:paraId="5A8F4691" w14:textId="77777777" w:rsidR="00D4225F" w:rsidRPr="009D13F0" w:rsidRDefault="00D4225F">
            <w:pPr>
              <w:spacing w:after="0" w:line="240" w:lineRule="auto"/>
              <w:jc w:val="center"/>
              <w:rPr>
                <w:rFonts w:ascii="Times New Roman" w:hAnsi="Times New Roman" w:cs="Times New Roman"/>
              </w:rPr>
            </w:pPr>
            <w:r w:rsidRPr="009D13F0">
              <w:rPr>
                <w:rFonts w:ascii="Times New Roman" w:hAnsi="Times New Roman" w:cs="Times New Roman"/>
              </w:rPr>
              <w:t>Wersja aktualna</w:t>
            </w:r>
          </w:p>
        </w:tc>
        <w:tc>
          <w:tcPr>
            <w:tcW w:w="2020" w:type="pct"/>
            <w:shd w:val="clear" w:color="auto" w:fill="D0CECE" w:themeFill="background2" w:themeFillShade="E6"/>
          </w:tcPr>
          <w:p w14:paraId="4593152C" w14:textId="77777777" w:rsidR="00D4225F" w:rsidRPr="009D13F0" w:rsidRDefault="00D4225F">
            <w:pPr>
              <w:spacing w:after="0" w:line="240" w:lineRule="auto"/>
              <w:jc w:val="center"/>
              <w:rPr>
                <w:rFonts w:ascii="Times New Roman" w:hAnsi="Times New Roman" w:cs="Times New Roman"/>
              </w:rPr>
            </w:pPr>
            <w:r w:rsidRPr="009D13F0">
              <w:rPr>
                <w:rFonts w:ascii="Times New Roman" w:hAnsi="Times New Roman" w:cs="Times New Roman"/>
              </w:rPr>
              <w:t>Wersja zmieniona</w:t>
            </w:r>
          </w:p>
        </w:tc>
      </w:tr>
      <w:tr w:rsidR="00D4225F" w:rsidRPr="00B47988" w14:paraId="3B91CAC8" w14:textId="77777777" w:rsidTr="00144E7D">
        <w:tc>
          <w:tcPr>
            <w:tcW w:w="1068" w:type="pct"/>
            <w:shd w:val="clear" w:color="auto" w:fill="FFFFFF" w:themeFill="background1"/>
          </w:tcPr>
          <w:p w14:paraId="3615F94A" w14:textId="77777777" w:rsidR="00D4225F" w:rsidRPr="009D13F0" w:rsidRDefault="00D4225F">
            <w:pPr>
              <w:spacing w:after="0" w:line="240" w:lineRule="auto"/>
              <w:rPr>
                <w:rFonts w:ascii="Times New Roman" w:hAnsi="Times New Roman" w:cs="Times New Roman"/>
              </w:rPr>
            </w:pPr>
            <w:r w:rsidRPr="009D13F0">
              <w:rPr>
                <w:rFonts w:ascii="Times New Roman" w:hAnsi="Times New Roman" w:cs="Times New Roman"/>
              </w:rPr>
              <w:lastRenderedPageBreak/>
              <w:t>Opis kamienia milowego lub wskaźnika.</w:t>
            </w:r>
          </w:p>
        </w:tc>
        <w:tc>
          <w:tcPr>
            <w:tcW w:w="1912" w:type="pct"/>
            <w:shd w:val="clear" w:color="auto" w:fill="FFFFFF" w:themeFill="background1"/>
          </w:tcPr>
          <w:p w14:paraId="617D4CE9" w14:textId="18D08E09" w:rsidR="00D4225F" w:rsidRPr="00C40440" w:rsidRDefault="00D4225F" w:rsidP="00C40440">
            <w:pPr>
              <w:spacing w:line="240" w:lineRule="auto"/>
            </w:pPr>
            <w:r w:rsidRPr="00C40440">
              <w:rPr>
                <w:rFonts w:ascii="Times New Roman" w:hAnsi="Times New Roman" w:cs="Times New Roman"/>
              </w:rPr>
              <w:t xml:space="preserve">Opis inwestycji </w:t>
            </w:r>
          </w:p>
          <w:p w14:paraId="3624A6FE" w14:textId="6D591745" w:rsidR="00D4225F" w:rsidRPr="00C40440" w:rsidRDefault="00D4225F" w:rsidP="00C40440">
            <w:pPr>
              <w:pStyle w:val="Akapitzlist"/>
              <w:spacing w:line="240" w:lineRule="auto"/>
              <w:ind w:left="-24"/>
            </w:pPr>
            <w:r w:rsidRPr="00C40440">
              <w:rPr>
                <w:sz w:val="22"/>
                <w:szCs w:val="22"/>
              </w:rPr>
              <w:t>Celem inwestycji jest zwiększenie oferty czystego transportu publicznego w miastach. Wsparcie zostanie udzielone w pierwszej kolejności obszarom, w których wprowadzono lub planuje się wprowadzenie stref czystego transportu. Inwestycja polega na zakupie 88 jednostek zeroemisyjnego taboru kolejowego (tramwajów) na potrzeby transportu publicznego w miastach. Tramwaje zostaną dostarczone do dnia 30 czerwca 2026 r.</w:t>
            </w:r>
          </w:p>
          <w:p w14:paraId="3B4780B9" w14:textId="77777777" w:rsidR="008E7355" w:rsidRPr="00726DC9" w:rsidRDefault="008E7355">
            <w:pPr>
              <w:spacing w:after="0" w:line="240" w:lineRule="auto"/>
              <w:rPr>
                <w:rFonts w:ascii="Times New Roman" w:hAnsi="Times New Roman" w:cs="Times New Roman"/>
                <w:u w:val="single"/>
              </w:rPr>
            </w:pPr>
          </w:p>
          <w:p w14:paraId="734508DF" w14:textId="77777777" w:rsidR="00D4225F" w:rsidRPr="00C40440" w:rsidRDefault="00D4225F" w:rsidP="00C40440">
            <w:pPr>
              <w:pStyle w:val="Akapitzlist"/>
              <w:spacing w:line="240" w:lineRule="auto"/>
              <w:ind w:left="0"/>
              <w:rPr>
                <w:sz w:val="22"/>
                <w:szCs w:val="22"/>
              </w:rPr>
            </w:pPr>
            <w:r w:rsidRPr="00C40440">
              <w:rPr>
                <w:sz w:val="22"/>
                <w:szCs w:val="22"/>
              </w:rPr>
              <w:t>E4L</w:t>
            </w:r>
          </w:p>
          <w:p w14:paraId="7B36FDC8" w14:textId="77777777" w:rsidR="00D4225F" w:rsidRPr="00726DC9" w:rsidRDefault="00D4225F" w:rsidP="00C40440">
            <w:pPr>
              <w:pStyle w:val="Akapitzlist"/>
              <w:spacing w:line="240" w:lineRule="auto"/>
              <w:ind w:left="0"/>
              <w:rPr>
                <w:sz w:val="22"/>
                <w:szCs w:val="22"/>
              </w:rPr>
            </w:pPr>
            <w:r w:rsidRPr="00726DC9">
              <w:rPr>
                <w:sz w:val="22"/>
                <w:szCs w:val="22"/>
              </w:rPr>
              <w:t>Dostarczenie nowych tramwajów na potrzeby publicznego transportu miejskiego</w:t>
            </w:r>
          </w:p>
          <w:p w14:paraId="44B510D1" w14:textId="77777777" w:rsidR="00D4225F" w:rsidRPr="00726DC9" w:rsidRDefault="00D4225F" w:rsidP="00C40440">
            <w:pPr>
              <w:spacing w:after="0" w:line="240" w:lineRule="auto"/>
              <w:rPr>
                <w:rFonts w:ascii="Times New Roman" w:hAnsi="Times New Roman" w:cs="Times New Roman"/>
              </w:rPr>
            </w:pPr>
            <w:r w:rsidRPr="00726DC9">
              <w:rPr>
                <w:rFonts w:ascii="Times New Roman" w:hAnsi="Times New Roman" w:cs="Times New Roman"/>
              </w:rPr>
              <w:t>Wartość docelowa odnosi się do liczby dostarczonych nowych tramwajów. Zamówienia na tramwaje będą udzielane w drodze przetargów otwartych i konkurencyjnych zarządzanych przez Ministerstwo Transportu/podmioty będące beneficjentami. Celem inwestycji jest zwiększenie oferty czystego transportu publicznego w miastach. Wsparcie zostanie udzielone w pierwszej kolejności obszarom, w których wprowadzono lub planuje się wprowadzenie stref czystego transportu. Inwestycja polega na dostawie 88 jednostek zeroemisyjnego taboru kolejowego (tramwajów) na potrzeby transportu publicznego w miastach do dnia 30 czerwca 2026 r.</w:t>
            </w:r>
          </w:p>
        </w:tc>
        <w:tc>
          <w:tcPr>
            <w:tcW w:w="2020" w:type="pct"/>
            <w:shd w:val="clear" w:color="auto" w:fill="FFFFFF" w:themeFill="background1"/>
          </w:tcPr>
          <w:p w14:paraId="7BBF7049" w14:textId="2FE2F0FC" w:rsidR="007A5B4B" w:rsidRPr="00C40440" w:rsidRDefault="00D4225F" w:rsidP="00C40440">
            <w:pPr>
              <w:spacing w:line="240" w:lineRule="auto"/>
            </w:pPr>
            <w:r w:rsidRPr="00C40440">
              <w:rPr>
                <w:rFonts w:ascii="Times New Roman" w:hAnsi="Times New Roman" w:cs="Times New Roman"/>
              </w:rPr>
              <w:t xml:space="preserve">Opis inwestycji </w:t>
            </w:r>
          </w:p>
          <w:p w14:paraId="024F9B43" w14:textId="31EC3A81" w:rsidR="00D4225F" w:rsidRPr="00726DC9" w:rsidRDefault="00D4225F" w:rsidP="00C40440">
            <w:pPr>
              <w:pStyle w:val="Akapitzlist"/>
              <w:spacing w:line="240" w:lineRule="auto"/>
              <w:ind w:left="55"/>
              <w:rPr>
                <w:strike/>
                <w:color w:val="FF0000"/>
                <w:sz w:val="22"/>
                <w:szCs w:val="22"/>
              </w:rPr>
            </w:pPr>
            <w:r w:rsidRPr="00726DC9">
              <w:rPr>
                <w:sz w:val="22"/>
                <w:szCs w:val="22"/>
              </w:rPr>
              <w:t>Celem inwestycji jest zwiększenie oferty czystego transportu publicznego w miastach. Wsparcie zostanie udzielone w pierwszej kolejności obszarom, w których wprowadzono lub planuje się wprowadzenie stref czystego transportu. Inwestycja polega na zakupie 88 jednostek zeroemisyjnego taboru kolejowego (tramwajów) na potrzeby transportu publicznego w miastach.</w:t>
            </w:r>
            <w:r w:rsidRPr="00726DC9">
              <w:rPr>
                <w:color w:val="FF0000"/>
                <w:sz w:val="22"/>
                <w:szCs w:val="22"/>
              </w:rPr>
              <w:t xml:space="preserve"> Do 30 czerwca 2026 r., 88 tramwajów powinno być dostarczonych lub w trakcie produkcji.</w:t>
            </w:r>
          </w:p>
          <w:p w14:paraId="58C3F21A" w14:textId="77777777" w:rsidR="007A5B4B" w:rsidRPr="00726DC9" w:rsidRDefault="007A5B4B">
            <w:pPr>
              <w:spacing w:after="0" w:line="240" w:lineRule="auto"/>
              <w:rPr>
                <w:rFonts w:ascii="Times New Roman" w:hAnsi="Times New Roman" w:cs="Times New Roman"/>
                <w:u w:val="single"/>
              </w:rPr>
            </w:pPr>
          </w:p>
          <w:p w14:paraId="3E4486DB" w14:textId="77777777" w:rsidR="00D4225F" w:rsidRPr="00C40440" w:rsidRDefault="00D4225F" w:rsidP="00C40440">
            <w:pPr>
              <w:pStyle w:val="Akapitzlist"/>
              <w:spacing w:line="240" w:lineRule="auto"/>
              <w:ind w:left="55"/>
              <w:rPr>
                <w:sz w:val="22"/>
                <w:szCs w:val="22"/>
              </w:rPr>
            </w:pPr>
            <w:r w:rsidRPr="00C40440">
              <w:rPr>
                <w:sz w:val="22"/>
                <w:szCs w:val="22"/>
              </w:rPr>
              <w:t>E4L</w:t>
            </w:r>
          </w:p>
          <w:p w14:paraId="7F3AD799" w14:textId="77777777" w:rsidR="00D4225F" w:rsidRPr="00726DC9" w:rsidRDefault="00D4225F" w:rsidP="00C40440">
            <w:pPr>
              <w:pStyle w:val="Akapitzlist"/>
              <w:spacing w:line="240" w:lineRule="auto"/>
              <w:ind w:left="55"/>
              <w:rPr>
                <w:sz w:val="22"/>
                <w:szCs w:val="22"/>
              </w:rPr>
            </w:pPr>
            <w:r w:rsidRPr="00726DC9">
              <w:rPr>
                <w:sz w:val="22"/>
                <w:szCs w:val="22"/>
              </w:rPr>
              <w:t xml:space="preserve">Dostarczenie </w:t>
            </w:r>
            <w:r w:rsidRPr="00726DC9">
              <w:rPr>
                <w:color w:val="FF0000"/>
                <w:sz w:val="22"/>
                <w:szCs w:val="22"/>
              </w:rPr>
              <w:t xml:space="preserve">lub produkcja </w:t>
            </w:r>
            <w:r w:rsidRPr="00726DC9">
              <w:rPr>
                <w:sz w:val="22"/>
                <w:szCs w:val="22"/>
              </w:rPr>
              <w:t>nowych tramwajów na potrzeby publicznego transportu miejskiego</w:t>
            </w:r>
          </w:p>
          <w:p w14:paraId="176C94B6" w14:textId="702BC6CE" w:rsidR="00D4225F" w:rsidRPr="00726DC9" w:rsidRDefault="00D4225F" w:rsidP="00C40440">
            <w:pPr>
              <w:spacing w:after="0" w:line="240" w:lineRule="auto"/>
              <w:rPr>
                <w:rFonts w:ascii="Times New Roman" w:hAnsi="Times New Roman" w:cs="Times New Roman"/>
              </w:rPr>
            </w:pPr>
            <w:r w:rsidRPr="00726DC9">
              <w:rPr>
                <w:rFonts w:ascii="Times New Roman" w:hAnsi="Times New Roman" w:cs="Times New Roman"/>
              </w:rPr>
              <w:t xml:space="preserve">Wartość docelowa odnosi się do liczby dostarczonych nowych tramwajów </w:t>
            </w:r>
            <w:r w:rsidRPr="00726DC9">
              <w:rPr>
                <w:rFonts w:ascii="Times New Roman" w:hAnsi="Times New Roman" w:cs="Times New Roman"/>
                <w:color w:val="FF0000"/>
              </w:rPr>
              <w:t>lub tramwajów w produkcji</w:t>
            </w:r>
            <w:r w:rsidRPr="00726DC9">
              <w:rPr>
                <w:rFonts w:ascii="Times New Roman" w:hAnsi="Times New Roman" w:cs="Times New Roman"/>
              </w:rPr>
              <w:t xml:space="preserve">. Zamówienia na tramwaje będą udzielane w drodze przetargów otwartych i konkurencyjnych zarządzanych przez </w:t>
            </w:r>
            <w:r w:rsidRPr="00726DC9">
              <w:rPr>
                <w:rFonts w:ascii="Times New Roman" w:hAnsi="Times New Roman" w:cs="Times New Roman"/>
                <w:strike/>
                <w:color w:val="FF0000"/>
              </w:rPr>
              <w:t>Ministerstwo Transportu</w:t>
            </w:r>
            <w:r w:rsidR="007A5B4B" w:rsidRPr="00726DC9">
              <w:rPr>
                <w:rFonts w:ascii="Times New Roman" w:hAnsi="Times New Roman" w:cs="Times New Roman"/>
                <w:strike/>
                <w:color w:val="FF0000"/>
              </w:rPr>
              <w:t xml:space="preserve"> </w:t>
            </w:r>
            <w:r w:rsidRPr="00726DC9">
              <w:rPr>
                <w:rFonts w:ascii="Times New Roman" w:hAnsi="Times New Roman" w:cs="Times New Roman"/>
              </w:rPr>
              <w:t xml:space="preserve">podmioty będące beneficjentami. Celem inwestycji jest zwiększenie oferty czystego transportu publicznego w miastach. Wsparcie zostanie udzielone w pierwszej kolejności obszarom, w których wprowadzono lub planuje się wprowadzenie stref czystego transportu. Inwestycja polega na dostawie </w:t>
            </w:r>
            <w:r w:rsidRPr="00726DC9">
              <w:rPr>
                <w:rFonts w:ascii="Times New Roman" w:hAnsi="Times New Roman" w:cs="Times New Roman"/>
                <w:color w:val="FF0000"/>
              </w:rPr>
              <w:t xml:space="preserve">lub trwającej produkcji </w:t>
            </w:r>
            <w:r w:rsidRPr="00726DC9">
              <w:rPr>
                <w:rFonts w:ascii="Times New Roman" w:hAnsi="Times New Roman" w:cs="Times New Roman"/>
              </w:rPr>
              <w:t>88 jednostek zeroemisyjnego taboru kolejowego (tramwajów) na potrzeby transportu publicznego w miastach do dnia 30 czerwca 2026 r.</w:t>
            </w:r>
          </w:p>
        </w:tc>
      </w:tr>
      <w:tr w:rsidR="00D4225F" w:rsidRPr="00A26E88" w14:paraId="752D8556" w14:textId="77777777" w:rsidTr="00144E7D">
        <w:tc>
          <w:tcPr>
            <w:tcW w:w="1068" w:type="pct"/>
            <w:shd w:val="clear" w:color="auto" w:fill="FFFFFF" w:themeFill="background1"/>
          </w:tcPr>
          <w:p w14:paraId="631D2B21" w14:textId="77777777" w:rsidR="00D4225F" w:rsidRPr="009D13F0" w:rsidRDefault="00D4225F" w:rsidP="00144E7D">
            <w:pPr>
              <w:spacing w:after="0" w:line="240" w:lineRule="auto"/>
              <w:rPr>
                <w:rFonts w:ascii="Times New Roman" w:hAnsi="Times New Roman" w:cs="Times New Roman"/>
              </w:rPr>
            </w:pPr>
            <w:r w:rsidRPr="009D13F0">
              <w:rPr>
                <w:rFonts w:ascii="Times New Roman" w:hAnsi="Times New Roman" w:cs="Times New Roman"/>
              </w:rPr>
              <w:t>Uzasadnienie</w:t>
            </w:r>
          </w:p>
        </w:tc>
        <w:tc>
          <w:tcPr>
            <w:tcW w:w="3932" w:type="pct"/>
            <w:gridSpan w:val="2"/>
            <w:shd w:val="clear" w:color="auto" w:fill="FFFFFF" w:themeFill="background1"/>
          </w:tcPr>
          <w:p w14:paraId="710C6DF9" w14:textId="03C4651A" w:rsidR="00D4225F" w:rsidRPr="009D13F0" w:rsidRDefault="00D4225F" w:rsidP="00C40440">
            <w:pPr>
              <w:spacing w:after="0" w:line="240" w:lineRule="auto"/>
              <w:rPr>
                <w:rFonts w:ascii="Times New Roman" w:hAnsi="Times New Roman" w:cs="Times New Roman"/>
              </w:rPr>
            </w:pPr>
            <w:r w:rsidRPr="009D13F0">
              <w:rPr>
                <w:rFonts w:ascii="Times New Roman" w:hAnsi="Times New Roman" w:cs="Times New Roman"/>
              </w:rPr>
              <w:t xml:space="preserve">W związku z ogłoszonym przez CUPT naborem w ramach programu </w:t>
            </w:r>
            <w:proofErr w:type="spellStart"/>
            <w:r w:rsidRPr="009D13F0">
              <w:rPr>
                <w:rFonts w:ascii="Times New Roman" w:hAnsi="Times New Roman" w:cs="Times New Roman"/>
              </w:rPr>
              <w:t>FEnIKS</w:t>
            </w:r>
            <w:proofErr w:type="spellEnd"/>
            <w:r w:rsidRPr="009D13F0">
              <w:rPr>
                <w:rFonts w:ascii="Times New Roman" w:hAnsi="Times New Roman" w:cs="Times New Roman"/>
              </w:rPr>
              <w:t xml:space="preserve">, strona polska identyfikuje ryzyko ograniczonego zainteresowania naborem ze strony miast w przypadku ogłoszenia naboru konkursowego w ramach tej inwestycji (program </w:t>
            </w:r>
            <w:proofErr w:type="spellStart"/>
            <w:r w:rsidRPr="009D13F0">
              <w:rPr>
                <w:rFonts w:ascii="Times New Roman" w:hAnsi="Times New Roman" w:cs="Times New Roman"/>
              </w:rPr>
              <w:t>FEnIKS</w:t>
            </w:r>
            <w:proofErr w:type="spellEnd"/>
            <w:r w:rsidRPr="009D13F0">
              <w:rPr>
                <w:rFonts w:ascii="Times New Roman" w:hAnsi="Times New Roman" w:cs="Times New Roman"/>
              </w:rPr>
              <w:t xml:space="preserve"> ma znacznie dłuższy okres kwalifikowalności wydatków niż KPO. Poza tym zasady realizacji projektów w polityce spójności są im już znane z poprzednich perspektyw). Dodatkowo z roboczych informacji wynika, że potencjalni ostateczni odbiorcy wsparcia (miasta) są aktualnie na bardzo wstępnym etapie przygotowań do opracowania wymaganych dokumentów, co wpłynie na możliwość szybkiego składania wniosków o wsparcie. W związku z powyższym, aby ograniczyć skutki zmaterializowania się tego ryzyka, polegające na niezrealizowaniu założonego wskaźnika w postaci dostawy tramwajów proponuje</w:t>
            </w:r>
            <w:r w:rsidR="007A5B4B">
              <w:rPr>
                <w:rFonts w:ascii="Times New Roman" w:hAnsi="Times New Roman" w:cs="Times New Roman"/>
              </w:rPr>
              <w:t xml:space="preserve"> się</w:t>
            </w:r>
            <w:r w:rsidRPr="009D13F0">
              <w:rPr>
                <w:rFonts w:ascii="Times New Roman" w:hAnsi="Times New Roman" w:cs="Times New Roman"/>
              </w:rPr>
              <w:t xml:space="preserve"> przeformułowanie brzmienia wskaźnika w sposób umożliwiający rozliczenie inwestycji do </w:t>
            </w:r>
            <w:r w:rsidRPr="009D13F0">
              <w:rPr>
                <w:rFonts w:ascii="Times New Roman" w:hAnsi="Times New Roman" w:cs="Times New Roman"/>
              </w:rPr>
              <w:lastRenderedPageBreak/>
              <w:t xml:space="preserve">połowy 2026 r. np. poprzez odwołanie w zakresie części (lub całości) wartości wskaźnika do podpisanych kontraktów lub tramwajów będących w produkcji. </w:t>
            </w:r>
          </w:p>
          <w:p w14:paraId="25562747" w14:textId="566AA0CA" w:rsidR="00D4225F" w:rsidRPr="00C40440" w:rsidRDefault="00D4225F" w:rsidP="00C40440">
            <w:pPr>
              <w:spacing w:after="0" w:line="240" w:lineRule="auto"/>
              <w:rPr>
                <w:rFonts w:ascii="Times New Roman" w:hAnsi="Times New Roman" w:cs="Times New Roman"/>
              </w:rPr>
            </w:pPr>
            <w:r w:rsidRPr="009D13F0">
              <w:rPr>
                <w:rFonts w:ascii="Times New Roman" w:hAnsi="Times New Roman" w:cs="Times New Roman"/>
              </w:rPr>
              <w:t>Dodatkowo w opisie wskaźnika zaproponowano zmianę polegającą na usunięciu odwołania do Ministerstwa Transportu, ponieważ Ministerstwo nie dokonuje wyboru wykonawców (producentów taboru) i nie podpisuje z nimi umów na dostawę – to jest zadanie ostatecznych odbiorców wsparcia.</w:t>
            </w:r>
          </w:p>
        </w:tc>
      </w:tr>
      <w:tr w:rsidR="00D4225F" w:rsidRPr="007A5B4B" w14:paraId="7B1133EB" w14:textId="77777777" w:rsidTr="00144E7D">
        <w:tc>
          <w:tcPr>
            <w:tcW w:w="1068" w:type="pct"/>
            <w:shd w:val="clear" w:color="auto" w:fill="FFFFFF" w:themeFill="background1"/>
          </w:tcPr>
          <w:p w14:paraId="6E613D6F" w14:textId="77777777" w:rsidR="00D4225F" w:rsidRPr="009D13F0" w:rsidRDefault="00D4225F" w:rsidP="00144E7D">
            <w:pPr>
              <w:spacing w:after="0" w:line="240" w:lineRule="auto"/>
              <w:rPr>
                <w:rFonts w:ascii="Times New Roman" w:hAnsi="Times New Roman" w:cs="Times New Roman"/>
              </w:rPr>
            </w:pPr>
            <w:r w:rsidRPr="009D13F0">
              <w:rPr>
                <w:rFonts w:ascii="Times New Roman" w:hAnsi="Times New Roman" w:cs="Times New Roman"/>
              </w:rPr>
              <w:lastRenderedPageBreak/>
              <w:t>Szacowany koszt</w:t>
            </w:r>
          </w:p>
        </w:tc>
        <w:tc>
          <w:tcPr>
            <w:tcW w:w="3932" w:type="pct"/>
            <w:gridSpan w:val="2"/>
            <w:shd w:val="clear" w:color="auto" w:fill="FFFFFF" w:themeFill="background1"/>
          </w:tcPr>
          <w:p w14:paraId="4FF16735" w14:textId="2D32EC40" w:rsidR="00D4225F" w:rsidRPr="00C40440" w:rsidRDefault="007A5B4B" w:rsidP="00144E7D">
            <w:pPr>
              <w:spacing w:after="0" w:line="240" w:lineRule="auto"/>
              <w:rPr>
                <w:rFonts w:ascii="Times New Roman" w:hAnsi="Times New Roman" w:cs="Times New Roman"/>
              </w:rPr>
            </w:pPr>
            <w:r w:rsidRPr="00460E47">
              <w:rPr>
                <w:rFonts w:ascii="Times New Roman" w:hAnsi="Times New Roman" w:cs="Times New Roman"/>
              </w:rPr>
              <w:t>Zmiana nie ma wpływu na szacowany koszt</w:t>
            </w:r>
          </w:p>
        </w:tc>
      </w:tr>
      <w:tr w:rsidR="00D4225F" w:rsidRPr="007A5B4B" w14:paraId="4333247C" w14:textId="77777777" w:rsidTr="00144E7D">
        <w:tc>
          <w:tcPr>
            <w:tcW w:w="1068" w:type="pct"/>
            <w:shd w:val="clear" w:color="auto" w:fill="FFFFFF" w:themeFill="background1"/>
          </w:tcPr>
          <w:p w14:paraId="5E01AC24" w14:textId="77777777" w:rsidR="00D4225F" w:rsidRPr="009D13F0" w:rsidRDefault="00D4225F" w:rsidP="00144E7D">
            <w:pPr>
              <w:spacing w:after="0" w:line="240" w:lineRule="auto"/>
              <w:rPr>
                <w:rFonts w:ascii="Times New Roman" w:hAnsi="Times New Roman" w:cs="Times New Roman"/>
              </w:rPr>
            </w:pPr>
            <w:r w:rsidRPr="009D13F0">
              <w:rPr>
                <w:rFonts w:ascii="Times New Roman" w:hAnsi="Times New Roman" w:cs="Times New Roman"/>
              </w:rPr>
              <w:t xml:space="preserve">Cyfrowy i klimatyczny </w:t>
            </w:r>
            <w:proofErr w:type="spellStart"/>
            <w:r w:rsidRPr="009D13F0">
              <w:rPr>
                <w:rFonts w:ascii="Times New Roman" w:hAnsi="Times New Roman" w:cs="Times New Roman"/>
              </w:rPr>
              <w:t>tagging</w:t>
            </w:r>
            <w:proofErr w:type="spellEnd"/>
            <w:r w:rsidRPr="009D13F0">
              <w:rPr>
                <w:rFonts w:ascii="Times New Roman" w:hAnsi="Times New Roman" w:cs="Times New Roman"/>
              </w:rPr>
              <w:t xml:space="preserve"> </w:t>
            </w:r>
          </w:p>
        </w:tc>
        <w:tc>
          <w:tcPr>
            <w:tcW w:w="3932" w:type="pct"/>
            <w:gridSpan w:val="2"/>
            <w:shd w:val="clear" w:color="auto" w:fill="FFFFFF" w:themeFill="background1"/>
          </w:tcPr>
          <w:p w14:paraId="05EBD410" w14:textId="668F528D" w:rsidR="00D4225F" w:rsidRPr="00C40440" w:rsidRDefault="007A5B4B" w:rsidP="00144E7D">
            <w:pPr>
              <w:spacing w:after="0" w:line="240" w:lineRule="auto"/>
              <w:rPr>
                <w:rFonts w:ascii="Times New Roman" w:hAnsi="Times New Roman" w:cs="Times New Roman"/>
              </w:rPr>
            </w:pPr>
            <w:r w:rsidRPr="00460E47">
              <w:rPr>
                <w:rFonts w:ascii="Times New Roman" w:hAnsi="Times New Roman" w:cs="Times New Roman"/>
              </w:rPr>
              <w:t xml:space="preserve">Zmiana nie ma wpływu na </w:t>
            </w:r>
            <w:proofErr w:type="spellStart"/>
            <w:r w:rsidRPr="00460E47">
              <w:rPr>
                <w:rFonts w:ascii="Times New Roman" w:hAnsi="Times New Roman" w:cs="Times New Roman"/>
              </w:rPr>
              <w:t>tagging</w:t>
            </w:r>
            <w:proofErr w:type="spellEnd"/>
            <w:r w:rsidRPr="00460E47">
              <w:rPr>
                <w:rFonts w:ascii="Times New Roman" w:hAnsi="Times New Roman" w:cs="Times New Roman"/>
              </w:rPr>
              <w:t xml:space="preserve"> klimatyczny i cyfrowy</w:t>
            </w:r>
            <w:r w:rsidRPr="009D13F0" w:rsidDel="007A5B4B">
              <w:rPr>
                <w:rFonts w:ascii="Times New Roman" w:hAnsi="Times New Roman" w:cs="Times New Roman"/>
              </w:rPr>
              <w:t xml:space="preserve"> </w:t>
            </w:r>
          </w:p>
        </w:tc>
      </w:tr>
      <w:tr w:rsidR="00D4225F" w:rsidRPr="0020386D" w14:paraId="3CEC14E3" w14:textId="77777777" w:rsidTr="00144E7D">
        <w:tc>
          <w:tcPr>
            <w:tcW w:w="1068" w:type="pct"/>
            <w:tcBorders>
              <w:bottom w:val="single" w:sz="4" w:space="0" w:color="auto"/>
            </w:tcBorders>
            <w:shd w:val="clear" w:color="auto" w:fill="FFFFFF" w:themeFill="background1"/>
          </w:tcPr>
          <w:p w14:paraId="1C0B70A4" w14:textId="77777777" w:rsidR="00D4225F" w:rsidRPr="009D13F0" w:rsidRDefault="00D4225F" w:rsidP="00144E7D">
            <w:pPr>
              <w:spacing w:after="0" w:line="240" w:lineRule="auto"/>
              <w:rPr>
                <w:rFonts w:ascii="Times New Roman" w:hAnsi="Times New Roman" w:cs="Times New Roman"/>
              </w:rPr>
            </w:pPr>
            <w:r w:rsidRPr="009D13F0">
              <w:rPr>
                <w:rFonts w:ascii="Times New Roman" w:hAnsi="Times New Roman" w:cs="Times New Roman"/>
              </w:rPr>
              <w:t xml:space="preserve">Zasada DNSH </w:t>
            </w:r>
          </w:p>
        </w:tc>
        <w:tc>
          <w:tcPr>
            <w:tcW w:w="3932" w:type="pct"/>
            <w:gridSpan w:val="2"/>
            <w:tcBorders>
              <w:bottom w:val="single" w:sz="4" w:space="0" w:color="auto"/>
            </w:tcBorders>
            <w:shd w:val="clear" w:color="auto" w:fill="FFFFFF" w:themeFill="background1"/>
          </w:tcPr>
          <w:p w14:paraId="05FFAF13" w14:textId="64118D72" w:rsidR="00D4225F" w:rsidRPr="00C40440" w:rsidRDefault="007A5B4B" w:rsidP="00144E7D">
            <w:pPr>
              <w:spacing w:after="0" w:line="240" w:lineRule="auto"/>
              <w:rPr>
                <w:rFonts w:ascii="Times New Roman" w:hAnsi="Times New Roman" w:cs="Times New Roman"/>
              </w:rPr>
            </w:pPr>
            <w:r>
              <w:rPr>
                <w:rFonts w:ascii="Times New Roman" w:hAnsi="Times New Roman" w:cs="Times New Roman"/>
              </w:rPr>
              <w:t>Z</w:t>
            </w:r>
            <w:r w:rsidR="00D4225F" w:rsidRPr="009D13F0">
              <w:rPr>
                <w:rFonts w:ascii="Times New Roman" w:hAnsi="Times New Roman" w:cs="Times New Roman"/>
              </w:rPr>
              <w:t>mian</w:t>
            </w:r>
            <w:r>
              <w:rPr>
                <w:rFonts w:ascii="Times New Roman" w:hAnsi="Times New Roman" w:cs="Times New Roman"/>
              </w:rPr>
              <w:t>a</w:t>
            </w:r>
            <w:r w:rsidR="00D4225F" w:rsidRPr="009D13F0">
              <w:rPr>
                <w:rFonts w:ascii="Times New Roman" w:hAnsi="Times New Roman" w:cs="Times New Roman"/>
              </w:rPr>
              <w:t xml:space="preserve"> nie </w:t>
            </w:r>
            <w:r>
              <w:rPr>
                <w:rFonts w:ascii="Times New Roman" w:hAnsi="Times New Roman" w:cs="Times New Roman"/>
              </w:rPr>
              <w:t xml:space="preserve">ma </w:t>
            </w:r>
            <w:r w:rsidR="00D4225F" w:rsidRPr="009D13F0">
              <w:rPr>
                <w:rFonts w:ascii="Times New Roman" w:hAnsi="Times New Roman" w:cs="Times New Roman"/>
              </w:rPr>
              <w:t>wpływu na DNSH</w:t>
            </w:r>
          </w:p>
        </w:tc>
      </w:tr>
      <w:tr w:rsidR="00D4225F" w:rsidRPr="00B47988" w14:paraId="72642C3A" w14:textId="77777777" w:rsidTr="00144E7D">
        <w:tc>
          <w:tcPr>
            <w:tcW w:w="1068" w:type="pct"/>
            <w:tcBorders>
              <w:bottom w:val="single" w:sz="4" w:space="0" w:color="auto"/>
            </w:tcBorders>
            <w:shd w:val="clear" w:color="auto" w:fill="FFFFFF" w:themeFill="background1"/>
          </w:tcPr>
          <w:p w14:paraId="47EA3004" w14:textId="77777777" w:rsidR="00D4225F" w:rsidRPr="009D13F0" w:rsidRDefault="00D4225F" w:rsidP="00144E7D">
            <w:pPr>
              <w:spacing w:after="0" w:line="240" w:lineRule="auto"/>
              <w:rPr>
                <w:rFonts w:ascii="Times New Roman" w:hAnsi="Times New Roman" w:cs="Times New Roman"/>
              </w:rPr>
            </w:pPr>
            <w:r w:rsidRPr="009D13F0">
              <w:rPr>
                <w:rFonts w:ascii="Times New Roman" w:hAnsi="Times New Roman" w:cs="Times New Roman"/>
              </w:rPr>
              <w:t xml:space="preserve">Pomoc publiczna </w:t>
            </w:r>
          </w:p>
        </w:tc>
        <w:tc>
          <w:tcPr>
            <w:tcW w:w="3932" w:type="pct"/>
            <w:gridSpan w:val="2"/>
            <w:tcBorders>
              <w:bottom w:val="single" w:sz="4" w:space="0" w:color="auto"/>
            </w:tcBorders>
            <w:shd w:val="clear" w:color="auto" w:fill="FFFFFF" w:themeFill="background1"/>
          </w:tcPr>
          <w:p w14:paraId="1A84C41C" w14:textId="25BA98F4" w:rsidR="00D4225F" w:rsidRPr="009D13F0" w:rsidRDefault="00D4225F" w:rsidP="00144E7D">
            <w:pPr>
              <w:spacing w:after="0" w:line="240" w:lineRule="auto"/>
              <w:rPr>
                <w:rFonts w:ascii="Times New Roman" w:hAnsi="Times New Roman" w:cs="Times New Roman"/>
              </w:rPr>
            </w:pPr>
            <w:r w:rsidRPr="009D13F0">
              <w:rPr>
                <w:rFonts w:ascii="Times New Roman" w:hAnsi="Times New Roman" w:cs="Times New Roman"/>
              </w:rPr>
              <w:t>Nie dotyczy.</w:t>
            </w:r>
          </w:p>
        </w:tc>
      </w:tr>
    </w:tbl>
    <w:p w14:paraId="0801A6E8" w14:textId="77777777" w:rsidR="00D4225F" w:rsidRPr="00614966" w:rsidRDefault="00D4225F" w:rsidP="00D4225F">
      <w:pPr>
        <w:rPr>
          <w:b/>
          <w:u w:val="single"/>
        </w:rPr>
      </w:pPr>
    </w:p>
    <w:p w14:paraId="6C8C5177" w14:textId="77777777" w:rsidR="00D4225F" w:rsidRPr="00026221" w:rsidRDefault="00D4225F" w:rsidP="003733FD">
      <w:pPr>
        <w:rPr>
          <w:rFonts w:ascii="Times New Roman" w:hAnsi="Times New Roman" w:cs="Times New Roman"/>
          <w:b/>
          <w:bCs/>
          <w:sz w:val="26"/>
          <w:szCs w:val="26"/>
        </w:rPr>
      </w:pPr>
    </w:p>
    <w:sectPr w:rsidR="00D4225F" w:rsidRPr="000262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27AA" w14:textId="77777777" w:rsidR="00B83234" w:rsidRDefault="00B83234" w:rsidP="00B83234">
      <w:pPr>
        <w:spacing w:after="0" w:line="240" w:lineRule="auto"/>
      </w:pPr>
      <w:r>
        <w:separator/>
      </w:r>
    </w:p>
  </w:endnote>
  <w:endnote w:type="continuationSeparator" w:id="0">
    <w:p w14:paraId="1FF4DC7B" w14:textId="77777777" w:rsidR="00B83234" w:rsidRDefault="00B83234" w:rsidP="00B8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4B6D" w14:textId="77777777" w:rsidR="00B83234" w:rsidRDefault="00B83234" w:rsidP="00B83234">
      <w:pPr>
        <w:spacing w:after="0" w:line="240" w:lineRule="auto"/>
      </w:pPr>
      <w:r>
        <w:separator/>
      </w:r>
    </w:p>
  </w:footnote>
  <w:footnote w:type="continuationSeparator" w:id="0">
    <w:p w14:paraId="56F6E6F5" w14:textId="77777777" w:rsidR="00B83234" w:rsidRDefault="00B83234" w:rsidP="00B83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1D9"/>
    <w:multiLevelType w:val="hybridMultilevel"/>
    <w:tmpl w:val="F02A2E5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476C54"/>
    <w:multiLevelType w:val="hybridMultilevel"/>
    <w:tmpl w:val="620820AE"/>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 w15:restartNumberingAfterBreak="0">
    <w:nsid w:val="14F53452"/>
    <w:multiLevelType w:val="hybridMultilevel"/>
    <w:tmpl w:val="2F2AC0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A0628F"/>
    <w:multiLevelType w:val="hybridMultilevel"/>
    <w:tmpl w:val="F02A2E5A"/>
    <w:lvl w:ilvl="0" w:tplc="9710E9E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A1211"/>
    <w:multiLevelType w:val="hybridMultilevel"/>
    <w:tmpl w:val="2F2AC0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3B5DD9"/>
    <w:multiLevelType w:val="hybridMultilevel"/>
    <w:tmpl w:val="2F2AC0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4A6248"/>
    <w:multiLevelType w:val="hybridMultilevel"/>
    <w:tmpl w:val="8F5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914EF"/>
    <w:multiLevelType w:val="hybridMultilevel"/>
    <w:tmpl w:val="868AC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CC16CF"/>
    <w:multiLevelType w:val="hybridMultilevel"/>
    <w:tmpl w:val="03DAFDBC"/>
    <w:lvl w:ilvl="0" w:tplc="37E234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A78A2"/>
    <w:multiLevelType w:val="hybridMultilevel"/>
    <w:tmpl w:val="43C091E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15:restartNumberingAfterBreak="0">
    <w:nsid w:val="3D55277A"/>
    <w:multiLevelType w:val="hybridMultilevel"/>
    <w:tmpl w:val="A71A1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A34364"/>
    <w:multiLevelType w:val="hybridMultilevel"/>
    <w:tmpl w:val="FD425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680CA7"/>
    <w:multiLevelType w:val="hybridMultilevel"/>
    <w:tmpl w:val="3F74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84184"/>
    <w:multiLevelType w:val="hybridMultilevel"/>
    <w:tmpl w:val="9A541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516484"/>
    <w:multiLevelType w:val="hybridMultilevel"/>
    <w:tmpl w:val="29D40E9E"/>
    <w:lvl w:ilvl="0" w:tplc="E074617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97E48"/>
    <w:multiLevelType w:val="hybridMultilevel"/>
    <w:tmpl w:val="29B0C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D17EEE"/>
    <w:multiLevelType w:val="hybridMultilevel"/>
    <w:tmpl w:val="76D06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993ECD"/>
    <w:multiLevelType w:val="hybridMultilevel"/>
    <w:tmpl w:val="4F468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084A8B"/>
    <w:multiLevelType w:val="hybridMultilevel"/>
    <w:tmpl w:val="09CAF454"/>
    <w:lvl w:ilvl="0" w:tplc="1172B85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61553882"/>
    <w:multiLevelType w:val="hybridMultilevel"/>
    <w:tmpl w:val="26B678BC"/>
    <w:lvl w:ilvl="0" w:tplc="78A607EC">
      <w:start w:val="1"/>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7307725"/>
    <w:multiLevelType w:val="hybridMultilevel"/>
    <w:tmpl w:val="D41A9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86C4AB3"/>
    <w:multiLevelType w:val="hybridMultilevel"/>
    <w:tmpl w:val="40C2C170"/>
    <w:lvl w:ilvl="0" w:tplc="DB6EC12C">
      <w:start w:val="10"/>
      <w:numFmt w:val="bullet"/>
      <w:lvlText w:val="-"/>
      <w:lvlJc w:val="left"/>
      <w:pPr>
        <w:ind w:left="361" w:hanging="360"/>
      </w:pPr>
      <w:rPr>
        <w:rFonts w:ascii="Times New Roman" w:eastAsia="Times New Roman" w:hAnsi="Times New Roman" w:cs="Times New Roman"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22" w15:restartNumberingAfterBreak="0">
    <w:nsid w:val="69EB1C37"/>
    <w:multiLevelType w:val="hybridMultilevel"/>
    <w:tmpl w:val="3F7E3FE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3" w15:restartNumberingAfterBreak="0">
    <w:nsid w:val="6B393C09"/>
    <w:multiLevelType w:val="hybridMultilevel"/>
    <w:tmpl w:val="B5528D1C"/>
    <w:lvl w:ilvl="0" w:tplc="1540AD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2B9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5497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21F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6B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B4D5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C229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1A45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638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DA59E8"/>
    <w:multiLevelType w:val="hybridMultilevel"/>
    <w:tmpl w:val="A7E2FC6C"/>
    <w:lvl w:ilvl="0" w:tplc="DB6EC12C">
      <w:start w:val="10"/>
      <w:numFmt w:val="bullet"/>
      <w:lvlText w:val="-"/>
      <w:lvlJc w:val="left"/>
      <w:pPr>
        <w:ind w:left="918" w:hanging="360"/>
      </w:pPr>
      <w:rPr>
        <w:rFonts w:ascii="Times New Roman" w:eastAsia="Times New Roman" w:hAnsi="Times New Roman" w:cs="Times New Roman"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25" w15:restartNumberingAfterBreak="0">
    <w:nsid w:val="780355F6"/>
    <w:multiLevelType w:val="hybridMultilevel"/>
    <w:tmpl w:val="90D26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F5305"/>
    <w:multiLevelType w:val="hybridMultilevel"/>
    <w:tmpl w:val="1048F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154B5"/>
    <w:multiLevelType w:val="hybridMultilevel"/>
    <w:tmpl w:val="E6CCE242"/>
    <w:lvl w:ilvl="0" w:tplc="A95CD7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A97198"/>
    <w:multiLevelType w:val="hybridMultilevel"/>
    <w:tmpl w:val="5434C7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
  </w:num>
  <w:num w:numId="5">
    <w:abstractNumId w:val="2"/>
  </w:num>
  <w:num w:numId="6">
    <w:abstractNumId w:val="5"/>
  </w:num>
  <w:num w:numId="7">
    <w:abstractNumId w:val="12"/>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8"/>
  </w:num>
  <w:num w:numId="12">
    <w:abstractNumId w:val="21"/>
  </w:num>
  <w:num w:numId="13">
    <w:abstractNumId w:val="24"/>
  </w:num>
  <w:num w:numId="14">
    <w:abstractNumId w:val="17"/>
  </w:num>
  <w:num w:numId="15">
    <w:abstractNumId w:val="3"/>
  </w:num>
  <w:num w:numId="16">
    <w:abstractNumId w:val="0"/>
  </w:num>
  <w:num w:numId="17">
    <w:abstractNumId w:val="15"/>
  </w:num>
  <w:num w:numId="18">
    <w:abstractNumId w:val="10"/>
  </w:num>
  <w:num w:numId="19">
    <w:abstractNumId w:val="1"/>
  </w:num>
  <w:num w:numId="20">
    <w:abstractNumId w:val="22"/>
  </w:num>
  <w:num w:numId="21">
    <w:abstractNumId w:val="7"/>
  </w:num>
  <w:num w:numId="22">
    <w:abstractNumId w:val="13"/>
  </w:num>
  <w:num w:numId="23">
    <w:abstractNumId w:val="28"/>
  </w:num>
  <w:num w:numId="24">
    <w:abstractNumId w:val="19"/>
  </w:num>
  <w:num w:numId="25">
    <w:abstractNumId w:val="9"/>
  </w:num>
  <w:num w:numId="26">
    <w:abstractNumId w:val="16"/>
  </w:num>
  <w:num w:numId="27">
    <w:abstractNumId w:val="8"/>
  </w:num>
  <w:num w:numId="28">
    <w:abstractNumId w:val="14"/>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iubek-Grudzińska Magdalena">
    <w15:presenceInfo w15:providerId="AD" w15:userId="S::Magdalena.Dziubek-Grudzinska@mfipr.gov.pl::6a489ff1-90a8-4713-9aab-5bcb4c96c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84"/>
    <w:rsid w:val="000036A0"/>
    <w:rsid w:val="00026221"/>
    <w:rsid w:val="00051A64"/>
    <w:rsid w:val="000540E5"/>
    <w:rsid w:val="000569C4"/>
    <w:rsid w:val="0009250E"/>
    <w:rsid w:val="000C0886"/>
    <w:rsid w:val="000C1193"/>
    <w:rsid w:val="000C1FA0"/>
    <w:rsid w:val="00111178"/>
    <w:rsid w:val="00175581"/>
    <w:rsid w:val="0020386D"/>
    <w:rsid w:val="002660B7"/>
    <w:rsid w:val="00270DA1"/>
    <w:rsid w:val="002D4C34"/>
    <w:rsid w:val="002E233C"/>
    <w:rsid w:val="00351A31"/>
    <w:rsid w:val="00372527"/>
    <w:rsid w:val="003733FD"/>
    <w:rsid w:val="003939F9"/>
    <w:rsid w:val="0042053C"/>
    <w:rsid w:val="0046650D"/>
    <w:rsid w:val="00473B4C"/>
    <w:rsid w:val="00481118"/>
    <w:rsid w:val="004C2A8D"/>
    <w:rsid w:val="004C656B"/>
    <w:rsid w:val="004E26C6"/>
    <w:rsid w:val="004E2C91"/>
    <w:rsid w:val="004E38D6"/>
    <w:rsid w:val="004E5984"/>
    <w:rsid w:val="004E65B1"/>
    <w:rsid w:val="004F2F6A"/>
    <w:rsid w:val="00506FEC"/>
    <w:rsid w:val="00530C80"/>
    <w:rsid w:val="00554809"/>
    <w:rsid w:val="00556DA4"/>
    <w:rsid w:val="0056498B"/>
    <w:rsid w:val="005C0592"/>
    <w:rsid w:val="005D64C9"/>
    <w:rsid w:val="006B6278"/>
    <w:rsid w:val="006C7711"/>
    <w:rsid w:val="00726DC9"/>
    <w:rsid w:val="0073125A"/>
    <w:rsid w:val="00740DAE"/>
    <w:rsid w:val="007826A2"/>
    <w:rsid w:val="007A5B4B"/>
    <w:rsid w:val="007B2370"/>
    <w:rsid w:val="007C21AF"/>
    <w:rsid w:val="007C5A0C"/>
    <w:rsid w:val="00806874"/>
    <w:rsid w:val="00811F82"/>
    <w:rsid w:val="00834E58"/>
    <w:rsid w:val="008371DD"/>
    <w:rsid w:val="00844BC2"/>
    <w:rsid w:val="00844F7C"/>
    <w:rsid w:val="00870400"/>
    <w:rsid w:val="0087506D"/>
    <w:rsid w:val="008D7D13"/>
    <w:rsid w:val="008E2DC2"/>
    <w:rsid w:val="008E7355"/>
    <w:rsid w:val="00914858"/>
    <w:rsid w:val="00922FBC"/>
    <w:rsid w:val="00925D57"/>
    <w:rsid w:val="009570C9"/>
    <w:rsid w:val="009779EA"/>
    <w:rsid w:val="009C0A9C"/>
    <w:rsid w:val="009D13F0"/>
    <w:rsid w:val="009D2AEA"/>
    <w:rsid w:val="00A106E1"/>
    <w:rsid w:val="00A218D2"/>
    <w:rsid w:val="00A2369D"/>
    <w:rsid w:val="00A26E88"/>
    <w:rsid w:val="00A326F1"/>
    <w:rsid w:val="00A55933"/>
    <w:rsid w:val="00A637DB"/>
    <w:rsid w:val="00A715CA"/>
    <w:rsid w:val="00A73A09"/>
    <w:rsid w:val="00AA27EC"/>
    <w:rsid w:val="00AB08FD"/>
    <w:rsid w:val="00AE37FF"/>
    <w:rsid w:val="00B3035F"/>
    <w:rsid w:val="00B47988"/>
    <w:rsid w:val="00B7189E"/>
    <w:rsid w:val="00B83234"/>
    <w:rsid w:val="00B83633"/>
    <w:rsid w:val="00B904D0"/>
    <w:rsid w:val="00B94F64"/>
    <w:rsid w:val="00BA287A"/>
    <w:rsid w:val="00BC04C4"/>
    <w:rsid w:val="00BC6A23"/>
    <w:rsid w:val="00BF277F"/>
    <w:rsid w:val="00BF7A2C"/>
    <w:rsid w:val="00C179A1"/>
    <w:rsid w:val="00C40440"/>
    <w:rsid w:val="00C83756"/>
    <w:rsid w:val="00C96DAC"/>
    <w:rsid w:val="00CA3662"/>
    <w:rsid w:val="00CA54E4"/>
    <w:rsid w:val="00CB1EA5"/>
    <w:rsid w:val="00CB710A"/>
    <w:rsid w:val="00CC0687"/>
    <w:rsid w:val="00CC48D4"/>
    <w:rsid w:val="00CD327E"/>
    <w:rsid w:val="00D3240A"/>
    <w:rsid w:val="00D3504C"/>
    <w:rsid w:val="00D4225F"/>
    <w:rsid w:val="00DE59E4"/>
    <w:rsid w:val="00DF40EC"/>
    <w:rsid w:val="00E22A85"/>
    <w:rsid w:val="00E40CF2"/>
    <w:rsid w:val="00E54FAC"/>
    <w:rsid w:val="00E743B6"/>
    <w:rsid w:val="00E837B6"/>
    <w:rsid w:val="00EB2612"/>
    <w:rsid w:val="00EC0A0E"/>
    <w:rsid w:val="00EF63DD"/>
    <w:rsid w:val="00F361BA"/>
    <w:rsid w:val="00F43EE0"/>
    <w:rsid w:val="00F8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F5A24D"/>
  <w15:chartTrackingRefBased/>
  <w15:docId w15:val="{040C958A-3ACD-4B08-A7F8-0CD58246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922F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22FBC"/>
    <w:rPr>
      <w:rFonts w:asciiTheme="majorHAnsi" w:eastAsiaTheme="majorEastAsia" w:hAnsiTheme="majorHAnsi" w:cstheme="majorBidi"/>
      <w:color w:val="1F3763" w:themeColor="accent1" w:themeShade="7F"/>
      <w:sz w:val="24"/>
      <w:szCs w:val="24"/>
    </w:rPr>
  </w:style>
  <w:style w:type="paragraph" w:styleId="Akapitzlist">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ny"/>
    <w:link w:val="AkapitzlistZnak"/>
    <w:uiPriority w:val="34"/>
    <w:qFormat/>
    <w:rsid w:val="007B2370"/>
    <w:pPr>
      <w:spacing w:line="257" w:lineRule="auto"/>
      <w:ind w:left="720"/>
      <w:contextualSpacing/>
      <w:jc w:val="both"/>
    </w:pPr>
    <w:rPr>
      <w:rFonts w:ascii="Times New Roman" w:eastAsia="Times New Roman" w:hAnsi="Times New Roman" w:cs="Times New Roman"/>
      <w:sz w:val="24"/>
      <w:szCs w:val="24"/>
    </w:rPr>
  </w:style>
  <w:style w:type="character" w:customStyle="1" w:styleId="AkapitzlistZnak">
    <w:name w:val="Akapit z listą Znak"/>
    <w:aliases w:val="numbered list Znak,2 Znak,OBC Bullet Znak,Normal 1 Znak,Task Body Znak,Viñetas (Inicio Parrafo) Znak,Paragrafo elenco Znak,3 Txt tabla Znak,Zerrenda-paragrafoa Znak,Fiche List Paragraph Znak,Dot pt Znak,F5 List Paragraph Znak"/>
    <w:basedOn w:val="Domylnaczcionkaakapitu"/>
    <w:link w:val="Akapitzlist"/>
    <w:uiPriority w:val="34"/>
    <w:qFormat/>
    <w:rsid w:val="007B2370"/>
    <w:rPr>
      <w:rFonts w:ascii="Times New Roman" w:eastAsia="Times New Roman" w:hAnsi="Times New Roman" w:cs="Times New Roman"/>
      <w:sz w:val="24"/>
      <w:szCs w:val="24"/>
    </w:rPr>
  </w:style>
  <w:style w:type="paragraph" w:customStyle="1" w:styleId="Default">
    <w:name w:val="Default"/>
    <w:rsid w:val="007B2370"/>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Odwoaniedokomentarza">
    <w:name w:val="annotation reference"/>
    <w:basedOn w:val="Domylnaczcionkaakapitu"/>
    <w:uiPriority w:val="99"/>
    <w:unhideWhenUsed/>
    <w:rsid w:val="007B2370"/>
    <w:rPr>
      <w:sz w:val="16"/>
      <w:szCs w:val="16"/>
    </w:rPr>
  </w:style>
  <w:style w:type="paragraph" w:styleId="Tekstkomentarza">
    <w:name w:val="annotation text"/>
    <w:basedOn w:val="Normalny"/>
    <w:link w:val="TekstkomentarzaZnak"/>
    <w:uiPriority w:val="99"/>
    <w:unhideWhenUsed/>
    <w:rsid w:val="007B2370"/>
    <w:pPr>
      <w:spacing w:line="257" w:lineRule="auto"/>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7B2370"/>
    <w:rPr>
      <w:rFonts w:ascii="Times New Roman" w:eastAsia="Times New Roman" w:hAnsi="Times New Roman" w:cs="Times New Roman"/>
      <w:sz w:val="20"/>
      <w:szCs w:val="20"/>
    </w:rPr>
  </w:style>
  <w:style w:type="paragraph" w:styleId="HTML-wstpniesformatowany">
    <w:name w:val="HTML Preformatted"/>
    <w:basedOn w:val="Normalny"/>
    <w:link w:val="HTML-wstpniesformatowanyZnak"/>
    <w:uiPriority w:val="99"/>
    <w:unhideWhenUsed/>
    <w:rsid w:val="007B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B2370"/>
    <w:rPr>
      <w:rFonts w:ascii="Courier New" w:eastAsia="Times New Roman" w:hAnsi="Courier New" w:cs="Courier New"/>
      <w:sz w:val="20"/>
      <w:szCs w:val="20"/>
      <w:lang w:eastAsia="pl-PL"/>
    </w:rPr>
  </w:style>
  <w:style w:type="paragraph" w:styleId="Stopka">
    <w:name w:val="footer"/>
    <w:basedOn w:val="Normalny"/>
    <w:link w:val="StopkaZnak"/>
    <w:uiPriority w:val="99"/>
    <w:unhideWhenUsed/>
    <w:rsid w:val="007B2370"/>
    <w:pPr>
      <w:tabs>
        <w:tab w:val="center" w:pos="4535"/>
        <w:tab w:val="right" w:pos="9071"/>
        <w:tab w:val="right" w:pos="9921"/>
      </w:tabs>
      <w:spacing w:before="360" w:after="0" w:line="257" w:lineRule="auto"/>
      <w:ind w:left="-850" w:right="-850"/>
      <w:jc w:val="both"/>
    </w:pPr>
    <w:rPr>
      <w:rFonts w:ascii="Times New Roman" w:eastAsiaTheme="minorEastAsia" w:hAnsi="Times New Roman" w:cs="Times New Roman"/>
      <w:sz w:val="24"/>
      <w:szCs w:val="24"/>
    </w:rPr>
  </w:style>
  <w:style w:type="character" w:customStyle="1" w:styleId="StopkaZnak">
    <w:name w:val="Stopka Znak"/>
    <w:basedOn w:val="Domylnaczcionkaakapitu"/>
    <w:link w:val="Stopka"/>
    <w:uiPriority w:val="99"/>
    <w:rsid w:val="007B2370"/>
    <w:rPr>
      <w:rFonts w:ascii="Times New Roman" w:eastAsiaTheme="minorEastAsia" w:hAnsi="Times New Roman" w:cs="Times New Roman"/>
      <w:sz w:val="24"/>
      <w:szCs w:val="24"/>
    </w:rPr>
  </w:style>
  <w:style w:type="paragraph" w:customStyle="1" w:styleId="Normal0">
    <w:name w:val="Normal0"/>
    <w:rsid w:val="007B2370"/>
    <w:pPr>
      <w:spacing w:after="200" w:line="276" w:lineRule="auto"/>
    </w:pPr>
    <w:rPr>
      <w:rFonts w:ascii="Calibri" w:eastAsia="Calibri" w:hAnsi="Calibri" w:cs="Calibri"/>
      <w:lang w:val="en-GB" w:eastAsia="en-IE"/>
    </w:rPr>
  </w:style>
  <w:style w:type="character" w:customStyle="1" w:styleId="rynqvb">
    <w:name w:val="rynqvb"/>
    <w:basedOn w:val="Domylnaczcionkaakapitu"/>
    <w:rsid w:val="007B2370"/>
  </w:style>
  <w:style w:type="character" w:customStyle="1" w:styleId="y2iqfc">
    <w:name w:val="y2iqfc"/>
    <w:basedOn w:val="Domylnaczcionkaakapitu"/>
    <w:rsid w:val="007B2370"/>
  </w:style>
  <w:style w:type="paragraph" w:customStyle="1" w:styleId="TableParagraph">
    <w:name w:val="Table Paragraph"/>
    <w:basedOn w:val="Normalny"/>
    <w:uiPriority w:val="1"/>
    <w:qFormat/>
    <w:rsid w:val="007B2370"/>
    <w:pPr>
      <w:widowControl w:val="0"/>
      <w:autoSpaceDE w:val="0"/>
      <w:autoSpaceDN w:val="0"/>
      <w:spacing w:after="0" w:line="240" w:lineRule="auto"/>
    </w:pPr>
    <w:rPr>
      <w:rFonts w:ascii="Times New Roman" w:eastAsia="Times New Roman" w:hAnsi="Times New Roman" w:cs="Times New Roman"/>
    </w:rPr>
  </w:style>
  <w:style w:type="paragraph" w:customStyle="1" w:styleId="gwpafedfbb0gwpbb7329c9msonormal">
    <w:name w:val="gwpafedfbb0_gwpbb7329c9_msonormal"/>
    <w:basedOn w:val="Normalny"/>
    <w:rsid w:val="000C1193"/>
    <w:pPr>
      <w:spacing w:before="100" w:beforeAutospacing="1" w:after="100" w:afterAutospacing="1" w:line="240" w:lineRule="auto"/>
    </w:pPr>
    <w:rPr>
      <w:rFonts w:ascii="Aptos" w:hAnsi="Aptos" w:cs="Aptos"/>
      <w:sz w:val="24"/>
      <w:szCs w:val="24"/>
      <w:lang w:eastAsia="pl-PL"/>
      <w14:ligatures w14:val="standardContextual"/>
    </w:rPr>
  </w:style>
  <w:style w:type="paragraph" w:styleId="Tematkomentarza">
    <w:name w:val="annotation subject"/>
    <w:basedOn w:val="Tekstkomentarza"/>
    <w:next w:val="Tekstkomentarza"/>
    <w:link w:val="TematkomentarzaZnak"/>
    <w:uiPriority w:val="99"/>
    <w:semiHidden/>
    <w:unhideWhenUsed/>
    <w:rsid w:val="009779EA"/>
    <w:pPr>
      <w:spacing w:line="240" w:lineRule="auto"/>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9779EA"/>
    <w:rPr>
      <w:rFonts w:ascii="Times New Roman" w:eastAsia="Times New Roman" w:hAnsi="Times New Roman" w:cs="Times New Roman"/>
      <w:b/>
      <w:bCs/>
      <w:sz w:val="20"/>
      <w:szCs w:val="20"/>
    </w:rPr>
  </w:style>
  <w:style w:type="paragraph" w:styleId="Tekstprzypisudolnego">
    <w:name w:val="footnote text"/>
    <w:basedOn w:val="Normalny"/>
    <w:link w:val="TekstprzypisudolnegoZnak"/>
    <w:uiPriority w:val="99"/>
    <w:semiHidden/>
    <w:unhideWhenUsed/>
    <w:rsid w:val="00B832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83234"/>
    <w:rPr>
      <w:sz w:val="20"/>
      <w:szCs w:val="20"/>
    </w:rPr>
  </w:style>
  <w:style w:type="character" w:styleId="Odwoanieprzypisudolnego">
    <w:name w:val="footnote reference"/>
    <w:aliases w:val="Footnote symbol,Char Char Char Char Char,Знак Char Char Char Char,Char1 Char Char Char Char,Footnote Reference Superscript,Footnote reference number,stylish,BVI fnr,Footnote symboFußnotenzeichen,Footnote sign"/>
    <w:basedOn w:val="Domylnaczcionkaakapitu"/>
    <w:uiPriority w:val="99"/>
    <w:unhideWhenUsed/>
    <w:qFormat/>
    <w:rsid w:val="00B83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5E79-C42F-49AE-9D89-8A4BED67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51</Pages>
  <Words>18176</Words>
  <Characters>109057</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Romański Tomasz</dc:creator>
  <cp:keywords/>
  <dc:description/>
  <cp:lastModifiedBy>Dziubek-Grudzińska Magdalena</cp:lastModifiedBy>
  <cp:revision>52</cp:revision>
  <dcterms:created xsi:type="dcterms:W3CDTF">2024-02-26T16:13:00Z</dcterms:created>
  <dcterms:modified xsi:type="dcterms:W3CDTF">2024-03-15T11:28:00Z</dcterms:modified>
</cp:coreProperties>
</file>