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54A8" w14:textId="3F8B3410" w:rsidR="00246A61" w:rsidRPr="00496F64" w:rsidRDefault="00246A61" w:rsidP="00EB6F14">
      <w:pPr>
        <w:spacing w:after="120" w:line="240" w:lineRule="auto"/>
        <w:rPr>
          <w:rFonts w:ascii="Times New Roman" w:hAnsi="Times New Roman" w:cs="Times New Roman"/>
          <w:b/>
          <w:bCs/>
          <w:sz w:val="28"/>
          <w:szCs w:val="28"/>
        </w:rPr>
      </w:pPr>
      <w:bookmarkStart w:id="0" w:name="_Toc49944562"/>
      <w:bookmarkStart w:id="1" w:name="_Toc61252492"/>
      <w:bookmarkStart w:id="2" w:name="_Toc103250207"/>
      <w:r w:rsidRPr="00496F64">
        <w:rPr>
          <w:rFonts w:ascii="Times New Roman" w:hAnsi="Times New Roman" w:cs="Times New Roman"/>
          <w:b/>
          <w:bCs/>
          <w:sz w:val="28"/>
          <w:szCs w:val="28"/>
        </w:rPr>
        <w:t xml:space="preserve">Rewizja KPO – </w:t>
      </w:r>
      <w:r w:rsidR="00272A8B" w:rsidRPr="00496F64">
        <w:rPr>
          <w:rFonts w:ascii="Times New Roman" w:hAnsi="Times New Roman" w:cs="Times New Roman"/>
          <w:b/>
          <w:bCs/>
          <w:sz w:val="28"/>
          <w:szCs w:val="28"/>
        </w:rPr>
        <w:t xml:space="preserve">reformy - </w:t>
      </w:r>
      <w:r w:rsidRPr="00496F64">
        <w:rPr>
          <w:rFonts w:ascii="Times New Roman" w:hAnsi="Times New Roman" w:cs="Times New Roman"/>
          <w:b/>
          <w:bCs/>
          <w:sz w:val="28"/>
          <w:szCs w:val="28"/>
        </w:rPr>
        <w:t>część dotacyjna</w:t>
      </w:r>
    </w:p>
    <w:p w14:paraId="086EF571" w14:textId="77777777" w:rsidR="00272A8B" w:rsidRPr="00496F64" w:rsidRDefault="00272A8B" w:rsidP="002820D5">
      <w:pPr>
        <w:spacing w:after="120" w:line="240" w:lineRule="auto"/>
        <w:rPr>
          <w:rFonts w:ascii="Times New Roman" w:hAnsi="Times New Roman" w:cs="Times New Roman"/>
          <w:b/>
          <w:bCs/>
          <w:sz w:val="28"/>
          <w:szCs w:val="28"/>
        </w:rPr>
      </w:pPr>
    </w:p>
    <w:p w14:paraId="7CF14789" w14:textId="37C784A4" w:rsidR="002820D5" w:rsidRDefault="002820D5" w:rsidP="00EB6F14">
      <w:pPr>
        <w:spacing w:after="120" w:line="240" w:lineRule="auto"/>
        <w:rPr>
          <w:rFonts w:ascii="Times New Roman" w:hAnsi="Times New Roman" w:cs="Times New Roman"/>
          <w:b/>
          <w:bCs/>
          <w:sz w:val="28"/>
          <w:szCs w:val="28"/>
        </w:rPr>
      </w:pPr>
      <w:r w:rsidRPr="00496F64">
        <w:rPr>
          <w:rFonts w:ascii="Times New Roman" w:hAnsi="Times New Roman" w:cs="Times New Roman"/>
          <w:b/>
          <w:bCs/>
          <w:sz w:val="28"/>
          <w:szCs w:val="28"/>
        </w:rPr>
        <w:t>Komponent A – Odporność i konkurencyjność gospodarki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2"/>
        <w:gridCol w:w="3438"/>
        <w:gridCol w:w="3652"/>
      </w:tblGrid>
      <w:tr w:rsidR="00AC7B32" w:rsidRPr="00496F64" w14:paraId="64BBC188" w14:textId="77777777" w:rsidTr="00144E7D">
        <w:tc>
          <w:tcPr>
            <w:tcW w:w="1088" w:type="pct"/>
          </w:tcPr>
          <w:p w14:paraId="5428EED0" w14:textId="77777777" w:rsidR="00AC7B32" w:rsidRPr="00496F64" w:rsidRDefault="00AC7B32" w:rsidP="00144E7D">
            <w:pPr>
              <w:spacing w:after="120" w:line="240" w:lineRule="auto"/>
              <w:rPr>
                <w:rFonts w:ascii="Times New Roman" w:hAnsi="Times New Roman" w:cs="Times New Roman"/>
                <w:b/>
                <w:bCs/>
              </w:rPr>
            </w:pPr>
            <w:r w:rsidRPr="00496F64">
              <w:rPr>
                <w:rFonts w:ascii="Times New Roman" w:hAnsi="Times New Roman" w:cs="Times New Roman"/>
                <w:b/>
                <w:bCs/>
              </w:rPr>
              <w:t>Numer reformy</w:t>
            </w:r>
          </w:p>
        </w:tc>
        <w:tc>
          <w:tcPr>
            <w:tcW w:w="3912" w:type="pct"/>
            <w:gridSpan w:val="2"/>
          </w:tcPr>
          <w:p w14:paraId="415E9660" w14:textId="77777777" w:rsidR="00AC7B32" w:rsidRPr="00496F64" w:rsidRDefault="00AC7B32" w:rsidP="00144E7D">
            <w:pPr>
              <w:spacing w:after="120" w:line="240" w:lineRule="auto"/>
              <w:rPr>
                <w:rFonts w:ascii="Times New Roman" w:hAnsi="Times New Roman" w:cs="Times New Roman"/>
                <w:b/>
                <w:bCs/>
              </w:rPr>
            </w:pPr>
            <w:r w:rsidRPr="00496F64">
              <w:rPr>
                <w:rFonts w:ascii="Times New Roman" w:hAnsi="Times New Roman" w:cs="Times New Roman"/>
                <w:b/>
                <w:bCs/>
              </w:rPr>
              <w:t>A4.1.</w:t>
            </w:r>
          </w:p>
        </w:tc>
      </w:tr>
      <w:tr w:rsidR="00AC7B32" w:rsidRPr="00496F64" w14:paraId="1CAC5BA1" w14:textId="77777777" w:rsidTr="00144E7D">
        <w:tc>
          <w:tcPr>
            <w:tcW w:w="1088" w:type="pct"/>
          </w:tcPr>
          <w:p w14:paraId="11FC6463" w14:textId="77777777" w:rsidR="00AC7B32" w:rsidRPr="00496F64" w:rsidRDefault="00AC7B32" w:rsidP="00144E7D">
            <w:pPr>
              <w:spacing w:after="120" w:line="240" w:lineRule="auto"/>
              <w:rPr>
                <w:rFonts w:ascii="Times New Roman" w:hAnsi="Times New Roman" w:cs="Times New Roman"/>
                <w:b/>
                <w:bCs/>
              </w:rPr>
            </w:pPr>
            <w:r w:rsidRPr="00496F64">
              <w:rPr>
                <w:rFonts w:ascii="Times New Roman" w:hAnsi="Times New Roman" w:cs="Times New Roman"/>
                <w:b/>
                <w:bCs/>
              </w:rPr>
              <w:t>Nazwa reformy</w:t>
            </w:r>
          </w:p>
        </w:tc>
        <w:tc>
          <w:tcPr>
            <w:tcW w:w="3912" w:type="pct"/>
            <w:gridSpan w:val="2"/>
          </w:tcPr>
          <w:p w14:paraId="1AA3E59C" w14:textId="77777777" w:rsidR="00AC7B32" w:rsidRPr="00496F64" w:rsidRDefault="00AC7B32" w:rsidP="00144E7D">
            <w:pPr>
              <w:spacing w:after="120" w:line="240" w:lineRule="auto"/>
              <w:rPr>
                <w:rFonts w:ascii="Times New Roman" w:hAnsi="Times New Roman" w:cs="Times New Roman"/>
                <w:b/>
                <w:bCs/>
              </w:rPr>
            </w:pPr>
            <w:r w:rsidRPr="00496F64">
              <w:rPr>
                <w:rFonts w:ascii="Times New Roman" w:hAnsi="Times New Roman" w:cs="Times New Roman"/>
                <w:b/>
                <w:bCs/>
              </w:rPr>
              <w:t>Efektywne instytucje na rzecz rynku pracy</w:t>
            </w:r>
          </w:p>
        </w:tc>
      </w:tr>
      <w:tr w:rsidR="00AC7B32" w:rsidRPr="00496F64" w14:paraId="1F50422D" w14:textId="77777777" w:rsidTr="00144E7D">
        <w:tc>
          <w:tcPr>
            <w:tcW w:w="1088" w:type="pct"/>
            <w:shd w:val="clear" w:color="auto" w:fill="auto"/>
          </w:tcPr>
          <w:p w14:paraId="1B43EDAE"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Rodzaj wprowadzonej zmiany w odniesieniu do CID</w:t>
            </w:r>
          </w:p>
        </w:tc>
        <w:tc>
          <w:tcPr>
            <w:tcW w:w="3912" w:type="pct"/>
            <w:gridSpan w:val="2"/>
            <w:shd w:val="clear" w:color="auto" w:fill="auto"/>
          </w:tcPr>
          <w:p w14:paraId="1801FCE9" w14:textId="0ED841F9"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 xml:space="preserve">Przesunięcie terminu realizacji kamienia milowego A51G </w:t>
            </w:r>
            <w:r w:rsidR="0060517A">
              <w:rPr>
                <w:rFonts w:ascii="Times New Roman" w:hAnsi="Times New Roman" w:cs="Times New Roman"/>
                <w:i/>
                <w:iCs/>
              </w:rPr>
              <w:t xml:space="preserve"> </w:t>
            </w:r>
            <w:r w:rsidR="0060517A" w:rsidRPr="005C5922">
              <w:rPr>
                <w:rFonts w:ascii="Times New Roman" w:hAnsi="Times New Roman" w:cs="Times New Roman"/>
              </w:rPr>
              <w:t xml:space="preserve">i </w:t>
            </w:r>
            <w:r w:rsidRPr="00496F64">
              <w:rPr>
                <w:rFonts w:ascii="Times New Roman" w:hAnsi="Times New Roman" w:cs="Times New Roman"/>
              </w:rPr>
              <w:t xml:space="preserve">kamienia milowego A52G </w:t>
            </w:r>
          </w:p>
        </w:tc>
      </w:tr>
      <w:tr w:rsidR="00AC7B32" w:rsidRPr="00496F64" w14:paraId="61E3D74B" w14:textId="77777777" w:rsidTr="00144E7D">
        <w:tc>
          <w:tcPr>
            <w:tcW w:w="1088" w:type="pct"/>
            <w:shd w:val="clear" w:color="auto" w:fill="auto"/>
          </w:tcPr>
          <w:p w14:paraId="65076F6B"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Podstawa prawna zmiany</w:t>
            </w:r>
          </w:p>
        </w:tc>
        <w:tc>
          <w:tcPr>
            <w:tcW w:w="3912" w:type="pct"/>
            <w:gridSpan w:val="2"/>
            <w:shd w:val="clear" w:color="auto" w:fill="auto"/>
          </w:tcPr>
          <w:p w14:paraId="694A491D"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art. 21 rozporządzenia Parlamentu Europejskiego i Rady (UE) 2021/241 z dnia 12 lutego 2021 r. ustanawiające Instrument na rzecz Odbudowy i Zwiększania Odporności</w:t>
            </w:r>
          </w:p>
        </w:tc>
      </w:tr>
      <w:tr w:rsidR="00AC7B32" w:rsidRPr="00496F64" w14:paraId="4DADE723" w14:textId="77777777" w:rsidTr="00144E7D">
        <w:tc>
          <w:tcPr>
            <w:tcW w:w="1088" w:type="pct"/>
            <w:shd w:val="clear" w:color="auto" w:fill="D9D9D9" w:themeFill="background1" w:themeFillShade="D9"/>
          </w:tcPr>
          <w:p w14:paraId="7CC73873" w14:textId="77777777" w:rsidR="00AC7B32" w:rsidRPr="00496F64" w:rsidRDefault="00AC7B32" w:rsidP="00144E7D">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Modyfikowany element</w:t>
            </w:r>
          </w:p>
        </w:tc>
        <w:tc>
          <w:tcPr>
            <w:tcW w:w="1897" w:type="pct"/>
            <w:shd w:val="clear" w:color="auto" w:fill="D9D9D9" w:themeFill="background1" w:themeFillShade="D9"/>
          </w:tcPr>
          <w:p w14:paraId="01CD9CAD" w14:textId="77777777" w:rsidR="00AC7B32" w:rsidRPr="00496F64" w:rsidRDefault="00AC7B32" w:rsidP="00144E7D">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Bieżąca wersja</w:t>
            </w:r>
          </w:p>
        </w:tc>
        <w:tc>
          <w:tcPr>
            <w:tcW w:w="2015" w:type="pct"/>
            <w:shd w:val="clear" w:color="auto" w:fill="D9D9D9" w:themeFill="background1" w:themeFillShade="D9"/>
          </w:tcPr>
          <w:p w14:paraId="480046EE" w14:textId="77777777" w:rsidR="00AC7B32" w:rsidRPr="00496F64" w:rsidRDefault="00AC7B32" w:rsidP="00144E7D">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Wersja zmieniona</w:t>
            </w:r>
          </w:p>
        </w:tc>
      </w:tr>
      <w:tr w:rsidR="00AC7B32" w:rsidRPr="00B85B09" w14:paraId="6E662B74" w14:textId="77777777" w:rsidTr="00144E7D">
        <w:tc>
          <w:tcPr>
            <w:tcW w:w="1088" w:type="pct"/>
            <w:vMerge w:val="restart"/>
          </w:tcPr>
          <w:p w14:paraId="23890FEB" w14:textId="77777777" w:rsidR="00AC7B32" w:rsidRPr="00496F64" w:rsidRDefault="00AC7B32" w:rsidP="00144E7D">
            <w:pPr>
              <w:spacing w:after="0" w:line="240" w:lineRule="auto"/>
              <w:rPr>
                <w:rFonts w:ascii="Times New Roman" w:hAnsi="Times New Roman" w:cs="Times New Roman"/>
              </w:rPr>
            </w:pPr>
            <w:r w:rsidRPr="00496F64">
              <w:rPr>
                <w:rFonts w:ascii="Times New Roman" w:hAnsi="Times New Roman" w:cs="Times New Roman"/>
              </w:rPr>
              <w:t>Opis komponentu oraz/lub działania (inwestycji/reformy)</w:t>
            </w:r>
          </w:p>
        </w:tc>
        <w:tc>
          <w:tcPr>
            <w:tcW w:w="1897" w:type="pct"/>
          </w:tcPr>
          <w:p w14:paraId="5C347AEB" w14:textId="77777777" w:rsidR="00AC7B32" w:rsidRPr="00496F64" w:rsidRDefault="00AC7B32" w:rsidP="00144E7D">
            <w:pPr>
              <w:spacing w:after="0" w:line="240" w:lineRule="auto"/>
              <w:rPr>
                <w:rFonts w:ascii="Times New Roman" w:hAnsi="Times New Roman" w:cs="Times New Roman"/>
              </w:rPr>
            </w:pPr>
            <w:r>
              <w:rPr>
                <w:rFonts w:ascii="Times New Roman" w:hAnsi="Times New Roman" w:cs="Times New Roman"/>
              </w:rPr>
              <w:t xml:space="preserve">A51G </w:t>
            </w:r>
            <w:r w:rsidRPr="00496F64">
              <w:rPr>
                <w:rFonts w:ascii="Times New Roman" w:hAnsi="Times New Roman" w:cs="Times New Roman"/>
              </w:rPr>
              <w:t>Wejście w życie nowej ustawy o publicznych służbach zatrudnienia, ustawy o zatrudnianiu obywateli państw trzecich oraz ustawy o zawieraniu niektórych umów o pracę w sposób elektroniczny: – wprowadzanie zmian w publicznych służbach zatrudnienia i aktywnej polityce rynku pracy w celu zwiększenia aktywności zawodowej – zmniejszanie barier administracyjnych przy zatrudnianiu cudzoziemców – upraszczanie procesu zawierania niektórych umów</w:t>
            </w:r>
          </w:p>
          <w:p w14:paraId="645C6D53" w14:textId="77777777" w:rsidR="00AC7B32" w:rsidRPr="00496F64" w:rsidRDefault="00AC7B32" w:rsidP="00144E7D">
            <w:pPr>
              <w:spacing w:after="0" w:line="240" w:lineRule="auto"/>
              <w:rPr>
                <w:rFonts w:ascii="Times New Roman" w:hAnsi="Times New Roman" w:cs="Times New Roman"/>
              </w:rPr>
            </w:pPr>
          </w:p>
          <w:p w14:paraId="48DAEED4" w14:textId="19679805" w:rsidR="00AC7B32" w:rsidRPr="00B85B09" w:rsidRDefault="00B85B09" w:rsidP="00144E7D">
            <w:pPr>
              <w:spacing w:after="0" w:line="240" w:lineRule="auto"/>
              <w:rPr>
                <w:rFonts w:ascii="Times New Roman" w:hAnsi="Times New Roman" w:cs="Times New Roman"/>
              </w:rPr>
            </w:pPr>
            <w:r w:rsidRPr="00B85B09">
              <w:rPr>
                <w:rFonts w:ascii="Times New Roman" w:hAnsi="Times New Roman" w:cs="Times New Roman"/>
              </w:rPr>
              <w:t>Termin real</w:t>
            </w:r>
            <w:r w:rsidRPr="005C5922">
              <w:rPr>
                <w:rFonts w:ascii="Times New Roman" w:hAnsi="Times New Roman" w:cs="Times New Roman"/>
              </w:rPr>
              <w:t>iza</w:t>
            </w:r>
            <w:r>
              <w:rPr>
                <w:rFonts w:ascii="Times New Roman" w:hAnsi="Times New Roman" w:cs="Times New Roman"/>
              </w:rPr>
              <w:t>cji:</w:t>
            </w:r>
            <w:r w:rsidR="00AC7B32" w:rsidRPr="00B85B09">
              <w:rPr>
                <w:rFonts w:ascii="Times New Roman" w:hAnsi="Times New Roman" w:cs="Times New Roman"/>
              </w:rPr>
              <w:t xml:space="preserve"> IV kw. 2022r. </w:t>
            </w:r>
          </w:p>
        </w:tc>
        <w:tc>
          <w:tcPr>
            <w:tcW w:w="2015" w:type="pct"/>
          </w:tcPr>
          <w:p w14:paraId="12092784" w14:textId="77777777" w:rsidR="00AC7B32" w:rsidRPr="00496F64" w:rsidRDefault="00AC7B32" w:rsidP="00144E7D">
            <w:pPr>
              <w:spacing w:after="0" w:line="240" w:lineRule="auto"/>
              <w:rPr>
                <w:rFonts w:ascii="Times New Roman" w:hAnsi="Times New Roman" w:cs="Times New Roman"/>
              </w:rPr>
            </w:pPr>
            <w:r>
              <w:rPr>
                <w:rFonts w:ascii="Times New Roman" w:hAnsi="Times New Roman" w:cs="Times New Roman"/>
              </w:rPr>
              <w:t xml:space="preserve">A51G </w:t>
            </w:r>
            <w:r w:rsidRPr="00496F64">
              <w:rPr>
                <w:rFonts w:ascii="Times New Roman" w:hAnsi="Times New Roman" w:cs="Times New Roman"/>
              </w:rPr>
              <w:t>Wejście w życie nowej ustawy o publicznych służbach zatrudnienia, ustawy o zatrudnianiu obywateli państw trzecich oraz ustawy o zawieraniu niektórych umów o pracę w sposób elektroniczny: – wprowadzanie zmian w publicznych służbach zatrudnienia i aktywnej polityce rynku pracy w celu zwiększenia aktywności zawodowej – zmniejszanie barier administracyjnych przy zatrudnianiu cudzoziemców – upraszczanie procesu zawierania niektórych umów</w:t>
            </w:r>
          </w:p>
          <w:p w14:paraId="043DA708" w14:textId="77777777" w:rsidR="00AC7B32" w:rsidRPr="00496F64" w:rsidRDefault="00AC7B32" w:rsidP="00144E7D">
            <w:pPr>
              <w:spacing w:after="0" w:line="240" w:lineRule="auto"/>
              <w:rPr>
                <w:rFonts w:ascii="Times New Roman" w:hAnsi="Times New Roman" w:cs="Times New Roman"/>
              </w:rPr>
            </w:pPr>
          </w:p>
          <w:p w14:paraId="4C3D9A99" w14:textId="77777777" w:rsidR="00AC7B32" w:rsidRDefault="00AC7B32" w:rsidP="00144E7D">
            <w:pPr>
              <w:spacing w:after="0" w:line="240" w:lineRule="auto"/>
              <w:rPr>
                <w:rFonts w:ascii="Times New Roman" w:hAnsi="Times New Roman" w:cs="Times New Roman"/>
              </w:rPr>
            </w:pPr>
          </w:p>
          <w:p w14:paraId="7260BE5D" w14:textId="77777777" w:rsidR="00AC7B32" w:rsidRDefault="00AC7B32" w:rsidP="00144E7D">
            <w:pPr>
              <w:spacing w:after="0" w:line="240" w:lineRule="auto"/>
              <w:rPr>
                <w:rFonts w:ascii="Times New Roman" w:hAnsi="Times New Roman" w:cs="Times New Roman"/>
              </w:rPr>
            </w:pPr>
          </w:p>
          <w:p w14:paraId="0473ED60" w14:textId="363FB1E3" w:rsidR="00AC7B32" w:rsidRPr="00B85B09" w:rsidRDefault="00B85B09" w:rsidP="00144E7D">
            <w:pPr>
              <w:spacing w:after="0" w:line="240" w:lineRule="auto"/>
              <w:rPr>
                <w:rFonts w:ascii="Times New Roman" w:hAnsi="Times New Roman" w:cs="Times New Roman"/>
              </w:rPr>
            </w:pPr>
            <w:r w:rsidRPr="00B85B09">
              <w:rPr>
                <w:rFonts w:ascii="Times New Roman" w:hAnsi="Times New Roman" w:cs="Times New Roman"/>
              </w:rPr>
              <w:t>Termin real</w:t>
            </w:r>
            <w:r w:rsidRPr="005C5922">
              <w:rPr>
                <w:rFonts w:ascii="Times New Roman" w:hAnsi="Times New Roman" w:cs="Times New Roman"/>
              </w:rPr>
              <w:t>iz</w:t>
            </w:r>
            <w:r>
              <w:rPr>
                <w:rFonts w:ascii="Times New Roman" w:hAnsi="Times New Roman" w:cs="Times New Roman"/>
              </w:rPr>
              <w:t>acji</w:t>
            </w:r>
            <w:r w:rsidR="00AC7B32" w:rsidRPr="00B85B09">
              <w:rPr>
                <w:rFonts w:ascii="Times New Roman" w:hAnsi="Times New Roman" w:cs="Times New Roman"/>
              </w:rPr>
              <w:t xml:space="preserve">: </w:t>
            </w:r>
            <w:r w:rsidR="00AC7B32" w:rsidRPr="00B85B09">
              <w:rPr>
                <w:rFonts w:ascii="Times New Roman" w:hAnsi="Times New Roman" w:cs="Times New Roman"/>
                <w:color w:val="FF0000"/>
              </w:rPr>
              <w:t>IV kw. 2024r.</w:t>
            </w:r>
          </w:p>
        </w:tc>
      </w:tr>
      <w:tr w:rsidR="00AC7B32" w:rsidRPr="00496F64" w14:paraId="03184D12" w14:textId="77777777" w:rsidTr="00144E7D">
        <w:tc>
          <w:tcPr>
            <w:tcW w:w="1088" w:type="pct"/>
            <w:vMerge/>
          </w:tcPr>
          <w:p w14:paraId="609DE817" w14:textId="77777777" w:rsidR="00AC7B32" w:rsidRPr="00B85B09" w:rsidRDefault="00AC7B32" w:rsidP="00144E7D">
            <w:pPr>
              <w:spacing w:after="120" w:line="240" w:lineRule="auto"/>
              <w:rPr>
                <w:rFonts w:ascii="Times New Roman" w:hAnsi="Times New Roman" w:cs="Times New Roman"/>
              </w:rPr>
            </w:pPr>
          </w:p>
        </w:tc>
        <w:tc>
          <w:tcPr>
            <w:tcW w:w="1897" w:type="pct"/>
          </w:tcPr>
          <w:p w14:paraId="24DDAA60" w14:textId="77777777" w:rsidR="00AC7B32" w:rsidRPr="00496F64" w:rsidRDefault="00AC7B32" w:rsidP="00144E7D">
            <w:pPr>
              <w:spacing w:after="0" w:line="240" w:lineRule="auto"/>
              <w:rPr>
                <w:rFonts w:ascii="Times New Roman" w:hAnsi="Times New Roman" w:cs="Times New Roman"/>
              </w:rPr>
            </w:pPr>
            <w:r>
              <w:rPr>
                <w:rFonts w:ascii="Times New Roman" w:hAnsi="Times New Roman" w:cs="Times New Roman"/>
              </w:rPr>
              <w:t xml:space="preserve">A52G </w:t>
            </w:r>
            <w:r w:rsidRPr="00496F64">
              <w:rPr>
                <w:rFonts w:ascii="Times New Roman" w:hAnsi="Times New Roman" w:cs="Times New Roman"/>
              </w:rPr>
              <w:t>Nowe normy i ramy wykonania w</w:t>
            </w:r>
          </w:p>
          <w:p w14:paraId="66DDED8E" w14:textId="77777777" w:rsidR="00AC7B32" w:rsidRPr="00496F64" w:rsidRDefault="00AC7B32" w:rsidP="00144E7D">
            <w:pPr>
              <w:spacing w:after="0" w:line="240" w:lineRule="auto"/>
              <w:rPr>
                <w:rFonts w:ascii="Times New Roman" w:hAnsi="Times New Roman" w:cs="Times New Roman"/>
              </w:rPr>
            </w:pPr>
            <w:r w:rsidRPr="00496F64">
              <w:rPr>
                <w:rFonts w:ascii="Times New Roman" w:hAnsi="Times New Roman" w:cs="Times New Roman"/>
              </w:rPr>
              <w:t>zakresie funkcjonowania i</w:t>
            </w:r>
          </w:p>
          <w:p w14:paraId="6AEF41C4" w14:textId="77777777" w:rsidR="00AC7B32" w:rsidRPr="00496F64" w:rsidRDefault="00AC7B32" w:rsidP="00144E7D">
            <w:pPr>
              <w:spacing w:after="0" w:line="240" w:lineRule="auto"/>
              <w:rPr>
                <w:rFonts w:ascii="Times New Roman" w:hAnsi="Times New Roman" w:cs="Times New Roman"/>
              </w:rPr>
            </w:pPr>
            <w:r w:rsidRPr="00496F64">
              <w:rPr>
                <w:rFonts w:ascii="Times New Roman" w:hAnsi="Times New Roman" w:cs="Times New Roman"/>
              </w:rPr>
              <w:t>koordynacji publicznych służb</w:t>
            </w:r>
          </w:p>
          <w:p w14:paraId="77BAEC98" w14:textId="77777777" w:rsidR="00AC7B32" w:rsidRPr="00496F64" w:rsidRDefault="00AC7B32" w:rsidP="00144E7D">
            <w:pPr>
              <w:spacing w:after="0" w:line="240" w:lineRule="auto"/>
              <w:rPr>
                <w:rFonts w:ascii="Times New Roman" w:hAnsi="Times New Roman" w:cs="Times New Roman"/>
              </w:rPr>
            </w:pPr>
            <w:r w:rsidRPr="00496F64">
              <w:rPr>
                <w:rFonts w:ascii="Times New Roman" w:hAnsi="Times New Roman" w:cs="Times New Roman"/>
              </w:rPr>
              <w:t>zatrudnienia</w:t>
            </w:r>
            <w:r w:rsidRPr="00496F64">
              <w:rPr>
                <w:rFonts w:ascii="Times New Roman" w:hAnsi="Times New Roman" w:cs="Times New Roman"/>
              </w:rPr>
              <w:br/>
            </w:r>
          </w:p>
          <w:p w14:paraId="73DA2EB7" w14:textId="66645C66" w:rsidR="00AC7B32" w:rsidRPr="006248FF" w:rsidRDefault="00B85B09" w:rsidP="00144E7D">
            <w:pPr>
              <w:spacing w:after="0" w:line="240" w:lineRule="auto"/>
              <w:rPr>
                <w:rFonts w:ascii="Times New Roman" w:hAnsi="Times New Roman" w:cs="Times New Roman"/>
              </w:rPr>
            </w:pPr>
            <w:r>
              <w:rPr>
                <w:rFonts w:ascii="Times New Roman" w:hAnsi="Times New Roman" w:cs="Times New Roman"/>
              </w:rPr>
              <w:t>Termin realizacji</w:t>
            </w:r>
            <w:r w:rsidR="00AC7B32" w:rsidRPr="00496F64">
              <w:rPr>
                <w:rFonts w:ascii="Times New Roman" w:hAnsi="Times New Roman" w:cs="Times New Roman"/>
              </w:rPr>
              <w:t>:</w:t>
            </w:r>
            <w:r>
              <w:rPr>
                <w:rFonts w:ascii="Times New Roman" w:hAnsi="Times New Roman" w:cs="Times New Roman"/>
              </w:rPr>
              <w:t xml:space="preserve"> </w:t>
            </w:r>
            <w:r w:rsidR="00AC7B32" w:rsidRPr="006248FF">
              <w:rPr>
                <w:rFonts w:ascii="Times New Roman" w:hAnsi="Times New Roman" w:cs="Times New Roman"/>
              </w:rPr>
              <w:t>IV kw. 2023</w:t>
            </w:r>
            <w:r>
              <w:rPr>
                <w:rFonts w:ascii="Times New Roman" w:hAnsi="Times New Roman" w:cs="Times New Roman"/>
              </w:rPr>
              <w:t>r.</w:t>
            </w:r>
          </w:p>
        </w:tc>
        <w:tc>
          <w:tcPr>
            <w:tcW w:w="2015" w:type="pct"/>
          </w:tcPr>
          <w:p w14:paraId="143F1EA4" w14:textId="77777777" w:rsidR="00AC7B32" w:rsidRPr="00496F64" w:rsidRDefault="00AC7B32" w:rsidP="00144E7D">
            <w:pPr>
              <w:spacing w:after="0" w:line="240" w:lineRule="auto"/>
              <w:rPr>
                <w:rFonts w:ascii="Times New Roman" w:hAnsi="Times New Roman" w:cs="Times New Roman"/>
              </w:rPr>
            </w:pPr>
            <w:r>
              <w:rPr>
                <w:rFonts w:ascii="Times New Roman" w:hAnsi="Times New Roman" w:cs="Times New Roman"/>
              </w:rPr>
              <w:t xml:space="preserve">A52G </w:t>
            </w:r>
            <w:r w:rsidRPr="00496F64">
              <w:rPr>
                <w:rFonts w:ascii="Times New Roman" w:hAnsi="Times New Roman" w:cs="Times New Roman"/>
              </w:rPr>
              <w:t>Nowe normy i ramy wykonania w</w:t>
            </w:r>
          </w:p>
          <w:p w14:paraId="54872C4E" w14:textId="77777777" w:rsidR="00AC7B32" w:rsidRPr="00496F64" w:rsidRDefault="00AC7B32" w:rsidP="00144E7D">
            <w:pPr>
              <w:spacing w:after="0" w:line="240" w:lineRule="auto"/>
              <w:rPr>
                <w:rFonts w:ascii="Times New Roman" w:hAnsi="Times New Roman" w:cs="Times New Roman"/>
              </w:rPr>
            </w:pPr>
            <w:r w:rsidRPr="00496F64">
              <w:rPr>
                <w:rFonts w:ascii="Times New Roman" w:hAnsi="Times New Roman" w:cs="Times New Roman"/>
              </w:rPr>
              <w:t>zakresie funkcjonowania i</w:t>
            </w:r>
          </w:p>
          <w:p w14:paraId="60BB850D" w14:textId="77777777" w:rsidR="00AC7B32" w:rsidRPr="00496F64" w:rsidRDefault="00AC7B32" w:rsidP="00144E7D">
            <w:pPr>
              <w:spacing w:after="0" w:line="240" w:lineRule="auto"/>
              <w:rPr>
                <w:rFonts w:ascii="Times New Roman" w:hAnsi="Times New Roman" w:cs="Times New Roman"/>
              </w:rPr>
            </w:pPr>
            <w:r w:rsidRPr="00496F64">
              <w:rPr>
                <w:rFonts w:ascii="Times New Roman" w:hAnsi="Times New Roman" w:cs="Times New Roman"/>
              </w:rPr>
              <w:t>koordynacji publicznych służb</w:t>
            </w:r>
          </w:p>
          <w:p w14:paraId="14EC1FF6" w14:textId="77777777" w:rsidR="00AC7B32" w:rsidRPr="00496F64" w:rsidRDefault="00AC7B32" w:rsidP="00144E7D">
            <w:pPr>
              <w:spacing w:after="0" w:line="240" w:lineRule="auto"/>
              <w:rPr>
                <w:rFonts w:ascii="Times New Roman" w:hAnsi="Times New Roman" w:cs="Times New Roman"/>
              </w:rPr>
            </w:pPr>
            <w:r w:rsidRPr="00496F64">
              <w:rPr>
                <w:rFonts w:ascii="Times New Roman" w:hAnsi="Times New Roman" w:cs="Times New Roman"/>
              </w:rPr>
              <w:t>zatrudnienia</w:t>
            </w:r>
            <w:r w:rsidRPr="00496F64">
              <w:rPr>
                <w:rFonts w:ascii="Times New Roman" w:hAnsi="Times New Roman" w:cs="Times New Roman"/>
              </w:rPr>
              <w:br/>
            </w:r>
          </w:p>
          <w:p w14:paraId="3D1C55E7" w14:textId="49EB1501" w:rsidR="00AC7B32" w:rsidRPr="006248FF" w:rsidRDefault="00B85B09" w:rsidP="005C5922">
            <w:pPr>
              <w:spacing w:after="0" w:line="240" w:lineRule="auto"/>
              <w:rPr>
                <w:rFonts w:ascii="Times New Roman" w:hAnsi="Times New Roman" w:cs="Times New Roman"/>
              </w:rPr>
            </w:pPr>
            <w:r>
              <w:rPr>
                <w:rFonts w:ascii="Times New Roman" w:hAnsi="Times New Roman" w:cs="Times New Roman"/>
              </w:rPr>
              <w:t>Termin realizacji</w:t>
            </w:r>
            <w:r w:rsidR="00AC7B32" w:rsidRPr="00496F64">
              <w:rPr>
                <w:rFonts w:ascii="Times New Roman" w:hAnsi="Times New Roman" w:cs="Times New Roman"/>
              </w:rPr>
              <w:t>:</w:t>
            </w:r>
            <w:r>
              <w:rPr>
                <w:rFonts w:ascii="Times New Roman" w:hAnsi="Times New Roman" w:cs="Times New Roman"/>
                <w:color w:val="FF0000"/>
              </w:rPr>
              <w:t xml:space="preserve"> </w:t>
            </w:r>
            <w:r w:rsidR="00AC7B32" w:rsidRPr="006248FF">
              <w:rPr>
                <w:rFonts w:ascii="Times New Roman" w:hAnsi="Times New Roman" w:cs="Times New Roman"/>
                <w:color w:val="FF0000"/>
              </w:rPr>
              <w:t>II kw. 2025</w:t>
            </w:r>
            <w:r w:rsidR="00AC7B32">
              <w:rPr>
                <w:rFonts w:ascii="Times New Roman" w:hAnsi="Times New Roman" w:cs="Times New Roman"/>
                <w:color w:val="FF0000"/>
              </w:rPr>
              <w:t>r.</w:t>
            </w:r>
          </w:p>
        </w:tc>
      </w:tr>
      <w:tr w:rsidR="00AC7B32" w:rsidRPr="00496F64" w14:paraId="159A0DD1" w14:textId="77777777" w:rsidTr="00144E7D">
        <w:tc>
          <w:tcPr>
            <w:tcW w:w="1088" w:type="pct"/>
          </w:tcPr>
          <w:p w14:paraId="56517052"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Uzasadnienie</w:t>
            </w:r>
          </w:p>
        </w:tc>
        <w:tc>
          <w:tcPr>
            <w:tcW w:w="3912" w:type="pct"/>
            <w:gridSpan w:val="2"/>
          </w:tcPr>
          <w:p w14:paraId="0D4EF042" w14:textId="3C03426D" w:rsidR="00AC7B32" w:rsidRPr="00496F64" w:rsidRDefault="00AC7B32" w:rsidP="00144E7D">
            <w:pPr>
              <w:spacing w:after="120" w:line="240" w:lineRule="auto"/>
              <w:rPr>
                <w:rFonts w:ascii="Times New Roman" w:hAnsi="Times New Roman" w:cs="Times New Roman"/>
              </w:rPr>
            </w:pPr>
            <w:r>
              <w:rPr>
                <w:rFonts w:ascii="Times New Roman" w:hAnsi="Times New Roman" w:cs="Times New Roman"/>
              </w:rPr>
              <w:t>Z</w:t>
            </w:r>
            <w:r w:rsidRPr="00496F64">
              <w:rPr>
                <w:rFonts w:ascii="Times New Roman" w:hAnsi="Times New Roman" w:cs="Times New Roman"/>
              </w:rPr>
              <w:t xml:space="preserve">e względu na zakończenie prac poprzedniej kadencji Parlamentu nie udało się przyjąć w 2023 r. </w:t>
            </w:r>
            <w:r>
              <w:rPr>
                <w:rFonts w:ascii="Times New Roman" w:hAnsi="Times New Roman" w:cs="Times New Roman"/>
              </w:rPr>
              <w:t>u</w:t>
            </w:r>
            <w:r w:rsidRPr="00496F64">
              <w:rPr>
                <w:rFonts w:ascii="Times New Roman" w:hAnsi="Times New Roman" w:cs="Times New Roman"/>
              </w:rPr>
              <w:t>staw</w:t>
            </w:r>
            <w:r>
              <w:rPr>
                <w:rFonts w:ascii="Times New Roman" w:hAnsi="Times New Roman" w:cs="Times New Roman"/>
              </w:rPr>
              <w:t>y</w:t>
            </w:r>
            <w:r w:rsidRPr="00496F64">
              <w:rPr>
                <w:rFonts w:ascii="Times New Roman" w:hAnsi="Times New Roman" w:cs="Times New Roman"/>
              </w:rPr>
              <w:t xml:space="preserve"> o publicznych służbach zatrudnienia i ustaw</w:t>
            </w:r>
            <w:r>
              <w:rPr>
                <w:rFonts w:ascii="Times New Roman" w:hAnsi="Times New Roman" w:cs="Times New Roman"/>
              </w:rPr>
              <w:t>y</w:t>
            </w:r>
            <w:r w:rsidRPr="00496F64">
              <w:rPr>
                <w:rFonts w:ascii="Times New Roman" w:hAnsi="Times New Roman" w:cs="Times New Roman"/>
              </w:rPr>
              <w:t xml:space="preserve"> o zatrudnianiu obywateli państw trzecich</w:t>
            </w:r>
            <w:r>
              <w:rPr>
                <w:rFonts w:ascii="Times New Roman" w:hAnsi="Times New Roman" w:cs="Times New Roman"/>
              </w:rPr>
              <w:t>, które</w:t>
            </w:r>
            <w:r w:rsidRPr="00496F64">
              <w:rPr>
                <w:rFonts w:ascii="Times New Roman" w:hAnsi="Times New Roman" w:cs="Times New Roman"/>
              </w:rPr>
              <w:t xml:space="preserve"> zatrzymały się na etapie Komitetu Stałego Rady Ministrów. Aby kontynuować prace nad tymi ustawami konieczne jest ponowne rozpoczęcie procesu legislacyjnego. W związku z tym niezbędne jest wydłużenie okresu realizacji dla kamienia milowego </w:t>
            </w:r>
            <w:r w:rsidR="003E08A1">
              <w:rPr>
                <w:rFonts w:ascii="Times New Roman" w:hAnsi="Times New Roman" w:cs="Times New Roman"/>
              </w:rPr>
              <w:t xml:space="preserve">A51G </w:t>
            </w:r>
            <w:r w:rsidRPr="00496F64">
              <w:rPr>
                <w:rFonts w:ascii="Times New Roman" w:hAnsi="Times New Roman" w:cs="Times New Roman"/>
              </w:rPr>
              <w:t xml:space="preserve">by możliwe było przyjęcie </w:t>
            </w:r>
            <w:r w:rsidR="003E08A1">
              <w:rPr>
                <w:rFonts w:ascii="Times New Roman" w:hAnsi="Times New Roman" w:cs="Times New Roman"/>
              </w:rPr>
              <w:t>ww.</w:t>
            </w:r>
            <w:r w:rsidRPr="00496F64">
              <w:rPr>
                <w:rFonts w:ascii="Times New Roman" w:hAnsi="Times New Roman" w:cs="Times New Roman"/>
              </w:rPr>
              <w:t xml:space="preserve"> ustaw. W ramach prac nowego rządu w ustawie o rynku pracy zaistniała konieczność wypracowania nowego podejścia do kwestii powiązania składki zdrowotnej ze statusem bezrobotnego, a w ustawie dotyczącej zatrudniania cudzoziemców </w:t>
            </w:r>
            <w:r w:rsidR="003E08A1">
              <w:rPr>
                <w:rFonts w:ascii="Times New Roman" w:hAnsi="Times New Roman" w:cs="Times New Roman"/>
              </w:rPr>
              <w:t xml:space="preserve">konieczne </w:t>
            </w:r>
            <w:r w:rsidR="003E08A1">
              <w:rPr>
                <w:rFonts w:ascii="Times New Roman" w:hAnsi="Times New Roman" w:cs="Times New Roman"/>
              </w:rPr>
              <w:lastRenderedPageBreak/>
              <w:t xml:space="preserve">jest </w:t>
            </w:r>
            <w:r w:rsidRPr="00496F64">
              <w:rPr>
                <w:rFonts w:ascii="Times New Roman" w:hAnsi="Times New Roman" w:cs="Times New Roman"/>
              </w:rPr>
              <w:t>wypracowani</w:t>
            </w:r>
            <w:r w:rsidR="003E08A1">
              <w:rPr>
                <w:rFonts w:ascii="Times New Roman" w:hAnsi="Times New Roman" w:cs="Times New Roman"/>
              </w:rPr>
              <w:t>e</w:t>
            </w:r>
            <w:r w:rsidRPr="00496F64">
              <w:rPr>
                <w:rFonts w:ascii="Times New Roman" w:hAnsi="Times New Roman" w:cs="Times New Roman"/>
              </w:rPr>
              <w:t xml:space="preserve"> nowych uszczelniających przepisów w zakresie przyjmowania cudzoziemców.</w:t>
            </w:r>
          </w:p>
          <w:p w14:paraId="2863BEC3"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Realizacja kamienia milowego A52G jest ściśle związana z realizacją kamienia milowego A51G. Kamień milowy A52G dotyczy opracowania nowych standardów efektywności i ram zarządzania realizacją celów. Standardy te mają zawierać m.in. nowy system zarządzania realizacją celów dla publicznych służb zatrudnienia, nowe metody pracy i standardy koordynacji publicznych służb zatrudnienia. Standardy i ramy zarządzania mają bezpośrednio wynikać z przyjętych ustaw i dokument ten ma być dostosowany do nowej ustawy o publicznych służbach zatrudnienia, ustawy o zatrudnianiu obywateli państw trzecich oraz ustawy o zawieraniu niektórych umów o pracę w sposób elektroniczny. Brak ustaw uniemożliwia prowadzenie prac nad ramami zarządzania w PSZ i wiąże się z koniecznością dokonania zmiany terminu realizacji również w kamieniu milowym A52G</w:t>
            </w:r>
          </w:p>
        </w:tc>
      </w:tr>
      <w:tr w:rsidR="00AC7B32" w:rsidRPr="00496F64" w14:paraId="46A83999" w14:textId="77777777" w:rsidTr="00144E7D">
        <w:tc>
          <w:tcPr>
            <w:tcW w:w="1088" w:type="pct"/>
          </w:tcPr>
          <w:p w14:paraId="5210CFA2"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lastRenderedPageBreak/>
              <w:t>Szacowany koszy</w:t>
            </w:r>
          </w:p>
        </w:tc>
        <w:tc>
          <w:tcPr>
            <w:tcW w:w="3912" w:type="pct"/>
            <w:gridSpan w:val="2"/>
          </w:tcPr>
          <w:p w14:paraId="69FA6958" w14:textId="641833A0" w:rsidR="00AC7B32" w:rsidRPr="00496F64" w:rsidRDefault="003E08A1" w:rsidP="00144E7D">
            <w:pPr>
              <w:spacing w:after="120" w:line="240" w:lineRule="auto"/>
              <w:rPr>
                <w:rFonts w:ascii="Times New Roman" w:hAnsi="Times New Roman" w:cs="Times New Roman"/>
              </w:rPr>
            </w:pPr>
            <w:r w:rsidRPr="00DC33EA">
              <w:rPr>
                <w:rFonts w:ascii="Times New Roman" w:eastAsia="Times New Roman" w:hAnsi="Times New Roman" w:cs="Calibri"/>
              </w:rPr>
              <w:t>Zmiana nie ma wpływu na szacowany koszt</w:t>
            </w:r>
            <w:r w:rsidDel="003E08A1">
              <w:rPr>
                <w:rFonts w:ascii="Times New Roman" w:hAnsi="Times New Roman" w:cs="Times New Roman"/>
              </w:rPr>
              <w:t xml:space="preserve"> </w:t>
            </w:r>
          </w:p>
        </w:tc>
      </w:tr>
      <w:tr w:rsidR="00AC7B32" w:rsidRPr="00496F64" w14:paraId="3F91FAD8" w14:textId="77777777" w:rsidTr="00144E7D">
        <w:tc>
          <w:tcPr>
            <w:tcW w:w="1088" w:type="pct"/>
          </w:tcPr>
          <w:p w14:paraId="3EB67A40"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 xml:space="preserve">Klimatyczny i cyfrowy </w:t>
            </w:r>
            <w:proofErr w:type="spellStart"/>
            <w:r w:rsidRPr="00496F64">
              <w:rPr>
                <w:rFonts w:ascii="Times New Roman" w:hAnsi="Times New Roman" w:cs="Times New Roman"/>
              </w:rPr>
              <w:t>tagging</w:t>
            </w:r>
            <w:proofErr w:type="spellEnd"/>
          </w:p>
        </w:tc>
        <w:tc>
          <w:tcPr>
            <w:tcW w:w="3912" w:type="pct"/>
            <w:gridSpan w:val="2"/>
          </w:tcPr>
          <w:p w14:paraId="797CB0A7" w14:textId="0F816DC6" w:rsidR="00AC7B32" w:rsidRPr="00496F64" w:rsidRDefault="003E08A1" w:rsidP="00144E7D">
            <w:pPr>
              <w:spacing w:after="120" w:line="240" w:lineRule="auto"/>
              <w:rPr>
                <w:rFonts w:ascii="Times New Roman" w:hAnsi="Times New Roman" w:cs="Times New Roman"/>
              </w:rPr>
            </w:pPr>
            <w:r w:rsidRPr="00DC33EA">
              <w:rPr>
                <w:rFonts w:ascii="Times New Roman" w:eastAsia="Times New Roman" w:hAnsi="Times New Roman" w:cs="Calibri"/>
              </w:rPr>
              <w:t xml:space="preserve">Zmiana nie ma wpływu na </w:t>
            </w:r>
            <w:proofErr w:type="spellStart"/>
            <w:r w:rsidRPr="00DC33EA">
              <w:rPr>
                <w:rFonts w:ascii="Times New Roman" w:eastAsia="Times New Roman" w:hAnsi="Times New Roman" w:cs="Calibri"/>
              </w:rPr>
              <w:t>tagging</w:t>
            </w:r>
            <w:proofErr w:type="spellEnd"/>
            <w:r w:rsidRPr="00DC33EA">
              <w:rPr>
                <w:rFonts w:ascii="Times New Roman" w:eastAsia="Times New Roman" w:hAnsi="Times New Roman" w:cs="Calibri"/>
              </w:rPr>
              <w:t xml:space="preserve"> klimatyczny i cyfrowy</w:t>
            </w:r>
            <w:r w:rsidRPr="00496F64" w:rsidDel="003E08A1">
              <w:rPr>
                <w:rFonts w:ascii="Times New Roman" w:hAnsi="Times New Roman" w:cs="Times New Roman"/>
              </w:rPr>
              <w:t xml:space="preserve"> </w:t>
            </w:r>
          </w:p>
        </w:tc>
      </w:tr>
      <w:tr w:rsidR="00AC7B32" w:rsidRPr="00496F64" w14:paraId="397EE0B4" w14:textId="77777777" w:rsidTr="00144E7D">
        <w:tc>
          <w:tcPr>
            <w:tcW w:w="1088" w:type="pct"/>
          </w:tcPr>
          <w:p w14:paraId="5E50F3D4"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 xml:space="preserve">Ocena DNSH </w:t>
            </w:r>
          </w:p>
        </w:tc>
        <w:tc>
          <w:tcPr>
            <w:tcW w:w="3912" w:type="pct"/>
            <w:gridSpan w:val="2"/>
          </w:tcPr>
          <w:p w14:paraId="62A6F12B" w14:textId="735D06F0" w:rsidR="00AC7B32" w:rsidRPr="00496F64" w:rsidRDefault="003E08A1" w:rsidP="00144E7D">
            <w:pPr>
              <w:spacing w:after="120" w:line="240" w:lineRule="auto"/>
              <w:rPr>
                <w:rFonts w:ascii="Times New Roman" w:hAnsi="Times New Roman" w:cs="Times New Roman"/>
              </w:rPr>
            </w:pPr>
            <w:r w:rsidRPr="00DC33EA">
              <w:rPr>
                <w:rFonts w:ascii="Times New Roman" w:eastAsia="Times New Roman" w:hAnsi="Times New Roman" w:cs="Calibri"/>
              </w:rPr>
              <w:t>Zmiana nie ma wpływu na DNSH</w:t>
            </w:r>
            <w:r w:rsidRPr="00496F64" w:rsidDel="003E08A1">
              <w:rPr>
                <w:rFonts w:ascii="Times New Roman" w:hAnsi="Times New Roman" w:cs="Times New Roman"/>
              </w:rPr>
              <w:t xml:space="preserve"> </w:t>
            </w:r>
          </w:p>
        </w:tc>
      </w:tr>
    </w:tbl>
    <w:p w14:paraId="537F2A50" w14:textId="77777777" w:rsidR="00AC7B32" w:rsidRPr="00496F64" w:rsidRDefault="00AC7B32" w:rsidP="00AC7B32">
      <w:pPr>
        <w:spacing w:after="120" w:line="240" w:lineRule="auto"/>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2"/>
        <w:gridCol w:w="3579"/>
        <w:gridCol w:w="3511"/>
      </w:tblGrid>
      <w:tr w:rsidR="00AC7B32" w:rsidRPr="00496F64" w14:paraId="4CD70B9F" w14:textId="77777777" w:rsidTr="00144E7D">
        <w:tc>
          <w:tcPr>
            <w:tcW w:w="1088" w:type="pct"/>
          </w:tcPr>
          <w:p w14:paraId="50871F7F" w14:textId="77777777" w:rsidR="00AC7B32" w:rsidRPr="00496F64" w:rsidRDefault="00AC7B32" w:rsidP="00144E7D">
            <w:pPr>
              <w:spacing w:after="120" w:line="240" w:lineRule="auto"/>
              <w:rPr>
                <w:rFonts w:ascii="Times New Roman" w:hAnsi="Times New Roman" w:cs="Times New Roman"/>
                <w:b/>
                <w:bCs/>
              </w:rPr>
            </w:pPr>
            <w:r w:rsidRPr="00496F64">
              <w:rPr>
                <w:rFonts w:ascii="Times New Roman" w:hAnsi="Times New Roman" w:cs="Times New Roman"/>
                <w:b/>
                <w:bCs/>
              </w:rPr>
              <w:t>Numer reformy</w:t>
            </w:r>
          </w:p>
        </w:tc>
        <w:tc>
          <w:tcPr>
            <w:tcW w:w="3912" w:type="pct"/>
            <w:gridSpan w:val="2"/>
          </w:tcPr>
          <w:p w14:paraId="6AD01C35" w14:textId="77777777" w:rsidR="00AC7B32" w:rsidRPr="00496F64" w:rsidRDefault="00AC7B32" w:rsidP="00144E7D">
            <w:pPr>
              <w:spacing w:after="120" w:line="240" w:lineRule="auto"/>
              <w:rPr>
                <w:rFonts w:ascii="Times New Roman" w:hAnsi="Times New Roman" w:cs="Times New Roman"/>
                <w:b/>
                <w:bCs/>
              </w:rPr>
            </w:pPr>
            <w:r w:rsidRPr="00496F64">
              <w:rPr>
                <w:rFonts w:ascii="Times New Roman" w:hAnsi="Times New Roman" w:cs="Times New Roman"/>
                <w:b/>
                <w:bCs/>
              </w:rPr>
              <w:t>A4.2.</w:t>
            </w:r>
          </w:p>
        </w:tc>
      </w:tr>
      <w:tr w:rsidR="00AC7B32" w:rsidRPr="00496F64" w14:paraId="06271085" w14:textId="77777777" w:rsidTr="00144E7D">
        <w:tc>
          <w:tcPr>
            <w:tcW w:w="1088" w:type="pct"/>
          </w:tcPr>
          <w:p w14:paraId="70E5C207" w14:textId="77777777" w:rsidR="00AC7B32" w:rsidRPr="00496F64" w:rsidRDefault="00AC7B32" w:rsidP="00144E7D">
            <w:pPr>
              <w:spacing w:after="120" w:line="240" w:lineRule="auto"/>
              <w:rPr>
                <w:rFonts w:ascii="Times New Roman" w:hAnsi="Times New Roman" w:cs="Times New Roman"/>
                <w:b/>
                <w:bCs/>
              </w:rPr>
            </w:pPr>
            <w:r w:rsidRPr="00496F64">
              <w:rPr>
                <w:rFonts w:ascii="Times New Roman" w:hAnsi="Times New Roman" w:cs="Times New Roman"/>
                <w:b/>
                <w:bCs/>
              </w:rPr>
              <w:t>Nazwa reformy</w:t>
            </w:r>
          </w:p>
        </w:tc>
        <w:tc>
          <w:tcPr>
            <w:tcW w:w="3912" w:type="pct"/>
            <w:gridSpan w:val="2"/>
          </w:tcPr>
          <w:p w14:paraId="39517CA1" w14:textId="77777777" w:rsidR="00AC7B32" w:rsidRPr="00496F64" w:rsidRDefault="00AC7B32" w:rsidP="00144E7D">
            <w:pPr>
              <w:spacing w:after="120" w:line="240" w:lineRule="auto"/>
              <w:rPr>
                <w:rFonts w:ascii="Times New Roman" w:hAnsi="Times New Roman" w:cs="Times New Roman"/>
                <w:b/>
                <w:bCs/>
              </w:rPr>
            </w:pPr>
            <w:r w:rsidRPr="00496F64">
              <w:rPr>
                <w:rFonts w:ascii="Times New Roman" w:hAnsi="Times New Roman" w:cs="Times New Roman"/>
                <w:b/>
                <w:bCs/>
              </w:rPr>
              <w:t>Reforma na rzecz poprawy sytuacji rodziców na rynku pracy poprzez zwiększenie dostępu do wysokiej jakości opieki nad dziećmi do lat trzech</w:t>
            </w:r>
          </w:p>
        </w:tc>
      </w:tr>
      <w:tr w:rsidR="00AC7B32" w:rsidRPr="00496F64" w14:paraId="33AEAF76" w14:textId="77777777" w:rsidTr="00144E7D">
        <w:tc>
          <w:tcPr>
            <w:tcW w:w="1088" w:type="pct"/>
            <w:shd w:val="clear" w:color="auto" w:fill="auto"/>
          </w:tcPr>
          <w:p w14:paraId="23B1849A"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Rodzaj wprowadzonej zmiany w odniesieniu do CID</w:t>
            </w:r>
          </w:p>
        </w:tc>
        <w:tc>
          <w:tcPr>
            <w:tcW w:w="3912" w:type="pct"/>
            <w:gridSpan w:val="2"/>
            <w:shd w:val="clear" w:color="auto" w:fill="auto"/>
          </w:tcPr>
          <w:p w14:paraId="6C38C9F4" w14:textId="569C1CF8"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 xml:space="preserve">Przesunięcie terminu realizacji kamienia milowego A57G </w:t>
            </w:r>
          </w:p>
          <w:p w14:paraId="59A896D1"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Dodatkowa korekta techniczna w zakresie aktualizacji nazwy resortu odpowiedzialnego</w:t>
            </w:r>
            <w:r>
              <w:rPr>
                <w:rFonts w:ascii="Times New Roman" w:hAnsi="Times New Roman" w:cs="Times New Roman"/>
              </w:rPr>
              <w:t xml:space="preserve"> za realizację reformy</w:t>
            </w:r>
            <w:r w:rsidRPr="00496F64">
              <w:rPr>
                <w:rFonts w:ascii="Times New Roman" w:hAnsi="Times New Roman" w:cs="Times New Roman"/>
              </w:rPr>
              <w:t>.</w:t>
            </w:r>
          </w:p>
        </w:tc>
      </w:tr>
      <w:tr w:rsidR="00AC7B32" w:rsidRPr="00496F64" w14:paraId="646B7BD6" w14:textId="77777777" w:rsidTr="00144E7D">
        <w:tc>
          <w:tcPr>
            <w:tcW w:w="1088" w:type="pct"/>
            <w:shd w:val="clear" w:color="auto" w:fill="auto"/>
          </w:tcPr>
          <w:p w14:paraId="4F8E0C0C"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Podstawa prawna zmiany</w:t>
            </w:r>
          </w:p>
        </w:tc>
        <w:tc>
          <w:tcPr>
            <w:tcW w:w="3912" w:type="pct"/>
            <w:gridSpan w:val="2"/>
            <w:shd w:val="clear" w:color="auto" w:fill="auto"/>
          </w:tcPr>
          <w:p w14:paraId="1770FB75"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art. 21 rozporządzenia Parlamentu Europejskiego i Rady (UE) 2021/241 z dnia 12 lutego 2021 r. ustanawiające Instrument na rzecz Odbudowy i Zwiększania Odporności</w:t>
            </w:r>
          </w:p>
        </w:tc>
      </w:tr>
      <w:tr w:rsidR="00AC7B32" w:rsidRPr="00496F64" w14:paraId="0C4EECA5" w14:textId="77777777" w:rsidTr="00144E7D">
        <w:tc>
          <w:tcPr>
            <w:tcW w:w="1088" w:type="pct"/>
            <w:shd w:val="clear" w:color="auto" w:fill="D9D9D9" w:themeFill="background1" w:themeFillShade="D9"/>
          </w:tcPr>
          <w:p w14:paraId="0A7AB3C3" w14:textId="77777777" w:rsidR="00AC7B32" w:rsidRPr="00496F64" w:rsidRDefault="00AC7B32" w:rsidP="00144E7D">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Modyfikowany element</w:t>
            </w:r>
          </w:p>
        </w:tc>
        <w:tc>
          <w:tcPr>
            <w:tcW w:w="1975" w:type="pct"/>
            <w:shd w:val="clear" w:color="auto" w:fill="D9D9D9" w:themeFill="background1" w:themeFillShade="D9"/>
          </w:tcPr>
          <w:p w14:paraId="204EEC59" w14:textId="77777777" w:rsidR="00AC7B32" w:rsidRPr="00496F64" w:rsidRDefault="00AC7B32" w:rsidP="00144E7D">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Bieżąca wersja</w:t>
            </w:r>
          </w:p>
        </w:tc>
        <w:tc>
          <w:tcPr>
            <w:tcW w:w="1937" w:type="pct"/>
            <w:shd w:val="clear" w:color="auto" w:fill="D9D9D9" w:themeFill="background1" w:themeFillShade="D9"/>
          </w:tcPr>
          <w:p w14:paraId="0ECDE821" w14:textId="77777777" w:rsidR="00AC7B32" w:rsidRPr="00496F64" w:rsidRDefault="00AC7B32" w:rsidP="00144E7D">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Wersja zmieniona</w:t>
            </w:r>
          </w:p>
        </w:tc>
      </w:tr>
      <w:tr w:rsidR="00AC7B32" w:rsidRPr="00496F64" w14:paraId="5C11D16B" w14:textId="77777777" w:rsidTr="00144E7D">
        <w:tc>
          <w:tcPr>
            <w:tcW w:w="1088" w:type="pct"/>
          </w:tcPr>
          <w:p w14:paraId="4AD92153"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Opis komponentu oraz/lub działania (inwestycji/reformy)</w:t>
            </w:r>
          </w:p>
        </w:tc>
        <w:tc>
          <w:tcPr>
            <w:tcW w:w="1975" w:type="pct"/>
          </w:tcPr>
          <w:p w14:paraId="442BB16A" w14:textId="45B2516D" w:rsidR="00B85B09" w:rsidRDefault="00AC7B32" w:rsidP="00B85B09">
            <w:pPr>
              <w:spacing w:after="120" w:line="240" w:lineRule="auto"/>
              <w:rPr>
                <w:rFonts w:ascii="Times New Roman" w:hAnsi="Times New Roman" w:cs="Times New Roman"/>
              </w:rPr>
            </w:pPr>
            <w:r w:rsidRPr="00496F64">
              <w:rPr>
                <w:rFonts w:ascii="Times New Roman" w:hAnsi="Times New Roman" w:cs="Times New Roman"/>
              </w:rPr>
              <w:t>A57G</w:t>
            </w:r>
            <w:r w:rsidR="00A6662A">
              <w:rPr>
                <w:rFonts w:ascii="Times New Roman" w:hAnsi="Times New Roman" w:cs="Times New Roman"/>
              </w:rPr>
              <w:t xml:space="preserve"> </w:t>
            </w:r>
          </w:p>
          <w:p w14:paraId="3A4E5034" w14:textId="07F359A1" w:rsidR="00AC7B32" w:rsidRPr="00596A59" w:rsidRDefault="00B85B09">
            <w:pPr>
              <w:spacing w:after="120" w:line="240" w:lineRule="auto"/>
              <w:rPr>
                <w:rFonts w:ascii="Times New Roman" w:hAnsi="Times New Roman" w:cs="Times New Roman"/>
              </w:rPr>
            </w:pPr>
            <w:r>
              <w:rPr>
                <w:rFonts w:ascii="Times New Roman" w:hAnsi="Times New Roman" w:cs="Times New Roman"/>
              </w:rPr>
              <w:t xml:space="preserve">Termin realizacji: </w:t>
            </w:r>
            <w:r w:rsidR="00AC7B32" w:rsidRPr="00596A59">
              <w:rPr>
                <w:rFonts w:ascii="Times New Roman" w:hAnsi="Times New Roman" w:cs="Times New Roman"/>
              </w:rPr>
              <w:t>II kw. 2023r.</w:t>
            </w:r>
          </w:p>
          <w:p w14:paraId="6967A72A"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Opis kamienia milowego:</w:t>
            </w:r>
          </w:p>
          <w:p w14:paraId="4884F303"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 xml:space="preserve">Niezależna analiza zakresu, w jakim obowiązujące standardy opieki i edukacji dla dzieci w wieku do lat trzech umożliwiają dostęp do wysokiej jakości i przystępnych cenowo systemów wczesnej edukacji i opieki nad dzieckiem. Analiza zostanie przeprowadzona z uwzględnieniem zalecenia Rady z dnia 22 maja 2019 r. w sprawie wysokiej jakości systemów wczesnej edukacji i opieki nad dzieckiem (2019/C 189/02) i zostanie przedstawiona w sprawozdaniu, które </w:t>
            </w:r>
            <w:r w:rsidRPr="00496F64">
              <w:rPr>
                <w:rFonts w:ascii="Times New Roman" w:hAnsi="Times New Roman" w:cs="Times New Roman"/>
              </w:rPr>
              <w:lastRenderedPageBreak/>
              <w:t xml:space="preserve">opublikuje </w:t>
            </w:r>
            <w:r w:rsidRPr="00596A59">
              <w:rPr>
                <w:rFonts w:ascii="Times New Roman" w:hAnsi="Times New Roman" w:cs="Times New Roman"/>
              </w:rPr>
              <w:t>Ministerstwo Rodziny i Polityki Społecznej.</w:t>
            </w:r>
          </w:p>
          <w:p w14:paraId="2F6BA47D" w14:textId="77777777" w:rsidR="00AC7B32" w:rsidRPr="00596A59" w:rsidRDefault="00AC7B32" w:rsidP="00144E7D">
            <w:pPr>
              <w:spacing w:after="120" w:line="240" w:lineRule="auto"/>
              <w:rPr>
                <w:rFonts w:ascii="Times New Roman" w:hAnsi="Times New Roman" w:cs="Times New Roman"/>
              </w:rPr>
            </w:pPr>
            <w:r w:rsidRPr="00496F64">
              <w:rPr>
                <w:rFonts w:ascii="Times New Roman" w:hAnsi="Times New Roman" w:cs="Times New Roman"/>
              </w:rPr>
              <w:t xml:space="preserve">Na podstawie analizy przygotowane zostaną ramy norm jakości w zakresie opieki nad dziećmi, w tym wytyczne w zakresie edukacji i standardy usług opieki nad dziećmi poniżej trzeciego roku życia, które następnie zostaną poddane konsultacjom publicznym i uzgodnione z zainteresowanymi stronami </w:t>
            </w:r>
            <w:r w:rsidRPr="00596A59">
              <w:rPr>
                <w:rFonts w:ascii="Times New Roman" w:hAnsi="Times New Roman" w:cs="Times New Roman"/>
              </w:rPr>
              <w:t>przez Ministerstwo Rodziny i Polityki Społecznej.</w:t>
            </w:r>
          </w:p>
          <w:p w14:paraId="3CE44C0F" w14:textId="15D6D981" w:rsidR="00AC7B32" w:rsidRPr="00496F64" w:rsidRDefault="00AC7B32" w:rsidP="00144E7D">
            <w:pPr>
              <w:spacing w:after="120" w:line="240" w:lineRule="auto"/>
              <w:rPr>
                <w:rFonts w:ascii="Times New Roman" w:hAnsi="Times New Roman" w:cs="Times New Roman"/>
              </w:rPr>
            </w:pPr>
            <w:r w:rsidRPr="00596A59">
              <w:rPr>
                <w:rFonts w:ascii="Times New Roman" w:hAnsi="Times New Roman" w:cs="Times New Roman"/>
              </w:rPr>
              <w:t>Wejście w życie zmiany ustawy z dnia 4 lutego 2011 r. o opiece nad dziećmi do lat trzech nada ramom charakter wiążący dla podmiotów świadczących opiekę nad dziećmi, po uzyskaniu wyników konsultacji i na podstawie uzgodnień Ministerstwa Rodziny i Polityki Społecznej z</w:t>
            </w:r>
            <w:r w:rsidRPr="00496F64">
              <w:rPr>
                <w:rFonts w:ascii="Times New Roman" w:hAnsi="Times New Roman" w:cs="Times New Roman"/>
              </w:rPr>
              <w:t xml:space="preserve"> zainteresowanymi stronami.</w:t>
            </w:r>
          </w:p>
        </w:tc>
        <w:tc>
          <w:tcPr>
            <w:tcW w:w="1937" w:type="pct"/>
          </w:tcPr>
          <w:p w14:paraId="48C54624" w14:textId="59D29386" w:rsidR="00B85B09"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lastRenderedPageBreak/>
              <w:t>A57G</w:t>
            </w:r>
            <w:r w:rsidR="00A6662A">
              <w:rPr>
                <w:rFonts w:ascii="Times New Roman" w:hAnsi="Times New Roman" w:cs="Times New Roman"/>
              </w:rPr>
              <w:t xml:space="preserve"> </w:t>
            </w:r>
          </w:p>
          <w:p w14:paraId="51F209EF" w14:textId="04083854" w:rsidR="00AC7B32" w:rsidRPr="00596A59" w:rsidRDefault="00B85B09">
            <w:pPr>
              <w:spacing w:after="120" w:line="240" w:lineRule="auto"/>
              <w:rPr>
                <w:rFonts w:ascii="Times New Roman" w:hAnsi="Times New Roman" w:cs="Times New Roman"/>
                <w:color w:val="FF0000"/>
              </w:rPr>
            </w:pPr>
            <w:r>
              <w:rPr>
                <w:rFonts w:ascii="Times New Roman" w:hAnsi="Times New Roman" w:cs="Times New Roman"/>
              </w:rPr>
              <w:t xml:space="preserve">Termin realizacji: </w:t>
            </w:r>
            <w:r w:rsidR="00AC7B32" w:rsidRPr="00596A59">
              <w:rPr>
                <w:rFonts w:ascii="Times New Roman" w:hAnsi="Times New Roman" w:cs="Times New Roman"/>
                <w:color w:val="FF0000"/>
              </w:rPr>
              <w:t>IV kw. 2024r.</w:t>
            </w:r>
          </w:p>
          <w:p w14:paraId="4D73FE80"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Opis kamienia milowego:</w:t>
            </w:r>
          </w:p>
          <w:p w14:paraId="75F744D2" w14:textId="77777777" w:rsidR="00AC7B32" w:rsidRPr="00596A59" w:rsidRDefault="00AC7B32" w:rsidP="00144E7D">
            <w:pPr>
              <w:spacing w:after="120" w:line="240" w:lineRule="auto"/>
              <w:rPr>
                <w:rFonts w:ascii="Times New Roman" w:hAnsi="Times New Roman" w:cs="Times New Roman"/>
              </w:rPr>
            </w:pPr>
            <w:r w:rsidRPr="00496F64">
              <w:rPr>
                <w:rFonts w:ascii="Times New Roman" w:hAnsi="Times New Roman" w:cs="Times New Roman"/>
              </w:rPr>
              <w:t xml:space="preserve">Niezależna analiza zakresu, w jakim obowiązujące standardy opieki i edukacji dla dzieci w wieku do lat trzech umożliwiają dostęp do wysokiej jakości i przystępnych cenowo systemów wczesnej edukacji i opieki nad dzieckiem. Analiza zostanie przeprowadzona z uwzględnieniem zalecenia Rady z dnia 22 maja 2019 r. w sprawie wysokiej jakości systemów wczesnej edukacji i opieki nad dzieckiem (2019/C 189/02) i zostanie przedstawiona w sprawozdaniu, które </w:t>
            </w:r>
            <w:r w:rsidRPr="00496F64">
              <w:rPr>
                <w:rFonts w:ascii="Times New Roman" w:hAnsi="Times New Roman" w:cs="Times New Roman"/>
              </w:rPr>
              <w:lastRenderedPageBreak/>
              <w:t xml:space="preserve">opublikuje </w:t>
            </w:r>
            <w:r w:rsidRPr="00596A59">
              <w:rPr>
                <w:rFonts w:ascii="Times New Roman" w:hAnsi="Times New Roman" w:cs="Times New Roman"/>
              </w:rPr>
              <w:t xml:space="preserve">Ministerstwo Rodziny, </w:t>
            </w:r>
            <w:r w:rsidRPr="00596A59">
              <w:rPr>
                <w:rFonts w:ascii="Times New Roman" w:hAnsi="Times New Roman" w:cs="Times New Roman"/>
                <w:color w:val="FF0000"/>
              </w:rPr>
              <w:t>Pracy</w:t>
            </w:r>
            <w:r w:rsidRPr="00596A59">
              <w:rPr>
                <w:rFonts w:ascii="Times New Roman" w:hAnsi="Times New Roman" w:cs="Times New Roman"/>
              </w:rPr>
              <w:t xml:space="preserve"> i Polityki Społecznej.</w:t>
            </w:r>
          </w:p>
          <w:p w14:paraId="2A1821B4" w14:textId="77777777" w:rsidR="00AC7B32" w:rsidRPr="00596A59" w:rsidRDefault="00AC7B32" w:rsidP="00144E7D">
            <w:pPr>
              <w:spacing w:after="120" w:line="240" w:lineRule="auto"/>
              <w:rPr>
                <w:rFonts w:ascii="Times New Roman" w:hAnsi="Times New Roman" w:cs="Times New Roman"/>
              </w:rPr>
            </w:pPr>
            <w:r w:rsidRPr="00596A59">
              <w:rPr>
                <w:rFonts w:ascii="Times New Roman" w:hAnsi="Times New Roman" w:cs="Times New Roman"/>
              </w:rPr>
              <w:t xml:space="preserve">Na podstawie analizy przygotowane zostaną ramy norm jakości w zakresie opieki nad dziećmi, w tym wytyczne w zakresie edukacji i standardy usług opieki nad dziećmi poniżej trzeciego roku życia, które następnie zostaną poddane konsultacjom publicznym i uzgodnione z zainteresowanymi stronami przez Ministerstwo Rodziny, </w:t>
            </w:r>
            <w:r w:rsidRPr="00596A59">
              <w:rPr>
                <w:rFonts w:ascii="Times New Roman" w:hAnsi="Times New Roman" w:cs="Times New Roman"/>
                <w:color w:val="FF0000"/>
              </w:rPr>
              <w:t>Pracy</w:t>
            </w:r>
            <w:r w:rsidRPr="00596A59">
              <w:rPr>
                <w:rFonts w:ascii="Times New Roman" w:hAnsi="Times New Roman" w:cs="Times New Roman"/>
              </w:rPr>
              <w:t xml:space="preserve"> i Polityki Społecznej.</w:t>
            </w:r>
          </w:p>
          <w:p w14:paraId="7AD1C224" w14:textId="77777777" w:rsidR="00AC7B32" w:rsidRPr="00496F64" w:rsidRDefault="00AC7B32" w:rsidP="00144E7D">
            <w:pPr>
              <w:spacing w:after="120" w:line="240" w:lineRule="auto"/>
              <w:rPr>
                <w:rFonts w:ascii="Times New Roman" w:hAnsi="Times New Roman" w:cs="Times New Roman"/>
              </w:rPr>
            </w:pPr>
            <w:r w:rsidRPr="00596A59">
              <w:rPr>
                <w:rFonts w:ascii="Times New Roman" w:hAnsi="Times New Roman" w:cs="Times New Roman"/>
              </w:rPr>
              <w:t xml:space="preserve">Wejście w życie zmiany ustawy z dnia 4 lutego 2011 r. o opiece nad dziećmi do lat trzech nada ramom charakter wiążący dla podmiotów świadczących opiekę nad dziećmi, po uzyskaniu wyników konsultacji i na podstawie uzgodnień Ministerstwa Rodziny, </w:t>
            </w:r>
            <w:r w:rsidRPr="00596A59">
              <w:rPr>
                <w:rFonts w:ascii="Times New Roman" w:hAnsi="Times New Roman" w:cs="Times New Roman"/>
                <w:color w:val="FF0000"/>
              </w:rPr>
              <w:t>Pracy</w:t>
            </w:r>
            <w:r w:rsidRPr="00596A59">
              <w:rPr>
                <w:rFonts w:ascii="Times New Roman" w:hAnsi="Times New Roman" w:cs="Times New Roman"/>
              </w:rPr>
              <w:t xml:space="preserve"> i Polityki Społecznej z zainteresowanymi stronami.</w:t>
            </w:r>
          </w:p>
        </w:tc>
      </w:tr>
      <w:tr w:rsidR="00AC7B32" w:rsidRPr="00496F64" w14:paraId="4A14E930" w14:textId="77777777" w:rsidTr="00144E7D">
        <w:tc>
          <w:tcPr>
            <w:tcW w:w="1088" w:type="pct"/>
          </w:tcPr>
          <w:p w14:paraId="329BD6E8"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lastRenderedPageBreak/>
              <w:t>Uzasadnienie</w:t>
            </w:r>
          </w:p>
        </w:tc>
        <w:tc>
          <w:tcPr>
            <w:tcW w:w="3912" w:type="pct"/>
            <w:gridSpan w:val="2"/>
          </w:tcPr>
          <w:p w14:paraId="1F903E60"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Zmiany aktów prawnych w zakresie objętym kamieniem milowym weszły w życie, jednak z dotychczasowych ustaleń z K</w:t>
            </w:r>
            <w:r>
              <w:rPr>
                <w:rFonts w:ascii="Times New Roman" w:hAnsi="Times New Roman" w:cs="Times New Roman"/>
              </w:rPr>
              <w:t>omisją Europejską</w:t>
            </w:r>
            <w:r w:rsidRPr="00496F64">
              <w:rPr>
                <w:rFonts w:ascii="Times New Roman" w:hAnsi="Times New Roman" w:cs="Times New Roman"/>
              </w:rPr>
              <w:t xml:space="preserve"> wynika, że nie są one wystarczające do uznania kamienia A57G za zrealizowany ze względu na faktyczny brak obligatoryjności wprowadzanych rozwiązań. </w:t>
            </w:r>
          </w:p>
          <w:p w14:paraId="7BB5B646" w14:textId="456EF9F5"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 xml:space="preserve">Strona polska wyraża gotowość </w:t>
            </w:r>
            <w:r w:rsidR="003E08A1">
              <w:rPr>
                <w:rFonts w:ascii="Times New Roman" w:hAnsi="Times New Roman" w:cs="Times New Roman"/>
              </w:rPr>
              <w:t xml:space="preserve">do </w:t>
            </w:r>
            <w:r w:rsidRPr="00496F64">
              <w:rPr>
                <w:rFonts w:ascii="Times New Roman" w:hAnsi="Times New Roman" w:cs="Times New Roman"/>
              </w:rPr>
              <w:t>wdrożenia obligatoryjnych standardów opieki nad dziećmi do lat 3, jednak czas pozostały na wykazanie wdrożenia kamienia milowego A57G w trzecim wniosku o płatność jest zbyt krótki, aby zrealizować przyjęte założenia</w:t>
            </w:r>
            <w:r>
              <w:rPr>
                <w:rFonts w:ascii="Times New Roman" w:hAnsi="Times New Roman" w:cs="Times New Roman"/>
              </w:rPr>
              <w:t>.</w:t>
            </w:r>
            <w:r w:rsidRPr="00496F64">
              <w:rPr>
                <w:rFonts w:ascii="Times New Roman" w:hAnsi="Times New Roman" w:cs="Times New Roman"/>
              </w:rPr>
              <w:t xml:space="preserve"> </w:t>
            </w:r>
          </w:p>
          <w:p w14:paraId="051E8DA0"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 xml:space="preserve">W związku z powyższym proponuje się wydłużenie okresu realizacji kamienia milowego A57G do końca 2024 r. </w:t>
            </w:r>
          </w:p>
          <w:p w14:paraId="002BDFB6"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Należy zauważyć, że w przypadku Polski struktura właścicielska instytucji opieki nad dziećmi do lat 3 charakteryzuje się wysokim udziałem podmiotów prywatnych. Na koniec 2022 r. udział publicznych (gminnych) żłobków i klubów dziecięcych wynosił odpowiednio 26% i 18%. Natomiast w przypadku dziennych opiekunów udział podmiotów zatrudnionych przez gminę wynosił 5%.</w:t>
            </w:r>
          </w:p>
          <w:p w14:paraId="2E31FF84"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Uwarunkowania te powodują, że zobligowanie do powszechnego wprowadzenia dodatkowych warunków realizacji działalności polegającej na świadczeniu opieki będzie się wiązać z dodatkowymi kosztami oraz może zniechęcać do dalszego prowadzenia lub zakładania działalności w tym obszarze. To z kolei przełoży się na dostępność miejsc opieki, której zwiększenie jest teraz dla Polski jednym z działań priorytetowych wobec realizacji Programu Maluch+ i potrzeb w tym obszarze.</w:t>
            </w:r>
          </w:p>
          <w:p w14:paraId="4F243FD9"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Ponadto kadry zatrudnione w instytucjach bądź tworzące instytucje nie są przeszkolone w zakresie wymogów wprowadzonych w standardach. Planuje się działania w tym obszarze w celu przygotowania instytucji opieki do wdrażania przyjętych standardów.</w:t>
            </w:r>
          </w:p>
          <w:p w14:paraId="3CB24857" w14:textId="36D3ACA8"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 xml:space="preserve">W celu uniknięcia negatywnych skutków zbyt szybkiego wprowadzenia regulacji objętych kamieniem A57G przy nieprzygotowanym dostatecznie </w:t>
            </w:r>
            <w:r w:rsidRPr="00496F64">
              <w:rPr>
                <w:rFonts w:ascii="Times New Roman" w:hAnsi="Times New Roman" w:cs="Times New Roman"/>
              </w:rPr>
              <w:lastRenderedPageBreak/>
              <w:t xml:space="preserve">systemie wczesnej edukacji i opieki strona polska zakłada, że nowelizacja ustawy o opiece nad dziećmi do lat 3, która zostałaby przyjęta do końca 2024 r., będzie zakładać wydłużone vacatio legis na wejście w życie przepisów wprowadzających obligatoryjne standardy opieki. </w:t>
            </w:r>
            <w:r>
              <w:rPr>
                <w:rFonts w:ascii="Times New Roman" w:hAnsi="Times New Roman" w:cs="Times New Roman"/>
              </w:rPr>
              <w:t>P</w:t>
            </w:r>
            <w:r w:rsidRPr="00496F64">
              <w:rPr>
                <w:rFonts w:ascii="Times New Roman" w:hAnsi="Times New Roman" w:cs="Times New Roman"/>
              </w:rPr>
              <w:t>owinno być to 12 miesięcy od przyjęcia ustawy. Takie rozwiązanie umożliwi osiągni</w:t>
            </w:r>
            <w:r w:rsidR="003E08A1">
              <w:rPr>
                <w:rFonts w:ascii="Times New Roman" w:hAnsi="Times New Roman" w:cs="Times New Roman"/>
              </w:rPr>
              <w:t>ę</w:t>
            </w:r>
            <w:r w:rsidRPr="00496F64">
              <w:rPr>
                <w:rFonts w:ascii="Times New Roman" w:hAnsi="Times New Roman" w:cs="Times New Roman"/>
              </w:rPr>
              <w:t>cie kamienia milowego do końca 2024 r. przy faktycznym wejściu w życie przedmiotowych standardów od 1 stycznia 2026 r. Umożliwi to przygotowanie instytucji opieki do wdrożenia standardów, a wcześniej – na skutek projektowanych zmian prawnych – doprowadzi do sytuacji, w której zapewniona zostanie dostępność terytorialna i finansowa instytucji opieki w każdej gminie. Umożliwi to również dostosowanie się do nowego porządku prawnego podmiotów prywatnych, które stanowią większość instytucji opieki nad dziećmi do lat 3 w Polsce, a jednocześnie nie zniechęci do tworzenia nowych miejsc opieki w kulminacyjnym etapie wdrażania programu Maluch +</w:t>
            </w:r>
            <w:r>
              <w:rPr>
                <w:rFonts w:ascii="Times New Roman" w:hAnsi="Times New Roman" w:cs="Times New Roman"/>
              </w:rPr>
              <w:t xml:space="preserve"> (planowana nowa nazwa </w:t>
            </w:r>
            <w:r w:rsidRPr="00B10D13">
              <w:rPr>
                <w:rFonts w:ascii="Times New Roman" w:hAnsi="Times New Roman" w:cs="Times New Roman"/>
              </w:rPr>
              <w:t>programu</w:t>
            </w:r>
            <w:r>
              <w:rPr>
                <w:rFonts w:ascii="Times New Roman" w:hAnsi="Times New Roman" w:cs="Times New Roman"/>
              </w:rPr>
              <w:t xml:space="preserve"> to</w:t>
            </w:r>
            <w:r w:rsidRPr="00B10D13">
              <w:rPr>
                <w:rFonts w:ascii="Times New Roman" w:hAnsi="Times New Roman" w:cs="Times New Roman"/>
              </w:rPr>
              <w:t xml:space="preserve"> „</w:t>
            </w:r>
            <w:r w:rsidR="008A5D4B">
              <w:rPr>
                <w:rFonts w:ascii="Times New Roman" w:hAnsi="Times New Roman" w:cs="Times New Roman"/>
              </w:rPr>
              <w:t>Aktywny Maluch</w:t>
            </w:r>
            <w:r w:rsidRPr="00B10D13">
              <w:rPr>
                <w:rFonts w:ascii="Times New Roman" w:hAnsi="Times New Roman" w:cs="Times New Roman"/>
              </w:rPr>
              <w:t>”</w:t>
            </w:r>
            <w:r>
              <w:rPr>
                <w:rFonts w:ascii="Times New Roman" w:hAnsi="Times New Roman" w:cs="Times New Roman"/>
              </w:rPr>
              <w:t>)</w:t>
            </w:r>
            <w:r w:rsidRPr="00496F64">
              <w:rPr>
                <w:rFonts w:ascii="Times New Roman" w:hAnsi="Times New Roman" w:cs="Times New Roman"/>
              </w:rPr>
              <w:t>.</w:t>
            </w:r>
          </w:p>
          <w:p w14:paraId="1E8E09A6"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Ponadto w opisie kamienia milowego zaktualizowano nazwę resortu.</w:t>
            </w:r>
          </w:p>
        </w:tc>
      </w:tr>
      <w:tr w:rsidR="00AC7B32" w:rsidRPr="00496F64" w14:paraId="711253E9" w14:textId="77777777" w:rsidTr="00144E7D">
        <w:tc>
          <w:tcPr>
            <w:tcW w:w="1088" w:type="pct"/>
          </w:tcPr>
          <w:p w14:paraId="1F42C602"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lastRenderedPageBreak/>
              <w:t>Szacowany koszt</w:t>
            </w:r>
          </w:p>
        </w:tc>
        <w:tc>
          <w:tcPr>
            <w:tcW w:w="3912" w:type="pct"/>
            <w:gridSpan w:val="2"/>
          </w:tcPr>
          <w:p w14:paraId="5FB2FFF5" w14:textId="71936AE4" w:rsidR="00AC7B32" w:rsidRPr="00496F64" w:rsidRDefault="003E08A1" w:rsidP="00144E7D">
            <w:pPr>
              <w:spacing w:after="120" w:line="240" w:lineRule="auto"/>
              <w:rPr>
                <w:rFonts w:ascii="Times New Roman" w:hAnsi="Times New Roman" w:cs="Times New Roman"/>
              </w:rPr>
            </w:pPr>
            <w:r w:rsidRPr="00DC33EA">
              <w:rPr>
                <w:rFonts w:ascii="Times New Roman" w:eastAsia="Times New Roman" w:hAnsi="Times New Roman" w:cs="Calibri"/>
              </w:rPr>
              <w:t>Zmiana nie ma wpływu na szacowany koszt</w:t>
            </w:r>
            <w:r w:rsidDel="003E08A1">
              <w:rPr>
                <w:rFonts w:ascii="Times New Roman" w:hAnsi="Times New Roman" w:cs="Times New Roman"/>
              </w:rPr>
              <w:t xml:space="preserve"> </w:t>
            </w:r>
          </w:p>
        </w:tc>
      </w:tr>
      <w:tr w:rsidR="00AC7B32" w:rsidRPr="00496F64" w14:paraId="22ACD559" w14:textId="77777777" w:rsidTr="00144E7D">
        <w:tc>
          <w:tcPr>
            <w:tcW w:w="1088" w:type="pct"/>
          </w:tcPr>
          <w:p w14:paraId="6729FFC9"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 xml:space="preserve">Klimatyczny i cyfrowy </w:t>
            </w:r>
            <w:proofErr w:type="spellStart"/>
            <w:r w:rsidRPr="00496F64">
              <w:rPr>
                <w:rFonts w:ascii="Times New Roman" w:hAnsi="Times New Roman" w:cs="Times New Roman"/>
              </w:rPr>
              <w:t>tagging</w:t>
            </w:r>
            <w:proofErr w:type="spellEnd"/>
          </w:p>
        </w:tc>
        <w:tc>
          <w:tcPr>
            <w:tcW w:w="3912" w:type="pct"/>
            <w:gridSpan w:val="2"/>
          </w:tcPr>
          <w:p w14:paraId="5146C2D2" w14:textId="3F78A011" w:rsidR="00AC7B32" w:rsidRPr="00496F64" w:rsidRDefault="003E08A1" w:rsidP="00144E7D">
            <w:pPr>
              <w:spacing w:after="120" w:line="240" w:lineRule="auto"/>
              <w:rPr>
                <w:rFonts w:ascii="Times New Roman" w:hAnsi="Times New Roman" w:cs="Times New Roman"/>
              </w:rPr>
            </w:pPr>
            <w:r w:rsidRPr="00DC33EA">
              <w:rPr>
                <w:rFonts w:ascii="Times New Roman" w:eastAsia="Times New Roman" w:hAnsi="Times New Roman" w:cs="Calibri"/>
              </w:rPr>
              <w:t xml:space="preserve">Zmiana nie ma wpływu na </w:t>
            </w:r>
            <w:proofErr w:type="spellStart"/>
            <w:r w:rsidRPr="00DC33EA">
              <w:rPr>
                <w:rFonts w:ascii="Times New Roman" w:eastAsia="Times New Roman" w:hAnsi="Times New Roman" w:cs="Calibri"/>
              </w:rPr>
              <w:t>tagging</w:t>
            </w:r>
            <w:proofErr w:type="spellEnd"/>
            <w:r w:rsidRPr="00DC33EA">
              <w:rPr>
                <w:rFonts w:ascii="Times New Roman" w:eastAsia="Times New Roman" w:hAnsi="Times New Roman" w:cs="Calibri"/>
              </w:rPr>
              <w:t xml:space="preserve"> klimatyczny i cyfrowy</w:t>
            </w:r>
            <w:r w:rsidRPr="00496F64" w:rsidDel="003E08A1">
              <w:rPr>
                <w:rFonts w:ascii="Times New Roman" w:hAnsi="Times New Roman" w:cs="Times New Roman"/>
              </w:rPr>
              <w:t xml:space="preserve"> </w:t>
            </w:r>
          </w:p>
        </w:tc>
      </w:tr>
      <w:tr w:rsidR="00AC7B32" w:rsidRPr="00496F64" w14:paraId="63E4892F" w14:textId="77777777" w:rsidTr="00144E7D">
        <w:tc>
          <w:tcPr>
            <w:tcW w:w="1088" w:type="pct"/>
          </w:tcPr>
          <w:p w14:paraId="5B816FC0" w14:textId="77777777" w:rsidR="00AC7B32" w:rsidRPr="00496F64" w:rsidRDefault="00AC7B32" w:rsidP="00144E7D">
            <w:pPr>
              <w:spacing w:after="120" w:line="240" w:lineRule="auto"/>
              <w:rPr>
                <w:rFonts w:ascii="Times New Roman" w:hAnsi="Times New Roman" w:cs="Times New Roman"/>
              </w:rPr>
            </w:pPr>
            <w:r w:rsidRPr="00496F64">
              <w:rPr>
                <w:rFonts w:ascii="Times New Roman" w:hAnsi="Times New Roman" w:cs="Times New Roman"/>
              </w:rPr>
              <w:t xml:space="preserve">Ocena DNSH </w:t>
            </w:r>
          </w:p>
        </w:tc>
        <w:tc>
          <w:tcPr>
            <w:tcW w:w="3912" w:type="pct"/>
            <w:gridSpan w:val="2"/>
          </w:tcPr>
          <w:p w14:paraId="0FA91057" w14:textId="11A1941B" w:rsidR="00AC7B32" w:rsidRPr="00496F64" w:rsidRDefault="003E08A1" w:rsidP="00144E7D">
            <w:pPr>
              <w:spacing w:after="120" w:line="240" w:lineRule="auto"/>
              <w:rPr>
                <w:rFonts w:ascii="Times New Roman" w:hAnsi="Times New Roman" w:cs="Times New Roman"/>
              </w:rPr>
            </w:pPr>
            <w:r w:rsidRPr="00DC33EA">
              <w:rPr>
                <w:rFonts w:ascii="Times New Roman" w:eastAsia="Times New Roman" w:hAnsi="Times New Roman" w:cs="Calibri"/>
              </w:rPr>
              <w:t>Zmiana nie ma wpływu na DNSH</w:t>
            </w:r>
            <w:r w:rsidRPr="00496F64" w:rsidDel="003E08A1">
              <w:rPr>
                <w:rFonts w:ascii="Times New Roman" w:hAnsi="Times New Roman" w:cs="Times New Roman"/>
              </w:rPr>
              <w:t xml:space="preserve"> </w:t>
            </w:r>
          </w:p>
        </w:tc>
      </w:tr>
    </w:tbl>
    <w:p w14:paraId="7C38555A" w14:textId="77777777" w:rsidR="00AC7B32" w:rsidRPr="00496F64" w:rsidRDefault="00AC7B32" w:rsidP="00EB6F14">
      <w:pPr>
        <w:spacing w:after="120" w:line="240" w:lineRule="auto"/>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2"/>
        <w:gridCol w:w="3438"/>
        <w:gridCol w:w="3652"/>
      </w:tblGrid>
      <w:tr w:rsidR="00272A8B" w:rsidRPr="00496F64" w14:paraId="1B4425D4" w14:textId="77777777" w:rsidTr="00044CAD">
        <w:tc>
          <w:tcPr>
            <w:tcW w:w="1088" w:type="pct"/>
          </w:tcPr>
          <w:p w14:paraId="2F88A8D2" w14:textId="77777777" w:rsidR="00272A8B" w:rsidRPr="00496F64" w:rsidRDefault="00272A8B" w:rsidP="00044CAD">
            <w:pPr>
              <w:spacing w:after="120" w:line="240" w:lineRule="auto"/>
              <w:rPr>
                <w:rFonts w:ascii="Times New Roman" w:hAnsi="Times New Roman" w:cs="Times New Roman"/>
                <w:b/>
                <w:bCs/>
              </w:rPr>
            </w:pPr>
            <w:r w:rsidRPr="00496F64">
              <w:rPr>
                <w:rFonts w:ascii="Times New Roman" w:hAnsi="Times New Roman" w:cs="Times New Roman"/>
                <w:b/>
                <w:bCs/>
              </w:rPr>
              <w:t>Numer reformy</w:t>
            </w:r>
          </w:p>
        </w:tc>
        <w:tc>
          <w:tcPr>
            <w:tcW w:w="3912" w:type="pct"/>
            <w:gridSpan w:val="2"/>
          </w:tcPr>
          <w:p w14:paraId="28C150C4" w14:textId="4A836850" w:rsidR="00272A8B" w:rsidRPr="00496F64" w:rsidRDefault="00272A8B" w:rsidP="00044CAD">
            <w:pPr>
              <w:spacing w:after="120" w:line="240" w:lineRule="auto"/>
              <w:rPr>
                <w:rFonts w:ascii="Times New Roman" w:hAnsi="Times New Roman" w:cs="Times New Roman"/>
                <w:b/>
                <w:bCs/>
              </w:rPr>
            </w:pPr>
            <w:r w:rsidRPr="00496F64">
              <w:rPr>
                <w:rFonts w:ascii="Times New Roman" w:hAnsi="Times New Roman" w:cs="Times New Roman"/>
                <w:b/>
                <w:bCs/>
              </w:rPr>
              <w:t>A4.6</w:t>
            </w:r>
            <w:r w:rsidR="00496F64" w:rsidRPr="00496F64">
              <w:rPr>
                <w:rFonts w:ascii="Times New Roman" w:hAnsi="Times New Roman" w:cs="Times New Roman"/>
                <w:b/>
                <w:bCs/>
              </w:rPr>
              <w:t>.</w:t>
            </w:r>
          </w:p>
        </w:tc>
      </w:tr>
      <w:tr w:rsidR="00272A8B" w:rsidRPr="00496F64" w14:paraId="61890183" w14:textId="77777777" w:rsidTr="00044CAD">
        <w:tc>
          <w:tcPr>
            <w:tcW w:w="1088" w:type="pct"/>
          </w:tcPr>
          <w:p w14:paraId="206BF974" w14:textId="77777777" w:rsidR="00272A8B" w:rsidRPr="00496F64" w:rsidRDefault="00272A8B" w:rsidP="00044CAD">
            <w:pPr>
              <w:spacing w:after="120" w:line="240" w:lineRule="auto"/>
              <w:rPr>
                <w:rFonts w:ascii="Times New Roman" w:hAnsi="Times New Roman" w:cs="Times New Roman"/>
                <w:b/>
                <w:bCs/>
              </w:rPr>
            </w:pPr>
            <w:r w:rsidRPr="00496F64">
              <w:rPr>
                <w:rFonts w:ascii="Times New Roman" w:hAnsi="Times New Roman" w:cs="Times New Roman"/>
                <w:b/>
                <w:bCs/>
              </w:rPr>
              <w:t>Nazwa reformy</w:t>
            </w:r>
          </w:p>
        </w:tc>
        <w:tc>
          <w:tcPr>
            <w:tcW w:w="3912" w:type="pct"/>
            <w:gridSpan w:val="2"/>
          </w:tcPr>
          <w:p w14:paraId="694D9CE6" w14:textId="77777777" w:rsidR="00272A8B" w:rsidRPr="00496F64" w:rsidRDefault="00272A8B" w:rsidP="00044CAD">
            <w:pPr>
              <w:spacing w:after="120" w:line="240" w:lineRule="auto"/>
              <w:rPr>
                <w:rFonts w:ascii="Times New Roman" w:hAnsi="Times New Roman" w:cs="Times New Roman"/>
                <w:b/>
                <w:bCs/>
              </w:rPr>
            </w:pPr>
            <w:r w:rsidRPr="00496F64">
              <w:rPr>
                <w:rFonts w:ascii="Times New Roman" w:hAnsi="Times New Roman" w:cs="Times New Roman"/>
                <w:b/>
                <w:bCs/>
              </w:rPr>
              <w:t xml:space="preserve">Wzrost uczestnictwa niektórych grup w rynku pracy poprzez rozwój opieki długoterminowej </w:t>
            </w:r>
          </w:p>
        </w:tc>
      </w:tr>
      <w:tr w:rsidR="00272A8B" w:rsidRPr="00496F64" w14:paraId="0F7551BA" w14:textId="77777777" w:rsidTr="00044CAD">
        <w:tc>
          <w:tcPr>
            <w:tcW w:w="1088" w:type="pct"/>
            <w:shd w:val="clear" w:color="auto" w:fill="auto"/>
          </w:tcPr>
          <w:p w14:paraId="600BF640" w14:textId="77777777" w:rsidR="00272A8B" w:rsidRPr="00496F64" w:rsidRDefault="00272A8B" w:rsidP="00044CAD">
            <w:pPr>
              <w:spacing w:after="120" w:line="240" w:lineRule="auto"/>
              <w:rPr>
                <w:rFonts w:ascii="Times New Roman" w:hAnsi="Times New Roman" w:cs="Times New Roman"/>
              </w:rPr>
            </w:pPr>
            <w:r w:rsidRPr="00496F64">
              <w:rPr>
                <w:rFonts w:ascii="Times New Roman" w:hAnsi="Times New Roman" w:cs="Times New Roman"/>
              </w:rPr>
              <w:t>Rodzaj wprowadzonej zmiany w odniesieniu do CID</w:t>
            </w:r>
          </w:p>
        </w:tc>
        <w:tc>
          <w:tcPr>
            <w:tcW w:w="3912" w:type="pct"/>
            <w:gridSpan w:val="2"/>
            <w:shd w:val="clear" w:color="auto" w:fill="auto"/>
          </w:tcPr>
          <w:p w14:paraId="45F2D229" w14:textId="62420DBD" w:rsidR="00272A8B" w:rsidRPr="00496F64" w:rsidRDefault="002B4CE1" w:rsidP="00044CAD">
            <w:pPr>
              <w:spacing w:after="120" w:line="240" w:lineRule="auto"/>
              <w:rPr>
                <w:rFonts w:ascii="Times New Roman" w:hAnsi="Times New Roman" w:cs="Times New Roman"/>
              </w:rPr>
            </w:pPr>
            <w:r>
              <w:rPr>
                <w:rFonts w:ascii="Times New Roman" w:hAnsi="Times New Roman" w:cs="Times New Roman"/>
              </w:rPr>
              <w:t xml:space="preserve">Modyfikacja opisu </w:t>
            </w:r>
            <w:r w:rsidR="0055266C" w:rsidRPr="00496F64">
              <w:rPr>
                <w:rFonts w:ascii="Times New Roman" w:hAnsi="Times New Roman" w:cs="Times New Roman"/>
              </w:rPr>
              <w:t>kamienia milowego A70G (zgodnie z kamieniem milowym A69G)</w:t>
            </w:r>
            <w:r w:rsidR="0055266C">
              <w:rPr>
                <w:rFonts w:ascii="Times New Roman" w:hAnsi="Times New Roman" w:cs="Times New Roman"/>
              </w:rPr>
              <w:t xml:space="preserve"> i </w:t>
            </w:r>
            <w:r>
              <w:rPr>
                <w:rFonts w:ascii="Times New Roman" w:hAnsi="Times New Roman" w:cs="Times New Roman"/>
              </w:rPr>
              <w:t>przesunięcie</w:t>
            </w:r>
            <w:r w:rsidR="0055266C">
              <w:rPr>
                <w:rFonts w:ascii="Times New Roman" w:hAnsi="Times New Roman" w:cs="Times New Roman"/>
              </w:rPr>
              <w:t xml:space="preserve"> terminu</w:t>
            </w:r>
            <w:r>
              <w:rPr>
                <w:rFonts w:ascii="Times New Roman" w:hAnsi="Times New Roman" w:cs="Times New Roman"/>
              </w:rPr>
              <w:t xml:space="preserve"> jego realizacji</w:t>
            </w:r>
          </w:p>
        </w:tc>
      </w:tr>
      <w:tr w:rsidR="00272A8B" w:rsidRPr="00496F64" w14:paraId="13041F9B" w14:textId="77777777" w:rsidTr="00044CAD">
        <w:tc>
          <w:tcPr>
            <w:tcW w:w="1088" w:type="pct"/>
            <w:shd w:val="clear" w:color="auto" w:fill="auto"/>
          </w:tcPr>
          <w:p w14:paraId="22CD1674" w14:textId="77777777" w:rsidR="00272A8B" w:rsidRPr="00496F64" w:rsidRDefault="00272A8B" w:rsidP="00044CAD">
            <w:pPr>
              <w:spacing w:after="120" w:line="240" w:lineRule="auto"/>
              <w:rPr>
                <w:rFonts w:ascii="Times New Roman" w:hAnsi="Times New Roman" w:cs="Times New Roman"/>
              </w:rPr>
            </w:pPr>
            <w:r w:rsidRPr="00496F64">
              <w:rPr>
                <w:rFonts w:ascii="Times New Roman" w:hAnsi="Times New Roman" w:cs="Times New Roman"/>
              </w:rPr>
              <w:t>Podstawa prawna zmiany</w:t>
            </w:r>
          </w:p>
        </w:tc>
        <w:tc>
          <w:tcPr>
            <w:tcW w:w="3912" w:type="pct"/>
            <w:gridSpan w:val="2"/>
            <w:shd w:val="clear" w:color="auto" w:fill="auto"/>
          </w:tcPr>
          <w:p w14:paraId="30E3175D" w14:textId="77777777" w:rsidR="00272A8B" w:rsidRPr="00496F64" w:rsidRDefault="00272A8B" w:rsidP="00044CAD">
            <w:pPr>
              <w:spacing w:after="120" w:line="240" w:lineRule="auto"/>
              <w:rPr>
                <w:rFonts w:ascii="Times New Roman" w:hAnsi="Times New Roman" w:cs="Times New Roman"/>
              </w:rPr>
            </w:pPr>
            <w:r w:rsidRPr="00496F64">
              <w:rPr>
                <w:rFonts w:ascii="Times New Roman" w:hAnsi="Times New Roman" w:cs="Times New Roman"/>
              </w:rPr>
              <w:t>art. 21 rozporządzenia Parlamentu Europejskiego i Rady (UE) 2021/241 z dnia 12 lutego 2021 r. ustanawiające Instrument na rzecz Odbudowy i Zwiększania Odporności</w:t>
            </w:r>
          </w:p>
        </w:tc>
      </w:tr>
      <w:tr w:rsidR="00272A8B" w:rsidRPr="00496F64" w14:paraId="795A3799" w14:textId="77777777" w:rsidTr="00044CAD">
        <w:tc>
          <w:tcPr>
            <w:tcW w:w="1088" w:type="pct"/>
            <w:shd w:val="clear" w:color="auto" w:fill="D9D9D9" w:themeFill="background1" w:themeFillShade="D9"/>
          </w:tcPr>
          <w:p w14:paraId="203D4877" w14:textId="77777777" w:rsidR="00272A8B" w:rsidRPr="00496F64" w:rsidRDefault="00272A8B" w:rsidP="00044CAD">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Modyfikowany element</w:t>
            </w:r>
          </w:p>
        </w:tc>
        <w:tc>
          <w:tcPr>
            <w:tcW w:w="1897" w:type="pct"/>
            <w:shd w:val="clear" w:color="auto" w:fill="D9D9D9" w:themeFill="background1" w:themeFillShade="D9"/>
          </w:tcPr>
          <w:p w14:paraId="6A11B7D2" w14:textId="77777777" w:rsidR="00272A8B" w:rsidRPr="00496F64" w:rsidRDefault="00272A8B" w:rsidP="00044CAD">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Bieżąca wersja</w:t>
            </w:r>
          </w:p>
        </w:tc>
        <w:tc>
          <w:tcPr>
            <w:tcW w:w="2015" w:type="pct"/>
            <w:shd w:val="clear" w:color="auto" w:fill="D9D9D9" w:themeFill="background1" w:themeFillShade="D9"/>
          </w:tcPr>
          <w:p w14:paraId="44C5F524" w14:textId="77777777" w:rsidR="00272A8B" w:rsidRPr="00496F64" w:rsidRDefault="00272A8B" w:rsidP="00044CAD">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Wersja zmieniona</w:t>
            </w:r>
          </w:p>
        </w:tc>
      </w:tr>
      <w:tr w:rsidR="00272A8B" w:rsidRPr="002F2DFC" w14:paraId="6B71A303" w14:textId="77777777" w:rsidTr="00044CAD">
        <w:tc>
          <w:tcPr>
            <w:tcW w:w="1088" w:type="pct"/>
          </w:tcPr>
          <w:p w14:paraId="1513DA67" w14:textId="77777777" w:rsidR="00272A8B" w:rsidRPr="00496F64" w:rsidRDefault="00272A8B" w:rsidP="00044CAD">
            <w:pPr>
              <w:spacing w:after="120" w:line="240" w:lineRule="auto"/>
              <w:rPr>
                <w:rFonts w:ascii="Times New Roman" w:hAnsi="Times New Roman" w:cs="Times New Roman"/>
              </w:rPr>
            </w:pPr>
            <w:r w:rsidRPr="00496F64">
              <w:rPr>
                <w:rFonts w:ascii="Times New Roman" w:hAnsi="Times New Roman" w:cs="Times New Roman"/>
              </w:rPr>
              <w:t>Opis komponentu oraz/lub działania (inwestycji/reformy)</w:t>
            </w:r>
          </w:p>
        </w:tc>
        <w:tc>
          <w:tcPr>
            <w:tcW w:w="1897" w:type="pct"/>
          </w:tcPr>
          <w:p w14:paraId="35AE5199" w14:textId="77777777" w:rsidR="00272A8B" w:rsidRPr="00496F64" w:rsidRDefault="00272A8B" w:rsidP="00044CAD">
            <w:pPr>
              <w:spacing w:after="120" w:line="240" w:lineRule="auto"/>
              <w:rPr>
                <w:rFonts w:ascii="Times New Roman" w:hAnsi="Times New Roman" w:cs="Times New Roman"/>
              </w:rPr>
            </w:pPr>
            <w:r w:rsidRPr="00496F64">
              <w:rPr>
                <w:rFonts w:ascii="Times New Roman" w:hAnsi="Times New Roman" w:cs="Times New Roman"/>
              </w:rPr>
              <w:t>A70G Wejście w życie ustawy o zmianie odpowiednich ustaw w celu realizacji priorytetów w zakresie reform określonych w strategicznym przeglądzie opieki długoterminowej w Polsce (zgodnie z kamieniem milowym A69G)</w:t>
            </w:r>
          </w:p>
          <w:p w14:paraId="7B7D2C8D" w14:textId="77777777" w:rsidR="00272A8B" w:rsidRPr="00496F64" w:rsidRDefault="00272A8B" w:rsidP="00044CAD">
            <w:pPr>
              <w:spacing w:after="120" w:line="240" w:lineRule="auto"/>
              <w:rPr>
                <w:rFonts w:ascii="Times New Roman" w:hAnsi="Times New Roman" w:cs="Times New Roman"/>
              </w:rPr>
            </w:pPr>
            <w:r w:rsidRPr="00496F64">
              <w:rPr>
                <w:rFonts w:ascii="Times New Roman" w:hAnsi="Times New Roman" w:cs="Times New Roman"/>
              </w:rPr>
              <w:t>Wskaźnik jakościowy: Przepis w ustawie o zmianie odpowiednich ustaw wskazujący na jej wejście w życie</w:t>
            </w:r>
          </w:p>
          <w:p w14:paraId="0C23127D" w14:textId="1B15E3B4" w:rsidR="00272A8B" w:rsidRPr="00496F64" w:rsidRDefault="009E5DFB" w:rsidP="00044CAD">
            <w:pPr>
              <w:spacing w:after="120" w:line="240" w:lineRule="auto"/>
              <w:rPr>
                <w:rFonts w:ascii="Times New Roman" w:hAnsi="Times New Roman" w:cs="Times New Roman"/>
              </w:rPr>
            </w:pPr>
            <w:r>
              <w:rPr>
                <w:rFonts w:ascii="Times New Roman" w:hAnsi="Times New Roman" w:cs="Times New Roman"/>
              </w:rPr>
              <w:t>Termin realizacji</w:t>
            </w:r>
            <w:r w:rsidR="00272A8B" w:rsidRPr="00496F64">
              <w:rPr>
                <w:rFonts w:ascii="Times New Roman" w:hAnsi="Times New Roman" w:cs="Times New Roman"/>
              </w:rPr>
              <w:t>: IV kw. 2024</w:t>
            </w:r>
            <w:r w:rsidR="001248D4">
              <w:rPr>
                <w:rFonts w:ascii="Times New Roman" w:hAnsi="Times New Roman" w:cs="Times New Roman"/>
              </w:rPr>
              <w:t>r.</w:t>
            </w:r>
          </w:p>
          <w:p w14:paraId="3889033A" w14:textId="77777777" w:rsidR="00272A8B" w:rsidRPr="00496F64" w:rsidRDefault="00272A8B" w:rsidP="00044CAD">
            <w:pPr>
              <w:spacing w:after="120" w:line="240" w:lineRule="auto"/>
              <w:rPr>
                <w:rFonts w:ascii="Times New Roman" w:hAnsi="Times New Roman" w:cs="Times New Roman"/>
              </w:rPr>
            </w:pPr>
            <w:r w:rsidRPr="00496F64">
              <w:rPr>
                <w:rFonts w:ascii="Times New Roman" w:hAnsi="Times New Roman" w:cs="Times New Roman"/>
              </w:rPr>
              <w:t xml:space="preserve">Opis: Wejście w życie ustawy o zmianie odpowiednich ustaw, która </w:t>
            </w:r>
            <w:r w:rsidRPr="00496F64">
              <w:rPr>
                <w:rFonts w:ascii="Times New Roman" w:hAnsi="Times New Roman" w:cs="Times New Roman"/>
              </w:rPr>
              <w:lastRenderedPageBreak/>
              <w:t>zapewni realizację priorytetów w zakresie reform określonych w strategicznym przeglądzie opieki długoterminowej w Polsce</w:t>
            </w:r>
          </w:p>
        </w:tc>
        <w:tc>
          <w:tcPr>
            <w:tcW w:w="2015" w:type="pct"/>
          </w:tcPr>
          <w:p w14:paraId="2DB61D86" w14:textId="389526C0" w:rsidR="0055266C" w:rsidRPr="002F2DFC" w:rsidRDefault="0055266C" w:rsidP="0055266C">
            <w:pPr>
              <w:spacing w:after="120" w:line="240" w:lineRule="auto"/>
              <w:rPr>
                <w:rFonts w:ascii="Times New Roman" w:hAnsi="Times New Roman" w:cs="Times New Roman"/>
                <w:i/>
                <w:iCs/>
              </w:rPr>
            </w:pPr>
            <w:r w:rsidRPr="002F2DFC">
              <w:rPr>
                <w:rFonts w:ascii="Times New Roman" w:eastAsiaTheme="minorEastAsia" w:hAnsi="Times New Roman" w:cs="Times New Roman"/>
              </w:rPr>
              <w:lastRenderedPageBreak/>
              <w:t xml:space="preserve">A70G </w:t>
            </w:r>
            <w:r w:rsidR="002F2DFC" w:rsidRPr="005C5922">
              <w:rPr>
                <w:rFonts w:ascii="Times New Roman" w:eastAsiaTheme="minorEastAsia" w:hAnsi="Times New Roman" w:cs="Times New Roman"/>
              </w:rPr>
              <w:t xml:space="preserve">Wejście w życie aktu lub </w:t>
            </w:r>
            <w:r w:rsidR="002F2DFC" w:rsidRPr="005C5922">
              <w:rPr>
                <w:rFonts w:ascii="Times New Roman" w:eastAsiaTheme="minorEastAsia" w:hAnsi="Times New Roman" w:cs="Times New Roman"/>
                <w:color w:val="FF0000"/>
              </w:rPr>
              <w:t>aktów prawnych</w:t>
            </w:r>
            <w:r w:rsidR="002F2DFC" w:rsidRPr="005C5922">
              <w:rPr>
                <w:rFonts w:ascii="Times New Roman" w:eastAsiaTheme="minorEastAsia" w:hAnsi="Times New Roman" w:cs="Times New Roman"/>
              </w:rPr>
              <w:t xml:space="preserve">, w celu realizacji </w:t>
            </w:r>
            <w:r w:rsidR="002F2DFC" w:rsidRPr="005C5922">
              <w:rPr>
                <w:rFonts w:ascii="Times New Roman" w:eastAsiaTheme="minorEastAsia" w:hAnsi="Times New Roman" w:cs="Times New Roman"/>
                <w:color w:val="FF0000"/>
              </w:rPr>
              <w:t>wybranych priorytetów reformy, określonych na podstawie</w:t>
            </w:r>
            <w:r w:rsidR="002F2DFC" w:rsidRPr="005C5922">
              <w:rPr>
                <w:rFonts w:ascii="Times New Roman" w:eastAsiaTheme="minorEastAsia" w:hAnsi="Times New Roman" w:cs="Times New Roman"/>
              </w:rPr>
              <w:t xml:space="preserve"> strategicznego przeglądu opieki długoterminowej w Polsce </w:t>
            </w:r>
            <w:r w:rsidR="002F2DFC" w:rsidRPr="005C5922">
              <w:rPr>
                <w:rFonts w:ascii="Times New Roman" w:eastAsiaTheme="minorEastAsia" w:hAnsi="Times New Roman" w:cs="Times New Roman"/>
                <w:color w:val="FF0000"/>
              </w:rPr>
              <w:t xml:space="preserve">(w oparciu o wnioski z realizacji kamienia milowego </w:t>
            </w:r>
            <w:r w:rsidR="002F2DFC" w:rsidRPr="005C5922">
              <w:rPr>
                <w:rFonts w:ascii="Times New Roman" w:eastAsiaTheme="minorEastAsia" w:hAnsi="Times New Roman" w:cs="Times New Roman"/>
              </w:rPr>
              <w:t>A69G)</w:t>
            </w:r>
          </w:p>
          <w:p w14:paraId="3E976E01" w14:textId="77777777" w:rsidR="0055266C" w:rsidRPr="002F2DFC" w:rsidRDefault="0055266C" w:rsidP="0055266C">
            <w:pPr>
              <w:spacing w:after="120" w:line="240" w:lineRule="auto"/>
              <w:rPr>
                <w:rFonts w:ascii="Times New Roman" w:eastAsiaTheme="minorEastAsia" w:hAnsi="Times New Roman" w:cs="Times New Roman"/>
                <w:color w:val="FF0000"/>
              </w:rPr>
            </w:pPr>
            <w:r w:rsidRPr="002F2DFC">
              <w:rPr>
                <w:rFonts w:ascii="Times New Roman" w:hAnsi="Times New Roman" w:cs="Times New Roman"/>
              </w:rPr>
              <w:t xml:space="preserve">Wskaźnik jakościowy: </w:t>
            </w:r>
            <w:r w:rsidRPr="002F2DFC">
              <w:rPr>
                <w:rFonts w:ascii="Times New Roman" w:eastAsiaTheme="minorEastAsia" w:hAnsi="Times New Roman" w:cs="Times New Roman"/>
                <w:color w:val="FF0000"/>
              </w:rPr>
              <w:t>Przepisy wskazujące wejście w życie aktów prawnych, przygotowanych w celu realizacji reformy</w:t>
            </w:r>
          </w:p>
          <w:p w14:paraId="5263EB69" w14:textId="4CFC6E0A" w:rsidR="0055266C" w:rsidRPr="002F2DFC" w:rsidRDefault="009E5DFB" w:rsidP="0055266C">
            <w:pPr>
              <w:ind w:left="-20" w:right="-20"/>
              <w:rPr>
                <w:rFonts w:ascii="Times New Roman" w:eastAsiaTheme="minorEastAsia" w:hAnsi="Times New Roman" w:cs="Times New Roman"/>
                <w:color w:val="FF0000"/>
              </w:rPr>
            </w:pPr>
            <w:r w:rsidRPr="002F2DFC">
              <w:rPr>
                <w:rFonts w:ascii="Times New Roman" w:hAnsi="Times New Roman" w:cs="Times New Roman"/>
              </w:rPr>
              <w:t>Termin realizacji</w:t>
            </w:r>
            <w:r w:rsidR="0055266C" w:rsidRPr="002F2DFC">
              <w:rPr>
                <w:rFonts w:ascii="Times New Roman" w:hAnsi="Times New Roman" w:cs="Times New Roman"/>
              </w:rPr>
              <w:t>:</w:t>
            </w:r>
            <w:r w:rsidR="0055266C" w:rsidRPr="005C5922">
              <w:rPr>
                <w:rFonts w:ascii="Times New Roman" w:hAnsi="Times New Roman" w:cs="Times New Roman"/>
                <w:color w:val="FF0000"/>
              </w:rPr>
              <w:t xml:space="preserve"> </w:t>
            </w:r>
            <w:r w:rsidR="0055266C" w:rsidRPr="002F2DFC">
              <w:rPr>
                <w:rFonts w:ascii="Times New Roman" w:eastAsiaTheme="minorEastAsia" w:hAnsi="Times New Roman" w:cs="Times New Roman"/>
                <w:color w:val="FF0000"/>
              </w:rPr>
              <w:t>II kw. 2026</w:t>
            </w:r>
            <w:r w:rsidR="001248D4" w:rsidRPr="002F2DFC">
              <w:rPr>
                <w:rFonts w:ascii="Times New Roman" w:eastAsiaTheme="minorEastAsia" w:hAnsi="Times New Roman" w:cs="Times New Roman"/>
                <w:color w:val="FF0000"/>
              </w:rPr>
              <w:t>r.</w:t>
            </w:r>
          </w:p>
          <w:p w14:paraId="6D5DF0CB" w14:textId="77777777" w:rsidR="002F2DFC" w:rsidRPr="005C5922" w:rsidRDefault="002F2DFC" w:rsidP="002F2DFC">
            <w:pPr>
              <w:rPr>
                <w:rFonts w:ascii="Times New Roman" w:eastAsiaTheme="minorEastAsia" w:hAnsi="Times New Roman" w:cs="Times New Roman"/>
              </w:rPr>
            </w:pPr>
            <w:r w:rsidRPr="005C5922">
              <w:rPr>
                <w:rFonts w:ascii="Times New Roman" w:eastAsiaTheme="minorEastAsia" w:hAnsi="Times New Roman" w:cs="Times New Roman"/>
              </w:rPr>
              <w:t xml:space="preserve">Wejście w życie </w:t>
            </w:r>
            <w:r w:rsidRPr="005C5922">
              <w:rPr>
                <w:rFonts w:ascii="Times New Roman" w:eastAsiaTheme="minorEastAsia" w:hAnsi="Times New Roman" w:cs="Times New Roman"/>
                <w:color w:val="FF0000"/>
              </w:rPr>
              <w:t>aktu lub aktów prawnych (ustaw lub rozporządzeń)</w:t>
            </w:r>
            <w:r w:rsidRPr="005C5922">
              <w:rPr>
                <w:rFonts w:ascii="Times New Roman" w:eastAsiaTheme="minorEastAsia" w:hAnsi="Times New Roman" w:cs="Times New Roman"/>
              </w:rPr>
              <w:t xml:space="preserve">, </w:t>
            </w:r>
            <w:r w:rsidRPr="005C5922">
              <w:rPr>
                <w:rFonts w:ascii="Times New Roman" w:eastAsiaTheme="minorEastAsia" w:hAnsi="Times New Roman" w:cs="Times New Roman"/>
              </w:rPr>
              <w:lastRenderedPageBreak/>
              <w:t xml:space="preserve">dotyczących następujących priorytetów, określonych na podstawie strategicznego przeglądu opieki długoterminowej w Polsce: </w:t>
            </w:r>
          </w:p>
          <w:p w14:paraId="47EB8E9C" w14:textId="77777777" w:rsidR="002F2DFC" w:rsidRPr="005C5922" w:rsidRDefault="002F2DFC" w:rsidP="002F2DFC">
            <w:pPr>
              <w:pStyle w:val="Akapitzlist"/>
              <w:numPr>
                <w:ilvl w:val="0"/>
                <w:numId w:val="6"/>
              </w:numPr>
              <w:spacing w:line="240" w:lineRule="auto"/>
              <w:jc w:val="left"/>
              <w:rPr>
                <w:rFonts w:eastAsiaTheme="minorEastAsia"/>
                <w:color w:val="FF0000"/>
                <w:sz w:val="22"/>
                <w:szCs w:val="22"/>
              </w:rPr>
            </w:pPr>
            <w:r w:rsidRPr="005C5922">
              <w:rPr>
                <w:rFonts w:eastAsiaTheme="minorEastAsia"/>
                <w:color w:val="FF0000"/>
                <w:sz w:val="22"/>
                <w:szCs w:val="22"/>
              </w:rPr>
              <w:t>zdefiniowanie "opieki długoterminowej" w całości systemu opiekuńczego kraju;</w:t>
            </w:r>
          </w:p>
          <w:p w14:paraId="32CAE20C" w14:textId="77777777" w:rsidR="002F2DFC" w:rsidRPr="005C5922" w:rsidRDefault="002F2DFC" w:rsidP="002F2DFC">
            <w:pPr>
              <w:pStyle w:val="Akapitzlist"/>
              <w:numPr>
                <w:ilvl w:val="0"/>
                <w:numId w:val="3"/>
              </w:numPr>
              <w:spacing w:line="240" w:lineRule="auto"/>
              <w:jc w:val="left"/>
              <w:rPr>
                <w:rFonts w:eastAsiaTheme="minorEastAsia"/>
                <w:color w:val="FF0000"/>
                <w:sz w:val="22"/>
                <w:szCs w:val="22"/>
              </w:rPr>
            </w:pPr>
            <w:r w:rsidRPr="005C5922">
              <w:rPr>
                <w:rFonts w:eastAsiaTheme="minorEastAsia"/>
                <w:color w:val="FF0000"/>
                <w:sz w:val="22"/>
                <w:szCs w:val="22"/>
              </w:rPr>
              <w:t>zdefiniowanie pojęcia „opiekuna nieformalnego" oraz „opieki nieformalnej”</w:t>
            </w:r>
          </w:p>
          <w:p w14:paraId="2C4EA500" w14:textId="77777777" w:rsidR="002F2DFC" w:rsidRPr="005C5922" w:rsidRDefault="002F2DFC" w:rsidP="002F2DFC">
            <w:pPr>
              <w:pStyle w:val="Akapitzlist"/>
              <w:numPr>
                <w:ilvl w:val="0"/>
                <w:numId w:val="3"/>
              </w:numPr>
              <w:spacing w:line="240" w:lineRule="auto"/>
              <w:jc w:val="left"/>
              <w:rPr>
                <w:rFonts w:eastAsiaTheme="minorEastAsia"/>
                <w:color w:val="FF0000"/>
                <w:sz w:val="22"/>
                <w:szCs w:val="22"/>
              </w:rPr>
            </w:pPr>
            <w:r w:rsidRPr="005C5922">
              <w:rPr>
                <w:rFonts w:eastAsiaTheme="minorEastAsia"/>
                <w:color w:val="FF0000"/>
                <w:sz w:val="22"/>
                <w:szCs w:val="22"/>
              </w:rPr>
              <w:t>zmiana obowiązujących standardów usług świadczonych w systemie pomocy społecznej, zapewniających adekwatne do potrzeb wsparcie osób wymagających opieki</w:t>
            </w:r>
          </w:p>
          <w:p w14:paraId="7B4D9C49" w14:textId="2AF7C373" w:rsidR="00272A8B" w:rsidRPr="005C5922" w:rsidRDefault="002F2DFC" w:rsidP="005C5922">
            <w:pPr>
              <w:rPr>
                <w:rFonts w:ascii="Times New Roman" w:hAnsi="Times New Roman" w:cs="Times New Roman"/>
                <w:i/>
                <w:iCs/>
              </w:rPr>
            </w:pPr>
            <w:r w:rsidRPr="005C5922">
              <w:rPr>
                <w:rFonts w:ascii="Times New Roman" w:eastAsiaTheme="minorEastAsia" w:hAnsi="Times New Roman" w:cs="Times New Roman"/>
                <w:color w:val="FF0000"/>
              </w:rPr>
              <w:t>ulepszenie mechanizmów monitorowania i ewaluacji  jakości świadczonej opieki, poprzez zmianę przepisów w sprawie nadzoru i kontroli w pomocy społecznej.</w:t>
            </w:r>
          </w:p>
        </w:tc>
      </w:tr>
      <w:tr w:rsidR="00D15404" w:rsidRPr="0051031A" w14:paraId="7FCE6C7E" w14:textId="77777777" w:rsidTr="00044CAD">
        <w:tc>
          <w:tcPr>
            <w:tcW w:w="1088" w:type="pct"/>
          </w:tcPr>
          <w:p w14:paraId="0187AC18" w14:textId="77777777" w:rsidR="00D15404" w:rsidRPr="00496F64" w:rsidRDefault="00D15404" w:rsidP="00D15404">
            <w:pPr>
              <w:spacing w:after="120" w:line="240" w:lineRule="auto"/>
              <w:rPr>
                <w:rFonts w:ascii="Times New Roman" w:hAnsi="Times New Roman" w:cs="Times New Roman"/>
              </w:rPr>
            </w:pPr>
            <w:r w:rsidRPr="00496F64">
              <w:rPr>
                <w:rFonts w:ascii="Times New Roman" w:hAnsi="Times New Roman" w:cs="Times New Roman"/>
              </w:rPr>
              <w:lastRenderedPageBreak/>
              <w:t>Uzasadnienie</w:t>
            </w:r>
          </w:p>
        </w:tc>
        <w:tc>
          <w:tcPr>
            <w:tcW w:w="3912" w:type="pct"/>
            <w:gridSpan w:val="2"/>
          </w:tcPr>
          <w:p w14:paraId="2C33A970" w14:textId="7E11D3F6" w:rsidR="00D15404" w:rsidRPr="00C9419C" w:rsidRDefault="00D15404" w:rsidP="005C5922">
            <w:pPr>
              <w:spacing w:after="120" w:line="240" w:lineRule="auto"/>
            </w:pPr>
            <w:r w:rsidRPr="005C5922">
              <w:rPr>
                <w:rFonts w:ascii="Times New Roman" w:hAnsi="Times New Roman" w:cs="Times New Roman"/>
              </w:rPr>
              <w:t xml:space="preserve">System opieki długoterminowej (ODT) w Polsce jest bardzo złożony i opiera się na różnych typach usług świadczonych zarówno przez podmioty sektora zdrowia, jak i pomocy społecznej. Przedstawione w raporcie Banku Światowego wyzwania i rozwiązania dla systemu opieki długoterminowej  zostały opracowane w bardzo szerokim zakresie, a horyzont czasowy proponowanych przez Bank zmian znacznie wykracza poza ramy czasowe reformy A4.6. Zaplanowanie krótkookresowych zmian możliwych do wdrożenia w okresie realizacji reformy nie było możliwe ze względu na złożoność systemu, liczbę podmiotów i interesariuszy zaangażowanych w jego funkcjonowanie, istotność społeczną, a także niezbędne elementy reformy wskazane przez Komisję Europejską. Jak szacuje Bank Światowy, reforma miałaby potencjalny wpływ na ponad 5,4 tys. podmiotów świadczących usługi opieki długoterminowej, ok. 450 tys. klientów (odbiorców usług) tych podmiotów, a docelowo potencjalnie do 4,1 mln osób (potencjalnych klientów ODT i ich opiekunów), którzy korzystają obecnie z różnego rodzaju świadczeń pieniężnych. Według GUS obecnie w Polsce osoby powyżej 65. roku życia (które są najczęściej klientami ODT) stanowią ok. 16% mieszkańców. W 2025 r. będzie to już 22% ludności, a w 2050 r. 33%. Według prognoz, seniorzy będą stanowili coraz liczniejszą grupę społeczną w znacznej części wymagającą opieki/wsparcia w funkcjonowaniu (szczególnie w przypadku osób po 80. roku życia, których liczba w 2030 roku wyniesie ok. 2,2 mln).  </w:t>
            </w:r>
          </w:p>
          <w:p w14:paraId="54F80B0C" w14:textId="77777777" w:rsidR="00D15404" w:rsidRPr="00C9419C" w:rsidRDefault="00D15404" w:rsidP="005C5922">
            <w:pPr>
              <w:spacing w:after="120" w:line="240" w:lineRule="auto"/>
            </w:pPr>
            <w:r w:rsidRPr="005C5922">
              <w:rPr>
                <w:rFonts w:ascii="Times New Roman" w:hAnsi="Times New Roman" w:cs="Times New Roman"/>
              </w:rPr>
              <w:t xml:space="preserve">Kwestia organizacji opieki długoterminowej, m.in. ze względu na rosnące obciążenie demograficzne, jest bardzo istotna i wrażliwa społecznie – wszelkie reformy w tym zakresie muszą być wprowadzane w drodze konsensusu i przy zaangażowaniu szerokiego grona interesariuszy. </w:t>
            </w:r>
          </w:p>
          <w:p w14:paraId="4ACCB1A3" w14:textId="0CFD859F" w:rsidR="00D15404" w:rsidRPr="005C5922" w:rsidRDefault="00D15404" w:rsidP="005C5922">
            <w:pPr>
              <w:spacing w:after="120" w:line="240" w:lineRule="auto"/>
            </w:pPr>
            <w:r w:rsidRPr="005C5922">
              <w:rPr>
                <w:rFonts w:ascii="Times New Roman" w:hAnsi="Times New Roman" w:cs="Times New Roman"/>
              </w:rPr>
              <w:t xml:space="preserve">Resorty </w:t>
            </w:r>
            <w:r w:rsidR="001248D4" w:rsidRPr="005C5922">
              <w:rPr>
                <w:rFonts w:ascii="Times New Roman" w:hAnsi="Times New Roman" w:cs="Times New Roman"/>
              </w:rPr>
              <w:t xml:space="preserve">(MZ i </w:t>
            </w:r>
            <w:proofErr w:type="spellStart"/>
            <w:r w:rsidR="001248D4" w:rsidRPr="005C5922">
              <w:rPr>
                <w:rFonts w:ascii="Times New Roman" w:hAnsi="Times New Roman" w:cs="Times New Roman"/>
              </w:rPr>
              <w:t>MRPiPS</w:t>
            </w:r>
            <w:proofErr w:type="spellEnd"/>
            <w:r w:rsidR="001248D4" w:rsidRPr="005C5922">
              <w:rPr>
                <w:rFonts w:ascii="Times New Roman" w:hAnsi="Times New Roman" w:cs="Times New Roman"/>
              </w:rPr>
              <w:t>) wskazują, że t</w:t>
            </w:r>
            <w:r w:rsidRPr="005C5922">
              <w:rPr>
                <w:rFonts w:ascii="Times New Roman" w:hAnsi="Times New Roman" w:cs="Times New Roman"/>
              </w:rPr>
              <w:t xml:space="preserve">rudnością będzie także ustalenie podmiotów odpowiedzianych za wdrożenie poszczególnych rekomendacji, co może prowadzić do problemów związanych z m.in. określeniem właściwej </w:t>
            </w:r>
            <w:r w:rsidRPr="005C5922">
              <w:rPr>
                <w:rFonts w:ascii="Times New Roman" w:hAnsi="Times New Roman" w:cs="Times New Roman"/>
              </w:rPr>
              <w:lastRenderedPageBreak/>
              <w:t xml:space="preserve">instytucji odpowiedzialnej za realizację poszczególnych jej elementów i etapów. Kwestia odpowiedzialności poszczególnych podmiotów za elementy reformy jest z pewnością istotną kwestią do omówienia pomiędzy właściwymi stronami (nie powinna być wskazywana przez podmiot zewnętrzny). Wskazane przez Bank Światowy rekomendacje wykraczają bowiem poza kompetencje MZ i </w:t>
            </w:r>
            <w:proofErr w:type="spellStart"/>
            <w:r w:rsidRPr="005C5922">
              <w:rPr>
                <w:rFonts w:ascii="Times New Roman" w:hAnsi="Times New Roman" w:cs="Times New Roman"/>
              </w:rPr>
              <w:t>MRPiPS</w:t>
            </w:r>
            <w:proofErr w:type="spellEnd"/>
            <w:r w:rsidRPr="005C5922">
              <w:rPr>
                <w:rFonts w:ascii="Times New Roman" w:hAnsi="Times New Roman" w:cs="Times New Roman"/>
              </w:rPr>
              <w:t>, które są odpowiedzialne za wdrożenie reformy w ramach A70G.</w:t>
            </w:r>
          </w:p>
          <w:p w14:paraId="29C791BC" w14:textId="77777777" w:rsidR="00D15404" w:rsidRPr="005C5922" w:rsidRDefault="00D15404" w:rsidP="005C5922">
            <w:pPr>
              <w:spacing w:after="120" w:line="240" w:lineRule="auto"/>
            </w:pPr>
            <w:r w:rsidRPr="005C5922">
              <w:rPr>
                <w:rFonts w:ascii="Times New Roman" w:hAnsi="Times New Roman" w:cs="Times New Roman"/>
              </w:rPr>
              <w:t>Zakres rekomendacji obejmuje także zadania realizowane przez jednostki samorządu terytorialnego, na które w przypadku wprowadzenia zmian prawnych, zostaną nałożone znaczące zobowiązania (w tym finansowe) i otrzymają nowe zadania. Wymaga to więc pogłębionych konsultacji i negocjacji z przedstawicielami JST różnych szczebli.</w:t>
            </w:r>
          </w:p>
          <w:p w14:paraId="682E92C4" w14:textId="77777777" w:rsidR="00D15404" w:rsidRPr="00C9419C" w:rsidRDefault="00D15404" w:rsidP="005C5922">
            <w:pPr>
              <w:spacing w:after="120" w:line="240" w:lineRule="auto"/>
            </w:pPr>
            <w:r w:rsidRPr="005C5922">
              <w:rPr>
                <w:rFonts w:ascii="Times New Roman" w:hAnsi="Times New Roman" w:cs="Times New Roman"/>
              </w:rPr>
              <w:t xml:space="preserve">Część kwestii należy do kompetencji resortów, które nie realizują reformy A4.6, np. Ministerstwa Finansów, Ministerstwa Rozwoju i Technologii, KPRM. Istotna w tym zakresie jest także kwestia konieczności zwiększenia nakładów finansowych na opiekę długoterminową, które są niskie w porównaniu z innymi krajami UE. Bez zwiększenia nakładów finansowych nie będzie możliwe wdrożenie postulatów wynikających z raportu, na co resorty odpowiedzialne za reformę (MZ i </w:t>
            </w:r>
            <w:proofErr w:type="spellStart"/>
            <w:r w:rsidRPr="005C5922">
              <w:rPr>
                <w:rFonts w:ascii="Times New Roman" w:hAnsi="Times New Roman" w:cs="Times New Roman"/>
              </w:rPr>
              <w:t>MRPiPS</w:t>
            </w:r>
            <w:proofErr w:type="spellEnd"/>
            <w:r w:rsidRPr="005C5922">
              <w:rPr>
                <w:rFonts w:ascii="Times New Roman" w:hAnsi="Times New Roman" w:cs="Times New Roman"/>
              </w:rPr>
              <w:t xml:space="preserve">) nie mają pełnego wpływu. </w:t>
            </w:r>
          </w:p>
          <w:p w14:paraId="5DC14F41" w14:textId="74FBE4F9" w:rsidR="00D15404" w:rsidRPr="00C9419C" w:rsidRDefault="00D15404" w:rsidP="005C5922">
            <w:pPr>
              <w:spacing w:after="120" w:line="240" w:lineRule="auto"/>
            </w:pPr>
            <w:r w:rsidRPr="005C5922">
              <w:rPr>
                <w:rFonts w:ascii="Times New Roman" w:hAnsi="Times New Roman" w:cs="Times New Roman"/>
              </w:rPr>
              <w:t xml:space="preserve">Reforma systemu, który de facto jako całość w Polsce nie istnieje, bo jego elementy są rozproszone pomiędzy kompetencje różnych ministerstw (w tym nowo powołane stanowisko ministra ds. polityki senioralnej), ale też sektor prywatny i organizacje pozarządowe, jest procesem wyjątkowo skomplikowanym. Zmiany te dotyczyć będą w szczególności kwestii opieki nad osobami z niepełnosprawnościami oraz osobami starszymi, które z pewnością będą również wywoływały duże zainteresowanie tych środowisk. Z tego powodu rekomendacje zaproponowane przez ekspertów Banku Światowego mogą być realnie wdrożone dopiero w perspektywie kilku lub kilkunastoletniej. </w:t>
            </w:r>
            <w:r w:rsidR="0051031A" w:rsidRPr="005C5922">
              <w:rPr>
                <w:rFonts w:ascii="Times New Roman" w:hAnsi="Times New Roman" w:cs="Times New Roman"/>
              </w:rPr>
              <w:t xml:space="preserve">Z tego względu </w:t>
            </w:r>
            <w:r w:rsidRPr="005C5922">
              <w:rPr>
                <w:rFonts w:ascii="Times New Roman" w:hAnsi="Times New Roman" w:cs="Times New Roman"/>
              </w:rPr>
              <w:t xml:space="preserve">nie uda się zrealizować kamienia milowego A70G w </w:t>
            </w:r>
            <w:r w:rsidR="0051031A" w:rsidRPr="005C5922">
              <w:rPr>
                <w:rFonts w:ascii="Times New Roman" w:hAnsi="Times New Roman" w:cs="Times New Roman"/>
              </w:rPr>
              <w:t xml:space="preserve">pierwotnie wyznaczonym </w:t>
            </w:r>
            <w:r w:rsidRPr="005C5922">
              <w:rPr>
                <w:rFonts w:ascii="Times New Roman" w:hAnsi="Times New Roman" w:cs="Times New Roman"/>
              </w:rPr>
              <w:t xml:space="preserve">terminie. Niemożliwe jest również odpowiedzialne wdrożenie tak kompleksowej reformy w okresie realizacji KPO.  </w:t>
            </w:r>
          </w:p>
          <w:p w14:paraId="72E6155C" w14:textId="73AEEA34" w:rsidR="00D15404" w:rsidRPr="00A6662A" w:rsidRDefault="00D15404" w:rsidP="00D15404">
            <w:pPr>
              <w:spacing w:after="120" w:line="240" w:lineRule="auto"/>
              <w:rPr>
                <w:rFonts w:ascii="Times New Roman" w:hAnsi="Times New Roman" w:cs="Times New Roman"/>
              </w:rPr>
            </w:pPr>
            <w:r w:rsidRPr="00A6662A">
              <w:rPr>
                <w:rFonts w:ascii="Times New Roman" w:hAnsi="Times New Roman" w:cs="Times New Roman"/>
              </w:rPr>
              <w:t xml:space="preserve">Mając na uwadze wskazane powyżej czynniki, PL proponuje modyfikację zapisów omawianego kamienia milowego i </w:t>
            </w:r>
            <w:r w:rsidRPr="005C5922">
              <w:rPr>
                <w:rFonts w:ascii="Times New Roman" w:hAnsi="Times New Roman" w:cs="Times New Roman"/>
              </w:rPr>
              <w:t xml:space="preserve">ograniczenie reformy do obszarów kompetencji MZ i </w:t>
            </w:r>
            <w:proofErr w:type="spellStart"/>
            <w:r w:rsidRPr="005C5922">
              <w:rPr>
                <w:rFonts w:ascii="Times New Roman" w:hAnsi="Times New Roman" w:cs="Times New Roman"/>
              </w:rPr>
              <w:t>MRPiPS</w:t>
            </w:r>
            <w:proofErr w:type="spellEnd"/>
            <w:r w:rsidRPr="005C5922">
              <w:rPr>
                <w:rFonts w:ascii="Times New Roman" w:hAnsi="Times New Roman" w:cs="Times New Roman"/>
              </w:rPr>
              <w:t xml:space="preserve"> oraz zakresu możliwego do uregulowania w perspektywie realizacji KPO</w:t>
            </w:r>
            <w:r w:rsidRPr="00A6662A">
              <w:rPr>
                <w:rFonts w:ascii="Times New Roman" w:hAnsi="Times New Roman" w:cs="Times New Roman"/>
              </w:rPr>
              <w:t xml:space="preserve">. Ze względu na zakres działań koniecznych do podjęcia, zaproponowano też </w:t>
            </w:r>
            <w:r w:rsidRPr="005C5922">
              <w:rPr>
                <w:rFonts w:ascii="Times New Roman" w:hAnsi="Times New Roman" w:cs="Times New Roman"/>
              </w:rPr>
              <w:t xml:space="preserve">wydłużenie terminu na zrealizowanie reformy. </w:t>
            </w:r>
          </w:p>
        </w:tc>
      </w:tr>
      <w:tr w:rsidR="00272A8B" w:rsidRPr="00496F64" w14:paraId="4CD905AA" w14:textId="77777777" w:rsidTr="00044CAD">
        <w:tc>
          <w:tcPr>
            <w:tcW w:w="1088" w:type="pct"/>
          </w:tcPr>
          <w:p w14:paraId="2D252A91" w14:textId="77777777" w:rsidR="00272A8B" w:rsidRPr="00496F64" w:rsidRDefault="00272A8B" w:rsidP="00044CAD">
            <w:pPr>
              <w:spacing w:after="120" w:line="240" w:lineRule="auto"/>
              <w:rPr>
                <w:rFonts w:ascii="Times New Roman" w:hAnsi="Times New Roman" w:cs="Times New Roman"/>
              </w:rPr>
            </w:pPr>
            <w:r w:rsidRPr="00496F64">
              <w:rPr>
                <w:rFonts w:ascii="Times New Roman" w:hAnsi="Times New Roman" w:cs="Times New Roman"/>
              </w:rPr>
              <w:lastRenderedPageBreak/>
              <w:t>Szacowany koszy</w:t>
            </w:r>
          </w:p>
        </w:tc>
        <w:tc>
          <w:tcPr>
            <w:tcW w:w="3912" w:type="pct"/>
            <w:gridSpan w:val="2"/>
          </w:tcPr>
          <w:p w14:paraId="05DEBBD8" w14:textId="185BD530" w:rsidR="00272A8B" w:rsidRPr="00496F64" w:rsidRDefault="003E08A1" w:rsidP="00044CAD">
            <w:pPr>
              <w:spacing w:after="120" w:line="240" w:lineRule="auto"/>
              <w:rPr>
                <w:rFonts w:ascii="Times New Roman" w:hAnsi="Times New Roman" w:cs="Times New Roman"/>
              </w:rPr>
            </w:pPr>
            <w:r w:rsidRPr="00DC33EA">
              <w:rPr>
                <w:rFonts w:ascii="Times New Roman" w:eastAsia="Times New Roman" w:hAnsi="Times New Roman" w:cs="Calibri"/>
              </w:rPr>
              <w:t>Zmiana nie ma wpływu na szacowany koszt</w:t>
            </w:r>
            <w:r w:rsidRPr="00496F64" w:rsidDel="003E08A1">
              <w:rPr>
                <w:rFonts w:ascii="Times New Roman" w:hAnsi="Times New Roman" w:cs="Times New Roman"/>
              </w:rPr>
              <w:t xml:space="preserve"> </w:t>
            </w:r>
          </w:p>
        </w:tc>
      </w:tr>
      <w:tr w:rsidR="00272A8B" w:rsidRPr="00496F64" w14:paraId="4E650D1A" w14:textId="77777777" w:rsidTr="00044CAD">
        <w:tc>
          <w:tcPr>
            <w:tcW w:w="1088" w:type="pct"/>
          </w:tcPr>
          <w:p w14:paraId="3CBB2D70" w14:textId="77777777" w:rsidR="00272A8B" w:rsidRPr="00496F64" w:rsidRDefault="00272A8B" w:rsidP="00044CAD">
            <w:pPr>
              <w:spacing w:after="120" w:line="240" w:lineRule="auto"/>
              <w:rPr>
                <w:rFonts w:ascii="Times New Roman" w:hAnsi="Times New Roman" w:cs="Times New Roman"/>
              </w:rPr>
            </w:pPr>
            <w:r w:rsidRPr="00496F64">
              <w:rPr>
                <w:rFonts w:ascii="Times New Roman" w:hAnsi="Times New Roman" w:cs="Times New Roman"/>
              </w:rPr>
              <w:t xml:space="preserve">Klimatyczny i cyfrowy </w:t>
            </w:r>
            <w:proofErr w:type="spellStart"/>
            <w:r w:rsidRPr="00496F64">
              <w:rPr>
                <w:rFonts w:ascii="Times New Roman" w:hAnsi="Times New Roman" w:cs="Times New Roman"/>
              </w:rPr>
              <w:t>tagging</w:t>
            </w:r>
            <w:proofErr w:type="spellEnd"/>
          </w:p>
        </w:tc>
        <w:tc>
          <w:tcPr>
            <w:tcW w:w="3912" w:type="pct"/>
            <w:gridSpan w:val="2"/>
          </w:tcPr>
          <w:p w14:paraId="73CB03FE" w14:textId="160E5580" w:rsidR="00272A8B" w:rsidRPr="00496F64" w:rsidRDefault="003E08A1" w:rsidP="00044CAD">
            <w:pPr>
              <w:spacing w:after="120" w:line="240" w:lineRule="auto"/>
              <w:rPr>
                <w:rFonts w:ascii="Times New Roman" w:hAnsi="Times New Roman" w:cs="Times New Roman"/>
              </w:rPr>
            </w:pPr>
            <w:r w:rsidRPr="00DC33EA">
              <w:rPr>
                <w:rFonts w:ascii="Times New Roman" w:eastAsia="Times New Roman" w:hAnsi="Times New Roman" w:cs="Calibri"/>
              </w:rPr>
              <w:t xml:space="preserve">Zmiana nie ma wpływu na </w:t>
            </w:r>
            <w:proofErr w:type="spellStart"/>
            <w:r w:rsidRPr="00DC33EA">
              <w:rPr>
                <w:rFonts w:ascii="Times New Roman" w:eastAsia="Times New Roman" w:hAnsi="Times New Roman" w:cs="Calibri"/>
              </w:rPr>
              <w:t>tagging</w:t>
            </w:r>
            <w:proofErr w:type="spellEnd"/>
            <w:r w:rsidRPr="00DC33EA">
              <w:rPr>
                <w:rFonts w:ascii="Times New Roman" w:eastAsia="Times New Roman" w:hAnsi="Times New Roman" w:cs="Calibri"/>
              </w:rPr>
              <w:t xml:space="preserve"> klimatyczny i cyfrowy</w:t>
            </w:r>
            <w:r w:rsidRPr="00496F64" w:rsidDel="003E08A1">
              <w:rPr>
                <w:rFonts w:ascii="Times New Roman" w:hAnsi="Times New Roman" w:cs="Times New Roman"/>
              </w:rPr>
              <w:t xml:space="preserve"> </w:t>
            </w:r>
          </w:p>
        </w:tc>
      </w:tr>
      <w:tr w:rsidR="00272A8B" w:rsidRPr="00496F64" w14:paraId="0BE47381" w14:textId="77777777" w:rsidTr="00044CAD">
        <w:tc>
          <w:tcPr>
            <w:tcW w:w="1088" w:type="pct"/>
          </w:tcPr>
          <w:p w14:paraId="15B47298" w14:textId="77777777" w:rsidR="00272A8B" w:rsidRPr="00496F64" w:rsidRDefault="00272A8B" w:rsidP="00044CAD">
            <w:pPr>
              <w:spacing w:after="120" w:line="240" w:lineRule="auto"/>
              <w:rPr>
                <w:rFonts w:ascii="Times New Roman" w:hAnsi="Times New Roman" w:cs="Times New Roman"/>
              </w:rPr>
            </w:pPr>
            <w:r w:rsidRPr="00496F64">
              <w:rPr>
                <w:rFonts w:ascii="Times New Roman" w:hAnsi="Times New Roman" w:cs="Times New Roman"/>
              </w:rPr>
              <w:t xml:space="preserve">Ocena DNSH </w:t>
            </w:r>
          </w:p>
        </w:tc>
        <w:tc>
          <w:tcPr>
            <w:tcW w:w="3912" w:type="pct"/>
            <w:gridSpan w:val="2"/>
          </w:tcPr>
          <w:p w14:paraId="469CE405" w14:textId="3EF2D8C8" w:rsidR="00272A8B" w:rsidRPr="00496F64" w:rsidRDefault="0051031A" w:rsidP="00044CAD">
            <w:pPr>
              <w:spacing w:after="120" w:line="240" w:lineRule="auto"/>
              <w:rPr>
                <w:rFonts w:ascii="Times New Roman" w:hAnsi="Times New Roman" w:cs="Times New Roman"/>
              </w:rPr>
            </w:pPr>
            <w:r w:rsidRPr="00DC33EA">
              <w:rPr>
                <w:rFonts w:ascii="Times New Roman" w:eastAsia="Times New Roman" w:hAnsi="Times New Roman" w:cs="Calibri"/>
              </w:rPr>
              <w:t>Zmiana nie ma wpływu na DNSH</w:t>
            </w:r>
            <w:r w:rsidRPr="00496F64" w:rsidDel="003E08A1">
              <w:rPr>
                <w:rFonts w:ascii="Times New Roman" w:hAnsi="Times New Roman" w:cs="Times New Roman"/>
              </w:rPr>
              <w:t xml:space="preserve"> </w:t>
            </w:r>
          </w:p>
        </w:tc>
      </w:tr>
    </w:tbl>
    <w:p w14:paraId="5A3DF401" w14:textId="77777777" w:rsidR="00100CA1" w:rsidRDefault="00100CA1" w:rsidP="00496F64">
      <w:pPr>
        <w:spacing w:after="120" w:line="240" w:lineRule="auto"/>
        <w:rPr>
          <w:rFonts w:ascii="Times New Roman" w:hAnsi="Times New Roman" w:cs="Times New Roman"/>
          <w:b/>
          <w:bCs/>
          <w:sz w:val="28"/>
          <w:szCs w:val="28"/>
        </w:rPr>
      </w:pPr>
    </w:p>
    <w:p w14:paraId="62EF9CE8" w14:textId="05733CDD" w:rsidR="004E161F" w:rsidRDefault="00450B49" w:rsidP="00496F64">
      <w:pPr>
        <w:spacing w:after="120" w:line="240" w:lineRule="auto"/>
        <w:rPr>
          <w:rFonts w:ascii="Times New Roman" w:hAnsi="Times New Roman" w:cs="Times New Roman"/>
          <w:b/>
          <w:bCs/>
          <w:sz w:val="28"/>
          <w:szCs w:val="28"/>
        </w:rPr>
      </w:pPr>
      <w:r w:rsidRPr="00496F64">
        <w:rPr>
          <w:rFonts w:ascii="Times New Roman" w:hAnsi="Times New Roman" w:cs="Times New Roman"/>
          <w:b/>
          <w:bCs/>
          <w:sz w:val="28"/>
          <w:szCs w:val="28"/>
        </w:rPr>
        <w:t>Komponent C Transformacja cyfrowa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2"/>
        <w:gridCol w:w="3438"/>
        <w:gridCol w:w="3652"/>
      </w:tblGrid>
      <w:tr w:rsidR="004E161F" w:rsidRPr="00DC33EA" w14:paraId="1D96B4D9" w14:textId="77777777" w:rsidTr="00F26277">
        <w:tc>
          <w:tcPr>
            <w:tcW w:w="1088" w:type="pct"/>
          </w:tcPr>
          <w:p w14:paraId="46DB014C" w14:textId="77777777" w:rsidR="004E161F" w:rsidRPr="00DC33EA" w:rsidRDefault="004E161F" w:rsidP="00F26277">
            <w:pPr>
              <w:spacing w:after="120" w:line="240" w:lineRule="auto"/>
              <w:jc w:val="both"/>
              <w:rPr>
                <w:rFonts w:ascii="Times New Roman" w:eastAsia="Times New Roman" w:hAnsi="Times New Roman" w:cs="Times New Roman"/>
                <w:b/>
                <w:bCs/>
              </w:rPr>
            </w:pPr>
            <w:r w:rsidRPr="00DC33EA">
              <w:rPr>
                <w:rFonts w:ascii="Times New Roman" w:eastAsia="Times New Roman" w:hAnsi="Times New Roman" w:cs="Times New Roman"/>
                <w:b/>
                <w:bCs/>
              </w:rPr>
              <w:t>Numer reformy</w:t>
            </w:r>
          </w:p>
        </w:tc>
        <w:tc>
          <w:tcPr>
            <w:tcW w:w="3912" w:type="pct"/>
            <w:gridSpan w:val="2"/>
          </w:tcPr>
          <w:p w14:paraId="5ACDA097" w14:textId="377EA1EF" w:rsidR="004E161F" w:rsidRPr="00DC33EA" w:rsidRDefault="004E161F" w:rsidP="00F26277">
            <w:pPr>
              <w:spacing w:after="120" w:line="240" w:lineRule="auto"/>
              <w:jc w:val="both"/>
              <w:rPr>
                <w:rFonts w:ascii="Times New Roman" w:eastAsia="Times New Roman" w:hAnsi="Times New Roman" w:cs="Times New Roman"/>
                <w:b/>
                <w:bCs/>
              </w:rPr>
            </w:pPr>
            <w:r w:rsidRPr="00DC33EA">
              <w:rPr>
                <w:rFonts w:ascii="Times New Roman" w:eastAsia="Times New Roman" w:hAnsi="Times New Roman" w:cs="Times New Roman"/>
                <w:b/>
                <w:bCs/>
              </w:rPr>
              <w:t>C2.1</w:t>
            </w:r>
            <w:r w:rsidR="00A6662A">
              <w:rPr>
                <w:rFonts w:ascii="Times New Roman" w:eastAsia="Times New Roman" w:hAnsi="Times New Roman" w:cs="Times New Roman"/>
                <w:b/>
                <w:bCs/>
              </w:rPr>
              <w:t>.</w:t>
            </w:r>
          </w:p>
        </w:tc>
      </w:tr>
      <w:tr w:rsidR="004E161F" w:rsidRPr="00DC33EA" w14:paraId="6AB8A7D7" w14:textId="77777777" w:rsidTr="00F26277">
        <w:tc>
          <w:tcPr>
            <w:tcW w:w="1088" w:type="pct"/>
          </w:tcPr>
          <w:p w14:paraId="39A4A334" w14:textId="77777777" w:rsidR="004E161F" w:rsidRPr="00DC33EA" w:rsidRDefault="004E161F" w:rsidP="00F26277">
            <w:pPr>
              <w:spacing w:after="120" w:line="240" w:lineRule="auto"/>
              <w:jc w:val="both"/>
              <w:rPr>
                <w:rFonts w:ascii="Times New Roman" w:eastAsia="Times New Roman" w:hAnsi="Times New Roman" w:cs="Times New Roman"/>
                <w:b/>
                <w:bCs/>
              </w:rPr>
            </w:pPr>
            <w:r w:rsidRPr="00DC33EA">
              <w:rPr>
                <w:rFonts w:ascii="Times New Roman" w:eastAsia="Times New Roman" w:hAnsi="Times New Roman" w:cs="Times New Roman"/>
                <w:b/>
                <w:bCs/>
              </w:rPr>
              <w:t>Nazwa reformy</w:t>
            </w:r>
          </w:p>
        </w:tc>
        <w:tc>
          <w:tcPr>
            <w:tcW w:w="3912" w:type="pct"/>
            <w:gridSpan w:val="2"/>
          </w:tcPr>
          <w:p w14:paraId="7C15C878" w14:textId="77777777" w:rsidR="004E161F" w:rsidRPr="00DC33EA" w:rsidRDefault="004E161F" w:rsidP="00F26277">
            <w:pPr>
              <w:spacing w:after="120" w:line="240" w:lineRule="auto"/>
              <w:jc w:val="both"/>
              <w:rPr>
                <w:rFonts w:ascii="Times New Roman" w:eastAsia="Times New Roman" w:hAnsi="Times New Roman" w:cs="Times New Roman"/>
                <w:b/>
                <w:bCs/>
              </w:rPr>
            </w:pPr>
            <w:r w:rsidRPr="00DC33EA">
              <w:rPr>
                <w:rFonts w:ascii="Times New Roman" w:eastAsia="Times New Roman" w:hAnsi="Times New Roman" w:cs="Times New Roman"/>
                <w:b/>
                <w:bCs/>
              </w:rPr>
              <w:t>Zwiększenie skali zastosowań rozwiązań cyfrowych w sferze publicznej, gospodarce i społeczeństwie</w:t>
            </w:r>
          </w:p>
        </w:tc>
      </w:tr>
      <w:tr w:rsidR="004E161F" w:rsidRPr="00DC33EA" w14:paraId="5D43236C" w14:textId="77777777" w:rsidTr="00F26277">
        <w:tc>
          <w:tcPr>
            <w:tcW w:w="1088" w:type="pct"/>
            <w:shd w:val="clear" w:color="auto" w:fill="auto"/>
          </w:tcPr>
          <w:p w14:paraId="490BD3DF" w14:textId="77777777" w:rsidR="004E161F" w:rsidRPr="00DC33EA"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Times New Roman"/>
              </w:rPr>
              <w:t xml:space="preserve">Rodzaj wprowadzonej </w:t>
            </w:r>
            <w:r w:rsidRPr="00DC33EA">
              <w:rPr>
                <w:rFonts w:ascii="Times New Roman" w:eastAsia="Times New Roman" w:hAnsi="Times New Roman" w:cs="Times New Roman"/>
              </w:rPr>
              <w:lastRenderedPageBreak/>
              <w:t>zmiany w odniesieniu do CID</w:t>
            </w:r>
          </w:p>
        </w:tc>
        <w:tc>
          <w:tcPr>
            <w:tcW w:w="3912" w:type="pct"/>
            <w:gridSpan w:val="2"/>
            <w:shd w:val="clear" w:color="auto" w:fill="auto"/>
          </w:tcPr>
          <w:p w14:paraId="65CBFA03" w14:textId="650B857C" w:rsidR="004E161F" w:rsidRPr="00DC33EA"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Times New Roman"/>
              </w:rPr>
              <w:lastRenderedPageBreak/>
              <w:t xml:space="preserve">Przesunięcie terminu realizacji </w:t>
            </w:r>
            <w:r w:rsidR="00100CA1">
              <w:rPr>
                <w:rFonts w:ascii="Times New Roman" w:eastAsia="Times New Roman" w:hAnsi="Times New Roman" w:cs="Times New Roman"/>
              </w:rPr>
              <w:t>kamienia milowego</w:t>
            </w:r>
            <w:r w:rsidRPr="00DC33EA">
              <w:rPr>
                <w:rFonts w:ascii="Times New Roman" w:eastAsia="Times New Roman" w:hAnsi="Times New Roman" w:cs="Times New Roman"/>
              </w:rPr>
              <w:t xml:space="preserve"> </w:t>
            </w:r>
            <w:r w:rsidR="00100CA1">
              <w:rPr>
                <w:rFonts w:ascii="Times New Roman" w:eastAsia="Times New Roman" w:hAnsi="Times New Roman" w:cs="Times New Roman"/>
              </w:rPr>
              <w:t>C7G</w:t>
            </w:r>
            <w:r w:rsidR="008B5C0D">
              <w:rPr>
                <w:rFonts w:ascii="Times New Roman" w:eastAsia="Times New Roman" w:hAnsi="Times New Roman" w:cs="Times New Roman"/>
              </w:rPr>
              <w:t xml:space="preserve"> i C8G</w:t>
            </w:r>
          </w:p>
        </w:tc>
      </w:tr>
      <w:tr w:rsidR="004E161F" w:rsidRPr="00DC33EA" w14:paraId="04B3927E" w14:textId="77777777" w:rsidTr="00F26277">
        <w:tc>
          <w:tcPr>
            <w:tcW w:w="1088" w:type="pct"/>
            <w:shd w:val="clear" w:color="auto" w:fill="auto"/>
          </w:tcPr>
          <w:p w14:paraId="73B2DA5F" w14:textId="77777777" w:rsidR="004E161F" w:rsidRPr="00DC33EA"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Times New Roman"/>
              </w:rPr>
              <w:t>Podstawa prawna zmiany</w:t>
            </w:r>
          </w:p>
        </w:tc>
        <w:tc>
          <w:tcPr>
            <w:tcW w:w="3912" w:type="pct"/>
            <w:gridSpan w:val="2"/>
            <w:shd w:val="clear" w:color="auto" w:fill="auto"/>
          </w:tcPr>
          <w:p w14:paraId="2F705D2F" w14:textId="060CE32E" w:rsidR="004E161F" w:rsidRPr="00DC33EA" w:rsidRDefault="00AB48CE" w:rsidP="00F26277">
            <w:pPr>
              <w:spacing w:after="0" w:line="240" w:lineRule="auto"/>
              <w:rPr>
                <w:rFonts w:ascii="Times New Roman" w:eastAsia="Times New Roman" w:hAnsi="Times New Roman" w:cs="Times New Roman"/>
                <w:lang w:eastAsia="pl-PL"/>
              </w:rPr>
            </w:pPr>
            <w:r w:rsidRPr="00496F64">
              <w:rPr>
                <w:rFonts w:ascii="Times New Roman" w:hAnsi="Times New Roman" w:cs="Times New Roman"/>
              </w:rPr>
              <w:t>art. 21 rozporządzenia Parlamentu Europejskiego i Rady (UE) 2021/241 z dnia 12 lutego 2021 r. ustanawiające Instrument na rzecz Odbudowy i Zwiększania Odporności</w:t>
            </w:r>
            <w:r w:rsidRPr="00DC33EA" w:rsidDel="00AB48CE">
              <w:rPr>
                <w:rFonts w:ascii="Times New Roman" w:eastAsia="Times New Roman" w:hAnsi="Times New Roman" w:cs="Times New Roman"/>
                <w:lang w:eastAsia="pl-PL"/>
              </w:rPr>
              <w:t xml:space="preserve"> </w:t>
            </w:r>
          </w:p>
        </w:tc>
      </w:tr>
      <w:tr w:rsidR="004E161F" w:rsidRPr="00DC33EA" w14:paraId="6A4D678E" w14:textId="77777777" w:rsidTr="00F26277">
        <w:tc>
          <w:tcPr>
            <w:tcW w:w="1088" w:type="pct"/>
            <w:shd w:val="clear" w:color="auto" w:fill="D9D9D9"/>
          </w:tcPr>
          <w:p w14:paraId="7807AB03" w14:textId="77777777" w:rsidR="004E161F" w:rsidRPr="00DC33EA" w:rsidRDefault="004E161F" w:rsidP="00F26277">
            <w:pPr>
              <w:spacing w:after="120" w:line="240" w:lineRule="auto"/>
              <w:jc w:val="both"/>
              <w:rPr>
                <w:rFonts w:ascii="Times New Roman" w:eastAsia="Times New Roman" w:hAnsi="Times New Roman" w:cs="Times New Roman"/>
                <w:highlight w:val="lightGray"/>
              </w:rPr>
            </w:pPr>
            <w:r w:rsidRPr="00DC33EA">
              <w:rPr>
                <w:rFonts w:ascii="Times New Roman" w:eastAsia="Times New Roman" w:hAnsi="Times New Roman" w:cs="Times New Roman"/>
                <w:highlight w:val="lightGray"/>
              </w:rPr>
              <w:t>Modyfikowany element</w:t>
            </w:r>
          </w:p>
        </w:tc>
        <w:tc>
          <w:tcPr>
            <w:tcW w:w="1897" w:type="pct"/>
            <w:shd w:val="clear" w:color="auto" w:fill="D9D9D9"/>
          </w:tcPr>
          <w:p w14:paraId="5938779E" w14:textId="77777777" w:rsidR="004E161F" w:rsidRPr="00DC33EA" w:rsidRDefault="004E161F" w:rsidP="00F26277">
            <w:pPr>
              <w:spacing w:after="120" w:line="240" w:lineRule="auto"/>
              <w:jc w:val="both"/>
              <w:rPr>
                <w:rFonts w:ascii="Times New Roman" w:eastAsia="Times New Roman" w:hAnsi="Times New Roman" w:cs="Times New Roman"/>
                <w:highlight w:val="lightGray"/>
              </w:rPr>
            </w:pPr>
            <w:r w:rsidRPr="00DC33EA">
              <w:rPr>
                <w:rFonts w:ascii="Times New Roman" w:eastAsia="Times New Roman" w:hAnsi="Times New Roman" w:cs="Times New Roman"/>
                <w:highlight w:val="lightGray"/>
              </w:rPr>
              <w:t>Bieżąca wersja</w:t>
            </w:r>
          </w:p>
        </w:tc>
        <w:tc>
          <w:tcPr>
            <w:tcW w:w="2015" w:type="pct"/>
            <w:shd w:val="clear" w:color="auto" w:fill="D9D9D9"/>
          </w:tcPr>
          <w:p w14:paraId="6651C708" w14:textId="77777777" w:rsidR="004E161F" w:rsidRPr="00DC33EA" w:rsidRDefault="004E161F" w:rsidP="00F26277">
            <w:pPr>
              <w:spacing w:after="120" w:line="240" w:lineRule="auto"/>
              <w:jc w:val="both"/>
              <w:rPr>
                <w:rFonts w:ascii="Times New Roman" w:eastAsia="Times New Roman" w:hAnsi="Times New Roman" w:cs="Times New Roman"/>
                <w:highlight w:val="lightGray"/>
              </w:rPr>
            </w:pPr>
            <w:r w:rsidRPr="00DC33EA">
              <w:rPr>
                <w:rFonts w:ascii="Times New Roman" w:eastAsia="Times New Roman" w:hAnsi="Times New Roman" w:cs="Times New Roman"/>
                <w:highlight w:val="lightGray"/>
              </w:rPr>
              <w:t>Wersja zmieniona</w:t>
            </w:r>
          </w:p>
        </w:tc>
      </w:tr>
      <w:tr w:rsidR="004E161F" w:rsidRPr="00DC33EA" w14:paraId="48515A42" w14:textId="77777777" w:rsidTr="00100CA1">
        <w:trPr>
          <w:trHeight w:val="141"/>
        </w:trPr>
        <w:tc>
          <w:tcPr>
            <w:tcW w:w="1088" w:type="pct"/>
          </w:tcPr>
          <w:p w14:paraId="368A90C6" w14:textId="77777777" w:rsidR="004E161F" w:rsidRPr="00DC33EA"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Times New Roman"/>
              </w:rPr>
              <w:t>Opis komponentu oraz/lub działania (inwestycji/reformy)</w:t>
            </w:r>
          </w:p>
        </w:tc>
        <w:tc>
          <w:tcPr>
            <w:tcW w:w="1897" w:type="pct"/>
          </w:tcPr>
          <w:p w14:paraId="7CE0BBC4" w14:textId="37741C3A" w:rsidR="004E161F" w:rsidRPr="00DC33EA"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Times New Roman"/>
              </w:rPr>
              <w:t>C7G Zmiana ustawy z dnia 17 lutego 2005 r. o informatyzacji działalności podmiotów realizujących zadania publiczne pod kątem wprowadzania domyślności cyfrowej postaci dokumentów i elektronicznej formy usług oraz cyfryzacji procesów administracyjnych.</w:t>
            </w:r>
          </w:p>
          <w:p w14:paraId="546790DA" w14:textId="77777777" w:rsidR="008B5C0D" w:rsidRDefault="004E161F" w:rsidP="008B5C0D">
            <w:pPr>
              <w:spacing w:after="120" w:line="240" w:lineRule="auto"/>
              <w:rPr>
                <w:rFonts w:ascii="Times New Roman" w:hAnsi="Times New Roman" w:cs="Times New Roman"/>
              </w:rPr>
            </w:pPr>
            <w:r w:rsidRPr="00DC33EA">
              <w:rPr>
                <w:rFonts w:ascii="Times New Roman" w:eastAsia="Times New Roman" w:hAnsi="Times New Roman" w:cs="Times New Roman"/>
              </w:rPr>
              <w:t>Termin realizacji: IV kwartał 2023 r</w:t>
            </w:r>
            <w:r w:rsidR="008B5C0D" w:rsidRPr="00496F64">
              <w:rPr>
                <w:rFonts w:ascii="Times New Roman" w:hAnsi="Times New Roman" w:cs="Times New Roman"/>
              </w:rPr>
              <w:t xml:space="preserve"> </w:t>
            </w:r>
          </w:p>
          <w:p w14:paraId="3E24D423" w14:textId="77777777" w:rsidR="008B5C0D" w:rsidRDefault="008B5C0D" w:rsidP="008B5C0D">
            <w:pPr>
              <w:spacing w:after="120" w:line="240" w:lineRule="auto"/>
              <w:rPr>
                <w:rFonts w:ascii="Times New Roman" w:hAnsi="Times New Roman" w:cs="Times New Roman"/>
              </w:rPr>
            </w:pPr>
          </w:p>
          <w:p w14:paraId="76207578" w14:textId="7C28ECF6" w:rsidR="008B5C0D" w:rsidRDefault="008B5C0D" w:rsidP="005C5922">
            <w:pPr>
              <w:spacing w:after="120" w:line="240" w:lineRule="auto"/>
              <w:rPr>
                <w:rFonts w:ascii="Times New Roman" w:hAnsi="Times New Roman" w:cs="Times New Roman"/>
              </w:rPr>
            </w:pPr>
            <w:r w:rsidRPr="00496F64">
              <w:rPr>
                <w:rFonts w:ascii="Times New Roman" w:hAnsi="Times New Roman" w:cs="Times New Roman"/>
              </w:rPr>
              <w:t>C</w:t>
            </w:r>
            <w:r>
              <w:rPr>
                <w:rFonts w:ascii="Times New Roman" w:hAnsi="Times New Roman" w:cs="Times New Roman"/>
              </w:rPr>
              <w:t>8</w:t>
            </w:r>
            <w:r w:rsidRPr="00496F64">
              <w:rPr>
                <w:rFonts w:ascii="Times New Roman" w:hAnsi="Times New Roman" w:cs="Times New Roman"/>
              </w:rPr>
              <w:t xml:space="preserve">G </w:t>
            </w:r>
            <w:r w:rsidRPr="0001204B">
              <w:rPr>
                <w:rFonts w:ascii="Times New Roman" w:hAnsi="Times New Roman" w:cs="Times New Roman"/>
              </w:rPr>
              <w:t>Zmiana ustawy z dnia 11 marca 2004 r. o podatku od towarów i usług (stosowanie faktur ustrukturyzowanych) - wprowadzenie do obrotu gospodarczego ustrukturyzowanych faktur elektronicznych oraz obowiązku ich wystawiania i otrzymywania za pośrednictwem Krajowego Systemu e-faktur</w:t>
            </w:r>
            <w:r w:rsidRPr="0001204B">
              <w:rPr>
                <w:rFonts w:ascii="Times New Roman" w:hAnsi="Times New Roman" w:cs="Times New Roman"/>
                <w:i/>
                <w:iCs/>
              </w:rPr>
              <w:t>.</w:t>
            </w:r>
          </w:p>
          <w:p w14:paraId="3DB84D91" w14:textId="19BD8AE6" w:rsidR="004E161F" w:rsidRPr="00DC33EA" w:rsidRDefault="008B5C0D" w:rsidP="00F26277">
            <w:pPr>
              <w:spacing w:after="120" w:line="240" w:lineRule="auto"/>
              <w:jc w:val="both"/>
              <w:rPr>
                <w:rFonts w:ascii="Times New Roman" w:eastAsia="Times New Roman" w:hAnsi="Times New Roman" w:cs="Times New Roman"/>
              </w:rPr>
            </w:pPr>
            <w:r w:rsidRPr="00496F64">
              <w:rPr>
                <w:rFonts w:ascii="Times New Roman" w:hAnsi="Times New Roman" w:cs="Times New Roman"/>
              </w:rPr>
              <w:t>Termin realizacji: I</w:t>
            </w:r>
            <w:r>
              <w:rPr>
                <w:rFonts w:ascii="Times New Roman" w:hAnsi="Times New Roman" w:cs="Times New Roman"/>
              </w:rPr>
              <w:t>I</w:t>
            </w:r>
            <w:r w:rsidRPr="00496F64">
              <w:rPr>
                <w:rFonts w:ascii="Times New Roman" w:hAnsi="Times New Roman" w:cs="Times New Roman"/>
              </w:rPr>
              <w:t xml:space="preserve"> kwartał 2022 r.</w:t>
            </w:r>
          </w:p>
        </w:tc>
        <w:tc>
          <w:tcPr>
            <w:tcW w:w="2015" w:type="pct"/>
          </w:tcPr>
          <w:p w14:paraId="628479F5" w14:textId="178646F7" w:rsidR="004E161F" w:rsidRPr="00DC33EA"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Times New Roman"/>
              </w:rPr>
              <w:t>C7G Zmiana ustawy z dnia 17 lutego 2005 r. o informatyzacji działalności podmiotów realizujących zadania publiczne pod kątem wprowadzania domyślności cyfrowej postaci dokumentów i elektronicznej formy usług oraz cyfryzacji procesów administracyjnych.</w:t>
            </w:r>
          </w:p>
          <w:p w14:paraId="4770E9CD" w14:textId="155D280E" w:rsidR="008B5C0D" w:rsidRDefault="004E161F" w:rsidP="008B5C0D">
            <w:pPr>
              <w:spacing w:after="120" w:line="240" w:lineRule="auto"/>
              <w:jc w:val="both"/>
              <w:rPr>
                <w:rFonts w:ascii="Times New Roman" w:hAnsi="Times New Roman" w:cs="Times New Roman"/>
              </w:rPr>
            </w:pPr>
            <w:r w:rsidRPr="00DC33EA">
              <w:rPr>
                <w:rFonts w:ascii="Times New Roman" w:eastAsia="Times New Roman" w:hAnsi="Times New Roman" w:cs="Times New Roman"/>
              </w:rPr>
              <w:br/>
              <w:t xml:space="preserve">Termin realizacji: </w:t>
            </w:r>
            <w:r w:rsidRPr="00DC33EA">
              <w:rPr>
                <w:rFonts w:ascii="Times New Roman" w:eastAsia="Times New Roman" w:hAnsi="Times New Roman" w:cs="Times New Roman"/>
                <w:color w:val="FF0000"/>
              </w:rPr>
              <w:t>IV kwartał 202</w:t>
            </w:r>
            <w:r>
              <w:rPr>
                <w:rFonts w:ascii="Times New Roman" w:eastAsia="Times New Roman" w:hAnsi="Times New Roman" w:cs="Times New Roman"/>
                <w:color w:val="FF0000"/>
              </w:rPr>
              <w:t>4</w:t>
            </w:r>
            <w:r w:rsidRPr="00DC33EA">
              <w:rPr>
                <w:rFonts w:ascii="Times New Roman" w:eastAsia="Times New Roman" w:hAnsi="Times New Roman" w:cs="Times New Roman"/>
                <w:color w:val="FF0000"/>
              </w:rPr>
              <w:t xml:space="preserve"> r.</w:t>
            </w:r>
          </w:p>
          <w:p w14:paraId="4A9974F6" w14:textId="49179346" w:rsidR="002F2DFC" w:rsidRPr="005C5922" w:rsidRDefault="008B5C0D" w:rsidP="008B5C0D">
            <w:pPr>
              <w:spacing w:after="120" w:line="240" w:lineRule="auto"/>
              <w:jc w:val="both"/>
              <w:rPr>
                <w:rFonts w:ascii="Times New Roman" w:eastAsia="Times New Roman" w:hAnsi="Times New Roman" w:cs="Times New Roman"/>
                <w:color w:val="FF0000"/>
              </w:rPr>
            </w:pPr>
            <w:r w:rsidRPr="00496F64">
              <w:rPr>
                <w:rFonts w:ascii="Times New Roman" w:hAnsi="Times New Roman" w:cs="Times New Roman"/>
              </w:rPr>
              <w:t>C</w:t>
            </w:r>
            <w:r>
              <w:rPr>
                <w:rFonts w:ascii="Times New Roman" w:hAnsi="Times New Roman" w:cs="Times New Roman"/>
              </w:rPr>
              <w:t>8</w:t>
            </w:r>
            <w:r w:rsidRPr="00496F64">
              <w:rPr>
                <w:rFonts w:ascii="Times New Roman" w:hAnsi="Times New Roman" w:cs="Times New Roman"/>
              </w:rPr>
              <w:t xml:space="preserve">G </w:t>
            </w:r>
            <w:r w:rsidRPr="0001204B">
              <w:rPr>
                <w:rFonts w:ascii="Times New Roman" w:hAnsi="Times New Roman" w:cs="Times New Roman"/>
              </w:rPr>
              <w:t>Zmiana ustawy z dnia 11 marca 2004 r. o podatku od towarów i usług (stosowanie faktur ustrukturyzowanych) - wprowadzenie do obrotu gospodarczego ustrukturyzowanych faktur elektronicznych oraz obowiązku ich wystawiania i otrzymywania za</w:t>
            </w:r>
            <w:r>
              <w:rPr>
                <w:rFonts w:ascii="Times New Roman" w:hAnsi="Times New Roman" w:cs="Times New Roman"/>
              </w:rPr>
              <w:t xml:space="preserve"> </w:t>
            </w:r>
            <w:r w:rsidRPr="0001204B">
              <w:rPr>
                <w:rFonts w:ascii="Times New Roman" w:hAnsi="Times New Roman" w:cs="Times New Roman"/>
              </w:rPr>
              <w:t>pośrednictwem Krajowego Systemu e-faktur</w:t>
            </w:r>
            <w:r w:rsidRPr="0001204B">
              <w:rPr>
                <w:rFonts w:ascii="Times New Roman" w:hAnsi="Times New Roman" w:cs="Times New Roman"/>
                <w:i/>
                <w:iCs/>
              </w:rPr>
              <w:t>.</w:t>
            </w:r>
          </w:p>
          <w:p w14:paraId="4814280D" w14:textId="0A6D9C56" w:rsidR="004E161F" w:rsidRPr="00DC33EA" w:rsidRDefault="008B5C0D" w:rsidP="008B5C0D">
            <w:pPr>
              <w:spacing w:after="120" w:line="240" w:lineRule="auto"/>
              <w:jc w:val="both"/>
              <w:rPr>
                <w:rFonts w:ascii="Times New Roman" w:eastAsia="Times New Roman" w:hAnsi="Times New Roman" w:cs="Times New Roman"/>
              </w:rPr>
            </w:pPr>
            <w:r w:rsidRPr="00496F64">
              <w:rPr>
                <w:rFonts w:ascii="Times New Roman" w:hAnsi="Times New Roman" w:cs="Times New Roman"/>
              </w:rPr>
              <w:t xml:space="preserve">Termin realizacji: </w:t>
            </w:r>
            <w:r w:rsidRPr="00496F64">
              <w:rPr>
                <w:rFonts w:ascii="Times New Roman" w:hAnsi="Times New Roman" w:cs="Times New Roman"/>
                <w:color w:val="FF0000"/>
              </w:rPr>
              <w:t>IV kwartał 202</w:t>
            </w:r>
            <w:r>
              <w:rPr>
                <w:rFonts w:ascii="Times New Roman" w:hAnsi="Times New Roman" w:cs="Times New Roman"/>
                <w:color w:val="FF0000"/>
              </w:rPr>
              <w:t>5</w:t>
            </w:r>
            <w:r w:rsidRPr="00496F64">
              <w:rPr>
                <w:rFonts w:ascii="Times New Roman" w:hAnsi="Times New Roman" w:cs="Times New Roman"/>
                <w:color w:val="FF0000"/>
              </w:rPr>
              <w:t xml:space="preserve"> r.</w:t>
            </w:r>
            <w:r w:rsidRPr="00496F64">
              <w:rPr>
                <w:rFonts w:ascii="Times New Roman" w:hAnsi="Times New Roman" w:cs="Times New Roman"/>
              </w:rPr>
              <w:t xml:space="preserve"> </w:t>
            </w:r>
          </w:p>
        </w:tc>
      </w:tr>
      <w:tr w:rsidR="004E161F" w:rsidRPr="00DC33EA" w14:paraId="4AFDFEB8" w14:textId="77777777" w:rsidTr="00F26277">
        <w:tc>
          <w:tcPr>
            <w:tcW w:w="1088" w:type="pct"/>
          </w:tcPr>
          <w:p w14:paraId="77C14D21" w14:textId="77777777" w:rsidR="004E161F" w:rsidRPr="00DC33EA"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Times New Roman"/>
              </w:rPr>
              <w:t>Uzasadnienie</w:t>
            </w:r>
          </w:p>
        </w:tc>
        <w:tc>
          <w:tcPr>
            <w:tcW w:w="3912" w:type="pct"/>
            <w:gridSpan w:val="2"/>
          </w:tcPr>
          <w:p w14:paraId="03049256" w14:textId="77777777" w:rsidR="008B5C0D" w:rsidRDefault="008B5C0D" w:rsidP="00F26277">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C7G</w:t>
            </w:r>
          </w:p>
          <w:p w14:paraId="6A6D4BBD" w14:textId="4057F9FD" w:rsidR="004E161F"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Times New Roman"/>
              </w:rPr>
              <w:t>W związku z zakończeniem kadencji Rady Ministrów i przekazaniem ad acta projektów wniesionych do rozpatrzenia przez Zespół do spraw Programowania Prac Rządu, w stosunku do których ww. Zespół nie zakończył prac, MC przygot</w:t>
            </w:r>
            <w:r w:rsidR="00100CA1">
              <w:rPr>
                <w:rFonts w:ascii="Times New Roman" w:eastAsia="Times New Roman" w:hAnsi="Times New Roman" w:cs="Times New Roman"/>
              </w:rPr>
              <w:t xml:space="preserve">owuje </w:t>
            </w:r>
            <w:r w:rsidRPr="00DC33EA">
              <w:rPr>
                <w:rFonts w:ascii="Times New Roman" w:eastAsia="Times New Roman" w:hAnsi="Times New Roman" w:cs="Times New Roman"/>
              </w:rPr>
              <w:t>nowy wniosek o wpis projektu ustawy do wykazu prac legislacyjnych i programowych Rady Ministrów. Po uzyskaniu wpisu nastąpi rozpoczęcie procesu legislacyjnego. Zakończenie prac legislacyjnych i skierowanie projektu do Sejmu zaplanowano na III kwartał 2024 r. MC planuje realizację kamienia milowego, tj. wejście w życie ustawy, w IV kw. 2024 r.</w:t>
            </w:r>
          </w:p>
          <w:p w14:paraId="3B8E8AAB" w14:textId="77777777" w:rsidR="008B5C0D" w:rsidRDefault="008B5C0D" w:rsidP="00F26277">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C8G</w:t>
            </w:r>
          </w:p>
          <w:p w14:paraId="666A9331" w14:textId="77777777" w:rsidR="008B5C0D" w:rsidRPr="001700CE" w:rsidRDefault="008B5C0D" w:rsidP="005C5922">
            <w:pPr>
              <w:pStyle w:val="TekstpismaMF"/>
              <w:spacing w:before="0" w:after="120"/>
              <w:contextualSpacing w:val="0"/>
              <w:jc w:val="both"/>
              <w:rPr>
                <w:rFonts w:ascii="Times New Roman" w:hAnsi="Times New Roman" w:cs="Times New Roman"/>
              </w:rPr>
            </w:pPr>
            <w:r w:rsidRPr="001700CE">
              <w:rPr>
                <w:rFonts w:ascii="Times New Roman" w:hAnsi="Times New Roman" w:cs="Times New Roman"/>
              </w:rPr>
              <w:t>Ministerstwo Finansów podejmuje działania w celu zapewnienia osiągnięcia dojrzałości Krajowego Systemu e-Faktur (</w:t>
            </w:r>
            <w:proofErr w:type="spellStart"/>
            <w:r w:rsidRPr="001700CE">
              <w:rPr>
                <w:rFonts w:ascii="Times New Roman" w:hAnsi="Times New Roman" w:cs="Times New Roman"/>
              </w:rPr>
              <w:t>KSeF</w:t>
            </w:r>
            <w:proofErr w:type="spellEnd"/>
            <w:r w:rsidRPr="001700CE">
              <w:rPr>
                <w:rFonts w:ascii="Times New Roman" w:hAnsi="Times New Roman" w:cs="Times New Roman"/>
              </w:rPr>
              <w:t xml:space="preserve">) umożliwiające realizację obowiązków ustawowych przedsiębiorców z zastosowaniem </w:t>
            </w:r>
            <w:proofErr w:type="spellStart"/>
            <w:r w:rsidRPr="00D7176B">
              <w:rPr>
                <w:rFonts w:ascii="Times New Roman" w:hAnsi="Times New Roman" w:cs="Times New Roman"/>
              </w:rPr>
              <w:t>KSeF</w:t>
            </w:r>
            <w:proofErr w:type="spellEnd"/>
            <w:r w:rsidRPr="00D7176B">
              <w:rPr>
                <w:rFonts w:ascii="Times New Roman" w:hAnsi="Times New Roman" w:cs="Times New Roman"/>
              </w:rPr>
              <w:t>. Podczas testów wykryto problemy z wydajnością systemu co skutkowało zleceniem zewnętrznego audytu informatycznego, którego celem jest uzyskanie</w:t>
            </w:r>
            <w:r w:rsidRPr="001700CE">
              <w:rPr>
                <w:rFonts w:ascii="Times New Roman" w:hAnsi="Times New Roman" w:cs="Times New Roman"/>
              </w:rPr>
              <w:t xml:space="preserve"> analizy stanu realizacji wdrażanej usługi. </w:t>
            </w:r>
          </w:p>
          <w:p w14:paraId="219DAD2C" w14:textId="77777777" w:rsidR="008B5C0D" w:rsidRPr="00D7176B" w:rsidRDefault="008B5C0D" w:rsidP="005C5922">
            <w:pPr>
              <w:pStyle w:val="TekstpismaMF"/>
              <w:spacing w:before="0" w:after="120"/>
              <w:contextualSpacing w:val="0"/>
              <w:jc w:val="both"/>
              <w:rPr>
                <w:rFonts w:ascii="Times New Roman" w:hAnsi="Times New Roman" w:cs="Times New Roman"/>
              </w:rPr>
            </w:pPr>
            <w:r w:rsidRPr="001700CE">
              <w:rPr>
                <w:rFonts w:ascii="Times New Roman" w:hAnsi="Times New Roman" w:cs="Times New Roman"/>
              </w:rPr>
              <w:t xml:space="preserve">Sytuacją, która dodatkowo wpływa na kwestię przesunięcia wejścia w życie obowiązku stosowania </w:t>
            </w:r>
            <w:proofErr w:type="spellStart"/>
            <w:r w:rsidRPr="001700CE">
              <w:rPr>
                <w:rFonts w:ascii="Times New Roman" w:hAnsi="Times New Roman" w:cs="Times New Roman"/>
              </w:rPr>
              <w:t>KSeF</w:t>
            </w:r>
            <w:proofErr w:type="spellEnd"/>
            <w:r w:rsidRPr="001700CE">
              <w:rPr>
                <w:rFonts w:ascii="Times New Roman" w:hAnsi="Times New Roman" w:cs="Times New Roman"/>
              </w:rPr>
              <w:t xml:space="preserve"> jest w szczególności brak gotowości po stronie przedsiębiorców do wdrożenia nowych obowiązków prawnych (pomimo prowadzonej przez Ministerstwo Finansów oraz Krajową Administrację Skarbową akcji konferencji, spotkań i szkoleń). </w:t>
            </w:r>
            <w:r>
              <w:rPr>
                <w:rFonts w:ascii="Times New Roman" w:hAnsi="Times New Roman" w:cs="Times New Roman"/>
              </w:rPr>
              <w:t>Na b</w:t>
            </w:r>
            <w:r w:rsidRPr="001700CE">
              <w:rPr>
                <w:rFonts w:ascii="Times New Roman" w:hAnsi="Times New Roman" w:cs="Times New Roman"/>
              </w:rPr>
              <w:t xml:space="preserve">rak przygotowania </w:t>
            </w:r>
            <w:r w:rsidRPr="001700CE">
              <w:rPr>
                <w:rFonts w:ascii="Times New Roman" w:hAnsi="Times New Roman" w:cs="Times New Roman"/>
              </w:rPr>
              <w:lastRenderedPageBreak/>
              <w:t xml:space="preserve">przedsiębiorców do wdrożenia </w:t>
            </w:r>
            <w:r w:rsidRPr="00D7176B">
              <w:rPr>
                <w:rFonts w:ascii="Times New Roman" w:hAnsi="Times New Roman" w:cs="Times New Roman"/>
              </w:rPr>
              <w:t xml:space="preserve">obowiązków użytkowania </w:t>
            </w:r>
            <w:proofErr w:type="spellStart"/>
            <w:r w:rsidRPr="00D7176B">
              <w:rPr>
                <w:rFonts w:ascii="Times New Roman" w:hAnsi="Times New Roman" w:cs="Times New Roman"/>
              </w:rPr>
              <w:t>KSeF</w:t>
            </w:r>
            <w:proofErr w:type="spellEnd"/>
            <w:r w:rsidRPr="00D7176B">
              <w:rPr>
                <w:rFonts w:ascii="Times New Roman" w:hAnsi="Times New Roman" w:cs="Times New Roman"/>
              </w:rPr>
              <w:t xml:space="preserve"> wskazuje również Krajowa Izba Biur Rachunkowych. W przeprowadzonych ankietach na temat </w:t>
            </w:r>
            <w:proofErr w:type="spellStart"/>
            <w:r w:rsidRPr="00D7176B">
              <w:rPr>
                <w:rFonts w:ascii="Times New Roman" w:hAnsi="Times New Roman" w:cs="Times New Roman"/>
              </w:rPr>
              <w:t>KSeF</w:t>
            </w:r>
            <w:proofErr w:type="spellEnd"/>
            <w:r w:rsidRPr="00D7176B">
              <w:rPr>
                <w:rFonts w:ascii="Times New Roman" w:hAnsi="Times New Roman" w:cs="Times New Roman"/>
              </w:rPr>
              <w:t xml:space="preserve"> przeprowadzonych wśród zrzeszonych w Izbie biur rachunkowych, na pytanie, czy przedsiębiorcy, których obsługuje ankietowane biuro rachunkowe są przygotowani do wdrożenia </w:t>
            </w:r>
            <w:proofErr w:type="spellStart"/>
            <w:r w:rsidRPr="00D7176B">
              <w:rPr>
                <w:rFonts w:ascii="Times New Roman" w:hAnsi="Times New Roman" w:cs="Times New Roman"/>
              </w:rPr>
              <w:t>KSeF</w:t>
            </w:r>
            <w:proofErr w:type="spellEnd"/>
            <w:r w:rsidRPr="00D7176B">
              <w:rPr>
                <w:rFonts w:ascii="Times New Roman" w:hAnsi="Times New Roman" w:cs="Times New Roman"/>
              </w:rPr>
              <w:t xml:space="preserve"> w terminie 1 lipca 2024 r. dominującą informacją zwrotną była odpowiedź negatywna.</w:t>
            </w:r>
          </w:p>
          <w:p w14:paraId="4DB8F0E2" w14:textId="390939D1" w:rsidR="008B5C0D" w:rsidRPr="00DC33EA" w:rsidRDefault="008B5C0D" w:rsidP="008B5C0D">
            <w:pPr>
              <w:spacing w:after="120" w:line="240" w:lineRule="auto"/>
              <w:jc w:val="both"/>
              <w:rPr>
                <w:rFonts w:ascii="Times New Roman" w:eastAsia="Times New Roman" w:hAnsi="Times New Roman" w:cs="Times New Roman"/>
              </w:rPr>
            </w:pPr>
            <w:r w:rsidRPr="00D7176B">
              <w:rPr>
                <w:rFonts w:ascii="Times New Roman" w:hAnsi="Times New Roman" w:cs="Times New Roman"/>
              </w:rPr>
              <w:t xml:space="preserve">Problem w tym zakresie  był podnoszony również w piśmie Rzecznika Małych </w:t>
            </w:r>
            <w:r w:rsidRPr="00D7176B">
              <w:rPr>
                <w:rFonts w:ascii="Times New Roman" w:hAnsi="Times New Roman" w:cs="Times New Roman"/>
              </w:rPr>
              <w:br/>
              <w:t>i Średnich Przedsiębiorców, który odwoływał się do badania przeprowadzonego w III kwartale 2023 r. przez Ogólnopolską Sieć Certyfikowanych Biur Rachunkowych, pt.: ,,Biura rachunkowe</w:t>
            </w:r>
            <w:r w:rsidRPr="001700CE">
              <w:rPr>
                <w:rFonts w:ascii="Times New Roman" w:hAnsi="Times New Roman" w:cs="Times New Roman"/>
              </w:rPr>
              <w:t xml:space="preserve"> o wdrożeniu </w:t>
            </w:r>
            <w:proofErr w:type="spellStart"/>
            <w:r w:rsidRPr="001700CE">
              <w:rPr>
                <w:rFonts w:ascii="Times New Roman" w:hAnsi="Times New Roman" w:cs="Times New Roman"/>
              </w:rPr>
              <w:t>KSeF</w:t>
            </w:r>
            <w:proofErr w:type="spellEnd"/>
            <w:r w:rsidRPr="001700CE">
              <w:rPr>
                <w:rFonts w:ascii="Times New Roman" w:hAnsi="Times New Roman" w:cs="Times New Roman"/>
              </w:rPr>
              <w:t xml:space="preserve">: są obawy, ale też widać szansę na rozwój”, z którego wynika, że tylko 2,5 % biur rachunkowych deklaruje pełną gotowość do udziału w procedurze fakturowania w ramach </w:t>
            </w:r>
            <w:proofErr w:type="spellStart"/>
            <w:r w:rsidRPr="001700CE">
              <w:rPr>
                <w:rFonts w:ascii="Times New Roman" w:hAnsi="Times New Roman" w:cs="Times New Roman"/>
              </w:rPr>
              <w:t>KSeF</w:t>
            </w:r>
            <w:proofErr w:type="spellEnd"/>
            <w:r w:rsidRPr="001700CE">
              <w:rPr>
                <w:rFonts w:ascii="Times New Roman" w:hAnsi="Times New Roman" w:cs="Times New Roman"/>
              </w:rPr>
              <w:t xml:space="preserve">.  W ocenie Rzecznika Małych i Średnich Przedsiębiorców biorąc pod uwagę fakt, że profesjonalne podmioty (biura rachunkowe) w większości nie są przygotowane merytorycznie ani praktycznie do stosowania </w:t>
            </w:r>
            <w:proofErr w:type="spellStart"/>
            <w:r w:rsidRPr="001700CE">
              <w:rPr>
                <w:rFonts w:ascii="Times New Roman" w:hAnsi="Times New Roman" w:cs="Times New Roman"/>
              </w:rPr>
              <w:t>KSeF</w:t>
            </w:r>
            <w:proofErr w:type="spellEnd"/>
            <w:r w:rsidRPr="001700CE">
              <w:rPr>
                <w:rFonts w:ascii="Times New Roman" w:hAnsi="Times New Roman" w:cs="Times New Roman"/>
              </w:rPr>
              <w:t xml:space="preserve">, to tym bardziej nie są gotowi na wdrożenie </w:t>
            </w:r>
            <w:proofErr w:type="spellStart"/>
            <w:r w:rsidRPr="001700CE">
              <w:rPr>
                <w:rFonts w:ascii="Times New Roman" w:hAnsi="Times New Roman" w:cs="Times New Roman"/>
              </w:rPr>
              <w:t>KSeF</w:t>
            </w:r>
            <w:proofErr w:type="spellEnd"/>
            <w:r w:rsidRPr="001700CE">
              <w:rPr>
                <w:rFonts w:ascii="Times New Roman" w:hAnsi="Times New Roman" w:cs="Times New Roman"/>
              </w:rPr>
              <w:t xml:space="preserve"> podatnicy z sektora MŚP.</w:t>
            </w:r>
          </w:p>
        </w:tc>
      </w:tr>
      <w:tr w:rsidR="004E161F" w:rsidRPr="00DC33EA" w14:paraId="0C9948F4" w14:textId="77777777" w:rsidTr="00F26277">
        <w:tc>
          <w:tcPr>
            <w:tcW w:w="1088" w:type="pct"/>
          </w:tcPr>
          <w:p w14:paraId="0D21B2E9" w14:textId="77777777" w:rsidR="004E161F" w:rsidRPr="00DC33EA"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Times New Roman"/>
              </w:rPr>
              <w:lastRenderedPageBreak/>
              <w:t>Szacowany koszt</w:t>
            </w:r>
          </w:p>
        </w:tc>
        <w:tc>
          <w:tcPr>
            <w:tcW w:w="3912" w:type="pct"/>
            <w:gridSpan w:val="2"/>
          </w:tcPr>
          <w:p w14:paraId="60D954DB" w14:textId="77777777" w:rsidR="004E161F" w:rsidRPr="00DC33EA"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Calibri"/>
              </w:rPr>
              <w:t>Zmiana nie ma wpływu na szacowany koszt</w:t>
            </w:r>
          </w:p>
        </w:tc>
      </w:tr>
      <w:tr w:rsidR="004E161F" w:rsidRPr="00DC33EA" w14:paraId="7FEBADE2" w14:textId="77777777" w:rsidTr="00F26277">
        <w:tc>
          <w:tcPr>
            <w:tcW w:w="1088" w:type="pct"/>
          </w:tcPr>
          <w:p w14:paraId="6F9061A0" w14:textId="77777777" w:rsidR="004E161F" w:rsidRPr="00DC33EA"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Times New Roman"/>
              </w:rPr>
              <w:t xml:space="preserve">Klimatyczny i cyfrowy </w:t>
            </w:r>
            <w:proofErr w:type="spellStart"/>
            <w:r w:rsidRPr="00DC33EA">
              <w:rPr>
                <w:rFonts w:ascii="Times New Roman" w:eastAsia="Times New Roman" w:hAnsi="Times New Roman" w:cs="Times New Roman"/>
              </w:rPr>
              <w:t>tagging</w:t>
            </w:r>
            <w:proofErr w:type="spellEnd"/>
          </w:p>
        </w:tc>
        <w:tc>
          <w:tcPr>
            <w:tcW w:w="3912" w:type="pct"/>
            <w:gridSpan w:val="2"/>
          </w:tcPr>
          <w:p w14:paraId="10FE1EAE" w14:textId="77777777" w:rsidR="004E161F" w:rsidRPr="00DC33EA"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Calibri"/>
              </w:rPr>
              <w:t xml:space="preserve">Zmiana nie ma wpływu na </w:t>
            </w:r>
            <w:proofErr w:type="spellStart"/>
            <w:r w:rsidRPr="00DC33EA">
              <w:rPr>
                <w:rFonts w:ascii="Times New Roman" w:eastAsia="Times New Roman" w:hAnsi="Times New Roman" w:cs="Calibri"/>
              </w:rPr>
              <w:t>tagging</w:t>
            </w:r>
            <w:proofErr w:type="spellEnd"/>
            <w:r w:rsidRPr="00DC33EA">
              <w:rPr>
                <w:rFonts w:ascii="Times New Roman" w:eastAsia="Times New Roman" w:hAnsi="Times New Roman" w:cs="Calibri"/>
              </w:rPr>
              <w:t xml:space="preserve"> klimatyczny i cyfrowy</w:t>
            </w:r>
          </w:p>
        </w:tc>
      </w:tr>
      <w:tr w:rsidR="004E161F" w:rsidRPr="00DC33EA" w14:paraId="3E8BDE06" w14:textId="77777777" w:rsidTr="00F26277">
        <w:tc>
          <w:tcPr>
            <w:tcW w:w="1088" w:type="pct"/>
          </w:tcPr>
          <w:p w14:paraId="0F7AAB8B" w14:textId="77777777" w:rsidR="004E161F" w:rsidRPr="00DC33EA"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Times New Roman"/>
              </w:rPr>
              <w:t xml:space="preserve">Ocena DNSH </w:t>
            </w:r>
          </w:p>
        </w:tc>
        <w:tc>
          <w:tcPr>
            <w:tcW w:w="3912" w:type="pct"/>
            <w:gridSpan w:val="2"/>
          </w:tcPr>
          <w:p w14:paraId="7013B176" w14:textId="77777777" w:rsidR="004E161F" w:rsidRPr="00DC33EA" w:rsidRDefault="004E161F" w:rsidP="00F26277">
            <w:pPr>
              <w:spacing w:after="120" w:line="240" w:lineRule="auto"/>
              <w:jc w:val="both"/>
              <w:rPr>
                <w:rFonts w:ascii="Times New Roman" w:eastAsia="Times New Roman" w:hAnsi="Times New Roman" w:cs="Times New Roman"/>
              </w:rPr>
            </w:pPr>
            <w:r w:rsidRPr="00DC33EA">
              <w:rPr>
                <w:rFonts w:ascii="Times New Roman" w:eastAsia="Times New Roman" w:hAnsi="Times New Roman" w:cs="Calibri"/>
              </w:rPr>
              <w:t>Zmiana nie ma wpływu na DNSH</w:t>
            </w:r>
          </w:p>
        </w:tc>
      </w:tr>
    </w:tbl>
    <w:p w14:paraId="6BEC9027" w14:textId="3AB3355B" w:rsidR="006B11FC" w:rsidRDefault="006B11FC" w:rsidP="00496F64">
      <w:pPr>
        <w:spacing w:after="120" w:line="240" w:lineRule="auto"/>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2"/>
        <w:gridCol w:w="3438"/>
        <w:gridCol w:w="3652"/>
      </w:tblGrid>
      <w:tr w:rsidR="006B11FC" w:rsidRPr="00496F64" w14:paraId="78A18143" w14:textId="77777777" w:rsidTr="00F26277">
        <w:tc>
          <w:tcPr>
            <w:tcW w:w="1088" w:type="pct"/>
          </w:tcPr>
          <w:p w14:paraId="4DA911B9" w14:textId="77777777" w:rsidR="006B11FC" w:rsidRPr="00496F64" w:rsidRDefault="006B11FC" w:rsidP="00F26277">
            <w:pPr>
              <w:spacing w:after="120" w:line="240" w:lineRule="auto"/>
              <w:rPr>
                <w:rFonts w:ascii="Times New Roman" w:hAnsi="Times New Roman" w:cs="Times New Roman"/>
                <w:b/>
                <w:bCs/>
              </w:rPr>
            </w:pPr>
            <w:r w:rsidRPr="00496F64">
              <w:rPr>
                <w:rFonts w:ascii="Times New Roman" w:hAnsi="Times New Roman" w:cs="Times New Roman"/>
                <w:b/>
                <w:bCs/>
              </w:rPr>
              <w:t>Numer reformy</w:t>
            </w:r>
          </w:p>
        </w:tc>
        <w:tc>
          <w:tcPr>
            <w:tcW w:w="3912" w:type="pct"/>
            <w:gridSpan w:val="2"/>
          </w:tcPr>
          <w:p w14:paraId="6A19BE2C" w14:textId="77C5DA8F" w:rsidR="006B11FC" w:rsidRPr="00496F64" w:rsidRDefault="006B11FC" w:rsidP="00F26277">
            <w:pPr>
              <w:spacing w:after="120" w:line="240" w:lineRule="auto"/>
              <w:rPr>
                <w:rFonts w:ascii="Times New Roman" w:hAnsi="Times New Roman" w:cs="Times New Roman"/>
                <w:b/>
                <w:bCs/>
              </w:rPr>
            </w:pPr>
            <w:r w:rsidRPr="00496F64">
              <w:rPr>
                <w:rFonts w:ascii="Times New Roman" w:hAnsi="Times New Roman" w:cs="Times New Roman"/>
                <w:b/>
                <w:bCs/>
              </w:rPr>
              <w:t>C3.1</w:t>
            </w:r>
            <w:r w:rsidR="00A6662A">
              <w:rPr>
                <w:rFonts w:ascii="Times New Roman" w:hAnsi="Times New Roman" w:cs="Times New Roman"/>
                <w:b/>
                <w:bCs/>
              </w:rPr>
              <w:t>.</w:t>
            </w:r>
          </w:p>
        </w:tc>
      </w:tr>
      <w:tr w:rsidR="006B11FC" w:rsidRPr="00496F64" w14:paraId="1D69E446" w14:textId="77777777" w:rsidTr="00F26277">
        <w:tc>
          <w:tcPr>
            <w:tcW w:w="1088" w:type="pct"/>
          </w:tcPr>
          <w:p w14:paraId="66E8DB07" w14:textId="77777777" w:rsidR="006B11FC" w:rsidRPr="00496F64" w:rsidRDefault="006B11FC" w:rsidP="00F26277">
            <w:pPr>
              <w:spacing w:after="120" w:line="240" w:lineRule="auto"/>
              <w:rPr>
                <w:rFonts w:ascii="Times New Roman" w:hAnsi="Times New Roman" w:cs="Times New Roman"/>
                <w:b/>
                <w:bCs/>
              </w:rPr>
            </w:pPr>
            <w:r w:rsidRPr="00496F64">
              <w:rPr>
                <w:rFonts w:ascii="Times New Roman" w:hAnsi="Times New Roman" w:cs="Times New Roman"/>
                <w:b/>
                <w:bCs/>
              </w:rPr>
              <w:t>Nazwa reformy</w:t>
            </w:r>
          </w:p>
        </w:tc>
        <w:tc>
          <w:tcPr>
            <w:tcW w:w="3912" w:type="pct"/>
            <w:gridSpan w:val="2"/>
          </w:tcPr>
          <w:p w14:paraId="0E2786C5" w14:textId="77777777" w:rsidR="006B11FC" w:rsidRPr="00496F64" w:rsidRDefault="006B11FC" w:rsidP="00F26277">
            <w:pPr>
              <w:spacing w:after="120" w:line="240" w:lineRule="auto"/>
              <w:rPr>
                <w:rFonts w:ascii="Times New Roman" w:hAnsi="Times New Roman" w:cs="Times New Roman"/>
                <w:b/>
                <w:bCs/>
              </w:rPr>
            </w:pPr>
            <w:r w:rsidRPr="00496F64">
              <w:rPr>
                <w:rFonts w:ascii="Times New Roman" w:hAnsi="Times New Roman" w:cs="Times New Roman"/>
                <w:b/>
                <w:bCs/>
              </w:rPr>
              <w:t xml:space="preserve">Zwiększenie </w:t>
            </w:r>
            <w:proofErr w:type="spellStart"/>
            <w:r w:rsidRPr="00496F64">
              <w:rPr>
                <w:rFonts w:ascii="Times New Roman" w:hAnsi="Times New Roman" w:cs="Times New Roman"/>
                <w:b/>
                <w:bCs/>
              </w:rPr>
              <w:t>cyberbezpieczeństwa</w:t>
            </w:r>
            <w:proofErr w:type="spellEnd"/>
            <w:r w:rsidRPr="00496F64">
              <w:rPr>
                <w:rFonts w:ascii="Times New Roman" w:hAnsi="Times New Roman" w:cs="Times New Roman"/>
                <w:b/>
                <w:bCs/>
              </w:rPr>
              <w:t xml:space="preserve"> systemów informacyjnych, wzmocnienie infrastruktury przetwarzania danych oraz optymalizacja infrastruktury organów ścigania</w:t>
            </w:r>
          </w:p>
        </w:tc>
      </w:tr>
      <w:tr w:rsidR="006B11FC" w:rsidRPr="00496F64" w14:paraId="1DC8BF51" w14:textId="77777777" w:rsidTr="00F26277">
        <w:tc>
          <w:tcPr>
            <w:tcW w:w="1088" w:type="pct"/>
            <w:shd w:val="clear" w:color="auto" w:fill="auto"/>
          </w:tcPr>
          <w:p w14:paraId="02670775" w14:textId="77777777"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Rodzaj wprowadzonej zmiany w odniesieniu do CID</w:t>
            </w:r>
          </w:p>
        </w:tc>
        <w:tc>
          <w:tcPr>
            <w:tcW w:w="3912" w:type="pct"/>
            <w:gridSpan w:val="2"/>
            <w:shd w:val="clear" w:color="auto" w:fill="auto"/>
          </w:tcPr>
          <w:p w14:paraId="4595C58E" w14:textId="509D8E2F"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Przesunięcie terminu realizacji</w:t>
            </w:r>
            <w:r w:rsidR="0060517A">
              <w:rPr>
                <w:rFonts w:ascii="Times New Roman" w:hAnsi="Times New Roman" w:cs="Times New Roman"/>
              </w:rPr>
              <w:t xml:space="preserve"> kamienia milowego C21G </w:t>
            </w:r>
            <w:r w:rsidR="00A6662A">
              <w:rPr>
                <w:rFonts w:ascii="Times New Roman" w:hAnsi="Times New Roman" w:cs="Times New Roman"/>
              </w:rPr>
              <w:t>i C22G</w:t>
            </w:r>
          </w:p>
        </w:tc>
      </w:tr>
      <w:tr w:rsidR="006B11FC" w:rsidRPr="00496F64" w14:paraId="580BBF0A" w14:textId="77777777" w:rsidTr="00F26277">
        <w:tc>
          <w:tcPr>
            <w:tcW w:w="1088" w:type="pct"/>
            <w:shd w:val="clear" w:color="auto" w:fill="auto"/>
          </w:tcPr>
          <w:p w14:paraId="39605207" w14:textId="77777777"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Podstawa prawna zmiany</w:t>
            </w:r>
          </w:p>
        </w:tc>
        <w:tc>
          <w:tcPr>
            <w:tcW w:w="3912" w:type="pct"/>
            <w:gridSpan w:val="2"/>
            <w:shd w:val="clear" w:color="auto" w:fill="auto"/>
          </w:tcPr>
          <w:p w14:paraId="3F37BAF2" w14:textId="45C4404A" w:rsidR="006B11FC" w:rsidRPr="00496F64" w:rsidRDefault="00AB48CE" w:rsidP="00F26277">
            <w:pPr>
              <w:spacing w:after="0" w:line="240" w:lineRule="auto"/>
              <w:rPr>
                <w:rFonts w:ascii="Times New Roman" w:hAnsi="Times New Roman" w:cs="Times New Roman"/>
                <w:lang w:eastAsia="pl-PL"/>
              </w:rPr>
            </w:pPr>
            <w:r w:rsidRPr="00496F64">
              <w:rPr>
                <w:rFonts w:ascii="Times New Roman" w:hAnsi="Times New Roman" w:cs="Times New Roman"/>
              </w:rPr>
              <w:t>art. 21 rozporządzenia Parlamentu Europejskiego i Rady (UE) 2021/241 z dnia 12 lutego 2021 r. ustanawiające Instrument na rzecz Odbudowy i Zwiększania Odporności</w:t>
            </w:r>
            <w:r w:rsidRPr="00496F64" w:rsidDel="00AB48CE">
              <w:rPr>
                <w:rFonts w:ascii="Times New Roman" w:hAnsi="Times New Roman" w:cs="Times New Roman"/>
                <w:lang w:eastAsia="pl-PL"/>
              </w:rPr>
              <w:t xml:space="preserve"> </w:t>
            </w:r>
          </w:p>
        </w:tc>
      </w:tr>
      <w:tr w:rsidR="006B11FC" w:rsidRPr="00496F64" w14:paraId="6E611189" w14:textId="77777777" w:rsidTr="00F26277">
        <w:tc>
          <w:tcPr>
            <w:tcW w:w="1088" w:type="pct"/>
            <w:shd w:val="clear" w:color="auto" w:fill="D9D9D9" w:themeFill="background1" w:themeFillShade="D9"/>
          </w:tcPr>
          <w:p w14:paraId="55ACB667" w14:textId="77777777" w:rsidR="006B11FC" w:rsidRPr="00496F64" w:rsidRDefault="006B11FC" w:rsidP="00F26277">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Modyfikowany element</w:t>
            </w:r>
          </w:p>
        </w:tc>
        <w:tc>
          <w:tcPr>
            <w:tcW w:w="1897" w:type="pct"/>
            <w:shd w:val="clear" w:color="auto" w:fill="D9D9D9" w:themeFill="background1" w:themeFillShade="D9"/>
          </w:tcPr>
          <w:p w14:paraId="5DDE6A1A" w14:textId="77777777" w:rsidR="006B11FC" w:rsidRPr="00496F64" w:rsidRDefault="006B11FC" w:rsidP="00F26277">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Bieżąca wersja</w:t>
            </w:r>
          </w:p>
        </w:tc>
        <w:tc>
          <w:tcPr>
            <w:tcW w:w="2015" w:type="pct"/>
            <w:shd w:val="clear" w:color="auto" w:fill="D9D9D9" w:themeFill="background1" w:themeFillShade="D9"/>
          </w:tcPr>
          <w:p w14:paraId="38995BBC" w14:textId="77777777" w:rsidR="006B11FC" w:rsidRPr="00496F64" w:rsidRDefault="006B11FC" w:rsidP="00F26277">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Wersja zmieniona</w:t>
            </w:r>
          </w:p>
        </w:tc>
      </w:tr>
      <w:tr w:rsidR="006B11FC" w:rsidRPr="00496F64" w14:paraId="288FCACE" w14:textId="77777777" w:rsidTr="00F26277">
        <w:tc>
          <w:tcPr>
            <w:tcW w:w="1088" w:type="pct"/>
          </w:tcPr>
          <w:p w14:paraId="1CEAB799" w14:textId="77777777"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Opis komponentu oraz/lub działania (inwestycji/reformy)</w:t>
            </w:r>
          </w:p>
        </w:tc>
        <w:tc>
          <w:tcPr>
            <w:tcW w:w="1897" w:type="pct"/>
          </w:tcPr>
          <w:p w14:paraId="4825B34B" w14:textId="6D3AFF12"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 xml:space="preserve">C21G Zmiana ustawy z dnia 5 lipca 2018 r. o krajowym systemie </w:t>
            </w:r>
            <w:proofErr w:type="spellStart"/>
            <w:r w:rsidRPr="00496F64">
              <w:rPr>
                <w:rFonts w:ascii="Times New Roman" w:hAnsi="Times New Roman" w:cs="Times New Roman"/>
              </w:rPr>
              <w:t>cyberbezpieczeństwa</w:t>
            </w:r>
            <w:proofErr w:type="spellEnd"/>
            <w:r w:rsidRPr="00496F64">
              <w:rPr>
                <w:rFonts w:ascii="Times New Roman" w:hAnsi="Times New Roman" w:cs="Times New Roman"/>
              </w:rPr>
              <w:t xml:space="preserve"> służąca wdrożeniu dyrektywy w sprawie bezpieczeństwa sieci i informacji oraz ustanowieniu kompleksowych podstaw prawnych i organizacyjnych </w:t>
            </w:r>
            <w:proofErr w:type="spellStart"/>
            <w:r w:rsidRPr="00496F64">
              <w:rPr>
                <w:rFonts w:ascii="Times New Roman" w:hAnsi="Times New Roman" w:cs="Times New Roman"/>
              </w:rPr>
              <w:t>cyberbezpieczeństwa</w:t>
            </w:r>
            <w:proofErr w:type="spellEnd"/>
            <w:r w:rsidRPr="00496F64">
              <w:rPr>
                <w:rFonts w:ascii="Times New Roman" w:hAnsi="Times New Roman" w:cs="Times New Roman"/>
              </w:rPr>
              <w:t xml:space="preserve"> dla krajowego systemu </w:t>
            </w:r>
            <w:proofErr w:type="spellStart"/>
            <w:r w:rsidRPr="00496F64">
              <w:rPr>
                <w:rFonts w:ascii="Times New Roman" w:hAnsi="Times New Roman" w:cs="Times New Roman"/>
              </w:rPr>
              <w:t>cyberbezpieczeństwa</w:t>
            </w:r>
            <w:proofErr w:type="spellEnd"/>
          </w:p>
          <w:p w14:paraId="0CFE0F0C" w14:textId="731E6510"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Termin realizacji: IV kwartał 2022 r.</w:t>
            </w:r>
          </w:p>
        </w:tc>
        <w:tc>
          <w:tcPr>
            <w:tcW w:w="2015" w:type="pct"/>
          </w:tcPr>
          <w:p w14:paraId="0E617031" w14:textId="68237B98"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 xml:space="preserve">C21G Zmiana ustawy z dnia 5 lipca 2018 r. o krajowym systemie </w:t>
            </w:r>
            <w:proofErr w:type="spellStart"/>
            <w:r w:rsidRPr="00496F64">
              <w:rPr>
                <w:rFonts w:ascii="Times New Roman" w:hAnsi="Times New Roman" w:cs="Times New Roman"/>
              </w:rPr>
              <w:t>cyberbezpieczeństwa</w:t>
            </w:r>
            <w:proofErr w:type="spellEnd"/>
            <w:r w:rsidRPr="00496F64">
              <w:rPr>
                <w:rFonts w:ascii="Times New Roman" w:hAnsi="Times New Roman" w:cs="Times New Roman"/>
              </w:rPr>
              <w:t xml:space="preserve"> służąca wdrożeniu dyrektywy w sprawie bezpieczeństwa sieci i informacji oraz ustanowieniu kompleksowych podstaw prawnych i organizacyjnych </w:t>
            </w:r>
            <w:proofErr w:type="spellStart"/>
            <w:r w:rsidRPr="00496F64">
              <w:rPr>
                <w:rFonts w:ascii="Times New Roman" w:hAnsi="Times New Roman" w:cs="Times New Roman"/>
              </w:rPr>
              <w:t>cyberbezpieczeństwa</w:t>
            </w:r>
            <w:proofErr w:type="spellEnd"/>
            <w:r w:rsidRPr="00496F64">
              <w:rPr>
                <w:rFonts w:ascii="Times New Roman" w:hAnsi="Times New Roman" w:cs="Times New Roman"/>
              </w:rPr>
              <w:t xml:space="preserve"> dla krajowego systemu </w:t>
            </w:r>
            <w:proofErr w:type="spellStart"/>
            <w:r w:rsidRPr="00496F64">
              <w:rPr>
                <w:rFonts w:ascii="Times New Roman" w:hAnsi="Times New Roman" w:cs="Times New Roman"/>
              </w:rPr>
              <w:t>cyberbezpieczeństwa</w:t>
            </w:r>
            <w:proofErr w:type="spellEnd"/>
          </w:p>
          <w:p w14:paraId="3388F79B" w14:textId="37F6C9AF"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 xml:space="preserve">Termin realizacji: </w:t>
            </w:r>
            <w:r w:rsidRPr="00496F64">
              <w:rPr>
                <w:rFonts w:ascii="Times New Roman" w:hAnsi="Times New Roman" w:cs="Times New Roman"/>
                <w:color w:val="FF0000"/>
              </w:rPr>
              <w:t>IV kwartał 2024 r.</w:t>
            </w:r>
            <w:r w:rsidRPr="00496F64">
              <w:rPr>
                <w:rFonts w:ascii="Times New Roman" w:hAnsi="Times New Roman" w:cs="Times New Roman"/>
              </w:rPr>
              <w:t xml:space="preserve"> </w:t>
            </w:r>
          </w:p>
        </w:tc>
      </w:tr>
      <w:tr w:rsidR="006B11FC" w:rsidRPr="00496F64" w14:paraId="77CEE93F" w14:textId="77777777" w:rsidTr="00F26277">
        <w:tc>
          <w:tcPr>
            <w:tcW w:w="1088" w:type="pct"/>
          </w:tcPr>
          <w:p w14:paraId="78B07665" w14:textId="77777777"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Opis komponentu oraz/lub działania (inwestycji/reformy)</w:t>
            </w:r>
          </w:p>
        </w:tc>
        <w:tc>
          <w:tcPr>
            <w:tcW w:w="1897" w:type="pct"/>
          </w:tcPr>
          <w:p w14:paraId="24BAFCD9" w14:textId="11A40E73"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 xml:space="preserve">C22G Zmiany w rozporządzeniu Rady Ministrów z dnia 11 września 2018 r. w sprawie wykazu usług </w:t>
            </w:r>
            <w:r w:rsidRPr="00496F64">
              <w:rPr>
                <w:rFonts w:ascii="Times New Roman" w:hAnsi="Times New Roman" w:cs="Times New Roman"/>
              </w:rPr>
              <w:lastRenderedPageBreak/>
              <w:t>kluczowych oraz progów istotności skutku zakłócającego incydentu dla świadczenia usług kluczowych</w:t>
            </w:r>
          </w:p>
          <w:p w14:paraId="1D54DB74" w14:textId="422CDAB4"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Termin realizacji: IV kwartał 2023 r.</w:t>
            </w:r>
          </w:p>
        </w:tc>
        <w:tc>
          <w:tcPr>
            <w:tcW w:w="2015" w:type="pct"/>
          </w:tcPr>
          <w:p w14:paraId="5B73A703" w14:textId="4DCEFF29"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lastRenderedPageBreak/>
              <w:t xml:space="preserve">C22G Zmiany w rozporządzeniu Rady Ministrów z dnia 11 września 2018 r. w sprawie wykazu usług kluczowych oraz </w:t>
            </w:r>
            <w:r w:rsidRPr="00496F64">
              <w:rPr>
                <w:rFonts w:ascii="Times New Roman" w:hAnsi="Times New Roman" w:cs="Times New Roman"/>
              </w:rPr>
              <w:lastRenderedPageBreak/>
              <w:t>progów istotności skutku zakłócającego incydentu dla świadczenia usług kluczowych</w:t>
            </w:r>
          </w:p>
          <w:p w14:paraId="34D8AF6E" w14:textId="1FCA0D55"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 xml:space="preserve">Termin realizacji: </w:t>
            </w:r>
            <w:r w:rsidRPr="00496F64">
              <w:rPr>
                <w:rFonts w:ascii="Times New Roman" w:hAnsi="Times New Roman" w:cs="Times New Roman"/>
                <w:color w:val="FF0000"/>
              </w:rPr>
              <w:t>II kwartał 2025 r.</w:t>
            </w:r>
          </w:p>
        </w:tc>
      </w:tr>
      <w:tr w:rsidR="006B11FC" w:rsidRPr="00496F64" w14:paraId="27D57BB5" w14:textId="77777777" w:rsidTr="00F26277">
        <w:tc>
          <w:tcPr>
            <w:tcW w:w="1088" w:type="pct"/>
          </w:tcPr>
          <w:p w14:paraId="0D90F445" w14:textId="77777777"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lastRenderedPageBreak/>
              <w:t>Uzasadnienie</w:t>
            </w:r>
          </w:p>
        </w:tc>
        <w:tc>
          <w:tcPr>
            <w:tcW w:w="3912" w:type="pct"/>
            <w:gridSpan w:val="2"/>
          </w:tcPr>
          <w:p w14:paraId="0CF7A1BC" w14:textId="263CB8D0" w:rsidR="006B11FC" w:rsidRPr="00496F64" w:rsidRDefault="006B11FC" w:rsidP="00F26277">
            <w:pPr>
              <w:spacing w:after="120" w:line="240" w:lineRule="auto"/>
              <w:rPr>
                <w:rFonts w:ascii="Times New Roman" w:hAnsi="Times New Roman" w:cs="Times New Roman"/>
              </w:rPr>
            </w:pPr>
            <w:r>
              <w:rPr>
                <w:rFonts w:ascii="Times New Roman" w:hAnsi="Times New Roman" w:cs="Times New Roman"/>
              </w:rPr>
              <w:t>R</w:t>
            </w:r>
            <w:r w:rsidRPr="00496F64">
              <w:rPr>
                <w:rFonts w:ascii="Times New Roman" w:hAnsi="Times New Roman" w:cs="Times New Roman"/>
              </w:rPr>
              <w:t xml:space="preserve">ealizacja </w:t>
            </w:r>
            <w:r>
              <w:rPr>
                <w:rFonts w:ascii="Times New Roman" w:hAnsi="Times New Roman" w:cs="Times New Roman"/>
              </w:rPr>
              <w:t xml:space="preserve">jest </w:t>
            </w:r>
            <w:r w:rsidRPr="00496F64">
              <w:rPr>
                <w:rFonts w:ascii="Times New Roman" w:hAnsi="Times New Roman" w:cs="Times New Roman"/>
              </w:rPr>
              <w:t xml:space="preserve">opóźniona </w:t>
            </w:r>
            <w:r>
              <w:rPr>
                <w:rFonts w:ascii="Times New Roman" w:hAnsi="Times New Roman" w:cs="Times New Roman"/>
              </w:rPr>
              <w:t xml:space="preserve">ze względu na </w:t>
            </w:r>
            <w:r w:rsidRPr="00496F64">
              <w:rPr>
                <w:rFonts w:ascii="Times New Roman" w:hAnsi="Times New Roman" w:cs="Times New Roman"/>
              </w:rPr>
              <w:t>wycofan</w:t>
            </w:r>
            <w:r>
              <w:rPr>
                <w:rFonts w:ascii="Times New Roman" w:hAnsi="Times New Roman" w:cs="Times New Roman"/>
              </w:rPr>
              <w:t>ie</w:t>
            </w:r>
            <w:r w:rsidRPr="00496F64">
              <w:rPr>
                <w:rFonts w:ascii="Times New Roman" w:hAnsi="Times New Roman" w:cs="Times New Roman"/>
              </w:rPr>
              <w:t xml:space="preserve"> </w:t>
            </w:r>
            <w:r>
              <w:rPr>
                <w:rFonts w:ascii="Times New Roman" w:hAnsi="Times New Roman" w:cs="Times New Roman"/>
              </w:rPr>
              <w:t xml:space="preserve">projektu </w:t>
            </w:r>
            <w:r w:rsidR="00A6662A">
              <w:rPr>
                <w:rFonts w:ascii="Times New Roman" w:hAnsi="Times New Roman" w:cs="Times New Roman"/>
              </w:rPr>
              <w:t xml:space="preserve">ustawy </w:t>
            </w:r>
            <w:r w:rsidRPr="00496F64">
              <w:rPr>
                <w:rFonts w:ascii="Times New Roman" w:hAnsi="Times New Roman" w:cs="Times New Roman"/>
              </w:rPr>
              <w:t>z Parlamentu poprzedniej kadencji</w:t>
            </w:r>
            <w:r>
              <w:rPr>
                <w:rFonts w:ascii="Times New Roman" w:hAnsi="Times New Roman" w:cs="Times New Roman"/>
              </w:rPr>
              <w:t>.</w:t>
            </w:r>
            <w:r w:rsidRPr="00496F64">
              <w:rPr>
                <w:rFonts w:ascii="Times New Roman" w:hAnsi="Times New Roman" w:cs="Times New Roman"/>
              </w:rPr>
              <w:t xml:space="preserve"> </w:t>
            </w:r>
            <w:r>
              <w:rPr>
                <w:rFonts w:ascii="Times New Roman" w:hAnsi="Times New Roman" w:cs="Times New Roman"/>
              </w:rPr>
              <w:t>O</w:t>
            </w:r>
            <w:r w:rsidRPr="00496F64">
              <w:rPr>
                <w:rFonts w:ascii="Times New Roman" w:hAnsi="Times New Roman" w:cs="Times New Roman"/>
              </w:rPr>
              <w:t xml:space="preserve">becnie realizacja planowana </w:t>
            </w:r>
            <w:r>
              <w:rPr>
                <w:rFonts w:ascii="Times New Roman" w:hAnsi="Times New Roman" w:cs="Times New Roman"/>
              </w:rPr>
              <w:t xml:space="preserve">jest </w:t>
            </w:r>
            <w:r w:rsidRPr="00496F64">
              <w:rPr>
                <w:rFonts w:ascii="Times New Roman" w:hAnsi="Times New Roman" w:cs="Times New Roman"/>
              </w:rPr>
              <w:t>na IV kwartał 2024. Projekt będzie dotyczył bardzo szerokiego grona interesariuszy, zarówno po stronie sektora publicznego, jak i prywatnego, stąd konieczny będzie czas na jego dokładne przedyskutowanie.</w:t>
            </w:r>
          </w:p>
          <w:p w14:paraId="13045249" w14:textId="2477ADA7"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Opóźnienie w nowelizacji ustawy w C21G ma wpływ na opóźnienie kamienia C22G</w:t>
            </w:r>
            <w:r>
              <w:rPr>
                <w:rFonts w:ascii="Times New Roman" w:hAnsi="Times New Roman" w:cs="Times New Roman"/>
              </w:rPr>
              <w:t>.</w:t>
            </w:r>
          </w:p>
        </w:tc>
      </w:tr>
      <w:tr w:rsidR="006B11FC" w:rsidRPr="00496F64" w14:paraId="5401EEB0" w14:textId="77777777" w:rsidTr="00F26277">
        <w:tc>
          <w:tcPr>
            <w:tcW w:w="1088" w:type="pct"/>
          </w:tcPr>
          <w:p w14:paraId="43F7A9A4" w14:textId="1E4DAD85"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Szacowany kosz</w:t>
            </w:r>
            <w:r>
              <w:rPr>
                <w:rFonts w:ascii="Times New Roman" w:hAnsi="Times New Roman" w:cs="Times New Roman"/>
              </w:rPr>
              <w:t>t</w:t>
            </w:r>
          </w:p>
        </w:tc>
        <w:tc>
          <w:tcPr>
            <w:tcW w:w="3912" w:type="pct"/>
            <w:gridSpan w:val="2"/>
          </w:tcPr>
          <w:p w14:paraId="0F33DF15" w14:textId="25069698"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Zmiana nie ma wpływu na szacowany kosz</w:t>
            </w:r>
            <w:r>
              <w:rPr>
                <w:rFonts w:ascii="Times New Roman" w:hAnsi="Times New Roman" w:cs="Times New Roman"/>
              </w:rPr>
              <w:t>t</w:t>
            </w:r>
          </w:p>
        </w:tc>
      </w:tr>
      <w:tr w:rsidR="006B11FC" w:rsidRPr="00496F64" w14:paraId="4E5A526A" w14:textId="77777777" w:rsidTr="00F26277">
        <w:tc>
          <w:tcPr>
            <w:tcW w:w="1088" w:type="pct"/>
          </w:tcPr>
          <w:p w14:paraId="692EA968" w14:textId="77777777"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 xml:space="preserve">Klimatyczny i cyfrowy </w:t>
            </w:r>
            <w:proofErr w:type="spellStart"/>
            <w:r w:rsidRPr="00496F64">
              <w:rPr>
                <w:rFonts w:ascii="Times New Roman" w:hAnsi="Times New Roman" w:cs="Times New Roman"/>
              </w:rPr>
              <w:t>tagging</w:t>
            </w:r>
            <w:proofErr w:type="spellEnd"/>
          </w:p>
        </w:tc>
        <w:tc>
          <w:tcPr>
            <w:tcW w:w="3912" w:type="pct"/>
            <w:gridSpan w:val="2"/>
          </w:tcPr>
          <w:p w14:paraId="3E25E1F5" w14:textId="77777777"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 xml:space="preserve">Zmiana nie ma wpływu na </w:t>
            </w:r>
            <w:proofErr w:type="spellStart"/>
            <w:r w:rsidRPr="00496F64">
              <w:rPr>
                <w:rFonts w:ascii="Times New Roman" w:hAnsi="Times New Roman" w:cs="Times New Roman"/>
              </w:rPr>
              <w:t>tagging</w:t>
            </w:r>
            <w:proofErr w:type="spellEnd"/>
            <w:r w:rsidRPr="00496F64">
              <w:rPr>
                <w:rFonts w:ascii="Times New Roman" w:hAnsi="Times New Roman" w:cs="Times New Roman"/>
              </w:rPr>
              <w:t xml:space="preserve"> klimatyczny i cyfrowy</w:t>
            </w:r>
          </w:p>
        </w:tc>
      </w:tr>
      <w:tr w:rsidR="006B11FC" w:rsidRPr="00496F64" w14:paraId="7CF89D56" w14:textId="77777777" w:rsidTr="00F26277">
        <w:tc>
          <w:tcPr>
            <w:tcW w:w="1088" w:type="pct"/>
          </w:tcPr>
          <w:p w14:paraId="7A188140" w14:textId="77777777"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 xml:space="preserve">Ocena DNSH </w:t>
            </w:r>
          </w:p>
        </w:tc>
        <w:tc>
          <w:tcPr>
            <w:tcW w:w="3912" w:type="pct"/>
            <w:gridSpan w:val="2"/>
          </w:tcPr>
          <w:p w14:paraId="19235ECD" w14:textId="77777777" w:rsidR="006B11FC" w:rsidRPr="00496F64" w:rsidRDefault="006B11FC" w:rsidP="00F26277">
            <w:pPr>
              <w:spacing w:after="120" w:line="240" w:lineRule="auto"/>
              <w:rPr>
                <w:rFonts w:ascii="Times New Roman" w:hAnsi="Times New Roman" w:cs="Times New Roman"/>
              </w:rPr>
            </w:pPr>
            <w:r w:rsidRPr="00496F64">
              <w:rPr>
                <w:rFonts w:ascii="Times New Roman" w:hAnsi="Times New Roman" w:cs="Times New Roman"/>
              </w:rPr>
              <w:t>Zmiana nie ma wpływu na DNSH</w:t>
            </w:r>
          </w:p>
        </w:tc>
      </w:tr>
      <w:bookmarkEnd w:id="0"/>
      <w:bookmarkEnd w:id="1"/>
      <w:bookmarkEnd w:id="2"/>
    </w:tbl>
    <w:p w14:paraId="390470DF" w14:textId="7A6ADF45" w:rsidR="00114FF7" w:rsidRPr="00496F64" w:rsidRDefault="00114FF7">
      <w:pPr>
        <w:rPr>
          <w:rFonts w:ascii="Times New Roman" w:hAnsi="Times New Roman" w:cs="Times New Roman"/>
        </w:rPr>
      </w:pPr>
    </w:p>
    <w:p w14:paraId="25F6E730" w14:textId="77777777" w:rsidR="008450E5" w:rsidRDefault="008450E5" w:rsidP="008450E5">
      <w:pPr>
        <w:rPr>
          <w:rFonts w:ascii="Times New Roman" w:hAnsi="Times New Roman" w:cs="Times New Roman"/>
          <w:b/>
          <w:bCs/>
          <w:sz w:val="28"/>
          <w:szCs w:val="28"/>
        </w:rPr>
      </w:pPr>
      <w:r w:rsidRPr="00496F64">
        <w:rPr>
          <w:rFonts w:ascii="Times New Roman" w:hAnsi="Times New Roman" w:cs="Times New Roman"/>
          <w:b/>
          <w:bCs/>
          <w:sz w:val="28"/>
          <w:szCs w:val="28"/>
        </w:rPr>
        <w:t>Komponent D Efektywność, dostępność i jakość systemu ochrony zdrowia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9"/>
        <w:gridCol w:w="3558"/>
        <w:gridCol w:w="3485"/>
      </w:tblGrid>
      <w:tr w:rsidR="008336C3" w14:paraId="787DC6AE" w14:textId="77777777" w:rsidTr="008336C3">
        <w:tc>
          <w:tcPr>
            <w:tcW w:w="1101" w:type="pct"/>
            <w:tcBorders>
              <w:top w:val="single" w:sz="4" w:space="0" w:color="auto"/>
              <w:left w:val="single" w:sz="4" w:space="0" w:color="auto"/>
              <w:bottom w:val="single" w:sz="4" w:space="0" w:color="auto"/>
              <w:right w:val="single" w:sz="4" w:space="0" w:color="auto"/>
            </w:tcBorders>
            <w:hideMark/>
          </w:tcPr>
          <w:p w14:paraId="2185233F" w14:textId="77777777" w:rsidR="008336C3" w:rsidRDefault="008336C3">
            <w:pPr>
              <w:spacing w:after="120" w:line="240" w:lineRule="auto"/>
              <w:rPr>
                <w:rFonts w:ascii="Times New Roman" w:hAnsi="Times New Roman" w:cs="Times New Roman"/>
                <w:b/>
                <w:bCs/>
              </w:rPr>
            </w:pPr>
            <w:r>
              <w:rPr>
                <w:rFonts w:ascii="Times New Roman" w:hAnsi="Times New Roman" w:cs="Times New Roman"/>
                <w:b/>
                <w:bCs/>
              </w:rPr>
              <w:t>Numer reformy</w:t>
            </w:r>
          </w:p>
        </w:tc>
        <w:tc>
          <w:tcPr>
            <w:tcW w:w="3842" w:type="pct"/>
            <w:gridSpan w:val="2"/>
            <w:tcBorders>
              <w:top w:val="single" w:sz="4" w:space="0" w:color="auto"/>
              <w:left w:val="single" w:sz="4" w:space="0" w:color="auto"/>
              <w:bottom w:val="single" w:sz="4" w:space="0" w:color="auto"/>
              <w:right w:val="single" w:sz="4" w:space="0" w:color="auto"/>
            </w:tcBorders>
            <w:hideMark/>
          </w:tcPr>
          <w:p w14:paraId="0BA5F391" w14:textId="2879D2A7" w:rsidR="008336C3" w:rsidRDefault="008336C3">
            <w:pPr>
              <w:spacing w:after="120" w:line="240" w:lineRule="auto"/>
              <w:rPr>
                <w:rFonts w:ascii="Times New Roman" w:hAnsi="Times New Roman" w:cs="Times New Roman"/>
                <w:b/>
                <w:bCs/>
              </w:rPr>
            </w:pPr>
            <w:r>
              <w:rPr>
                <w:rFonts w:ascii="Times New Roman" w:hAnsi="Times New Roman" w:cs="Times New Roman"/>
                <w:b/>
                <w:bCs/>
              </w:rPr>
              <w:t>D1.1</w:t>
            </w:r>
            <w:r w:rsidR="002F2DFC">
              <w:rPr>
                <w:rFonts w:ascii="Times New Roman" w:hAnsi="Times New Roman" w:cs="Times New Roman"/>
                <w:b/>
                <w:bCs/>
              </w:rPr>
              <w:t>.</w:t>
            </w:r>
          </w:p>
        </w:tc>
      </w:tr>
      <w:tr w:rsidR="008336C3" w:rsidRPr="008336C3" w14:paraId="023CC109" w14:textId="77777777" w:rsidTr="008336C3">
        <w:tc>
          <w:tcPr>
            <w:tcW w:w="1101" w:type="pct"/>
            <w:tcBorders>
              <w:top w:val="single" w:sz="4" w:space="0" w:color="auto"/>
              <w:left w:val="single" w:sz="4" w:space="0" w:color="auto"/>
              <w:bottom w:val="single" w:sz="4" w:space="0" w:color="auto"/>
              <w:right w:val="single" w:sz="4" w:space="0" w:color="auto"/>
            </w:tcBorders>
            <w:hideMark/>
          </w:tcPr>
          <w:p w14:paraId="0C3C0C95" w14:textId="77777777" w:rsidR="008336C3" w:rsidRDefault="008336C3">
            <w:pPr>
              <w:spacing w:after="120" w:line="240" w:lineRule="auto"/>
              <w:rPr>
                <w:rFonts w:ascii="Times New Roman" w:hAnsi="Times New Roman" w:cs="Times New Roman"/>
                <w:b/>
                <w:bCs/>
              </w:rPr>
            </w:pPr>
            <w:r>
              <w:rPr>
                <w:rFonts w:ascii="Times New Roman" w:hAnsi="Times New Roman" w:cs="Times New Roman"/>
                <w:b/>
                <w:bCs/>
              </w:rPr>
              <w:t>Nazwa reformy</w:t>
            </w:r>
          </w:p>
        </w:tc>
        <w:tc>
          <w:tcPr>
            <w:tcW w:w="3842" w:type="pct"/>
            <w:gridSpan w:val="2"/>
            <w:tcBorders>
              <w:top w:val="single" w:sz="4" w:space="0" w:color="auto"/>
              <w:left w:val="single" w:sz="4" w:space="0" w:color="auto"/>
              <w:bottom w:val="single" w:sz="4" w:space="0" w:color="auto"/>
              <w:right w:val="single" w:sz="4" w:space="0" w:color="auto"/>
            </w:tcBorders>
            <w:hideMark/>
          </w:tcPr>
          <w:p w14:paraId="0D0E8CD0" w14:textId="6496A62B" w:rsidR="008336C3" w:rsidRPr="005C5922" w:rsidRDefault="008336C3">
            <w:pPr>
              <w:spacing w:after="120" w:line="240" w:lineRule="auto"/>
              <w:rPr>
                <w:rFonts w:ascii="Times New Roman" w:hAnsi="Times New Roman" w:cs="Times New Roman"/>
                <w:b/>
                <w:bCs/>
              </w:rPr>
            </w:pPr>
            <w:r w:rsidRPr="005C5922">
              <w:rPr>
                <w:rFonts w:ascii="Times New Roman" w:hAnsi="Times New Roman" w:cs="Times New Roman"/>
                <w:b/>
                <w:bCs/>
              </w:rPr>
              <w:t>Zwiększenie efektywności, dostępności i jakości świadczeń zdrowotnych</w:t>
            </w:r>
          </w:p>
        </w:tc>
      </w:tr>
      <w:tr w:rsidR="008336C3" w:rsidRPr="008336C3" w14:paraId="4435776B" w14:textId="77777777" w:rsidTr="008336C3">
        <w:tc>
          <w:tcPr>
            <w:tcW w:w="1101" w:type="pct"/>
            <w:tcBorders>
              <w:top w:val="single" w:sz="4" w:space="0" w:color="auto"/>
              <w:left w:val="single" w:sz="4" w:space="0" w:color="auto"/>
              <w:bottom w:val="single" w:sz="4" w:space="0" w:color="auto"/>
              <w:right w:val="single" w:sz="4" w:space="0" w:color="auto"/>
            </w:tcBorders>
            <w:hideMark/>
          </w:tcPr>
          <w:p w14:paraId="6FC635F5" w14:textId="77777777" w:rsidR="008336C3" w:rsidRDefault="008336C3">
            <w:pPr>
              <w:spacing w:after="120" w:line="240" w:lineRule="auto"/>
              <w:rPr>
                <w:rFonts w:ascii="Times New Roman" w:hAnsi="Times New Roman" w:cs="Times New Roman"/>
              </w:rPr>
            </w:pPr>
            <w:r>
              <w:rPr>
                <w:rFonts w:ascii="Times New Roman" w:hAnsi="Times New Roman" w:cs="Times New Roman"/>
              </w:rPr>
              <w:t>Rodzaj wprowadzonej zmiany w odniesieniu do CID</w:t>
            </w:r>
          </w:p>
        </w:tc>
        <w:tc>
          <w:tcPr>
            <w:tcW w:w="3842" w:type="pct"/>
            <w:gridSpan w:val="2"/>
            <w:tcBorders>
              <w:top w:val="single" w:sz="4" w:space="0" w:color="auto"/>
              <w:left w:val="single" w:sz="4" w:space="0" w:color="auto"/>
              <w:bottom w:val="single" w:sz="4" w:space="0" w:color="auto"/>
              <w:right w:val="single" w:sz="4" w:space="0" w:color="auto"/>
            </w:tcBorders>
          </w:tcPr>
          <w:p w14:paraId="75AB35A2" w14:textId="09728466" w:rsidR="008336C3" w:rsidRPr="005C5922" w:rsidRDefault="002F2DFC">
            <w:pPr>
              <w:spacing w:after="120" w:line="240" w:lineRule="auto"/>
              <w:rPr>
                <w:rFonts w:ascii="Times New Roman" w:hAnsi="Times New Roman" w:cs="Times New Roman"/>
                <w:b/>
                <w:bCs/>
              </w:rPr>
            </w:pPr>
            <w:r>
              <w:rPr>
                <w:rFonts w:ascii="Times New Roman" w:hAnsi="Times New Roman" w:cs="Times New Roman"/>
              </w:rPr>
              <w:t>Modyfikacja opisu</w:t>
            </w:r>
            <w:r w:rsidR="008336C3" w:rsidRPr="002F2DFC">
              <w:rPr>
                <w:rFonts w:ascii="Times New Roman" w:hAnsi="Times New Roman" w:cs="Times New Roman"/>
              </w:rPr>
              <w:t xml:space="preserve">  kamienia milowego </w:t>
            </w:r>
            <w:r>
              <w:rPr>
                <w:rFonts w:ascii="Times New Roman" w:hAnsi="Times New Roman" w:cs="Times New Roman"/>
              </w:rPr>
              <w:t xml:space="preserve">D1G. Przesunięcie terminu realizacji kamienia milowego D1G, D5G i D8G. </w:t>
            </w:r>
          </w:p>
        </w:tc>
      </w:tr>
      <w:tr w:rsidR="008336C3" w:rsidRPr="008336C3" w14:paraId="76579069" w14:textId="77777777" w:rsidTr="008336C3">
        <w:tc>
          <w:tcPr>
            <w:tcW w:w="1101" w:type="pct"/>
            <w:tcBorders>
              <w:top w:val="single" w:sz="4" w:space="0" w:color="auto"/>
              <w:left w:val="single" w:sz="4" w:space="0" w:color="auto"/>
              <w:bottom w:val="single" w:sz="4" w:space="0" w:color="auto"/>
              <w:right w:val="single" w:sz="4" w:space="0" w:color="auto"/>
            </w:tcBorders>
            <w:hideMark/>
          </w:tcPr>
          <w:p w14:paraId="52332F8B" w14:textId="77777777" w:rsidR="008336C3" w:rsidRDefault="008336C3">
            <w:pPr>
              <w:spacing w:after="120" w:line="240" w:lineRule="auto"/>
              <w:rPr>
                <w:rFonts w:ascii="Times New Roman" w:hAnsi="Times New Roman" w:cs="Times New Roman"/>
              </w:rPr>
            </w:pPr>
            <w:r>
              <w:rPr>
                <w:rFonts w:ascii="Times New Roman" w:hAnsi="Times New Roman" w:cs="Times New Roman"/>
              </w:rPr>
              <w:t>Podstawa prawna zmiany</w:t>
            </w:r>
          </w:p>
        </w:tc>
        <w:tc>
          <w:tcPr>
            <w:tcW w:w="3842" w:type="pct"/>
            <w:gridSpan w:val="2"/>
            <w:tcBorders>
              <w:top w:val="single" w:sz="4" w:space="0" w:color="auto"/>
              <w:left w:val="single" w:sz="4" w:space="0" w:color="auto"/>
              <w:bottom w:val="single" w:sz="4" w:space="0" w:color="auto"/>
              <w:right w:val="single" w:sz="4" w:space="0" w:color="auto"/>
            </w:tcBorders>
            <w:hideMark/>
          </w:tcPr>
          <w:p w14:paraId="10B3C203" w14:textId="77777777" w:rsidR="008336C3" w:rsidRDefault="008336C3">
            <w:pPr>
              <w:spacing w:after="120" w:line="240" w:lineRule="auto"/>
              <w:rPr>
                <w:rFonts w:ascii="Times New Roman" w:hAnsi="Times New Roman" w:cs="Times New Roman"/>
              </w:rPr>
            </w:pPr>
            <w:r>
              <w:rPr>
                <w:rFonts w:ascii="Times New Roman" w:hAnsi="Times New Roman" w:cs="Times New Roman"/>
              </w:rPr>
              <w:t>art. 21 rozporządzenia Parlamentu Europejskiego i Rady (UE) 2021/241 z dnia 12 lutego 2021 r. ustanawiające Instrument na rzecz Odbudowy i Zwiększania Odporności</w:t>
            </w:r>
          </w:p>
          <w:p w14:paraId="5B26B0C0" w14:textId="238A54FE" w:rsidR="008336C3" w:rsidRPr="005C5922" w:rsidRDefault="008336C3">
            <w:pPr>
              <w:spacing w:after="120" w:line="240" w:lineRule="auto"/>
              <w:rPr>
                <w:rFonts w:ascii="Times New Roman" w:hAnsi="Times New Roman" w:cs="Times New Roman"/>
              </w:rPr>
            </w:pPr>
          </w:p>
        </w:tc>
      </w:tr>
      <w:tr w:rsidR="008336C3" w14:paraId="1625F4ED" w14:textId="77777777" w:rsidTr="008336C3">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4C041C" w14:textId="77777777" w:rsidR="008336C3" w:rsidRDefault="008336C3">
            <w:pPr>
              <w:spacing w:after="120" w:line="240" w:lineRule="auto"/>
              <w:rPr>
                <w:rFonts w:ascii="Times New Roman" w:hAnsi="Times New Roman" w:cs="Times New Roman"/>
                <w:highlight w:val="lightGray"/>
              </w:rPr>
            </w:pPr>
            <w:r>
              <w:rPr>
                <w:rFonts w:ascii="Times New Roman" w:hAnsi="Times New Roman" w:cs="Times New Roman"/>
                <w:highlight w:val="lightGray"/>
              </w:rPr>
              <w:t>Modyfikowany element</w:t>
            </w:r>
          </w:p>
        </w:tc>
        <w:tc>
          <w:tcPr>
            <w:tcW w:w="1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46524E" w14:textId="77777777" w:rsidR="008336C3" w:rsidRDefault="008336C3">
            <w:pPr>
              <w:spacing w:after="120" w:line="240" w:lineRule="auto"/>
              <w:rPr>
                <w:rFonts w:ascii="Times New Roman" w:hAnsi="Times New Roman" w:cs="Times New Roman"/>
                <w:highlight w:val="lightGray"/>
              </w:rPr>
            </w:pPr>
            <w:r>
              <w:rPr>
                <w:rFonts w:ascii="Times New Roman" w:hAnsi="Times New Roman" w:cs="Times New Roman"/>
                <w:highlight w:val="lightGray"/>
              </w:rPr>
              <w:t>Bieżąca wersja</w:t>
            </w:r>
          </w:p>
        </w:tc>
        <w:tc>
          <w:tcPr>
            <w:tcW w:w="19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053A7" w14:textId="77777777" w:rsidR="008336C3" w:rsidRDefault="008336C3">
            <w:pPr>
              <w:spacing w:after="120" w:line="240" w:lineRule="auto"/>
              <w:rPr>
                <w:rFonts w:ascii="Times New Roman" w:hAnsi="Times New Roman" w:cs="Times New Roman"/>
                <w:highlight w:val="lightGray"/>
              </w:rPr>
            </w:pPr>
            <w:r>
              <w:rPr>
                <w:rFonts w:ascii="Times New Roman" w:hAnsi="Times New Roman" w:cs="Times New Roman"/>
                <w:highlight w:val="lightGray"/>
              </w:rPr>
              <w:t>Wersja zmieniona</w:t>
            </w:r>
          </w:p>
        </w:tc>
      </w:tr>
      <w:tr w:rsidR="008336C3" w14:paraId="4F456B73" w14:textId="77777777" w:rsidTr="008336C3">
        <w:tc>
          <w:tcPr>
            <w:tcW w:w="1101" w:type="pct"/>
            <w:vMerge w:val="restart"/>
            <w:tcBorders>
              <w:top w:val="single" w:sz="4" w:space="0" w:color="auto"/>
              <w:left w:val="single" w:sz="4" w:space="0" w:color="auto"/>
              <w:bottom w:val="single" w:sz="4" w:space="0" w:color="auto"/>
              <w:right w:val="single" w:sz="4" w:space="0" w:color="auto"/>
            </w:tcBorders>
            <w:hideMark/>
          </w:tcPr>
          <w:p w14:paraId="4931F7F9" w14:textId="094DEDB0" w:rsidR="008336C3" w:rsidRDefault="002F2DFC">
            <w:pPr>
              <w:spacing w:after="0" w:line="240" w:lineRule="auto"/>
              <w:rPr>
                <w:rFonts w:ascii="Times New Roman" w:hAnsi="Times New Roman" w:cs="Times New Roman"/>
              </w:rPr>
            </w:pPr>
            <w:r w:rsidRPr="00496F64">
              <w:rPr>
                <w:rFonts w:ascii="Times New Roman" w:hAnsi="Times New Roman" w:cs="Times New Roman"/>
              </w:rPr>
              <w:t>Opis komponentu oraz/lub działania (inwestycji/reformy)</w:t>
            </w:r>
          </w:p>
        </w:tc>
        <w:tc>
          <w:tcPr>
            <w:tcW w:w="1941" w:type="pct"/>
            <w:tcBorders>
              <w:top w:val="single" w:sz="4" w:space="0" w:color="auto"/>
              <w:left w:val="single" w:sz="4" w:space="0" w:color="auto"/>
              <w:bottom w:val="single" w:sz="4" w:space="0" w:color="auto"/>
              <w:right w:val="single" w:sz="4" w:space="0" w:color="auto"/>
            </w:tcBorders>
            <w:hideMark/>
          </w:tcPr>
          <w:p w14:paraId="1D02D710" w14:textId="77777777" w:rsidR="008336C3" w:rsidRPr="005C5922" w:rsidRDefault="008336C3" w:rsidP="005C5922">
            <w:pPr>
              <w:tabs>
                <w:tab w:val="left" w:pos="1750"/>
              </w:tabs>
              <w:spacing w:after="120" w:line="240" w:lineRule="auto"/>
              <w:rPr>
                <w:rFonts w:ascii="Times New Roman" w:hAnsi="Times New Roman" w:cs="Times New Roman"/>
              </w:rPr>
            </w:pPr>
            <w:r w:rsidRPr="005C5922">
              <w:rPr>
                <w:rFonts w:ascii="Times New Roman" w:hAnsi="Times New Roman" w:cs="Times New Roman"/>
              </w:rPr>
              <w:t>D1G</w:t>
            </w:r>
          </w:p>
          <w:p w14:paraId="11013EDB" w14:textId="77777777" w:rsidR="008336C3" w:rsidRDefault="008336C3" w:rsidP="005C5922">
            <w:pPr>
              <w:tabs>
                <w:tab w:val="left" w:pos="1750"/>
              </w:tabs>
              <w:spacing w:after="120" w:line="240" w:lineRule="auto"/>
              <w:rPr>
                <w:rFonts w:ascii="Times New Roman" w:hAnsi="Times New Roman" w:cs="Times New Roman"/>
                <w:b/>
                <w:bCs/>
              </w:rPr>
            </w:pPr>
            <w:r>
              <w:rPr>
                <w:rFonts w:ascii="Times New Roman" w:hAnsi="Times New Roman" w:cs="Times New Roman"/>
              </w:rPr>
              <w:t>Wejście w życie ustawy o modernizacji i poprawie efektywności szpitali</w:t>
            </w:r>
          </w:p>
          <w:p w14:paraId="77D51A51" w14:textId="77777777" w:rsidR="008336C3" w:rsidRDefault="008336C3" w:rsidP="005C5922">
            <w:pPr>
              <w:tabs>
                <w:tab w:val="left" w:pos="1750"/>
              </w:tabs>
              <w:spacing w:line="240" w:lineRule="auto"/>
              <w:contextualSpacing/>
              <w:rPr>
                <w:rFonts w:ascii="Times New Roman" w:hAnsi="Times New Roman" w:cs="Times New Roman"/>
              </w:rPr>
            </w:pPr>
            <w:r>
              <w:rPr>
                <w:rFonts w:ascii="Times New Roman" w:hAnsi="Times New Roman" w:cs="Times New Roman"/>
              </w:rPr>
              <w:t xml:space="preserve">Wejście w życie ustawy, w której zostanie przewidziane, co następuje: </w:t>
            </w:r>
          </w:p>
          <w:p w14:paraId="455F8F8F" w14:textId="77777777" w:rsidR="008336C3" w:rsidRDefault="008336C3" w:rsidP="005C5922">
            <w:pPr>
              <w:tabs>
                <w:tab w:val="left" w:pos="1750"/>
              </w:tabs>
              <w:spacing w:line="240" w:lineRule="auto"/>
              <w:contextualSpacing/>
              <w:rPr>
                <w:rFonts w:ascii="Times New Roman" w:hAnsi="Times New Roman" w:cs="Times New Roman"/>
              </w:rPr>
            </w:pPr>
            <w:r>
              <w:rPr>
                <w:rFonts w:ascii="Times New Roman" w:hAnsi="Times New Roman" w:cs="Times New Roman"/>
              </w:rPr>
              <w:t xml:space="preserve">– restrukturyzacja sektora szpitali poprzez konsolidację, przeprofilowanie,  zmianę zakresu i struktury usług opieki zdrowotnej świadczonych przez szpitale, na podstawie krajowych i regionalnych planów przekształceń oraz mapy potrzeb zdrowotnych zarówno na poziomie krajowym, jak i regionalnym, a także odpowiednią aktualizację sieci szpitali. W procesie restrukturyzacji uwzględnia się </w:t>
            </w:r>
            <w:r>
              <w:rPr>
                <w:rFonts w:ascii="Times New Roman" w:hAnsi="Times New Roman" w:cs="Times New Roman"/>
              </w:rPr>
              <w:lastRenderedPageBreak/>
              <w:t>potrzeby szpitali nadzorowanych przez Ministra Obrony Narodowej lub Ministra Spraw Wewnętrznych związane ze skutkami wojny na Ukrainie.</w:t>
            </w:r>
          </w:p>
          <w:p w14:paraId="7E133DC8" w14:textId="77777777" w:rsidR="008336C3" w:rsidRDefault="008336C3" w:rsidP="005C5922">
            <w:pPr>
              <w:tabs>
                <w:tab w:val="left" w:pos="1750"/>
              </w:tabs>
              <w:spacing w:line="240" w:lineRule="auto"/>
              <w:contextualSpacing/>
              <w:rPr>
                <w:rFonts w:ascii="Times New Roman" w:hAnsi="Times New Roman" w:cs="Times New Roman"/>
              </w:rPr>
            </w:pPr>
            <w:r>
              <w:rPr>
                <w:rFonts w:ascii="Times New Roman" w:hAnsi="Times New Roman" w:cs="Times New Roman"/>
              </w:rPr>
              <w:t xml:space="preserve">– podstawy do działań na rzecz racjonalizacji piramidy opieki zdrowotnej poprzez przesunięcie niektórych świadczeń zdrowotnych ze szpitali na niższe poziomy opieki (podstawowa opieka zdrowotna, opieka ambulatoryjna) z odpowiednio zmienionymi zapisami w rocznych planach finansowych NFZ (Narodowego Funduszu Zdrowia); </w:t>
            </w:r>
          </w:p>
          <w:p w14:paraId="433623E2" w14:textId="77777777" w:rsidR="008336C3" w:rsidRDefault="008336C3" w:rsidP="005C5922">
            <w:pPr>
              <w:tabs>
                <w:tab w:val="left" w:pos="1750"/>
              </w:tabs>
              <w:spacing w:line="240" w:lineRule="auto"/>
              <w:contextualSpacing/>
              <w:rPr>
                <w:rFonts w:ascii="Times New Roman" w:hAnsi="Times New Roman" w:cs="Times New Roman"/>
              </w:rPr>
            </w:pPr>
            <w:r>
              <w:rPr>
                <w:rFonts w:ascii="Times New Roman" w:hAnsi="Times New Roman" w:cs="Times New Roman"/>
              </w:rPr>
              <w:t xml:space="preserve">– reforma systemu finansowania szpitali, zapewniająca skuteczną i trwałą restrukturyzację, w tym rozwiązanie kwestii umarzania długów szpitali w sposób zrównoważony, na podstawie przejrzystych i opartych na dowodach kryteriów oraz motywowanie do właściwego świadczenia opieki oraz zwiększania efektywności i jakości opieki; </w:t>
            </w:r>
          </w:p>
          <w:p w14:paraId="0F0B6341" w14:textId="77777777" w:rsidR="008336C3" w:rsidRDefault="008336C3" w:rsidP="005C5922">
            <w:pPr>
              <w:tabs>
                <w:tab w:val="left" w:pos="1750"/>
              </w:tabs>
              <w:spacing w:after="120" w:line="240" w:lineRule="auto"/>
              <w:rPr>
                <w:rFonts w:ascii="Times New Roman" w:hAnsi="Times New Roman" w:cs="Times New Roman"/>
              </w:rPr>
            </w:pPr>
            <w:r>
              <w:rPr>
                <w:rFonts w:ascii="Times New Roman" w:hAnsi="Times New Roman" w:cs="Times New Roman"/>
              </w:rPr>
              <w:t>– stworzenie profesjonalnego systemu nadzoru nad szpitalami, wzmocnienie kadry zarządzającej oraz zachęcanie do stosowania nowoczesnych systemów, narzędzi i metod zarządzania w opiece zdrowotnej.</w:t>
            </w:r>
          </w:p>
          <w:p w14:paraId="42EB7966" w14:textId="6A620707" w:rsidR="008336C3" w:rsidRPr="005C5922" w:rsidRDefault="008336C3" w:rsidP="005C5922">
            <w:pPr>
              <w:tabs>
                <w:tab w:val="left" w:pos="1750"/>
              </w:tabs>
              <w:spacing w:line="240" w:lineRule="auto"/>
              <w:contextualSpacing/>
              <w:rPr>
                <w:rFonts w:ascii="Times New Roman" w:hAnsi="Times New Roman" w:cs="Times New Roman"/>
              </w:rPr>
            </w:pPr>
            <w:r w:rsidRPr="005C5922">
              <w:rPr>
                <w:rFonts w:ascii="Times New Roman" w:hAnsi="Times New Roman" w:cs="Times New Roman"/>
              </w:rPr>
              <w:t>Termin realizacji: III kw. 2022</w:t>
            </w:r>
            <w:r w:rsidR="002F2DFC">
              <w:rPr>
                <w:rFonts w:ascii="Times New Roman" w:hAnsi="Times New Roman" w:cs="Times New Roman"/>
              </w:rPr>
              <w:t>r.</w:t>
            </w:r>
          </w:p>
        </w:tc>
        <w:tc>
          <w:tcPr>
            <w:tcW w:w="1901" w:type="pct"/>
            <w:tcBorders>
              <w:top w:val="single" w:sz="4" w:space="0" w:color="auto"/>
              <w:left w:val="single" w:sz="4" w:space="0" w:color="auto"/>
              <w:bottom w:val="single" w:sz="4" w:space="0" w:color="auto"/>
              <w:right w:val="single" w:sz="4" w:space="0" w:color="auto"/>
            </w:tcBorders>
            <w:hideMark/>
          </w:tcPr>
          <w:p w14:paraId="5E9D0E27" w14:textId="77777777" w:rsidR="008336C3" w:rsidRPr="005C5922" w:rsidRDefault="008336C3">
            <w:pPr>
              <w:spacing w:line="240" w:lineRule="auto"/>
              <w:rPr>
                <w:rFonts w:ascii="Times New Roman" w:hAnsi="Times New Roman" w:cs="Times New Roman"/>
              </w:rPr>
            </w:pPr>
            <w:r w:rsidRPr="005C5922">
              <w:rPr>
                <w:rFonts w:ascii="Times New Roman" w:hAnsi="Times New Roman" w:cs="Times New Roman"/>
              </w:rPr>
              <w:lastRenderedPageBreak/>
              <w:t>D1G</w:t>
            </w:r>
          </w:p>
          <w:p w14:paraId="4A34CEAD" w14:textId="77777777" w:rsidR="008336C3" w:rsidRPr="005C5922" w:rsidRDefault="008336C3">
            <w:pPr>
              <w:spacing w:line="240" w:lineRule="auto"/>
              <w:rPr>
                <w:rFonts w:ascii="Times New Roman" w:hAnsi="Times New Roman" w:cs="Times New Roman"/>
                <w:color w:val="FF0000"/>
              </w:rPr>
            </w:pPr>
            <w:r w:rsidRPr="005C5922">
              <w:rPr>
                <w:rFonts w:ascii="Times New Roman" w:hAnsi="Times New Roman" w:cs="Times New Roman"/>
                <w:color w:val="FF0000"/>
              </w:rPr>
              <w:t xml:space="preserve">Wejście w życie pakietu legislacyjnego wprowadzającego rozwiązania prawne dotyczące modernizacji i poprawy efektywności szpitali. </w:t>
            </w:r>
          </w:p>
          <w:p w14:paraId="66E99AE3" w14:textId="77777777" w:rsidR="008336C3" w:rsidRPr="005C5922" w:rsidRDefault="008336C3">
            <w:pPr>
              <w:spacing w:after="0" w:line="240" w:lineRule="auto"/>
              <w:rPr>
                <w:rFonts w:ascii="Times New Roman" w:hAnsi="Times New Roman" w:cs="Times New Roman"/>
                <w:color w:val="FF0000"/>
              </w:rPr>
            </w:pPr>
            <w:r w:rsidRPr="005C5922">
              <w:rPr>
                <w:rFonts w:ascii="Times New Roman" w:hAnsi="Times New Roman" w:cs="Times New Roman"/>
                <w:color w:val="FF0000"/>
              </w:rPr>
              <w:t>Pakiet legislacyjny obejmować będzie:</w:t>
            </w:r>
          </w:p>
          <w:p w14:paraId="2AE7E0B7" w14:textId="77777777" w:rsidR="008336C3" w:rsidRPr="005C5922" w:rsidRDefault="008336C3">
            <w:pPr>
              <w:spacing w:after="0" w:line="240" w:lineRule="auto"/>
              <w:rPr>
                <w:rFonts w:ascii="Times New Roman" w:hAnsi="Times New Roman" w:cs="Times New Roman"/>
                <w:color w:val="FF0000"/>
              </w:rPr>
            </w:pPr>
            <w:r w:rsidRPr="005C5922">
              <w:rPr>
                <w:rFonts w:ascii="Times New Roman" w:hAnsi="Times New Roman" w:cs="Times New Roman"/>
                <w:color w:val="FF0000"/>
              </w:rPr>
              <w:t>- nowelizację ustawy o świadczeniach opieki zdrowotnej finansowanych ze środków publicznych regulującą tzw. Sieć Szpitali poprzez zmianę zasad kwalifikacji szpitali do Sieci w oparciu o spełnienie kryteriów przez poszczególne oddziały szpitalne (a nie całe szpitale, jak obecnie);</w:t>
            </w:r>
          </w:p>
          <w:p w14:paraId="1CA495B0" w14:textId="77777777" w:rsidR="008336C3" w:rsidRPr="005C5922" w:rsidRDefault="008336C3">
            <w:pPr>
              <w:spacing w:after="0" w:line="240" w:lineRule="auto"/>
              <w:rPr>
                <w:rFonts w:ascii="Times New Roman" w:hAnsi="Times New Roman" w:cs="Times New Roman"/>
                <w:color w:val="FF0000"/>
              </w:rPr>
            </w:pPr>
            <w:r w:rsidRPr="005C5922">
              <w:rPr>
                <w:rFonts w:ascii="Times New Roman" w:hAnsi="Times New Roman" w:cs="Times New Roman"/>
                <w:color w:val="FF0000"/>
              </w:rPr>
              <w:lastRenderedPageBreak/>
              <w:t xml:space="preserve">- wydanie rozporządzenia modyfikującego i rozszerzającego kryteria kwalifikacji szpitali do Sieci Szpitali; </w:t>
            </w:r>
          </w:p>
          <w:p w14:paraId="710F462B" w14:textId="77777777" w:rsidR="008336C3" w:rsidRPr="005C5922" w:rsidRDefault="008336C3">
            <w:pPr>
              <w:spacing w:after="0" w:line="240" w:lineRule="auto"/>
              <w:rPr>
                <w:rFonts w:ascii="Times New Roman" w:hAnsi="Times New Roman" w:cs="Times New Roman"/>
                <w:color w:val="FF0000"/>
              </w:rPr>
            </w:pPr>
            <w:r w:rsidRPr="005C5922">
              <w:rPr>
                <w:rFonts w:ascii="Times New Roman" w:hAnsi="Times New Roman" w:cs="Times New Roman"/>
                <w:color w:val="FF0000"/>
              </w:rPr>
              <w:t xml:space="preserve">- nowelizację ustawy o działalności leczniczej poprzez umożliwienie tworzenia i prowadzenia podmiotów leczniczych także przez związki jednostek samorządu terytorialnego; </w:t>
            </w:r>
          </w:p>
          <w:p w14:paraId="7203D987" w14:textId="77777777" w:rsidR="008336C3" w:rsidRPr="005C5922" w:rsidRDefault="008336C3">
            <w:pPr>
              <w:spacing w:after="0" w:line="240" w:lineRule="auto"/>
              <w:rPr>
                <w:rFonts w:ascii="Times New Roman" w:hAnsi="Times New Roman" w:cs="Times New Roman"/>
                <w:color w:val="FF0000"/>
              </w:rPr>
            </w:pPr>
            <w:r w:rsidRPr="005C5922">
              <w:rPr>
                <w:rFonts w:ascii="Times New Roman" w:hAnsi="Times New Roman" w:cs="Times New Roman"/>
                <w:color w:val="FF0000"/>
              </w:rPr>
              <w:t>- wydanie na podstawie Ustawy o jakości w opiece zdrowotnej i bezpieczeństwie pacjenta rozporządzenia w sprawie wskaźników jakości opieki zdrowotnej (wskaźniki obszaru klinicznego, konsumenckiego i zarządczego);</w:t>
            </w:r>
          </w:p>
          <w:p w14:paraId="18BCFE44" w14:textId="77777777" w:rsidR="008336C3" w:rsidRPr="005C5922" w:rsidRDefault="008336C3">
            <w:pPr>
              <w:spacing w:line="240" w:lineRule="auto"/>
              <w:rPr>
                <w:rFonts w:ascii="Times New Roman" w:hAnsi="Times New Roman" w:cs="Times New Roman"/>
                <w:color w:val="FF0000"/>
              </w:rPr>
            </w:pPr>
            <w:r w:rsidRPr="005C5922">
              <w:rPr>
                <w:rFonts w:ascii="Times New Roman" w:hAnsi="Times New Roman" w:cs="Times New Roman"/>
                <w:color w:val="FF0000"/>
              </w:rPr>
              <w:t>- uruchomienie programu szkoleń dla kadry zarządzającej publicznymi podmiotami leczniczymi.</w:t>
            </w:r>
          </w:p>
          <w:p w14:paraId="22B89CDF" w14:textId="77777777" w:rsidR="002F2DFC" w:rsidRDefault="002F2DFC">
            <w:pPr>
              <w:spacing w:after="0" w:line="240" w:lineRule="auto"/>
              <w:rPr>
                <w:rFonts w:ascii="Times New Roman" w:hAnsi="Times New Roman" w:cs="Times New Roman"/>
                <w:b/>
                <w:bCs/>
              </w:rPr>
            </w:pPr>
          </w:p>
          <w:p w14:paraId="4AEDAFF8" w14:textId="77777777" w:rsidR="002F2DFC" w:rsidRDefault="002F2DFC">
            <w:pPr>
              <w:spacing w:after="0" w:line="240" w:lineRule="auto"/>
              <w:rPr>
                <w:rFonts w:ascii="Times New Roman" w:hAnsi="Times New Roman" w:cs="Times New Roman"/>
                <w:b/>
                <w:bCs/>
              </w:rPr>
            </w:pPr>
          </w:p>
          <w:p w14:paraId="4BE0BAFE" w14:textId="77777777" w:rsidR="002F2DFC" w:rsidRDefault="002F2DFC">
            <w:pPr>
              <w:spacing w:after="0" w:line="240" w:lineRule="auto"/>
              <w:rPr>
                <w:rFonts w:ascii="Times New Roman" w:hAnsi="Times New Roman" w:cs="Times New Roman"/>
                <w:b/>
                <w:bCs/>
              </w:rPr>
            </w:pPr>
          </w:p>
          <w:p w14:paraId="4D1EC112" w14:textId="77777777" w:rsidR="002F2DFC" w:rsidRDefault="002F2DFC">
            <w:pPr>
              <w:spacing w:after="0" w:line="240" w:lineRule="auto"/>
              <w:rPr>
                <w:rFonts w:ascii="Times New Roman" w:hAnsi="Times New Roman" w:cs="Times New Roman"/>
                <w:b/>
                <w:bCs/>
              </w:rPr>
            </w:pPr>
          </w:p>
          <w:p w14:paraId="7F3CFF21" w14:textId="77777777" w:rsidR="002F2DFC" w:rsidRDefault="002F2DFC">
            <w:pPr>
              <w:spacing w:after="0" w:line="240" w:lineRule="auto"/>
              <w:rPr>
                <w:rFonts w:ascii="Times New Roman" w:hAnsi="Times New Roman" w:cs="Times New Roman"/>
                <w:b/>
                <w:bCs/>
              </w:rPr>
            </w:pPr>
          </w:p>
          <w:p w14:paraId="4CA633C9" w14:textId="77777777" w:rsidR="002F2DFC" w:rsidRDefault="002F2DFC">
            <w:pPr>
              <w:spacing w:after="0" w:line="240" w:lineRule="auto"/>
              <w:rPr>
                <w:rFonts w:ascii="Times New Roman" w:hAnsi="Times New Roman" w:cs="Times New Roman"/>
                <w:b/>
                <w:bCs/>
              </w:rPr>
            </w:pPr>
          </w:p>
          <w:p w14:paraId="4B42FB22" w14:textId="77777777" w:rsidR="002F2DFC" w:rsidRDefault="002F2DFC">
            <w:pPr>
              <w:spacing w:after="0" w:line="240" w:lineRule="auto"/>
              <w:rPr>
                <w:rFonts w:ascii="Times New Roman" w:hAnsi="Times New Roman" w:cs="Times New Roman"/>
                <w:b/>
                <w:bCs/>
              </w:rPr>
            </w:pPr>
          </w:p>
          <w:p w14:paraId="6D36E645" w14:textId="77777777" w:rsidR="002F2DFC" w:rsidRDefault="002F2DFC">
            <w:pPr>
              <w:spacing w:after="0" w:line="240" w:lineRule="auto"/>
              <w:rPr>
                <w:rFonts w:ascii="Times New Roman" w:hAnsi="Times New Roman" w:cs="Times New Roman"/>
                <w:b/>
                <w:bCs/>
              </w:rPr>
            </w:pPr>
          </w:p>
          <w:p w14:paraId="47062C32" w14:textId="77777777" w:rsidR="002F2DFC" w:rsidRDefault="002F2DFC">
            <w:pPr>
              <w:spacing w:after="0" w:line="240" w:lineRule="auto"/>
              <w:rPr>
                <w:rFonts w:ascii="Times New Roman" w:hAnsi="Times New Roman" w:cs="Times New Roman"/>
                <w:b/>
                <w:bCs/>
              </w:rPr>
            </w:pPr>
          </w:p>
          <w:p w14:paraId="750D9914" w14:textId="77777777" w:rsidR="002F2DFC" w:rsidRDefault="002F2DFC">
            <w:pPr>
              <w:spacing w:after="0" w:line="240" w:lineRule="auto"/>
              <w:rPr>
                <w:rFonts w:ascii="Times New Roman" w:hAnsi="Times New Roman" w:cs="Times New Roman"/>
              </w:rPr>
            </w:pPr>
          </w:p>
          <w:p w14:paraId="257331AC" w14:textId="0DA427FF" w:rsidR="008336C3" w:rsidRPr="005C5922" w:rsidRDefault="008336C3">
            <w:pPr>
              <w:spacing w:after="0" w:line="240" w:lineRule="auto"/>
              <w:rPr>
                <w:rFonts w:ascii="Times New Roman" w:hAnsi="Times New Roman" w:cs="Times New Roman"/>
              </w:rPr>
            </w:pPr>
            <w:r w:rsidRPr="005C5922">
              <w:rPr>
                <w:rFonts w:ascii="Times New Roman" w:hAnsi="Times New Roman" w:cs="Times New Roman"/>
              </w:rPr>
              <w:t xml:space="preserve">Termin realizacji: </w:t>
            </w:r>
            <w:r w:rsidRPr="005C5922">
              <w:rPr>
                <w:rFonts w:ascii="Times New Roman" w:hAnsi="Times New Roman" w:cs="Times New Roman"/>
                <w:color w:val="FF0000"/>
              </w:rPr>
              <w:t>do IV kw.2024</w:t>
            </w:r>
            <w:r w:rsidR="002F2DFC" w:rsidRPr="005C5922">
              <w:rPr>
                <w:rFonts w:ascii="Times New Roman" w:hAnsi="Times New Roman" w:cs="Times New Roman"/>
                <w:color w:val="FF0000"/>
              </w:rPr>
              <w:t>r</w:t>
            </w:r>
            <w:r w:rsidR="002F2DFC">
              <w:rPr>
                <w:rFonts w:ascii="Times New Roman" w:hAnsi="Times New Roman" w:cs="Times New Roman"/>
              </w:rPr>
              <w:t>.</w:t>
            </w:r>
          </w:p>
        </w:tc>
      </w:tr>
      <w:tr w:rsidR="008336C3" w14:paraId="4AB9152C" w14:textId="77777777" w:rsidTr="005C5922">
        <w:tblPrEx>
          <w:tblLook w:val="0000" w:firstRow="0" w:lastRow="0" w:firstColumn="0" w:lastColumn="0" w:noHBand="0" w:noVBand="0"/>
        </w:tblPrEx>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C7298" w14:textId="77777777" w:rsidR="008336C3" w:rsidRDefault="008336C3">
            <w:pPr>
              <w:spacing w:after="0"/>
              <w:rPr>
                <w:rFonts w:ascii="Times New Roman" w:hAnsi="Times New Roman" w:cs="Times New Roman"/>
              </w:rPr>
            </w:pPr>
          </w:p>
        </w:tc>
        <w:tc>
          <w:tcPr>
            <w:tcW w:w="1941" w:type="pct"/>
            <w:tcBorders>
              <w:top w:val="single" w:sz="4" w:space="0" w:color="auto"/>
              <w:left w:val="single" w:sz="4" w:space="0" w:color="auto"/>
              <w:bottom w:val="single" w:sz="4" w:space="0" w:color="auto"/>
              <w:right w:val="single" w:sz="4" w:space="0" w:color="auto"/>
            </w:tcBorders>
          </w:tcPr>
          <w:p w14:paraId="1274E512" w14:textId="77777777" w:rsidR="008336C3" w:rsidRPr="005C5922" w:rsidRDefault="008336C3" w:rsidP="005C5922">
            <w:pPr>
              <w:tabs>
                <w:tab w:val="left" w:pos="1750"/>
              </w:tabs>
              <w:spacing w:line="240" w:lineRule="auto"/>
              <w:rPr>
                <w:rFonts w:ascii="Times New Roman" w:hAnsi="Times New Roman" w:cs="Times New Roman"/>
              </w:rPr>
            </w:pPr>
            <w:r w:rsidRPr="005C5922">
              <w:rPr>
                <w:rFonts w:ascii="Times New Roman" w:hAnsi="Times New Roman" w:cs="Times New Roman"/>
              </w:rPr>
              <w:t>D5G</w:t>
            </w:r>
          </w:p>
          <w:p w14:paraId="2984B1B1" w14:textId="77777777" w:rsidR="008336C3" w:rsidRDefault="008336C3" w:rsidP="005C5922">
            <w:pPr>
              <w:tabs>
                <w:tab w:val="left" w:pos="1750"/>
              </w:tabs>
              <w:spacing w:line="240" w:lineRule="auto"/>
              <w:rPr>
                <w:rFonts w:ascii="Times New Roman" w:hAnsi="Times New Roman" w:cs="Times New Roman"/>
              </w:rPr>
            </w:pPr>
            <w:r>
              <w:rPr>
                <w:rFonts w:ascii="Times New Roman" w:hAnsi="Times New Roman" w:cs="Times New Roman"/>
              </w:rPr>
              <w:t>Wejście w życie ustawy o Krajowej Sieci Kardiologicznej, która zapewni wszystkim pacjentom, niezależnie od miejsca zamieszkania, opiekę kardiologiczną w oparciu o te same standardy diagnostyczne i terapeutyczne, tj. jednolicie określone ścieżki oraz to, że system elastycznie odpowiada na ich potrzeby.</w:t>
            </w:r>
          </w:p>
          <w:p w14:paraId="7A2AD6DC" w14:textId="18D3D5F8" w:rsidR="008336C3" w:rsidRDefault="008336C3" w:rsidP="005C5922">
            <w:pPr>
              <w:tabs>
                <w:tab w:val="left" w:pos="1750"/>
              </w:tabs>
              <w:spacing w:line="240" w:lineRule="auto"/>
              <w:rPr>
                <w:rFonts w:ascii="Times New Roman" w:hAnsi="Times New Roman" w:cs="Times New Roman"/>
              </w:rPr>
            </w:pPr>
            <w:r w:rsidRPr="005C5922">
              <w:rPr>
                <w:rFonts w:ascii="Times New Roman" w:hAnsi="Times New Roman" w:cs="Times New Roman"/>
              </w:rPr>
              <w:t>Termin realizacji</w:t>
            </w:r>
            <w:r w:rsidRPr="002F2DFC">
              <w:rPr>
                <w:rFonts w:ascii="Times New Roman" w:hAnsi="Times New Roman" w:cs="Times New Roman"/>
              </w:rPr>
              <w:t xml:space="preserve">: </w:t>
            </w:r>
            <w:r w:rsidRPr="005C5922">
              <w:rPr>
                <w:rFonts w:ascii="Times New Roman" w:hAnsi="Times New Roman" w:cs="Times New Roman"/>
              </w:rPr>
              <w:t>I kw.</w:t>
            </w:r>
            <w:r w:rsidRPr="002F2DFC">
              <w:rPr>
                <w:rFonts w:ascii="Times New Roman" w:hAnsi="Times New Roman" w:cs="Times New Roman"/>
              </w:rPr>
              <w:t xml:space="preserve"> </w:t>
            </w:r>
            <w:r w:rsidRPr="005C5922">
              <w:rPr>
                <w:rFonts w:ascii="Times New Roman" w:hAnsi="Times New Roman" w:cs="Times New Roman"/>
              </w:rPr>
              <w:t>2024 r.</w:t>
            </w:r>
          </w:p>
        </w:tc>
        <w:tc>
          <w:tcPr>
            <w:tcW w:w="1901" w:type="pct"/>
            <w:tcBorders>
              <w:top w:val="single" w:sz="4" w:space="0" w:color="auto"/>
              <w:left w:val="single" w:sz="4" w:space="0" w:color="auto"/>
              <w:bottom w:val="single" w:sz="4" w:space="0" w:color="auto"/>
              <w:right w:val="single" w:sz="4" w:space="0" w:color="auto"/>
            </w:tcBorders>
            <w:hideMark/>
          </w:tcPr>
          <w:p w14:paraId="5881B453" w14:textId="77777777" w:rsidR="008336C3" w:rsidRPr="005C5922" w:rsidRDefault="008336C3">
            <w:pPr>
              <w:spacing w:line="240" w:lineRule="auto"/>
              <w:rPr>
                <w:rFonts w:ascii="Times New Roman" w:hAnsi="Times New Roman" w:cs="Times New Roman"/>
              </w:rPr>
            </w:pPr>
            <w:r w:rsidRPr="005C5922">
              <w:rPr>
                <w:rFonts w:ascii="Times New Roman" w:hAnsi="Times New Roman" w:cs="Times New Roman"/>
              </w:rPr>
              <w:t xml:space="preserve">D5G </w:t>
            </w:r>
          </w:p>
          <w:p w14:paraId="02EFBE7B" w14:textId="77777777" w:rsidR="008336C3" w:rsidRDefault="008336C3" w:rsidP="005C5922">
            <w:pPr>
              <w:tabs>
                <w:tab w:val="left" w:pos="1750"/>
              </w:tabs>
              <w:spacing w:line="240" w:lineRule="auto"/>
              <w:rPr>
                <w:rFonts w:ascii="Times New Roman" w:hAnsi="Times New Roman" w:cs="Times New Roman"/>
              </w:rPr>
            </w:pPr>
            <w:r>
              <w:rPr>
                <w:rFonts w:ascii="Times New Roman" w:hAnsi="Times New Roman" w:cs="Times New Roman"/>
              </w:rPr>
              <w:t>Wejście w życie ustawy o Krajowej Sieci Kardiologicznej, która zapewni wszystkim pacjentom, niezależnie od miejsca zamieszkania, opiekę kardiologiczną w oparciu o te same standardy diagnostyczne i terapeutyczne, tj. jednolicie określone ścieżki oraz to, że system elastycznie odpowiada na ich potrzeby.</w:t>
            </w:r>
          </w:p>
          <w:p w14:paraId="227DAF41" w14:textId="147E0D75" w:rsidR="008336C3" w:rsidRDefault="008336C3" w:rsidP="005C5922">
            <w:pPr>
              <w:tabs>
                <w:tab w:val="left" w:pos="1750"/>
              </w:tabs>
              <w:spacing w:line="240" w:lineRule="auto"/>
              <w:rPr>
                <w:rFonts w:ascii="Times New Roman" w:hAnsi="Times New Roman" w:cs="Times New Roman"/>
              </w:rPr>
            </w:pPr>
            <w:r w:rsidRPr="005C5922">
              <w:rPr>
                <w:rFonts w:ascii="Times New Roman" w:hAnsi="Times New Roman" w:cs="Times New Roman"/>
              </w:rPr>
              <w:t>Termin realizacji</w:t>
            </w:r>
            <w:r w:rsidRPr="002F2DFC">
              <w:rPr>
                <w:rFonts w:ascii="Times New Roman" w:hAnsi="Times New Roman" w:cs="Times New Roman"/>
              </w:rPr>
              <w:t xml:space="preserve">: </w:t>
            </w:r>
            <w:r w:rsidRPr="005C5922">
              <w:rPr>
                <w:rFonts w:ascii="Times New Roman" w:hAnsi="Times New Roman" w:cs="Times New Roman"/>
                <w:color w:val="FF0000"/>
              </w:rPr>
              <w:t>IV kw. 2024 r.</w:t>
            </w:r>
          </w:p>
        </w:tc>
      </w:tr>
      <w:tr w:rsidR="008336C3" w14:paraId="67A5B870" w14:textId="77777777" w:rsidTr="008336C3">
        <w:tc>
          <w:tcPr>
            <w:tcW w:w="0" w:type="auto"/>
            <w:vMerge/>
            <w:tcBorders>
              <w:top w:val="single" w:sz="4" w:space="0" w:color="auto"/>
              <w:left w:val="single" w:sz="4" w:space="0" w:color="auto"/>
              <w:bottom w:val="single" w:sz="4" w:space="0" w:color="auto"/>
              <w:right w:val="single" w:sz="4" w:space="0" w:color="auto"/>
            </w:tcBorders>
            <w:vAlign w:val="center"/>
            <w:hideMark/>
          </w:tcPr>
          <w:p w14:paraId="6D081926" w14:textId="77777777" w:rsidR="008336C3" w:rsidRPr="002F2DFC" w:rsidRDefault="008336C3">
            <w:pPr>
              <w:spacing w:after="0"/>
              <w:rPr>
                <w:rFonts w:ascii="Times New Roman" w:hAnsi="Times New Roman" w:cs="Times New Roman"/>
              </w:rPr>
            </w:pPr>
          </w:p>
        </w:tc>
        <w:tc>
          <w:tcPr>
            <w:tcW w:w="1941" w:type="pct"/>
            <w:tcBorders>
              <w:top w:val="single" w:sz="4" w:space="0" w:color="auto"/>
              <w:left w:val="single" w:sz="4" w:space="0" w:color="auto"/>
              <w:bottom w:val="single" w:sz="4" w:space="0" w:color="auto"/>
              <w:right w:val="single" w:sz="4" w:space="0" w:color="auto"/>
            </w:tcBorders>
            <w:hideMark/>
          </w:tcPr>
          <w:p w14:paraId="6AB9B027" w14:textId="77777777" w:rsidR="008336C3" w:rsidRPr="005C5922" w:rsidRDefault="008336C3">
            <w:pPr>
              <w:spacing w:line="240" w:lineRule="auto"/>
              <w:rPr>
                <w:rFonts w:ascii="Times New Roman" w:hAnsi="Times New Roman" w:cs="Times New Roman"/>
              </w:rPr>
            </w:pPr>
            <w:r w:rsidRPr="005C5922">
              <w:rPr>
                <w:rFonts w:ascii="Times New Roman" w:hAnsi="Times New Roman" w:cs="Times New Roman"/>
              </w:rPr>
              <w:t xml:space="preserve">D8G </w:t>
            </w:r>
          </w:p>
          <w:p w14:paraId="70A7B0FD" w14:textId="77777777" w:rsidR="008336C3" w:rsidRDefault="008336C3">
            <w:pPr>
              <w:spacing w:line="240" w:lineRule="auto"/>
              <w:rPr>
                <w:rFonts w:ascii="Times New Roman" w:hAnsi="Times New Roman" w:cs="Times New Roman"/>
                <w:b/>
                <w:bCs/>
              </w:rPr>
            </w:pPr>
            <w:r>
              <w:rPr>
                <w:rFonts w:ascii="Times New Roman" w:hAnsi="Times New Roman" w:cs="Times New Roman"/>
              </w:rPr>
              <w:t>Raport z oceny sieci opieki onkologicznej, zawierający wskaźniki jakości opieki onkologicznej.</w:t>
            </w:r>
          </w:p>
          <w:p w14:paraId="6C3DDE88" w14:textId="1ACCD614" w:rsidR="008336C3" w:rsidRPr="005C5922" w:rsidRDefault="008336C3">
            <w:pPr>
              <w:spacing w:after="0" w:line="240" w:lineRule="auto"/>
              <w:rPr>
                <w:rFonts w:ascii="Times New Roman" w:hAnsi="Times New Roman" w:cs="Times New Roman"/>
              </w:rPr>
            </w:pPr>
            <w:r w:rsidRPr="005C5922">
              <w:rPr>
                <w:rFonts w:ascii="Times New Roman" w:hAnsi="Times New Roman" w:cs="Times New Roman"/>
              </w:rPr>
              <w:t>Termin realizacji: II kw. 2025</w:t>
            </w:r>
            <w:r w:rsidR="00040D1F" w:rsidRPr="005C5922">
              <w:rPr>
                <w:rFonts w:ascii="Times New Roman" w:hAnsi="Times New Roman" w:cs="Times New Roman"/>
              </w:rPr>
              <w:t>r.</w:t>
            </w:r>
          </w:p>
        </w:tc>
        <w:tc>
          <w:tcPr>
            <w:tcW w:w="1901" w:type="pct"/>
            <w:tcBorders>
              <w:top w:val="single" w:sz="4" w:space="0" w:color="auto"/>
              <w:left w:val="single" w:sz="4" w:space="0" w:color="auto"/>
              <w:bottom w:val="single" w:sz="4" w:space="0" w:color="auto"/>
              <w:right w:val="single" w:sz="4" w:space="0" w:color="auto"/>
            </w:tcBorders>
            <w:hideMark/>
          </w:tcPr>
          <w:p w14:paraId="1C8EF4BB" w14:textId="77777777" w:rsidR="008336C3" w:rsidRPr="005C5922" w:rsidRDefault="008336C3">
            <w:pPr>
              <w:spacing w:line="240" w:lineRule="auto"/>
              <w:rPr>
                <w:rFonts w:ascii="Times New Roman" w:hAnsi="Times New Roman" w:cs="Times New Roman"/>
              </w:rPr>
            </w:pPr>
            <w:r w:rsidRPr="005C5922">
              <w:rPr>
                <w:rFonts w:ascii="Times New Roman" w:hAnsi="Times New Roman" w:cs="Times New Roman"/>
              </w:rPr>
              <w:t>D8G</w:t>
            </w:r>
          </w:p>
          <w:p w14:paraId="334F5E03" w14:textId="77777777" w:rsidR="008336C3" w:rsidRDefault="008336C3">
            <w:pPr>
              <w:spacing w:line="240" w:lineRule="auto"/>
              <w:rPr>
                <w:rFonts w:ascii="Times New Roman" w:hAnsi="Times New Roman" w:cs="Times New Roman"/>
                <w:b/>
                <w:bCs/>
              </w:rPr>
            </w:pPr>
            <w:r>
              <w:rPr>
                <w:rFonts w:ascii="Times New Roman" w:hAnsi="Times New Roman" w:cs="Times New Roman"/>
              </w:rPr>
              <w:t>Raport z oceny sieci opieki onkologicznej, zawierający wskaźniki jakości opieki onkologicznej.</w:t>
            </w:r>
          </w:p>
          <w:p w14:paraId="06D655C9" w14:textId="347CA1CB" w:rsidR="008336C3" w:rsidRPr="00040D1F" w:rsidRDefault="008336C3">
            <w:pPr>
              <w:spacing w:after="0" w:line="240" w:lineRule="auto"/>
              <w:rPr>
                <w:rFonts w:ascii="Times New Roman" w:hAnsi="Times New Roman" w:cs="Times New Roman"/>
              </w:rPr>
            </w:pPr>
            <w:r w:rsidRPr="005C5922">
              <w:rPr>
                <w:rFonts w:ascii="Times New Roman" w:hAnsi="Times New Roman" w:cs="Times New Roman"/>
              </w:rPr>
              <w:t xml:space="preserve">Termin realizacji: </w:t>
            </w:r>
            <w:r w:rsidRPr="005C5922">
              <w:rPr>
                <w:rFonts w:ascii="Times New Roman" w:hAnsi="Times New Roman" w:cs="Times New Roman"/>
                <w:color w:val="FF0000"/>
              </w:rPr>
              <w:t>II kw. 2026</w:t>
            </w:r>
            <w:r w:rsidR="00040D1F" w:rsidRPr="005C5922">
              <w:rPr>
                <w:rFonts w:ascii="Times New Roman" w:hAnsi="Times New Roman" w:cs="Times New Roman"/>
                <w:color w:val="FF0000"/>
              </w:rPr>
              <w:t>r</w:t>
            </w:r>
            <w:r w:rsidR="00040D1F">
              <w:rPr>
                <w:rFonts w:ascii="Times New Roman" w:hAnsi="Times New Roman" w:cs="Times New Roman"/>
              </w:rPr>
              <w:t>.</w:t>
            </w:r>
          </w:p>
        </w:tc>
      </w:tr>
      <w:tr w:rsidR="008336C3" w:rsidRPr="008336C3" w14:paraId="1C70B1F8" w14:textId="77777777" w:rsidTr="008336C3">
        <w:tc>
          <w:tcPr>
            <w:tcW w:w="1101" w:type="pct"/>
            <w:tcBorders>
              <w:top w:val="single" w:sz="4" w:space="0" w:color="auto"/>
              <w:left w:val="single" w:sz="4" w:space="0" w:color="auto"/>
              <w:bottom w:val="single" w:sz="4" w:space="0" w:color="auto"/>
              <w:right w:val="single" w:sz="4" w:space="0" w:color="auto"/>
            </w:tcBorders>
            <w:hideMark/>
          </w:tcPr>
          <w:p w14:paraId="7640831A" w14:textId="77777777" w:rsidR="008336C3" w:rsidRDefault="008336C3">
            <w:pPr>
              <w:spacing w:after="120" w:line="240" w:lineRule="auto"/>
              <w:rPr>
                <w:rFonts w:ascii="Times New Roman" w:hAnsi="Times New Roman" w:cs="Times New Roman"/>
              </w:rPr>
            </w:pPr>
            <w:r>
              <w:rPr>
                <w:rFonts w:ascii="Times New Roman" w:hAnsi="Times New Roman" w:cs="Times New Roman"/>
              </w:rPr>
              <w:t>Uzasadnienie</w:t>
            </w:r>
          </w:p>
        </w:tc>
        <w:tc>
          <w:tcPr>
            <w:tcW w:w="3842" w:type="pct"/>
            <w:gridSpan w:val="2"/>
            <w:tcBorders>
              <w:top w:val="single" w:sz="4" w:space="0" w:color="auto"/>
              <w:left w:val="single" w:sz="4" w:space="0" w:color="auto"/>
              <w:bottom w:val="single" w:sz="4" w:space="0" w:color="auto"/>
              <w:right w:val="single" w:sz="4" w:space="0" w:color="auto"/>
            </w:tcBorders>
            <w:hideMark/>
          </w:tcPr>
          <w:p w14:paraId="282643BE" w14:textId="77777777" w:rsidR="008336C3" w:rsidRPr="005C5922" w:rsidRDefault="008336C3">
            <w:pPr>
              <w:spacing w:after="120" w:line="240" w:lineRule="auto"/>
              <w:rPr>
                <w:rFonts w:ascii="Times New Roman" w:hAnsi="Times New Roman" w:cs="Times New Roman"/>
              </w:rPr>
            </w:pPr>
            <w:r w:rsidRPr="005C5922">
              <w:rPr>
                <w:rFonts w:ascii="Times New Roman" w:hAnsi="Times New Roman" w:cs="Times New Roman"/>
              </w:rPr>
              <w:t>D1G</w:t>
            </w:r>
          </w:p>
          <w:p w14:paraId="5F01A5E4" w14:textId="77777777" w:rsidR="008336C3" w:rsidRDefault="008336C3">
            <w:pPr>
              <w:spacing w:after="120" w:line="240" w:lineRule="auto"/>
              <w:rPr>
                <w:rFonts w:ascii="Times New Roman" w:hAnsi="Times New Roman" w:cs="Times New Roman"/>
              </w:rPr>
            </w:pPr>
            <w:r>
              <w:rPr>
                <w:rFonts w:ascii="Times New Roman" w:hAnsi="Times New Roman" w:cs="Times New Roman"/>
              </w:rPr>
              <w:lastRenderedPageBreak/>
              <w:t xml:space="preserve">Planowana modyfikacja nie wpłynie </w:t>
            </w:r>
            <w:r>
              <w:rPr>
                <w:rFonts w:ascii="Times New Roman" w:hAnsi="Times New Roman" w:cs="Times New Roman"/>
                <w:color w:val="000000" w:themeColor="text1"/>
              </w:rPr>
              <w:t xml:space="preserve">na poziom zakładanego celu reformy i </w:t>
            </w:r>
            <w:r>
              <w:rPr>
                <w:rFonts w:ascii="Times New Roman" w:hAnsi="Times New Roman" w:cs="Times New Roman"/>
              </w:rPr>
              <w:t>poziom ich ambicji i pozwoli osiągnąć trwałe rezultaty reformy w sposób bardziej zrównoważony i ograniczający ryzyko braku konsensusu społecznego i politycznego.</w:t>
            </w:r>
          </w:p>
          <w:p w14:paraId="5D45FBCF" w14:textId="77777777" w:rsidR="008336C3" w:rsidRDefault="008336C3">
            <w:pPr>
              <w:spacing w:after="120" w:line="240" w:lineRule="auto"/>
              <w:rPr>
                <w:rFonts w:ascii="Times New Roman" w:hAnsi="Times New Roman" w:cs="Times New Roman"/>
              </w:rPr>
            </w:pPr>
            <w:r>
              <w:rPr>
                <w:rFonts w:ascii="Times New Roman" w:hAnsi="Times New Roman" w:cs="Times New Roman"/>
              </w:rPr>
              <w:t xml:space="preserve">Dla realizacji kamienia D1G zostaną przyjęte rozwiązania na poziomie ustaw oraz aktów wykonawczych w postaci rozporządzeń, które zmodyfikują zasady kwalifikacji do Sieci Szpitali dla podmiotów leczniczych oraz umożliwią podmiotom leczniczym prowadzenie procesów restrukturyzacji i konsolidacji w ramach Sieci Szpitali. Dodatkowo wprowadzą one czynniki determinujące procesy zwiększania jakości i efektywności prowadzonej działalności leczniczej szpitali. </w:t>
            </w:r>
          </w:p>
          <w:p w14:paraId="60DA2830" w14:textId="77777777" w:rsidR="008336C3" w:rsidRDefault="008336C3">
            <w:pPr>
              <w:spacing w:after="120" w:line="240" w:lineRule="auto"/>
              <w:rPr>
                <w:rFonts w:ascii="Times New Roman" w:hAnsi="Times New Roman" w:cs="Times New Roman"/>
              </w:rPr>
            </w:pPr>
            <w:r>
              <w:rPr>
                <w:rFonts w:ascii="Times New Roman" w:hAnsi="Times New Roman" w:cs="Times New Roman"/>
              </w:rPr>
              <w:t xml:space="preserve">Zakładane w nowelizacji ustawy o świadczeniach opieki zdrowotnej finansowanych ze środków publicznych zmiany umożliwią prowadzenie procesów dot. zmiany profili działalności i restrukturyzacji szpitali zakwalifikowanych do Sieci Szpitali. Zmiana zasad kwalifikacji szpitali do Sieci Szpitali pozwoli na prowadzenie kwalifikacji w oparciu o spełnienie kryteriów przez poszczególne oddziały szpitalne, co stanowić będzie czynnik determinujący (w tym w aspekcie finansowym – kwalifikacja do Sieci Szpitali pozwala na stabilizację finansową) modernizację i restrukturyzację oddziałów szpitalnych i dostosowywanie ich profilu działalności do aktualnych potrzeb zdrowotnych.   </w:t>
            </w:r>
          </w:p>
          <w:p w14:paraId="2C449A2C" w14:textId="77777777" w:rsidR="008336C3" w:rsidRDefault="008336C3">
            <w:pPr>
              <w:spacing w:after="120" w:line="240" w:lineRule="auto"/>
              <w:rPr>
                <w:rFonts w:ascii="Times New Roman" w:hAnsi="Times New Roman" w:cs="Times New Roman"/>
              </w:rPr>
            </w:pPr>
            <w:r>
              <w:rPr>
                <w:rFonts w:ascii="Times New Roman" w:hAnsi="Times New Roman" w:cs="Times New Roman"/>
              </w:rPr>
              <w:t>Na postawie ustawy o jakości w opiece zdrowotnej i bezpieczeństwie pacjenta zostanie wydane rozporządzenie określające wskaźniki jakości opieki zdrowotnej. Wskaźniki obejmować będą obszar kliniczny, konsumencki i zarządczy. Wskaźniki jakości pozwolą monitorować i oceniać jakość i efektywność zarządczą w szpitalach. Wskaźniki, wyliczone dla poszczególnych podmiotów będą determinować poziom finansowania ze środków publicznych.</w:t>
            </w:r>
          </w:p>
          <w:p w14:paraId="5EDB5091" w14:textId="77777777" w:rsidR="008336C3" w:rsidRDefault="008336C3">
            <w:pPr>
              <w:spacing w:after="120" w:line="240" w:lineRule="auto"/>
              <w:rPr>
                <w:rFonts w:ascii="Times New Roman" w:hAnsi="Times New Roman" w:cs="Times New Roman"/>
              </w:rPr>
            </w:pPr>
            <w:r>
              <w:rPr>
                <w:rFonts w:ascii="Times New Roman" w:hAnsi="Times New Roman" w:cs="Times New Roman"/>
              </w:rPr>
              <w:t xml:space="preserve">Nowelizacja ustawy o działalności leczniczej wprowadzi możliwość tworzenia i prowadzenia podmiotów leczniczych przez związki jednostek samorządu terytorialnego. Powyższa zmiana umożliwi prowadzenie procesów konsolidacji podmiotów leczniczych w ramach sąsiednich powiatów, gmin zwiększając efektywność wykorzystania infrastruktury szpitalnej w regionie. W ramach nowelizacji ustawy planowane jest także doprecyzowanie obecnie obowiązujących zasad opracowywania przez kierowników szpitali planów naprawczych, do których przygotowania zobowiązani są w sytuacji osiągnięcia przez szpital straty netto z działalności za poprzedni rok. Zmiana obejmować będzie ustandaryzowanie planów naprawczych w zakresie zwiększenia efektywności wykorzystania obecnych zasobów i restrukturyzacji zadłużenia. Powyższa zmiana ustandaryzuje przygotowywane przez szpitale plany naprawcze pozwalając na ich skuteczną weryfikację, ocenę i monitorowanie postępów w procesie naprawczym. </w:t>
            </w:r>
          </w:p>
          <w:p w14:paraId="1EAEA890" w14:textId="77777777" w:rsidR="008336C3" w:rsidRDefault="008336C3">
            <w:pPr>
              <w:spacing w:after="120" w:line="240" w:lineRule="auto"/>
              <w:rPr>
                <w:rFonts w:ascii="Times New Roman" w:hAnsi="Times New Roman" w:cs="Times New Roman"/>
              </w:rPr>
            </w:pPr>
            <w:r>
              <w:rPr>
                <w:rFonts w:ascii="Times New Roman" w:hAnsi="Times New Roman" w:cs="Times New Roman"/>
              </w:rPr>
              <w:t xml:space="preserve">Integralnym elementem reformy będzie ogłoszenie programu szkoleń dla kadry zarządzającej publicznymi podmiotami leczniczymi z zakresu m.in. restrukturyzacji, procesów konsolidacji, procesów przeprofilowania działalności, restrukturyzacji zadłużenia, poprawy jakości opieki. Szkolenia koordynowane będą przez Ministerstwo Zdrowia oraz NFZ. Pozwolą one na podniesienie i ujednolicenie wiedzy kadry zarządzającej publicznymi szpitalami w obszarach kluczowych dla efektywnego zarządzania placówkami.       </w:t>
            </w:r>
          </w:p>
          <w:p w14:paraId="2D8566A5" w14:textId="77777777" w:rsidR="008336C3" w:rsidRDefault="008336C3">
            <w:pPr>
              <w:spacing w:after="120" w:line="240" w:lineRule="auto"/>
              <w:rPr>
                <w:rFonts w:ascii="Times New Roman" w:hAnsi="Times New Roman" w:cs="Times New Roman"/>
              </w:rPr>
            </w:pPr>
            <w:r>
              <w:rPr>
                <w:rFonts w:ascii="Times New Roman" w:eastAsia="Calibri" w:hAnsi="Times New Roman" w:cs="Times New Roman"/>
              </w:rPr>
              <w:t xml:space="preserve">Realizacja kamienia w postaci zmian nastąpi w okresie do IV kw. 2024 r. </w:t>
            </w:r>
          </w:p>
          <w:p w14:paraId="71BF829C" w14:textId="77777777" w:rsidR="008336C3" w:rsidRPr="005C5922" w:rsidRDefault="008336C3">
            <w:pPr>
              <w:spacing w:after="120" w:line="240" w:lineRule="auto"/>
              <w:rPr>
                <w:rFonts w:ascii="Times New Roman" w:hAnsi="Times New Roman" w:cs="Times New Roman"/>
              </w:rPr>
            </w:pPr>
            <w:r w:rsidRPr="005C5922">
              <w:rPr>
                <w:rFonts w:ascii="Times New Roman" w:hAnsi="Times New Roman" w:cs="Times New Roman"/>
              </w:rPr>
              <w:lastRenderedPageBreak/>
              <w:t>D5G</w:t>
            </w:r>
          </w:p>
          <w:p w14:paraId="5B027D20" w14:textId="77777777" w:rsidR="008336C3" w:rsidRDefault="008336C3">
            <w:pPr>
              <w:spacing w:after="0" w:line="240" w:lineRule="exact"/>
              <w:rPr>
                <w:rFonts w:ascii="Times New Roman" w:eastAsia="Calibri" w:hAnsi="Times New Roman" w:cs="Times New Roman"/>
              </w:rPr>
            </w:pPr>
            <w:r>
              <w:rPr>
                <w:rFonts w:ascii="Times New Roman" w:eastAsia="Calibri" w:hAnsi="Times New Roman" w:cs="Times New Roman"/>
                <w:kern w:val="2"/>
                <w14:ligatures w14:val="standardContextual"/>
              </w:rPr>
              <w:t xml:space="preserve">Prace nad ustawą o Krajowej Sieci Kardiologicznej są ściśle związane z realizowanym obecnie programem pilotażowym </w:t>
            </w:r>
            <w:r>
              <w:rPr>
                <w:rFonts w:ascii="Times New Roman" w:eastAsia="Calibri" w:hAnsi="Times New Roman" w:cs="Times New Roman"/>
              </w:rPr>
              <w:t>opieki nad świadczeniobiorcą w ramach sieci kardiologicznej</w:t>
            </w:r>
            <w:r>
              <w:rPr>
                <w:rFonts w:ascii="Times New Roman" w:eastAsia="Calibri" w:hAnsi="Times New Roman" w:cs="Times New Roman"/>
                <w:kern w:val="2"/>
                <w14:ligatures w14:val="standardContextual"/>
              </w:rPr>
              <w:t xml:space="preserve">, którego realizacja trwa </w:t>
            </w:r>
            <w:r>
              <w:rPr>
                <w:rFonts w:ascii="Times New Roman" w:eastAsia="Calibri" w:hAnsi="Times New Roman" w:cs="Times New Roman"/>
              </w:rPr>
              <w:t xml:space="preserve">do 31 grudnia 2024 r. Planowane jest przeprowadzenie śród-ewaluacji pilotażu w III kw. 2024 r., w ramach której zostanie sporządzone sprawozdanie zawierające analizę i ocenę programu pilotażowego. Na podstawie sprawozdania zostanie opracowana docelowa struktura Sieci Kardiologicznej będąca podstawą do opracowania i przyjęcia ustawy. </w:t>
            </w:r>
          </w:p>
          <w:p w14:paraId="0987288B" w14:textId="77777777" w:rsidR="008336C3" w:rsidRDefault="008336C3">
            <w:pPr>
              <w:spacing w:line="240" w:lineRule="exact"/>
              <w:rPr>
                <w:rFonts w:ascii="Times New Roman" w:eastAsia="Calibri" w:hAnsi="Times New Roman" w:cs="Times New Roman"/>
              </w:rPr>
            </w:pPr>
            <w:r>
              <w:rPr>
                <w:rFonts w:ascii="Times New Roman" w:eastAsia="Calibri" w:hAnsi="Times New Roman" w:cs="Times New Roman"/>
              </w:rPr>
              <w:t>Uwzględniając powyższe, termin realizacji kamienia milowego zostanie osiągnięty w IV kw. 2024 r.</w:t>
            </w:r>
          </w:p>
          <w:p w14:paraId="212B0FE6" w14:textId="77777777" w:rsidR="008336C3" w:rsidRPr="005C5922" w:rsidRDefault="008336C3">
            <w:pPr>
              <w:spacing w:line="240" w:lineRule="exact"/>
              <w:rPr>
                <w:rFonts w:ascii="Times New Roman" w:eastAsia="Calibri" w:hAnsi="Times New Roman" w:cs="Times New Roman"/>
              </w:rPr>
            </w:pPr>
            <w:r w:rsidRPr="005C5922">
              <w:rPr>
                <w:rFonts w:ascii="Times New Roman" w:eastAsia="Calibri" w:hAnsi="Times New Roman" w:cs="Times New Roman"/>
              </w:rPr>
              <w:t>D8G</w:t>
            </w:r>
          </w:p>
          <w:p w14:paraId="2A410BDC" w14:textId="283FCF3B" w:rsidR="008336C3" w:rsidRPr="005C5922" w:rsidRDefault="008336C3" w:rsidP="005C5922">
            <w:pPr>
              <w:spacing w:line="240" w:lineRule="auto"/>
              <w:rPr>
                <w:rFonts w:ascii="Times New Roman" w:eastAsia="Calibri" w:hAnsi="Times New Roman" w:cs="Times New Roman"/>
                <w:kern w:val="2"/>
                <w14:ligatures w14:val="standardContextual"/>
              </w:rPr>
            </w:pPr>
            <w:r>
              <w:rPr>
                <w:rFonts w:ascii="Times New Roman" w:eastAsia="Calibri" w:hAnsi="Times New Roman" w:cs="Times New Roman"/>
              </w:rPr>
              <w:t xml:space="preserve">Nałożenie na podmioty lecznicze obowiązku przekazywania dużej ilości informacji związanych z leczeniem pacjentów onkologicznych wymaga dostosowania i usprawnienia szpitalnych i gabinetowych systemów informatycznych. Objęcie oceną dłuższego okresu umożliwi pełniejsze wykorzystanie przekazywanych danych i informacji oraz efektywną ocenę funkcjonowania sieci. </w:t>
            </w:r>
          </w:p>
        </w:tc>
      </w:tr>
      <w:tr w:rsidR="008336C3" w14:paraId="70ADE412" w14:textId="77777777" w:rsidTr="008336C3">
        <w:tc>
          <w:tcPr>
            <w:tcW w:w="1101" w:type="pct"/>
            <w:tcBorders>
              <w:top w:val="single" w:sz="4" w:space="0" w:color="auto"/>
              <w:left w:val="single" w:sz="4" w:space="0" w:color="auto"/>
              <w:bottom w:val="single" w:sz="4" w:space="0" w:color="auto"/>
              <w:right w:val="single" w:sz="4" w:space="0" w:color="auto"/>
            </w:tcBorders>
            <w:hideMark/>
          </w:tcPr>
          <w:p w14:paraId="2A682FAB" w14:textId="77777777" w:rsidR="008336C3" w:rsidRDefault="008336C3">
            <w:pPr>
              <w:spacing w:after="120" w:line="240" w:lineRule="auto"/>
              <w:rPr>
                <w:rFonts w:ascii="Times New Roman" w:hAnsi="Times New Roman" w:cs="Times New Roman"/>
              </w:rPr>
            </w:pPr>
            <w:r>
              <w:rPr>
                <w:rFonts w:ascii="Times New Roman" w:hAnsi="Times New Roman" w:cs="Times New Roman"/>
              </w:rPr>
              <w:lastRenderedPageBreak/>
              <w:t>Szacowany koszy</w:t>
            </w:r>
          </w:p>
        </w:tc>
        <w:tc>
          <w:tcPr>
            <w:tcW w:w="3842" w:type="pct"/>
            <w:gridSpan w:val="2"/>
            <w:tcBorders>
              <w:top w:val="single" w:sz="4" w:space="0" w:color="auto"/>
              <w:left w:val="single" w:sz="4" w:space="0" w:color="auto"/>
              <w:bottom w:val="single" w:sz="4" w:space="0" w:color="auto"/>
              <w:right w:val="single" w:sz="4" w:space="0" w:color="auto"/>
            </w:tcBorders>
            <w:hideMark/>
          </w:tcPr>
          <w:p w14:paraId="79F96BEA" w14:textId="32FDC388" w:rsidR="008336C3" w:rsidRDefault="00040D1F">
            <w:pPr>
              <w:spacing w:after="120" w:line="240" w:lineRule="auto"/>
              <w:rPr>
                <w:rFonts w:ascii="Times New Roman" w:hAnsi="Times New Roman" w:cs="Times New Roman"/>
              </w:rPr>
            </w:pPr>
            <w:r w:rsidRPr="00496F64">
              <w:rPr>
                <w:rFonts w:ascii="Times New Roman" w:hAnsi="Times New Roman" w:cs="Times New Roman"/>
              </w:rPr>
              <w:t>Zmiana nie ma wpływu na szacowany kosz</w:t>
            </w:r>
            <w:r>
              <w:rPr>
                <w:rFonts w:ascii="Times New Roman" w:hAnsi="Times New Roman" w:cs="Times New Roman"/>
              </w:rPr>
              <w:t>t</w:t>
            </w:r>
          </w:p>
        </w:tc>
      </w:tr>
      <w:tr w:rsidR="008336C3" w14:paraId="49BDA591" w14:textId="77777777" w:rsidTr="008336C3">
        <w:tc>
          <w:tcPr>
            <w:tcW w:w="1101" w:type="pct"/>
            <w:tcBorders>
              <w:top w:val="single" w:sz="4" w:space="0" w:color="auto"/>
              <w:left w:val="single" w:sz="4" w:space="0" w:color="auto"/>
              <w:bottom w:val="single" w:sz="4" w:space="0" w:color="auto"/>
              <w:right w:val="single" w:sz="4" w:space="0" w:color="auto"/>
            </w:tcBorders>
            <w:hideMark/>
          </w:tcPr>
          <w:p w14:paraId="5A136E50" w14:textId="77777777" w:rsidR="008336C3" w:rsidRDefault="008336C3">
            <w:pPr>
              <w:spacing w:after="120" w:line="240" w:lineRule="auto"/>
              <w:rPr>
                <w:rFonts w:ascii="Times New Roman" w:hAnsi="Times New Roman" w:cs="Times New Roman"/>
              </w:rPr>
            </w:pPr>
            <w:r>
              <w:rPr>
                <w:rFonts w:ascii="Times New Roman" w:hAnsi="Times New Roman" w:cs="Times New Roman"/>
              </w:rPr>
              <w:t xml:space="preserve">Klimatyczny i cyfrowy </w:t>
            </w:r>
            <w:proofErr w:type="spellStart"/>
            <w:r>
              <w:rPr>
                <w:rFonts w:ascii="Times New Roman" w:hAnsi="Times New Roman" w:cs="Times New Roman"/>
              </w:rPr>
              <w:t>tagging</w:t>
            </w:r>
            <w:proofErr w:type="spellEnd"/>
          </w:p>
        </w:tc>
        <w:tc>
          <w:tcPr>
            <w:tcW w:w="3842" w:type="pct"/>
            <w:gridSpan w:val="2"/>
            <w:tcBorders>
              <w:top w:val="single" w:sz="4" w:space="0" w:color="auto"/>
              <w:left w:val="single" w:sz="4" w:space="0" w:color="auto"/>
              <w:bottom w:val="single" w:sz="4" w:space="0" w:color="auto"/>
              <w:right w:val="single" w:sz="4" w:space="0" w:color="auto"/>
            </w:tcBorders>
            <w:hideMark/>
          </w:tcPr>
          <w:p w14:paraId="367BE2EE" w14:textId="77777777" w:rsidR="008336C3" w:rsidRDefault="008336C3">
            <w:pPr>
              <w:spacing w:after="120" w:line="240" w:lineRule="auto"/>
              <w:rPr>
                <w:rFonts w:ascii="Times New Roman" w:hAnsi="Times New Roman" w:cs="Times New Roman"/>
              </w:rPr>
            </w:pPr>
            <w:r>
              <w:rPr>
                <w:rFonts w:ascii="Times New Roman" w:hAnsi="Times New Roman" w:cs="Times New Roman"/>
              </w:rPr>
              <w:t xml:space="preserve">Zmiana nie ma wpływu na </w:t>
            </w:r>
            <w:proofErr w:type="spellStart"/>
            <w:r>
              <w:rPr>
                <w:rFonts w:ascii="Times New Roman" w:hAnsi="Times New Roman" w:cs="Times New Roman"/>
              </w:rPr>
              <w:t>tagging</w:t>
            </w:r>
            <w:proofErr w:type="spellEnd"/>
            <w:r>
              <w:rPr>
                <w:rFonts w:ascii="Times New Roman" w:hAnsi="Times New Roman" w:cs="Times New Roman"/>
              </w:rPr>
              <w:t xml:space="preserve"> klimatyczny i cyfrowy</w:t>
            </w:r>
          </w:p>
        </w:tc>
      </w:tr>
      <w:tr w:rsidR="008336C3" w14:paraId="3FEEDEC6" w14:textId="77777777" w:rsidTr="008336C3">
        <w:tc>
          <w:tcPr>
            <w:tcW w:w="1101" w:type="pct"/>
            <w:tcBorders>
              <w:top w:val="single" w:sz="4" w:space="0" w:color="auto"/>
              <w:left w:val="single" w:sz="4" w:space="0" w:color="auto"/>
              <w:bottom w:val="single" w:sz="4" w:space="0" w:color="auto"/>
              <w:right w:val="single" w:sz="4" w:space="0" w:color="auto"/>
            </w:tcBorders>
            <w:hideMark/>
          </w:tcPr>
          <w:p w14:paraId="0B85951A" w14:textId="77777777" w:rsidR="008336C3" w:rsidRDefault="008336C3">
            <w:pPr>
              <w:spacing w:after="120" w:line="240" w:lineRule="auto"/>
              <w:rPr>
                <w:rFonts w:ascii="Times New Roman" w:hAnsi="Times New Roman" w:cs="Times New Roman"/>
              </w:rPr>
            </w:pPr>
            <w:r>
              <w:rPr>
                <w:rFonts w:ascii="Times New Roman" w:hAnsi="Times New Roman" w:cs="Times New Roman"/>
              </w:rPr>
              <w:t xml:space="preserve">Ocena DNSH </w:t>
            </w:r>
          </w:p>
        </w:tc>
        <w:tc>
          <w:tcPr>
            <w:tcW w:w="3842" w:type="pct"/>
            <w:gridSpan w:val="2"/>
            <w:tcBorders>
              <w:top w:val="single" w:sz="4" w:space="0" w:color="auto"/>
              <w:left w:val="single" w:sz="4" w:space="0" w:color="auto"/>
              <w:bottom w:val="single" w:sz="4" w:space="0" w:color="auto"/>
              <w:right w:val="single" w:sz="4" w:space="0" w:color="auto"/>
            </w:tcBorders>
            <w:hideMark/>
          </w:tcPr>
          <w:p w14:paraId="1EB5CFBA" w14:textId="77777777" w:rsidR="008336C3" w:rsidRDefault="008336C3">
            <w:pPr>
              <w:spacing w:after="120" w:line="240" w:lineRule="auto"/>
              <w:rPr>
                <w:rFonts w:ascii="Times New Roman" w:hAnsi="Times New Roman" w:cs="Times New Roman"/>
              </w:rPr>
            </w:pPr>
            <w:r>
              <w:rPr>
                <w:rFonts w:ascii="Times New Roman" w:hAnsi="Times New Roman" w:cs="Times New Roman"/>
              </w:rPr>
              <w:t>Zmiana nie ma wpływu na DNSH</w:t>
            </w:r>
          </w:p>
        </w:tc>
      </w:tr>
    </w:tbl>
    <w:p w14:paraId="49E5215A" w14:textId="77777777" w:rsidR="008336C3" w:rsidRDefault="008336C3" w:rsidP="008336C3">
      <w:pPr>
        <w:spacing w:after="120" w:line="240" w:lineRule="auto"/>
        <w:rPr>
          <w:rFonts w:ascii="Times New Roman" w:hAnsi="Times New Roman" w:cs="Times New Roman"/>
          <w:b/>
          <w:bCs/>
        </w:rPr>
      </w:pPr>
    </w:p>
    <w:p w14:paraId="31083072" w14:textId="0CEF6909" w:rsidR="00450B49" w:rsidRDefault="005C4B07">
      <w:pPr>
        <w:rPr>
          <w:rFonts w:ascii="Times New Roman" w:hAnsi="Times New Roman" w:cs="Times New Roman"/>
          <w:b/>
          <w:bCs/>
          <w:sz w:val="28"/>
          <w:szCs w:val="28"/>
        </w:rPr>
      </w:pPr>
      <w:r w:rsidRPr="00496F64">
        <w:rPr>
          <w:rFonts w:ascii="Times New Roman" w:hAnsi="Times New Roman" w:cs="Times New Roman"/>
          <w:b/>
          <w:bCs/>
          <w:sz w:val="28"/>
          <w:szCs w:val="28"/>
        </w:rPr>
        <w:t>Komponent E Zielona, inteligentna mobilność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2"/>
        <w:gridCol w:w="3438"/>
        <w:gridCol w:w="3652"/>
      </w:tblGrid>
      <w:tr w:rsidR="00C9419C" w:rsidRPr="00496F64" w14:paraId="01DF9DD2" w14:textId="77777777" w:rsidTr="005D520A">
        <w:tc>
          <w:tcPr>
            <w:tcW w:w="1088" w:type="pct"/>
          </w:tcPr>
          <w:p w14:paraId="727E1291" w14:textId="36B284FD" w:rsidR="00C9419C" w:rsidRPr="005C5922" w:rsidRDefault="00C9419C" w:rsidP="005D520A">
            <w:pPr>
              <w:spacing w:after="120" w:line="240" w:lineRule="auto"/>
              <w:rPr>
                <w:rFonts w:ascii="Times New Roman" w:hAnsi="Times New Roman" w:cs="Times New Roman"/>
                <w:b/>
                <w:bCs/>
              </w:rPr>
            </w:pPr>
            <w:r w:rsidRPr="00496F64">
              <w:rPr>
                <w:rFonts w:ascii="Times New Roman" w:hAnsi="Times New Roman" w:cs="Times New Roman"/>
                <w:b/>
                <w:bCs/>
              </w:rPr>
              <w:t>Numer reformy</w:t>
            </w:r>
          </w:p>
        </w:tc>
        <w:tc>
          <w:tcPr>
            <w:tcW w:w="3912" w:type="pct"/>
            <w:gridSpan w:val="2"/>
          </w:tcPr>
          <w:p w14:paraId="699B3225" w14:textId="5521629E" w:rsidR="00C9419C" w:rsidRPr="00496F64" w:rsidRDefault="00C9419C" w:rsidP="005D520A">
            <w:pPr>
              <w:spacing w:after="120" w:line="240" w:lineRule="auto"/>
              <w:rPr>
                <w:rFonts w:ascii="Times New Roman" w:hAnsi="Times New Roman" w:cs="Times New Roman"/>
                <w:b/>
                <w:bCs/>
              </w:rPr>
            </w:pPr>
            <w:r w:rsidRPr="00496F64">
              <w:rPr>
                <w:rFonts w:ascii="Times New Roman" w:hAnsi="Times New Roman" w:cs="Times New Roman"/>
                <w:b/>
                <w:bCs/>
                <w:lang w:val="en-GB"/>
              </w:rPr>
              <w:t>E1.1</w:t>
            </w:r>
            <w:r w:rsidR="00523CCD">
              <w:rPr>
                <w:rFonts w:ascii="Times New Roman" w:hAnsi="Times New Roman" w:cs="Times New Roman"/>
                <w:b/>
                <w:bCs/>
                <w:lang w:val="en-GB"/>
              </w:rPr>
              <w:t>.</w:t>
            </w:r>
            <w:r w:rsidRPr="00496F64">
              <w:rPr>
                <w:rFonts w:ascii="Times New Roman" w:hAnsi="Times New Roman" w:cs="Times New Roman"/>
                <w:b/>
                <w:bCs/>
                <w:lang w:val="en-GB"/>
              </w:rPr>
              <w:t xml:space="preserve">                                 </w:t>
            </w:r>
          </w:p>
        </w:tc>
      </w:tr>
      <w:tr w:rsidR="00C9419C" w:rsidRPr="00346254" w14:paraId="70D3EE5C" w14:textId="77777777" w:rsidTr="005D520A">
        <w:tc>
          <w:tcPr>
            <w:tcW w:w="1088" w:type="pct"/>
          </w:tcPr>
          <w:p w14:paraId="7AB635BC" w14:textId="79A4BA25" w:rsidR="00C9419C" w:rsidRPr="00496F64" w:rsidRDefault="00C9419C" w:rsidP="005D520A">
            <w:pPr>
              <w:spacing w:after="120" w:line="240" w:lineRule="auto"/>
              <w:rPr>
                <w:rFonts w:ascii="Times New Roman" w:hAnsi="Times New Roman" w:cs="Times New Roman"/>
                <w:b/>
                <w:bCs/>
                <w:lang w:val="en-GB"/>
              </w:rPr>
            </w:pPr>
            <w:proofErr w:type="spellStart"/>
            <w:r w:rsidRPr="00496F64">
              <w:rPr>
                <w:rFonts w:ascii="Times New Roman" w:hAnsi="Times New Roman" w:cs="Times New Roman"/>
                <w:b/>
                <w:bCs/>
                <w:lang w:val="en-GB"/>
              </w:rPr>
              <w:t>Nazwa</w:t>
            </w:r>
            <w:proofErr w:type="spellEnd"/>
            <w:r w:rsidRPr="00496F64">
              <w:rPr>
                <w:rFonts w:ascii="Times New Roman" w:hAnsi="Times New Roman" w:cs="Times New Roman"/>
                <w:b/>
                <w:bCs/>
                <w:lang w:val="en-GB"/>
              </w:rPr>
              <w:t xml:space="preserve"> </w:t>
            </w:r>
            <w:proofErr w:type="spellStart"/>
            <w:r w:rsidRPr="00496F64">
              <w:rPr>
                <w:rFonts w:ascii="Times New Roman" w:hAnsi="Times New Roman" w:cs="Times New Roman"/>
                <w:b/>
                <w:bCs/>
                <w:lang w:val="en-GB"/>
              </w:rPr>
              <w:t>reformy</w:t>
            </w:r>
            <w:proofErr w:type="spellEnd"/>
            <w:r w:rsidRPr="00496F64">
              <w:rPr>
                <w:rFonts w:ascii="Times New Roman" w:hAnsi="Times New Roman" w:cs="Times New Roman"/>
                <w:lang w:val="en" w:eastAsia="pl-PL"/>
              </w:rPr>
              <w:t xml:space="preserve"> </w:t>
            </w:r>
          </w:p>
        </w:tc>
        <w:tc>
          <w:tcPr>
            <w:tcW w:w="3912" w:type="pct"/>
            <w:gridSpan w:val="2"/>
          </w:tcPr>
          <w:p w14:paraId="7FA82658" w14:textId="14DECF47" w:rsidR="00C9419C" w:rsidRPr="005C5922" w:rsidRDefault="00C9419C" w:rsidP="005D520A">
            <w:pPr>
              <w:spacing w:after="120" w:line="240" w:lineRule="auto"/>
              <w:rPr>
                <w:rFonts w:ascii="Times New Roman" w:hAnsi="Times New Roman" w:cs="Times New Roman"/>
                <w:b/>
                <w:bCs/>
              </w:rPr>
            </w:pPr>
            <w:r w:rsidRPr="00496F64">
              <w:rPr>
                <w:rFonts w:ascii="Times New Roman" w:hAnsi="Times New Roman" w:cs="Times New Roman"/>
                <w:b/>
                <w:bCs/>
              </w:rPr>
              <w:t>Wzrost wykorzystania transportu przyjaznego dla środowiska</w:t>
            </w:r>
          </w:p>
        </w:tc>
      </w:tr>
      <w:tr w:rsidR="00C9419C" w:rsidRPr="00AB48CE" w14:paraId="206FF145" w14:textId="77777777" w:rsidTr="005D520A">
        <w:tc>
          <w:tcPr>
            <w:tcW w:w="1088" w:type="pct"/>
            <w:shd w:val="clear" w:color="auto" w:fill="auto"/>
          </w:tcPr>
          <w:p w14:paraId="09B85292" w14:textId="696679CD" w:rsidR="00C9419C" w:rsidRPr="005C5922" w:rsidRDefault="00C9419C" w:rsidP="005D520A">
            <w:pPr>
              <w:spacing w:after="120" w:line="240" w:lineRule="auto"/>
              <w:rPr>
                <w:rFonts w:ascii="Times New Roman" w:hAnsi="Times New Roman" w:cs="Times New Roman"/>
              </w:rPr>
            </w:pPr>
            <w:r w:rsidRPr="00496F64">
              <w:rPr>
                <w:rFonts w:ascii="Times New Roman" w:hAnsi="Times New Roman" w:cs="Times New Roman"/>
              </w:rPr>
              <w:t>Rodzaj wprowadzonej zmiany w odniesieniu do CID</w:t>
            </w:r>
          </w:p>
        </w:tc>
        <w:tc>
          <w:tcPr>
            <w:tcW w:w="3912" w:type="pct"/>
            <w:gridSpan w:val="2"/>
            <w:shd w:val="clear" w:color="auto" w:fill="auto"/>
          </w:tcPr>
          <w:p w14:paraId="4531BEC2" w14:textId="3D8429FB" w:rsidR="00C9419C" w:rsidRPr="005C5922" w:rsidRDefault="00C9419C" w:rsidP="005D520A">
            <w:pPr>
              <w:spacing w:after="120" w:line="240" w:lineRule="auto"/>
              <w:rPr>
                <w:rFonts w:ascii="Times New Roman" w:hAnsi="Times New Roman" w:cs="Times New Roman"/>
                <w:iCs/>
              </w:rPr>
            </w:pPr>
            <w:r w:rsidRPr="005C5922">
              <w:rPr>
                <w:rFonts w:ascii="Times New Roman" w:hAnsi="Times New Roman" w:cs="Times New Roman"/>
                <w:color w:val="000000"/>
                <w:lang w:eastAsia="pl-PL"/>
              </w:rPr>
              <w:t xml:space="preserve">Przesunięcie terminu realizacji i </w:t>
            </w:r>
            <w:r w:rsidR="002B4CE1">
              <w:rPr>
                <w:rFonts w:ascii="Times New Roman" w:hAnsi="Times New Roman" w:cs="Times New Roman"/>
                <w:color w:val="000000"/>
                <w:lang w:eastAsia="pl-PL"/>
              </w:rPr>
              <w:t>modyfikacja</w:t>
            </w:r>
            <w:r w:rsidRPr="005C5922">
              <w:rPr>
                <w:rFonts w:ascii="Times New Roman" w:hAnsi="Times New Roman" w:cs="Times New Roman"/>
                <w:color w:val="000000"/>
                <w:lang w:eastAsia="pl-PL"/>
              </w:rPr>
              <w:t xml:space="preserve"> opisu kamienia milowego E1G </w:t>
            </w:r>
            <w:r w:rsidR="00AB48CE">
              <w:rPr>
                <w:rFonts w:ascii="Times New Roman" w:hAnsi="Times New Roman" w:cs="Times New Roman"/>
                <w:color w:val="000000"/>
                <w:lang w:eastAsia="pl-PL"/>
              </w:rPr>
              <w:t>i u</w:t>
            </w:r>
            <w:r w:rsidR="00AB48CE" w:rsidRPr="005D520A">
              <w:rPr>
                <w:rFonts w:ascii="Times New Roman" w:hAnsi="Times New Roman" w:cs="Times New Roman"/>
                <w:color w:val="000000"/>
                <w:lang w:eastAsia="pl-PL"/>
              </w:rPr>
              <w:t>sunięcie kamienia milowego E4G</w:t>
            </w:r>
          </w:p>
        </w:tc>
      </w:tr>
      <w:tr w:rsidR="00C9419C" w:rsidRPr="00496F64" w14:paraId="1F408AAF" w14:textId="77777777" w:rsidTr="005D520A">
        <w:tc>
          <w:tcPr>
            <w:tcW w:w="1088" w:type="pct"/>
            <w:shd w:val="clear" w:color="auto" w:fill="auto"/>
          </w:tcPr>
          <w:p w14:paraId="771BA7A6" w14:textId="59D3ABE0" w:rsidR="00C9419C" w:rsidRPr="00496F64" w:rsidRDefault="00C9419C" w:rsidP="005D520A">
            <w:pPr>
              <w:spacing w:after="120" w:line="240" w:lineRule="auto"/>
              <w:rPr>
                <w:rFonts w:ascii="Times New Roman" w:hAnsi="Times New Roman" w:cs="Times New Roman"/>
                <w:lang w:val="en-GB"/>
              </w:rPr>
            </w:pPr>
            <w:proofErr w:type="spellStart"/>
            <w:r w:rsidRPr="00496F64">
              <w:rPr>
                <w:rFonts w:ascii="Times New Roman" w:hAnsi="Times New Roman" w:cs="Times New Roman"/>
                <w:lang w:val="en-GB"/>
              </w:rPr>
              <w:t>Podstawa</w:t>
            </w:r>
            <w:proofErr w:type="spellEnd"/>
            <w:r w:rsidRPr="00496F64">
              <w:rPr>
                <w:rFonts w:ascii="Times New Roman" w:hAnsi="Times New Roman" w:cs="Times New Roman"/>
                <w:lang w:val="en-GB"/>
              </w:rPr>
              <w:t xml:space="preserve"> </w:t>
            </w:r>
            <w:proofErr w:type="spellStart"/>
            <w:r w:rsidRPr="00496F64">
              <w:rPr>
                <w:rFonts w:ascii="Times New Roman" w:hAnsi="Times New Roman" w:cs="Times New Roman"/>
                <w:lang w:val="en-GB"/>
              </w:rPr>
              <w:t>prawna</w:t>
            </w:r>
            <w:proofErr w:type="spellEnd"/>
            <w:r w:rsidRPr="00496F64">
              <w:rPr>
                <w:rFonts w:ascii="Times New Roman" w:hAnsi="Times New Roman" w:cs="Times New Roman"/>
                <w:lang w:val="en-GB"/>
              </w:rPr>
              <w:t xml:space="preserve"> </w:t>
            </w:r>
            <w:proofErr w:type="spellStart"/>
            <w:r w:rsidRPr="00496F64">
              <w:rPr>
                <w:rFonts w:ascii="Times New Roman" w:hAnsi="Times New Roman" w:cs="Times New Roman"/>
                <w:lang w:val="en-GB"/>
              </w:rPr>
              <w:t>zmiany</w:t>
            </w:r>
            <w:proofErr w:type="spellEnd"/>
          </w:p>
        </w:tc>
        <w:tc>
          <w:tcPr>
            <w:tcW w:w="3912" w:type="pct"/>
            <w:gridSpan w:val="2"/>
            <w:shd w:val="clear" w:color="auto" w:fill="auto"/>
          </w:tcPr>
          <w:p w14:paraId="7AFB8C41" w14:textId="7D0C3ED7" w:rsidR="00C9419C" w:rsidRPr="00496F64" w:rsidRDefault="00AB48CE" w:rsidP="005D520A">
            <w:pPr>
              <w:spacing w:after="120" w:line="240" w:lineRule="auto"/>
              <w:rPr>
                <w:rFonts w:ascii="Times New Roman" w:hAnsi="Times New Roman" w:cs="Times New Roman"/>
              </w:rPr>
            </w:pPr>
            <w:r w:rsidRPr="00496F64">
              <w:rPr>
                <w:rFonts w:ascii="Times New Roman" w:hAnsi="Times New Roman" w:cs="Times New Roman"/>
              </w:rPr>
              <w:t>art. 21 rozporządzenia Parlamentu Europejskiego i Rady (UE) 2021/241 z dnia 12 lutego 2021 r. ustanawiające Instrument na rzecz Odbudowy i Zwiększania Odporności</w:t>
            </w:r>
          </w:p>
        </w:tc>
      </w:tr>
      <w:tr w:rsidR="00C9419C" w:rsidRPr="00496F64" w14:paraId="1AA615A5" w14:textId="77777777" w:rsidTr="005D520A">
        <w:tc>
          <w:tcPr>
            <w:tcW w:w="1088" w:type="pct"/>
            <w:shd w:val="clear" w:color="auto" w:fill="D9D9D9" w:themeFill="background1" w:themeFillShade="D9"/>
          </w:tcPr>
          <w:p w14:paraId="657EF0ED" w14:textId="6333B486" w:rsidR="00C9419C" w:rsidRPr="005C5922" w:rsidRDefault="00C9419C" w:rsidP="005C5922">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Modyfikowany element</w:t>
            </w:r>
          </w:p>
        </w:tc>
        <w:tc>
          <w:tcPr>
            <w:tcW w:w="1897" w:type="pct"/>
            <w:shd w:val="clear" w:color="auto" w:fill="D9D9D9" w:themeFill="background1" w:themeFillShade="D9"/>
          </w:tcPr>
          <w:p w14:paraId="51EDA59D" w14:textId="77777777" w:rsidR="00C9419C" w:rsidRPr="00496F64" w:rsidRDefault="00C9419C" w:rsidP="005D520A">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Bieżąca wersja</w:t>
            </w:r>
          </w:p>
          <w:p w14:paraId="401DE3C3" w14:textId="77777777" w:rsidR="00C9419C" w:rsidRPr="00496F64" w:rsidRDefault="00C9419C" w:rsidP="005C5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highlight w:val="lightGray"/>
              </w:rPr>
            </w:pPr>
          </w:p>
        </w:tc>
        <w:tc>
          <w:tcPr>
            <w:tcW w:w="2015" w:type="pct"/>
            <w:shd w:val="clear" w:color="auto" w:fill="D9D9D9" w:themeFill="background1" w:themeFillShade="D9"/>
          </w:tcPr>
          <w:p w14:paraId="71DF32A0" w14:textId="25E1D1A0" w:rsidR="00C9419C" w:rsidRPr="00496F64" w:rsidRDefault="00C9419C">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Wersja zmieniona</w:t>
            </w:r>
          </w:p>
        </w:tc>
      </w:tr>
      <w:tr w:rsidR="00C9419C" w:rsidRPr="00AB48CE" w14:paraId="27A3F735" w14:textId="77777777" w:rsidTr="005D520A">
        <w:tc>
          <w:tcPr>
            <w:tcW w:w="1088" w:type="pct"/>
          </w:tcPr>
          <w:p w14:paraId="7099159C" w14:textId="77777777" w:rsidR="00C9419C" w:rsidRPr="00496F64" w:rsidRDefault="00C9419C" w:rsidP="005D520A">
            <w:pPr>
              <w:spacing w:after="120" w:line="240" w:lineRule="auto"/>
              <w:rPr>
                <w:rFonts w:ascii="Times New Roman" w:hAnsi="Times New Roman" w:cs="Times New Roman"/>
              </w:rPr>
            </w:pPr>
            <w:r w:rsidRPr="00496F64">
              <w:rPr>
                <w:rFonts w:ascii="Times New Roman" w:hAnsi="Times New Roman" w:cs="Times New Roman"/>
              </w:rPr>
              <w:t>Opis komponentu oraz/lub działania (inwestycji/reformy)</w:t>
            </w:r>
          </w:p>
          <w:p w14:paraId="70E29389" w14:textId="388DBFF5" w:rsidR="00C9419C" w:rsidRPr="005C5922" w:rsidRDefault="00C9419C" w:rsidP="005D520A">
            <w:pPr>
              <w:spacing w:after="120" w:line="240" w:lineRule="auto"/>
              <w:rPr>
                <w:rFonts w:ascii="Times New Roman" w:hAnsi="Times New Roman" w:cs="Times New Roman"/>
              </w:rPr>
            </w:pPr>
          </w:p>
        </w:tc>
        <w:tc>
          <w:tcPr>
            <w:tcW w:w="1897" w:type="pct"/>
          </w:tcPr>
          <w:p w14:paraId="649B7438" w14:textId="2D18C750" w:rsidR="00C9419C" w:rsidRPr="005C5922" w:rsidRDefault="00C9419C" w:rsidP="005C5922">
            <w:pPr>
              <w:spacing w:after="120" w:line="240" w:lineRule="auto"/>
              <w:rPr>
                <w:rFonts w:ascii="Times New Roman" w:hAnsi="Times New Roman" w:cs="Times New Roman"/>
              </w:rPr>
            </w:pPr>
            <w:r w:rsidRPr="00496F64">
              <w:rPr>
                <w:rFonts w:ascii="Times New Roman" w:hAnsi="Times New Roman" w:cs="Times New Roman"/>
              </w:rPr>
              <w:t>E1G</w:t>
            </w:r>
            <w:r w:rsidR="00AB48CE">
              <w:rPr>
                <w:rFonts w:ascii="Times New Roman" w:hAnsi="Times New Roman" w:cs="Times New Roman"/>
              </w:rPr>
              <w:t xml:space="preserve"> </w:t>
            </w:r>
            <w:r w:rsidRPr="00496F64">
              <w:rPr>
                <w:rFonts w:ascii="Times New Roman" w:hAnsi="Times New Roman" w:cs="Times New Roman"/>
              </w:rPr>
              <w:t>Wejście w życie ustawy wprowadzającej obowiązek zakupu tylko niskoemisyjnych i zeroemisyjnych autobusów w miastach powyżej 100 000 mieszkańców począwszy od 2025 r.</w:t>
            </w:r>
          </w:p>
          <w:p w14:paraId="11EDF7D0" w14:textId="77777777" w:rsidR="008A5D4B" w:rsidRDefault="008A5D4B" w:rsidP="005C5922">
            <w:pPr>
              <w:spacing w:after="120" w:line="240" w:lineRule="auto"/>
              <w:rPr>
                <w:rFonts w:ascii="Times New Roman" w:hAnsi="Times New Roman" w:cs="Times New Roman"/>
              </w:rPr>
            </w:pPr>
          </w:p>
          <w:p w14:paraId="3AC67238" w14:textId="1D5CF349" w:rsidR="00C9419C" w:rsidRPr="00496F64" w:rsidRDefault="00C9419C" w:rsidP="005C5922">
            <w:pPr>
              <w:spacing w:after="120" w:line="240" w:lineRule="auto"/>
              <w:rPr>
                <w:rFonts w:ascii="Times New Roman" w:hAnsi="Times New Roman" w:cs="Times New Roman"/>
              </w:rPr>
            </w:pPr>
            <w:r w:rsidRPr="00496F64">
              <w:rPr>
                <w:rFonts w:ascii="Times New Roman" w:hAnsi="Times New Roman" w:cs="Times New Roman"/>
              </w:rPr>
              <w:t xml:space="preserve">W ustawie zostanie ustanowiony obowiązek dla prowadzonych przetargów, związany z osiągnięciem progu dotyczącego </w:t>
            </w:r>
            <w:r w:rsidRPr="00496F64">
              <w:rPr>
                <w:rFonts w:ascii="Times New Roman" w:hAnsi="Times New Roman" w:cs="Times New Roman"/>
              </w:rPr>
              <w:lastRenderedPageBreak/>
              <w:t>autobusów niskoemisyjnych i zeroemisyjnych; w określonych przypadkach dopuszczalne będzie zamawianie tylko tego typu pojazdów.</w:t>
            </w:r>
          </w:p>
          <w:p w14:paraId="6A18A688" w14:textId="483AAB7A" w:rsidR="00C9419C" w:rsidRPr="00496F64" w:rsidRDefault="00C9419C" w:rsidP="005C5922">
            <w:pPr>
              <w:spacing w:after="120" w:line="240" w:lineRule="auto"/>
              <w:rPr>
                <w:rFonts w:ascii="Times New Roman" w:hAnsi="Times New Roman" w:cs="Times New Roman"/>
              </w:rPr>
            </w:pPr>
            <w:r w:rsidRPr="00496F64">
              <w:rPr>
                <w:rFonts w:ascii="Times New Roman" w:hAnsi="Times New Roman" w:cs="Times New Roman"/>
              </w:rPr>
              <w:t>Na mocy ustawy miasta powyżej 100 000 mieszkańców zobowiązuje się też od 2025 r. do zawierania umów przewozu tylko z podmiotami korzystającymi z autobusów zeroemisyjnych i niskoemisyjnych (o napędzie elektrycznym i wodorowym.)</w:t>
            </w:r>
          </w:p>
          <w:p w14:paraId="37DA6C93" w14:textId="02A323A7" w:rsidR="00C9419C" w:rsidRPr="00496F64" w:rsidRDefault="00523CCD" w:rsidP="005C5922">
            <w:pPr>
              <w:spacing w:after="120" w:line="240" w:lineRule="auto"/>
              <w:rPr>
                <w:rFonts w:ascii="Times New Roman" w:hAnsi="Times New Roman" w:cs="Times New Roman"/>
                <w:lang w:val="en-GB"/>
              </w:rPr>
            </w:pPr>
            <w:r w:rsidRPr="00496F64">
              <w:rPr>
                <w:rFonts w:ascii="Times New Roman" w:hAnsi="Times New Roman" w:cs="Times New Roman"/>
              </w:rPr>
              <w:t xml:space="preserve">IV </w:t>
            </w:r>
            <w:r w:rsidR="00D7176B">
              <w:rPr>
                <w:rFonts w:ascii="Times New Roman" w:hAnsi="Times New Roman" w:cs="Times New Roman"/>
              </w:rPr>
              <w:t>kw.</w:t>
            </w:r>
            <w:r w:rsidRPr="00496F64">
              <w:rPr>
                <w:rFonts w:ascii="Times New Roman" w:hAnsi="Times New Roman" w:cs="Times New Roman"/>
              </w:rPr>
              <w:t xml:space="preserve"> 2022 r.</w:t>
            </w:r>
          </w:p>
        </w:tc>
        <w:tc>
          <w:tcPr>
            <w:tcW w:w="2015" w:type="pct"/>
          </w:tcPr>
          <w:p w14:paraId="55039DF4" w14:textId="2D87F6BA" w:rsidR="00C9419C" w:rsidRPr="00496F64" w:rsidRDefault="00C9419C" w:rsidP="005C5922">
            <w:pPr>
              <w:spacing w:after="120" w:line="240" w:lineRule="auto"/>
              <w:rPr>
                <w:rFonts w:ascii="Times New Roman" w:hAnsi="Times New Roman" w:cs="Times New Roman"/>
              </w:rPr>
            </w:pPr>
            <w:r w:rsidRPr="00496F64">
              <w:rPr>
                <w:rFonts w:ascii="Times New Roman" w:hAnsi="Times New Roman" w:cs="Times New Roman"/>
              </w:rPr>
              <w:lastRenderedPageBreak/>
              <w:t>E1G</w:t>
            </w:r>
            <w:r w:rsidR="00AB48CE">
              <w:rPr>
                <w:rFonts w:ascii="Times New Roman" w:hAnsi="Times New Roman" w:cs="Times New Roman"/>
              </w:rPr>
              <w:t xml:space="preserve"> </w:t>
            </w:r>
            <w:r w:rsidRPr="00496F64">
              <w:rPr>
                <w:rFonts w:ascii="Times New Roman" w:hAnsi="Times New Roman" w:cs="Times New Roman"/>
              </w:rPr>
              <w:t xml:space="preserve">Wejście w życie ustawy wprowadzającej obowiązek zakupu </w:t>
            </w:r>
            <w:r w:rsidRPr="00496F64">
              <w:rPr>
                <w:rFonts w:ascii="Times New Roman" w:hAnsi="Times New Roman" w:cs="Times New Roman"/>
                <w:color w:val="FF0000"/>
              </w:rPr>
              <w:t xml:space="preserve">przez operatorów oraz organizatorów publicznego transportu zbiorowego tylko niskoemisyjnych i zeroemisyjnych </w:t>
            </w:r>
            <w:r w:rsidRPr="00496F64">
              <w:rPr>
                <w:rFonts w:ascii="Times New Roman" w:hAnsi="Times New Roman" w:cs="Times New Roman"/>
              </w:rPr>
              <w:t>autobusów w miastach powyżej 100 000 mieszkańców począwszy od 202</w:t>
            </w:r>
            <w:r w:rsidRPr="00496F64">
              <w:rPr>
                <w:rFonts w:ascii="Times New Roman" w:hAnsi="Times New Roman" w:cs="Times New Roman"/>
                <w:strike/>
                <w:color w:val="FF0000"/>
              </w:rPr>
              <w:t>5</w:t>
            </w:r>
            <w:r w:rsidRPr="00496F64">
              <w:rPr>
                <w:rFonts w:ascii="Times New Roman" w:hAnsi="Times New Roman" w:cs="Times New Roman"/>
                <w:color w:val="FF0000"/>
              </w:rPr>
              <w:t>6</w:t>
            </w:r>
            <w:r w:rsidRPr="00496F64">
              <w:rPr>
                <w:rFonts w:ascii="Times New Roman" w:hAnsi="Times New Roman" w:cs="Times New Roman"/>
              </w:rPr>
              <w:t xml:space="preserve"> r.</w:t>
            </w:r>
          </w:p>
          <w:p w14:paraId="473A892F" w14:textId="4F0A8AB1" w:rsidR="00C9419C" w:rsidRPr="00853ED6" w:rsidRDefault="00C9419C" w:rsidP="005C5922">
            <w:pPr>
              <w:spacing w:after="120" w:line="240" w:lineRule="auto"/>
              <w:rPr>
                <w:rFonts w:ascii="Times New Roman" w:hAnsi="Times New Roman" w:cs="Times New Roman"/>
                <w:strike/>
                <w:color w:val="FF0000"/>
              </w:rPr>
            </w:pPr>
            <w:r w:rsidRPr="00496F64">
              <w:rPr>
                <w:rFonts w:ascii="Times New Roman" w:hAnsi="Times New Roman" w:cs="Times New Roman"/>
              </w:rPr>
              <w:t xml:space="preserve">W ustawie zostanie ustanowiony obowiązek od </w:t>
            </w:r>
            <w:r w:rsidRPr="00496F64">
              <w:rPr>
                <w:rFonts w:ascii="Times New Roman" w:hAnsi="Times New Roman" w:cs="Times New Roman"/>
                <w:color w:val="FF0000"/>
              </w:rPr>
              <w:t>2026</w:t>
            </w:r>
            <w:r w:rsidR="00AB48CE">
              <w:rPr>
                <w:rFonts w:ascii="Times New Roman" w:hAnsi="Times New Roman" w:cs="Times New Roman"/>
                <w:color w:val="FF0000"/>
              </w:rPr>
              <w:t>r.</w:t>
            </w:r>
            <w:r w:rsidRPr="00496F64">
              <w:rPr>
                <w:rFonts w:ascii="Times New Roman" w:hAnsi="Times New Roman" w:cs="Times New Roman"/>
                <w:color w:val="FF0000"/>
              </w:rPr>
              <w:t xml:space="preserve"> zakupu przez operatorów oraz organizatorów publicznego transportu zbiorowego w </w:t>
            </w:r>
            <w:r w:rsidRPr="00496F64">
              <w:rPr>
                <w:rFonts w:ascii="Times New Roman" w:hAnsi="Times New Roman" w:cs="Times New Roman"/>
                <w:color w:val="FF0000"/>
              </w:rPr>
              <w:lastRenderedPageBreak/>
              <w:t>miastach powyżej 100 tys. mieszkańców autobusów zeroemisyjnych (elektrycznych i wodorowych)</w:t>
            </w:r>
            <w:r>
              <w:rPr>
                <w:rFonts w:ascii="Times New Roman" w:hAnsi="Times New Roman" w:cs="Times New Roman"/>
                <w:color w:val="FF0000"/>
              </w:rPr>
              <w:t xml:space="preserve"> w ilości 90 % nabywanych autobusów. </w:t>
            </w:r>
          </w:p>
          <w:p w14:paraId="2BADBD19" w14:textId="62777B9F" w:rsidR="00C9419C" w:rsidRPr="00496F64" w:rsidRDefault="00C9419C" w:rsidP="005C5922">
            <w:pPr>
              <w:spacing w:after="120" w:line="240" w:lineRule="auto"/>
              <w:rPr>
                <w:rFonts w:ascii="Times New Roman" w:hAnsi="Times New Roman" w:cs="Times New Roman"/>
                <w:color w:val="FF0000"/>
              </w:rPr>
            </w:pPr>
            <w:r w:rsidRPr="00496F64">
              <w:rPr>
                <w:rFonts w:ascii="Times New Roman" w:hAnsi="Times New Roman" w:cs="Times New Roman"/>
                <w:color w:val="FF0000"/>
              </w:rPr>
              <w:t xml:space="preserve">Dodatkowo od 2026 r. wprowadzony zostanie obowiązek zawierania umów na świadczenie usługi transportu publicznego jedynie z podmiotami, które posiadają w swojej flocie tego rodzaju autobusy. </w:t>
            </w:r>
          </w:p>
          <w:p w14:paraId="271A816C" w14:textId="307E938F" w:rsidR="00523CCD" w:rsidRDefault="00C9419C" w:rsidP="005C5922">
            <w:pPr>
              <w:spacing w:after="120" w:line="240" w:lineRule="auto"/>
              <w:rPr>
                <w:rFonts w:ascii="Times New Roman" w:hAnsi="Times New Roman" w:cs="Times New Roman"/>
                <w:color w:val="FF0000"/>
              </w:rPr>
            </w:pPr>
            <w:r w:rsidRPr="00496F64">
              <w:rPr>
                <w:rFonts w:ascii="Times New Roman" w:hAnsi="Times New Roman" w:cs="Times New Roman"/>
                <w:color w:val="FF0000"/>
              </w:rPr>
              <w:t>Reforma ta zostanie wprowadzona w życie</w:t>
            </w:r>
            <w:r>
              <w:rPr>
                <w:rFonts w:ascii="Times New Roman" w:hAnsi="Times New Roman" w:cs="Times New Roman"/>
                <w:color w:val="FF0000"/>
              </w:rPr>
              <w:t xml:space="preserve"> w pierwszym kwartale 2025 r.</w:t>
            </w:r>
            <w:r w:rsidRPr="00496F64">
              <w:rPr>
                <w:rFonts w:ascii="Times New Roman" w:hAnsi="Times New Roman" w:cs="Times New Roman"/>
                <w:color w:val="FF0000"/>
              </w:rPr>
              <w:t xml:space="preserve"> </w:t>
            </w:r>
          </w:p>
          <w:p w14:paraId="08B1CA21" w14:textId="58A79D3C" w:rsidR="00C9419C" w:rsidRPr="005C5922" w:rsidRDefault="00523CCD" w:rsidP="005C5922">
            <w:pPr>
              <w:pStyle w:val="HTML-wstpniesformatowany"/>
              <w:spacing w:after="120"/>
              <w:rPr>
                <w:rFonts w:ascii="Times New Roman" w:hAnsi="Times New Roman" w:cs="Times New Roman"/>
                <w:b/>
                <w:bCs/>
                <w:color w:val="70AD47" w:themeColor="accent6"/>
                <w:sz w:val="22"/>
                <w:szCs w:val="22"/>
                <w:lang w:val="en-GB" w:eastAsia="en-US"/>
              </w:rPr>
            </w:pPr>
            <w:r w:rsidRPr="005C5922">
              <w:rPr>
                <w:rFonts w:ascii="Times New Roman" w:hAnsi="Times New Roman" w:cs="Times New Roman"/>
                <w:color w:val="FF0000"/>
                <w:sz w:val="22"/>
                <w:szCs w:val="22"/>
              </w:rPr>
              <w:t xml:space="preserve">I </w:t>
            </w:r>
            <w:r w:rsidR="00D7176B">
              <w:rPr>
                <w:rFonts w:ascii="Times New Roman" w:hAnsi="Times New Roman" w:cs="Times New Roman"/>
                <w:color w:val="FF0000"/>
                <w:sz w:val="22"/>
                <w:szCs w:val="22"/>
              </w:rPr>
              <w:t>kw.</w:t>
            </w:r>
            <w:r w:rsidRPr="005C5922">
              <w:rPr>
                <w:rFonts w:ascii="Times New Roman" w:hAnsi="Times New Roman" w:cs="Times New Roman"/>
                <w:color w:val="FF0000"/>
                <w:sz w:val="22"/>
                <w:szCs w:val="22"/>
              </w:rPr>
              <w:t xml:space="preserve"> 2025 r.</w:t>
            </w:r>
          </w:p>
        </w:tc>
      </w:tr>
      <w:tr w:rsidR="00C9419C" w:rsidRPr="00496F64" w14:paraId="31DB1A6A" w14:textId="77777777" w:rsidTr="005D520A">
        <w:tc>
          <w:tcPr>
            <w:tcW w:w="1088" w:type="pct"/>
          </w:tcPr>
          <w:p w14:paraId="66353F21" w14:textId="77777777" w:rsidR="00C9419C" w:rsidRPr="00496F64" w:rsidRDefault="00C9419C" w:rsidP="005D520A">
            <w:pPr>
              <w:spacing w:after="120" w:line="240" w:lineRule="auto"/>
              <w:rPr>
                <w:rFonts w:ascii="Times New Roman" w:hAnsi="Times New Roman" w:cs="Times New Roman"/>
              </w:rPr>
            </w:pPr>
            <w:r w:rsidRPr="00496F64">
              <w:rPr>
                <w:rFonts w:ascii="Times New Roman" w:hAnsi="Times New Roman" w:cs="Times New Roman"/>
              </w:rPr>
              <w:lastRenderedPageBreak/>
              <w:t>Opis komponentu oraz/lub działania (inwestycji/reformy)</w:t>
            </w:r>
          </w:p>
          <w:p w14:paraId="31ED9DFB" w14:textId="77777777" w:rsidR="00C9419C" w:rsidRPr="005C5922" w:rsidRDefault="00C9419C" w:rsidP="005D520A">
            <w:pPr>
              <w:spacing w:after="120" w:line="240" w:lineRule="auto"/>
              <w:rPr>
                <w:rFonts w:ascii="Times New Roman" w:hAnsi="Times New Roman" w:cs="Times New Roman"/>
                <w:lang w:eastAsia="pl-PL"/>
              </w:rPr>
            </w:pPr>
          </w:p>
          <w:p w14:paraId="295DFB6B" w14:textId="67909D40" w:rsidR="008A5D4B" w:rsidRPr="005C5922" w:rsidRDefault="008A5D4B" w:rsidP="005D520A">
            <w:pPr>
              <w:spacing w:after="120" w:line="240" w:lineRule="auto"/>
              <w:rPr>
                <w:rFonts w:ascii="Times New Roman" w:hAnsi="Times New Roman" w:cs="Times New Roman"/>
              </w:rPr>
            </w:pPr>
          </w:p>
        </w:tc>
        <w:tc>
          <w:tcPr>
            <w:tcW w:w="1897" w:type="pct"/>
          </w:tcPr>
          <w:p w14:paraId="0B0FFADD" w14:textId="3D586EC6" w:rsidR="00D7176B" w:rsidRDefault="00C9419C" w:rsidP="005D520A">
            <w:pPr>
              <w:spacing w:after="120" w:line="240" w:lineRule="auto"/>
              <w:rPr>
                <w:rFonts w:ascii="Times New Roman" w:hAnsi="Times New Roman" w:cs="Times New Roman"/>
              </w:rPr>
            </w:pPr>
            <w:r w:rsidRPr="005C5922">
              <w:rPr>
                <w:rFonts w:ascii="Times New Roman" w:hAnsi="Times New Roman" w:cs="Times New Roman"/>
              </w:rPr>
              <w:t>E4G</w:t>
            </w:r>
            <w:r w:rsidR="00523CCD">
              <w:rPr>
                <w:rFonts w:ascii="Times New Roman" w:hAnsi="Times New Roman" w:cs="Times New Roman"/>
                <w:i/>
                <w:iCs/>
              </w:rPr>
              <w:t xml:space="preserve"> </w:t>
            </w:r>
            <w:r w:rsidRPr="00496F64">
              <w:rPr>
                <w:rFonts w:ascii="Times New Roman" w:hAnsi="Times New Roman" w:cs="Times New Roman"/>
              </w:rPr>
              <w:t>Wejście w życie aktu prawnego wprowadzającego opłatę rejestracyjną od posiadania pojazdów związanych z emisjami zgodne z zasadą „zanieczyszczający płaci”</w:t>
            </w:r>
          </w:p>
          <w:p w14:paraId="7824B320" w14:textId="5AB5C9EA" w:rsidR="00C9419C" w:rsidRPr="005C5922" w:rsidRDefault="00C9419C" w:rsidP="005D520A">
            <w:pPr>
              <w:spacing w:after="120" w:line="240" w:lineRule="auto"/>
              <w:rPr>
                <w:rFonts w:ascii="Times New Roman" w:hAnsi="Times New Roman" w:cs="Times New Roman"/>
                <w:i/>
                <w:iCs/>
              </w:rPr>
            </w:pPr>
            <w:r w:rsidRPr="00496F64">
              <w:rPr>
                <w:rFonts w:ascii="Times New Roman" w:hAnsi="Times New Roman" w:cs="Times New Roman"/>
              </w:rPr>
              <w:t xml:space="preserve">Wprowadzony zostanie podatek od posiadania pojazdów spalinowych, który jest skorelowany z emisjami CO2 i </w:t>
            </w:r>
            <w:proofErr w:type="spellStart"/>
            <w:r w:rsidRPr="00496F64">
              <w:rPr>
                <w:rFonts w:ascii="Times New Roman" w:hAnsi="Times New Roman" w:cs="Times New Roman"/>
              </w:rPr>
              <w:t>NOx</w:t>
            </w:r>
            <w:proofErr w:type="spellEnd"/>
            <w:r w:rsidRPr="00496F64">
              <w:rPr>
                <w:rFonts w:ascii="Times New Roman" w:hAnsi="Times New Roman" w:cs="Times New Roman"/>
              </w:rPr>
              <w:t xml:space="preserve"> pojazdu. Dochód z tego podatku zostanie przeznaczony na ograniczenie negatywnych efektów zewnętrznych transportu i rozwój niskoemisyjnego transportu publicznego zarówno na obszarach miejskich, jak i wiejskich.</w:t>
            </w:r>
          </w:p>
        </w:tc>
        <w:tc>
          <w:tcPr>
            <w:tcW w:w="2015" w:type="pct"/>
          </w:tcPr>
          <w:p w14:paraId="12C6D6B2" w14:textId="62D5239A" w:rsidR="00C9419C" w:rsidRPr="005C5922" w:rsidRDefault="00C9419C" w:rsidP="005D520A">
            <w:pPr>
              <w:spacing w:after="120" w:line="240" w:lineRule="auto"/>
              <w:rPr>
                <w:rFonts w:ascii="Times New Roman" w:hAnsi="Times New Roman" w:cs="Times New Roman"/>
                <w:i/>
                <w:iCs/>
                <w:strike/>
                <w:color w:val="FF0000"/>
              </w:rPr>
            </w:pPr>
            <w:r w:rsidRPr="00496F64">
              <w:rPr>
                <w:rFonts w:ascii="Times New Roman" w:hAnsi="Times New Roman" w:cs="Times New Roman"/>
                <w:i/>
                <w:iCs/>
                <w:strike/>
                <w:color w:val="FF0000"/>
              </w:rPr>
              <w:t>E4G</w:t>
            </w:r>
            <w:r w:rsidR="00523CCD">
              <w:rPr>
                <w:rFonts w:ascii="Times New Roman" w:hAnsi="Times New Roman" w:cs="Times New Roman"/>
                <w:i/>
                <w:iCs/>
                <w:strike/>
                <w:color w:val="FF0000"/>
              </w:rPr>
              <w:t xml:space="preserve"> </w:t>
            </w:r>
            <w:r w:rsidRPr="00496F64">
              <w:rPr>
                <w:rFonts w:ascii="Times New Roman" w:hAnsi="Times New Roman" w:cs="Times New Roman"/>
                <w:strike/>
                <w:color w:val="FF0000"/>
              </w:rPr>
              <w:t>Wejście w życie aktu prawnego wprowadzającego opłatę rejestracyjną od posiadania pojazdów związanych z emisjami zgodne z zasadą „zanieczyszczający płaci”</w:t>
            </w:r>
            <w:r w:rsidRPr="00496F64">
              <w:rPr>
                <w:rFonts w:ascii="Times New Roman" w:hAnsi="Times New Roman" w:cs="Times New Roman"/>
                <w:strike/>
                <w:color w:val="FF0000"/>
              </w:rPr>
              <w:cr/>
            </w:r>
          </w:p>
          <w:p w14:paraId="71271EBD" w14:textId="77777777" w:rsidR="00C9419C" w:rsidRPr="00496F64" w:rsidRDefault="00C9419C" w:rsidP="005D520A">
            <w:pPr>
              <w:autoSpaceDE w:val="0"/>
              <w:autoSpaceDN w:val="0"/>
              <w:adjustRightInd w:val="0"/>
              <w:spacing w:after="0" w:line="240" w:lineRule="auto"/>
              <w:rPr>
                <w:rFonts w:ascii="Times New Roman" w:hAnsi="Times New Roman" w:cs="Times New Roman"/>
                <w:strike/>
                <w:color w:val="FF0000"/>
              </w:rPr>
            </w:pPr>
            <w:r w:rsidRPr="00496F64">
              <w:rPr>
                <w:rFonts w:ascii="Times New Roman" w:hAnsi="Times New Roman" w:cs="Times New Roman"/>
                <w:strike/>
                <w:color w:val="FF0000"/>
              </w:rPr>
              <w:t xml:space="preserve">Wprowadzony zostanie podatek od posiadania pojazdów spalinowych, który jest skorelowany z emisjami CO2 i </w:t>
            </w:r>
            <w:proofErr w:type="spellStart"/>
            <w:r w:rsidRPr="00496F64">
              <w:rPr>
                <w:rFonts w:ascii="Times New Roman" w:hAnsi="Times New Roman" w:cs="Times New Roman"/>
                <w:strike/>
                <w:color w:val="FF0000"/>
              </w:rPr>
              <w:t>NOx</w:t>
            </w:r>
            <w:proofErr w:type="spellEnd"/>
            <w:r w:rsidRPr="00496F64">
              <w:rPr>
                <w:rFonts w:ascii="Times New Roman" w:hAnsi="Times New Roman" w:cs="Times New Roman"/>
                <w:strike/>
                <w:color w:val="FF0000"/>
              </w:rPr>
              <w:t xml:space="preserve"> pojazdu. Dochód z tego podatku zostanie przeznaczony na ograniczenie negatywnych efektów zewnętrznych transportu i rozwój niskoemisyjnego transportu publicznego zarówno na obszarach miejskich, jak i wiejskich.</w:t>
            </w:r>
          </w:p>
          <w:p w14:paraId="04D31BB8" w14:textId="77777777" w:rsidR="00C9419C" w:rsidRPr="00496F64" w:rsidRDefault="00C9419C" w:rsidP="005D520A">
            <w:pPr>
              <w:spacing w:after="120" w:line="240" w:lineRule="auto"/>
              <w:rPr>
                <w:rFonts w:ascii="Times New Roman" w:hAnsi="Times New Roman" w:cs="Times New Roman"/>
                <w:i/>
                <w:iCs/>
              </w:rPr>
            </w:pPr>
          </w:p>
        </w:tc>
      </w:tr>
      <w:tr w:rsidR="00C9419C" w:rsidRPr="00D7176B" w14:paraId="6A043CE2" w14:textId="77777777" w:rsidTr="005D520A">
        <w:tc>
          <w:tcPr>
            <w:tcW w:w="1088" w:type="pct"/>
          </w:tcPr>
          <w:p w14:paraId="3D9133AB" w14:textId="77777777" w:rsidR="00C9419C" w:rsidRPr="00496F64" w:rsidRDefault="00C9419C" w:rsidP="005D520A">
            <w:pPr>
              <w:spacing w:after="120" w:line="240" w:lineRule="auto"/>
              <w:rPr>
                <w:rFonts w:ascii="Times New Roman" w:hAnsi="Times New Roman" w:cs="Times New Roman"/>
              </w:rPr>
            </w:pPr>
            <w:r w:rsidRPr="00496F64">
              <w:rPr>
                <w:rFonts w:ascii="Times New Roman" w:hAnsi="Times New Roman" w:cs="Times New Roman"/>
              </w:rPr>
              <w:t>Uzasadnienie</w:t>
            </w:r>
          </w:p>
          <w:p w14:paraId="0677F4D3" w14:textId="25C3C47B" w:rsidR="00C9419C" w:rsidRPr="00496F64" w:rsidRDefault="00C9419C" w:rsidP="005D520A">
            <w:pPr>
              <w:spacing w:after="120" w:line="240" w:lineRule="auto"/>
              <w:rPr>
                <w:rFonts w:ascii="Times New Roman" w:hAnsi="Times New Roman" w:cs="Times New Roman"/>
              </w:rPr>
            </w:pPr>
          </w:p>
        </w:tc>
        <w:tc>
          <w:tcPr>
            <w:tcW w:w="3912" w:type="pct"/>
            <w:gridSpan w:val="2"/>
          </w:tcPr>
          <w:p w14:paraId="42F803FD" w14:textId="25EB1E6E" w:rsidR="00C9419C" w:rsidRPr="00496F64" w:rsidRDefault="00C9419C" w:rsidP="005C5922">
            <w:pPr>
              <w:spacing w:after="120" w:line="240" w:lineRule="auto"/>
              <w:rPr>
                <w:rFonts w:ascii="Times New Roman" w:hAnsi="Times New Roman" w:cs="Times New Roman"/>
                <w:lang w:eastAsia="pl-PL"/>
              </w:rPr>
            </w:pPr>
            <w:r w:rsidRPr="00496F64">
              <w:rPr>
                <w:rFonts w:ascii="Times New Roman" w:hAnsi="Times New Roman" w:cs="Times New Roman"/>
                <w:lang w:eastAsia="pl-PL"/>
              </w:rPr>
              <w:t>E1G</w:t>
            </w:r>
          </w:p>
          <w:p w14:paraId="73BCAF8E" w14:textId="23E9127A" w:rsidR="00C9419C" w:rsidRPr="00496F64" w:rsidRDefault="00C9419C" w:rsidP="005C5922">
            <w:pPr>
              <w:spacing w:after="120"/>
              <w:rPr>
                <w:rFonts w:ascii="Times New Roman" w:hAnsi="Times New Roman" w:cs="Times New Roman"/>
                <w:lang w:eastAsia="pl-PL"/>
              </w:rPr>
            </w:pPr>
            <w:r w:rsidRPr="00496F64">
              <w:rPr>
                <w:rFonts w:ascii="Times New Roman" w:hAnsi="Times New Roman" w:cs="Times New Roman"/>
                <w:lang w:eastAsia="pl-PL"/>
              </w:rPr>
              <w:t>Przeprowadzenie procesu legislacyjnego z zachowaniem pełnego zakresu konsultacji jest czasochłonne. Podej</w:t>
            </w:r>
            <w:r w:rsidR="00F6438D">
              <w:rPr>
                <w:rFonts w:ascii="Times New Roman" w:hAnsi="Times New Roman" w:cs="Times New Roman"/>
                <w:lang w:eastAsia="pl-PL"/>
              </w:rPr>
              <w:t>mowane są</w:t>
            </w:r>
            <w:r w:rsidRPr="00496F64">
              <w:rPr>
                <w:rFonts w:ascii="Times New Roman" w:hAnsi="Times New Roman" w:cs="Times New Roman"/>
                <w:lang w:eastAsia="pl-PL"/>
              </w:rPr>
              <w:t xml:space="preserve"> działania mające na celu zakończenie tego procesu w tym roku, jednak skutkować to będzie brakiem czasu dla samorządów na przygotowanie się do realizacji tej reformy. Wprowadzenie tak dużych zmian dla polskich miast wymaga czasu i rozmów z samorządowcami. </w:t>
            </w:r>
          </w:p>
          <w:p w14:paraId="28A7C7C2" w14:textId="46613672" w:rsidR="00C9419C" w:rsidRPr="00496F64" w:rsidRDefault="00C9419C">
            <w:pPr>
              <w:shd w:val="clear" w:color="auto" w:fill="FFFFFF"/>
              <w:spacing w:after="120" w:line="240" w:lineRule="auto"/>
              <w:rPr>
                <w:rFonts w:ascii="Times New Roman" w:hAnsi="Times New Roman" w:cs="Times New Roman"/>
                <w:lang w:eastAsia="pl-PL"/>
              </w:rPr>
            </w:pPr>
            <w:r w:rsidRPr="00496F64">
              <w:rPr>
                <w:rFonts w:ascii="Times New Roman" w:hAnsi="Times New Roman" w:cs="Times New Roman"/>
                <w:lang w:eastAsia="pl-PL"/>
              </w:rPr>
              <w:t>Budżety samorządów na 2025 r. nie będą uwzględniać obowiązku wynikającego z przedmiotowej legislacji, gdyż brak będzie podstaw prawnych do takiego działania. Spowoduje to wstrzymanie w 2025 r. wymiany autobusów lub przywróceniem do eksploatacji autobusów starych, o niskich normach EURO. Oznacza to, że efekt reformy będzie odwrotny do zamierzonego i wzrośnie zanieczyszczenie powietrza.</w:t>
            </w:r>
          </w:p>
          <w:p w14:paraId="7302471D" w14:textId="2EAAEE7C" w:rsidR="00C9419C" w:rsidRPr="00496F64" w:rsidRDefault="00C9419C" w:rsidP="005C5922">
            <w:pPr>
              <w:shd w:val="clear" w:color="auto" w:fill="FFFFFF"/>
              <w:spacing w:after="120" w:line="240" w:lineRule="auto"/>
              <w:rPr>
                <w:rFonts w:ascii="Times New Roman" w:hAnsi="Times New Roman" w:cs="Times New Roman"/>
                <w:lang w:eastAsia="pl-PL"/>
              </w:rPr>
            </w:pPr>
            <w:r w:rsidRPr="00496F64">
              <w:rPr>
                <w:rFonts w:ascii="Times New Roman" w:hAnsi="Times New Roman" w:cs="Times New Roman"/>
                <w:lang w:eastAsia="pl-PL"/>
              </w:rPr>
              <w:t xml:space="preserve">Potrzebny jest również czas na przygotowanie odpowiednich programów wsparcia. Samorządy nie udźwigną tak dużych kosztów bez wsparcia państwa. Należy podkreślić, że wbrew oczekiwaniom eksperckim z chwili uzgadniania KPO ceny baterii do autobusów elektrycznych nie spadają, mamy do czynienia wręcz z  trendem wzrostowym. Oznacza to, że część stanowiąca od 30-50% kosztów autobusu w najbliższych latach będzie coraz droższa. Wpływ na to ma sytuacja geopolityczna – ograniczona dostępność metali niezbędnych </w:t>
            </w:r>
            <w:r w:rsidRPr="00496F64">
              <w:rPr>
                <w:rFonts w:ascii="Times New Roman" w:hAnsi="Times New Roman" w:cs="Times New Roman"/>
                <w:lang w:eastAsia="pl-PL"/>
              </w:rPr>
              <w:lastRenderedPageBreak/>
              <w:t>do produkcji baterii oraz coraz większe zapotrzebowanie na baterie, wykorzystywane w samochodach elektrycznych oraz innych urządzeniach np. elektronice.</w:t>
            </w:r>
          </w:p>
          <w:p w14:paraId="396F27EF" w14:textId="77777777" w:rsidR="00C9419C" w:rsidRDefault="00C9419C" w:rsidP="005C5922">
            <w:pPr>
              <w:spacing w:after="120" w:line="240" w:lineRule="auto"/>
              <w:rPr>
                <w:rFonts w:ascii="Times New Roman" w:hAnsi="Times New Roman" w:cs="Times New Roman"/>
                <w:lang w:eastAsia="pl-PL"/>
              </w:rPr>
            </w:pPr>
            <w:r w:rsidRPr="00496F64">
              <w:rPr>
                <w:rFonts w:ascii="Times New Roman" w:hAnsi="Times New Roman" w:cs="Times New Roman"/>
                <w:lang w:eastAsia="pl-PL"/>
              </w:rPr>
              <w:t xml:space="preserve">Wprowadzana reforma musi zostać skonsultowana z miastami – to one będą realizować obowiązek wynikający z ustawy. Dlatego proponowana zmiana jest konieczna z punktu widzenia proceduralnego, jak i społecznego. Z powyższego uzasadniania wynika, że zmiana jest bezwzględnie niezbędna oraz uzasadnione obiektywnymi okolicznościami. </w:t>
            </w:r>
          </w:p>
          <w:p w14:paraId="785BD429" w14:textId="3E51C499" w:rsidR="00C9419C" w:rsidRPr="005C5922" w:rsidRDefault="00F6438D" w:rsidP="005C5922">
            <w:pPr>
              <w:spacing w:after="120" w:line="240" w:lineRule="auto"/>
              <w:jc w:val="both"/>
              <w:rPr>
                <w:rFonts w:ascii="Times New Roman" w:hAnsi="Times New Roman" w:cs="Times New Roman"/>
                <w:lang w:eastAsia="pl-PL"/>
              </w:rPr>
            </w:pPr>
            <w:r>
              <w:rPr>
                <w:rFonts w:ascii="Times New Roman" w:hAnsi="Times New Roman" w:cs="Times New Roman"/>
                <w:lang w:eastAsia="pl-PL"/>
              </w:rPr>
              <w:t>K</w:t>
            </w:r>
            <w:r w:rsidR="00C9419C" w:rsidRPr="005C5922">
              <w:rPr>
                <w:rFonts w:ascii="Times New Roman" w:hAnsi="Times New Roman" w:cs="Times New Roman"/>
                <w:lang w:eastAsia="pl-PL"/>
              </w:rPr>
              <w:t>onieczne jest pozostawienie 10% autobusów spalinowych z uwagi na bezpieczeństwo realizacji usług komunikacji miejskiej. W przypadku problemów z zasilaniem lub z powodu warunków atmosferycznych użytkowanie autobusów elektrycznych i wodorowych będzie niemożliwe.</w:t>
            </w:r>
          </w:p>
          <w:p w14:paraId="66872786" w14:textId="02BDA86D" w:rsidR="00C9419C" w:rsidRPr="005C5922" w:rsidRDefault="00C9419C" w:rsidP="005C5922">
            <w:pPr>
              <w:spacing w:after="120" w:line="240" w:lineRule="auto"/>
              <w:jc w:val="both"/>
              <w:rPr>
                <w:rFonts w:ascii="Times New Roman" w:hAnsi="Times New Roman" w:cs="Times New Roman"/>
                <w:lang w:eastAsia="pl-PL"/>
              </w:rPr>
            </w:pPr>
            <w:bookmarkStart w:id="3" w:name="_Hlk161312661"/>
            <w:r w:rsidRPr="005C5922">
              <w:rPr>
                <w:rFonts w:ascii="Times New Roman" w:hAnsi="Times New Roman" w:cs="Times New Roman"/>
                <w:lang w:eastAsia="pl-PL"/>
              </w:rPr>
              <w:t>Warunkiem koniecznym wprowadzeni</w:t>
            </w:r>
            <w:r w:rsidR="00F6438D">
              <w:rPr>
                <w:rFonts w:ascii="Times New Roman" w:hAnsi="Times New Roman" w:cs="Times New Roman"/>
                <w:lang w:eastAsia="pl-PL"/>
              </w:rPr>
              <w:t>a</w:t>
            </w:r>
            <w:r w:rsidRPr="005C5922">
              <w:rPr>
                <w:rFonts w:ascii="Times New Roman" w:hAnsi="Times New Roman" w:cs="Times New Roman"/>
                <w:lang w:eastAsia="pl-PL"/>
              </w:rPr>
              <w:t xml:space="preserve"> reform</w:t>
            </w:r>
            <w:r w:rsidR="008A5D4B">
              <w:rPr>
                <w:rFonts w:ascii="Times New Roman" w:hAnsi="Times New Roman" w:cs="Times New Roman"/>
                <w:lang w:eastAsia="pl-PL"/>
              </w:rPr>
              <w:t xml:space="preserve">y powinno być zabezpieczenie środków dla samorządów na zakup autobusów po 2026r.  </w:t>
            </w:r>
            <w:bookmarkEnd w:id="3"/>
          </w:p>
        </w:tc>
      </w:tr>
      <w:tr w:rsidR="00C9419C" w:rsidRPr="00D7176B" w14:paraId="69C20D78" w14:textId="77777777" w:rsidTr="005D520A">
        <w:tc>
          <w:tcPr>
            <w:tcW w:w="1088" w:type="pct"/>
          </w:tcPr>
          <w:p w14:paraId="3FA097F2" w14:textId="77777777" w:rsidR="00C9419C" w:rsidRPr="00496F64" w:rsidRDefault="00C9419C">
            <w:pPr>
              <w:spacing w:after="120" w:line="240" w:lineRule="auto"/>
              <w:rPr>
                <w:rFonts w:ascii="Times New Roman" w:hAnsi="Times New Roman" w:cs="Times New Roman"/>
              </w:rPr>
            </w:pPr>
            <w:r w:rsidRPr="00496F64">
              <w:rPr>
                <w:rFonts w:ascii="Times New Roman" w:hAnsi="Times New Roman" w:cs="Times New Roman"/>
              </w:rPr>
              <w:lastRenderedPageBreak/>
              <w:t>Uzasadnienie</w:t>
            </w:r>
          </w:p>
          <w:p w14:paraId="0EF203B2" w14:textId="4F0FA407" w:rsidR="00C9419C" w:rsidRPr="00496F64" w:rsidRDefault="00C9419C">
            <w:pPr>
              <w:spacing w:after="120" w:line="240" w:lineRule="auto"/>
              <w:rPr>
                <w:rFonts w:ascii="Times New Roman" w:hAnsi="Times New Roman" w:cs="Times New Roman"/>
              </w:rPr>
            </w:pPr>
          </w:p>
        </w:tc>
        <w:tc>
          <w:tcPr>
            <w:tcW w:w="3912" w:type="pct"/>
            <w:gridSpan w:val="2"/>
          </w:tcPr>
          <w:p w14:paraId="758482E7" w14:textId="47FB2206" w:rsidR="00C9419C" w:rsidRPr="00496F64" w:rsidRDefault="00C9419C" w:rsidP="005C5922">
            <w:pPr>
              <w:spacing w:after="120" w:line="240" w:lineRule="auto"/>
              <w:rPr>
                <w:rFonts w:ascii="Times New Roman" w:hAnsi="Times New Roman" w:cs="Times New Roman"/>
                <w:lang w:eastAsia="pl-PL"/>
              </w:rPr>
            </w:pPr>
            <w:r w:rsidRPr="00496F64">
              <w:rPr>
                <w:rFonts w:ascii="Times New Roman" w:hAnsi="Times New Roman" w:cs="Times New Roman"/>
                <w:lang w:eastAsia="pl-PL"/>
              </w:rPr>
              <w:t>E4G</w:t>
            </w:r>
          </w:p>
          <w:p w14:paraId="1FD69D0D" w14:textId="77777777" w:rsidR="00C9419C" w:rsidRPr="00496F64" w:rsidRDefault="00C9419C" w:rsidP="005C5922">
            <w:pPr>
              <w:spacing w:after="120" w:line="240" w:lineRule="auto"/>
              <w:rPr>
                <w:rFonts w:ascii="Times New Roman" w:hAnsi="Times New Roman" w:cs="Times New Roman"/>
                <w:lang w:eastAsia="pl-PL"/>
              </w:rPr>
            </w:pPr>
            <w:r w:rsidRPr="00496F64">
              <w:rPr>
                <w:rFonts w:ascii="Times New Roman" w:hAnsi="Times New Roman" w:cs="Times New Roman"/>
                <w:lang w:eastAsia="pl-PL"/>
              </w:rPr>
              <w:t xml:space="preserve">Sektor transportu stoi w obliczu transformacji w kierunku </w:t>
            </w:r>
            <w:proofErr w:type="spellStart"/>
            <w:r w:rsidRPr="00496F64">
              <w:rPr>
                <w:rFonts w:ascii="Times New Roman" w:hAnsi="Times New Roman" w:cs="Times New Roman"/>
                <w:lang w:eastAsia="pl-PL"/>
              </w:rPr>
              <w:t>zeroemisyjności</w:t>
            </w:r>
            <w:proofErr w:type="spellEnd"/>
            <w:r w:rsidRPr="00496F64">
              <w:rPr>
                <w:rFonts w:ascii="Times New Roman" w:hAnsi="Times New Roman" w:cs="Times New Roman"/>
                <w:lang w:eastAsia="pl-PL"/>
              </w:rPr>
              <w:t xml:space="preserve">. Mając na względzie liczbę samochodów zarejestrowanych w Polsce – 4 miejsce w UE, oraz liczbę przedsiębiorstw związanych z sektorem transportu drogowego –125 tys. firm, które zajmują się transportem drogowym towarów, zatrudnienie w całym sektorze ok. 750 tys. osób oraz udział drogowego transportu towarów w polskim PKB 6%, jest to ekstremalnie duże wyzwanie dla Polski. </w:t>
            </w:r>
          </w:p>
          <w:p w14:paraId="0753BF16" w14:textId="77777777" w:rsidR="00C9419C" w:rsidRPr="00496F64" w:rsidRDefault="00C9419C" w:rsidP="005C5922">
            <w:pPr>
              <w:spacing w:after="120" w:line="240" w:lineRule="auto"/>
              <w:rPr>
                <w:rFonts w:ascii="Times New Roman" w:hAnsi="Times New Roman" w:cs="Times New Roman"/>
                <w:lang w:eastAsia="pl-PL"/>
              </w:rPr>
            </w:pPr>
            <w:r w:rsidRPr="00496F64">
              <w:rPr>
                <w:rFonts w:ascii="Times New Roman" w:hAnsi="Times New Roman" w:cs="Times New Roman"/>
                <w:lang w:eastAsia="pl-PL"/>
              </w:rPr>
              <w:t>Ścieżka dekarbonizacji transportu drogowego wyznaczona na poziomie UE obejmująca objęcie systemem ETS2 sektora transportu od 2027 r, zmianę systemu opłat drogowych, nałożenie na producentów pojazdów obowiązku redukcji emisji CO</w:t>
            </w:r>
            <w:r w:rsidRPr="00496F64">
              <w:rPr>
                <w:rFonts w:ascii="Times New Roman" w:hAnsi="Times New Roman" w:cs="Times New Roman"/>
                <w:vertAlign w:val="subscript"/>
                <w:lang w:eastAsia="pl-PL"/>
              </w:rPr>
              <w:t xml:space="preserve">2  </w:t>
            </w:r>
            <w:r w:rsidRPr="00496F64">
              <w:rPr>
                <w:rFonts w:ascii="Times New Roman" w:hAnsi="Times New Roman" w:cs="Times New Roman"/>
                <w:lang w:eastAsia="pl-PL"/>
              </w:rPr>
              <w:t xml:space="preserve">z nowych samochodów osobowych, dostawczych, ciężarowych oraz autobusów czy wprowadzenie normy EURO 7 powoduje wzrost kosztów nabycia nowych oraz użytkowania już posiadanych pojazdów. Ponadto w ramach KPO Polska zadeklarowała realizację kolejnych zobowiązań związanych z dekarbonizacją sektora transportu i de facto wzrostem kosztów transformacji. </w:t>
            </w:r>
          </w:p>
          <w:p w14:paraId="32D66DC9" w14:textId="77777777" w:rsidR="00C9419C" w:rsidRPr="00496F64" w:rsidRDefault="00C9419C" w:rsidP="005C5922">
            <w:pPr>
              <w:spacing w:after="120" w:line="240" w:lineRule="auto"/>
              <w:rPr>
                <w:rFonts w:ascii="Times New Roman" w:hAnsi="Times New Roman" w:cs="Times New Roman"/>
                <w:lang w:eastAsia="pl-PL"/>
              </w:rPr>
            </w:pPr>
            <w:r w:rsidRPr="00496F64">
              <w:rPr>
                <w:rFonts w:ascii="Times New Roman" w:hAnsi="Times New Roman" w:cs="Times New Roman"/>
                <w:lang w:eastAsia="pl-PL"/>
              </w:rPr>
              <w:t xml:space="preserve">Suma środków przeznaczonych na transformację transportu zarówno krajowych,  jak i UE nie jest w stanie zaspokoić wszystkich potrzeb związanych z pokryciem kosztów tej transformacji ponoszonych przez społeczeństwo. </w:t>
            </w:r>
          </w:p>
          <w:p w14:paraId="14931610" w14:textId="46B49AFD" w:rsidR="00C9419C" w:rsidRPr="005C5922" w:rsidRDefault="00C9419C" w:rsidP="005C5922">
            <w:pPr>
              <w:spacing w:after="120" w:line="240" w:lineRule="auto"/>
              <w:rPr>
                <w:rFonts w:ascii="Times New Roman" w:hAnsi="Times New Roman" w:cs="Times New Roman"/>
                <w:lang w:eastAsia="pl-PL"/>
              </w:rPr>
            </w:pPr>
            <w:r w:rsidRPr="00496F64">
              <w:rPr>
                <w:rFonts w:ascii="Times New Roman" w:hAnsi="Times New Roman" w:cs="Times New Roman"/>
                <w:lang w:eastAsia="pl-PL"/>
              </w:rPr>
              <w:t xml:space="preserve">Realizacja kamienia milowego E4G - wprowadzenie podatku od posiadania pojazdów emisyjnych wyznaczona na 2026 r, zbiegnie się w czasie z objęciem systemem ETS sektora transportu od 2027 r. Kumulacja obciążeń  będzie niezmiernie trudna do udźwignięcia przez polskie społeczeństwo. Ponadto  realizacja reformy wraz z wprowadzeniem systemu ETS dla transportu oznacza obciążenie emisji dwukrotnie, co wydaje się rozwiązaniem nieprawidłowym i </w:t>
            </w:r>
            <w:proofErr w:type="spellStart"/>
            <w:r w:rsidRPr="00496F64">
              <w:rPr>
                <w:rFonts w:ascii="Times New Roman" w:hAnsi="Times New Roman" w:cs="Times New Roman"/>
                <w:lang w:eastAsia="pl-PL"/>
              </w:rPr>
              <w:t>nadwymiarowym</w:t>
            </w:r>
            <w:proofErr w:type="spellEnd"/>
            <w:r w:rsidRPr="00496F64">
              <w:rPr>
                <w:rFonts w:ascii="Times New Roman" w:hAnsi="Times New Roman" w:cs="Times New Roman"/>
                <w:lang w:eastAsia="pl-PL"/>
              </w:rPr>
              <w:t xml:space="preserve">. </w:t>
            </w:r>
          </w:p>
        </w:tc>
      </w:tr>
      <w:tr w:rsidR="00C9419C" w:rsidRPr="00F6438D" w14:paraId="611D9FC5" w14:textId="77777777" w:rsidTr="005D520A">
        <w:tc>
          <w:tcPr>
            <w:tcW w:w="1088" w:type="pct"/>
          </w:tcPr>
          <w:p w14:paraId="0E98484D" w14:textId="41F483CE" w:rsidR="00C9419C" w:rsidRPr="00496F64" w:rsidRDefault="00C9419C">
            <w:pPr>
              <w:spacing w:after="120" w:line="240" w:lineRule="auto"/>
              <w:rPr>
                <w:rFonts w:ascii="Times New Roman" w:hAnsi="Times New Roman" w:cs="Times New Roman"/>
              </w:rPr>
            </w:pPr>
            <w:r w:rsidRPr="00496F64">
              <w:rPr>
                <w:rFonts w:ascii="Times New Roman" w:hAnsi="Times New Roman" w:cs="Times New Roman"/>
              </w:rPr>
              <w:t>Szacowany koszt</w:t>
            </w:r>
          </w:p>
        </w:tc>
        <w:tc>
          <w:tcPr>
            <w:tcW w:w="3912" w:type="pct"/>
            <w:gridSpan w:val="2"/>
          </w:tcPr>
          <w:p w14:paraId="2919E2C6" w14:textId="1E4E1567" w:rsidR="00C9419C" w:rsidRPr="005C5922" w:rsidRDefault="00F6438D">
            <w:pPr>
              <w:spacing w:after="120" w:line="240" w:lineRule="auto"/>
              <w:rPr>
                <w:rFonts w:ascii="Times New Roman" w:hAnsi="Times New Roman" w:cs="Times New Roman"/>
              </w:rPr>
            </w:pPr>
            <w:r w:rsidRPr="00496F64">
              <w:rPr>
                <w:rFonts w:ascii="Times New Roman" w:hAnsi="Times New Roman" w:cs="Times New Roman"/>
              </w:rPr>
              <w:t>Zmiana nie ma wpływu na szacowany kosz</w:t>
            </w:r>
            <w:r>
              <w:rPr>
                <w:rFonts w:ascii="Times New Roman" w:hAnsi="Times New Roman" w:cs="Times New Roman"/>
              </w:rPr>
              <w:t>t</w:t>
            </w:r>
          </w:p>
        </w:tc>
      </w:tr>
      <w:tr w:rsidR="00C9419C" w:rsidRPr="00F6438D" w14:paraId="16E5D0AB" w14:textId="77777777" w:rsidTr="005D520A">
        <w:tc>
          <w:tcPr>
            <w:tcW w:w="1088" w:type="pct"/>
          </w:tcPr>
          <w:p w14:paraId="0578E7DA" w14:textId="0357BAE8" w:rsidR="00C9419C" w:rsidRPr="00496F64" w:rsidRDefault="00C9419C">
            <w:pPr>
              <w:spacing w:after="120" w:line="240" w:lineRule="auto"/>
              <w:rPr>
                <w:rFonts w:ascii="Times New Roman" w:hAnsi="Times New Roman" w:cs="Times New Roman"/>
                <w:lang w:val="en-GB"/>
              </w:rPr>
            </w:pPr>
            <w:proofErr w:type="spellStart"/>
            <w:r w:rsidRPr="00496F64">
              <w:rPr>
                <w:rFonts w:ascii="Times New Roman" w:hAnsi="Times New Roman" w:cs="Times New Roman"/>
                <w:lang w:val="en-GB"/>
              </w:rPr>
              <w:t>Klimatyczny</w:t>
            </w:r>
            <w:proofErr w:type="spellEnd"/>
            <w:r w:rsidRPr="00496F64">
              <w:rPr>
                <w:rFonts w:ascii="Times New Roman" w:hAnsi="Times New Roman" w:cs="Times New Roman"/>
                <w:lang w:val="en-GB"/>
              </w:rPr>
              <w:t xml:space="preserve"> i </w:t>
            </w:r>
            <w:proofErr w:type="spellStart"/>
            <w:r w:rsidRPr="00496F64">
              <w:rPr>
                <w:rFonts w:ascii="Times New Roman" w:hAnsi="Times New Roman" w:cs="Times New Roman"/>
                <w:lang w:val="en-GB"/>
              </w:rPr>
              <w:t>cyfrowy</w:t>
            </w:r>
            <w:proofErr w:type="spellEnd"/>
            <w:r w:rsidRPr="00496F64">
              <w:rPr>
                <w:rFonts w:ascii="Times New Roman" w:hAnsi="Times New Roman" w:cs="Times New Roman"/>
                <w:lang w:val="en-GB"/>
              </w:rPr>
              <w:t xml:space="preserve"> tagging</w:t>
            </w:r>
          </w:p>
        </w:tc>
        <w:tc>
          <w:tcPr>
            <w:tcW w:w="3912" w:type="pct"/>
            <w:gridSpan w:val="2"/>
          </w:tcPr>
          <w:p w14:paraId="1C702FC8" w14:textId="698E618B" w:rsidR="00C9419C" w:rsidRPr="005C5922" w:rsidRDefault="00C9419C">
            <w:pPr>
              <w:spacing w:after="120" w:line="240" w:lineRule="auto"/>
              <w:rPr>
                <w:rFonts w:ascii="Times New Roman" w:hAnsi="Times New Roman" w:cs="Times New Roman"/>
              </w:rPr>
            </w:pPr>
            <w:r w:rsidRPr="00496F64">
              <w:rPr>
                <w:rFonts w:ascii="Times New Roman" w:hAnsi="Times New Roman" w:cs="Times New Roman"/>
              </w:rPr>
              <w:t xml:space="preserve">Zmiana nie ma wpływu na  </w:t>
            </w:r>
            <w:proofErr w:type="spellStart"/>
            <w:r w:rsidR="00F6438D" w:rsidRPr="00496F64">
              <w:rPr>
                <w:rFonts w:ascii="Times New Roman" w:hAnsi="Times New Roman" w:cs="Times New Roman"/>
              </w:rPr>
              <w:t>tagging</w:t>
            </w:r>
            <w:proofErr w:type="spellEnd"/>
            <w:r w:rsidR="00F6438D" w:rsidRPr="00496F64">
              <w:rPr>
                <w:rFonts w:ascii="Times New Roman" w:hAnsi="Times New Roman" w:cs="Times New Roman"/>
              </w:rPr>
              <w:t xml:space="preserve"> </w:t>
            </w:r>
            <w:r w:rsidRPr="00496F64">
              <w:rPr>
                <w:rFonts w:ascii="Times New Roman" w:hAnsi="Times New Roman" w:cs="Times New Roman"/>
              </w:rPr>
              <w:t xml:space="preserve">klimatyczny i cyfrowy </w:t>
            </w:r>
          </w:p>
        </w:tc>
      </w:tr>
      <w:tr w:rsidR="00C9419C" w:rsidRPr="00F6438D" w14:paraId="0105C755" w14:textId="77777777" w:rsidTr="005D520A">
        <w:tc>
          <w:tcPr>
            <w:tcW w:w="1088" w:type="pct"/>
          </w:tcPr>
          <w:p w14:paraId="7F0E82FB" w14:textId="6B823DCC" w:rsidR="00C9419C" w:rsidRPr="00496F64" w:rsidRDefault="00C9419C">
            <w:pPr>
              <w:spacing w:after="120" w:line="240" w:lineRule="auto"/>
              <w:rPr>
                <w:rFonts w:ascii="Times New Roman" w:hAnsi="Times New Roman" w:cs="Times New Roman"/>
              </w:rPr>
            </w:pPr>
            <w:r w:rsidRPr="00496F64">
              <w:rPr>
                <w:rFonts w:ascii="Times New Roman" w:hAnsi="Times New Roman" w:cs="Times New Roman"/>
              </w:rPr>
              <w:t>Ocena DNSH</w:t>
            </w:r>
          </w:p>
        </w:tc>
        <w:tc>
          <w:tcPr>
            <w:tcW w:w="3912" w:type="pct"/>
            <w:gridSpan w:val="2"/>
          </w:tcPr>
          <w:p w14:paraId="7610E3F3" w14:textId="7E89A31B" w:rsidR="00C9419C" w:rsidRPr="005C5922" w:rsidRDefault="00C9419C">
            <w:pPr>
              <w:spacing w:after="120" w:line="240" w:lineRule="auto"/>
              <w:rPr>
                <w:rFonts w:ascii="Times New Roman" w:hAnsi="Times New Roman" w:cs="Times New Roman"/>
              </w:rPr>
            </w:pPr>
            <w:r w:rsidRPr="00496F64">
              <w:rPr>
                <w:rFonts w:ascii="Times New Roman" w:hAnsi="Times New Roman" w:cs="Times New Roman"/>
              </w:rPr>
              <w:t>Zmiana nie ma wpływu na  DNSH</w:t>
            </w:r>
          </w:p>
        </w:tc>
      </w:tr>
    </w:tbl>
    <w:p w14:paraId="5ACFEFE0" w14:textId="763251D8" w:rsidR="005C4B07" w:rsidRPr="005C5922" w:rsidRDefault="005C4B07" w:rsidP="005C5922">
      <w:pPr>
        <w:spacing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2"/>
        <w:gridCol w:w="3438"/>
        <w:gridCol w:w="3652"/>
      </w:tblGrid>
      <w:tr w:rsidR="005C4B07" w:rsidRPr="00496F64" w14:paraId="295DA547" w14:textId="77777777" w:rsidTr="00044CAD">
        <w:tc>
          <w:tcPr>
            <w:tcW w:w="1088" w:type="pct"/>
          </w:tcPr>
          <w:p w14:paraId="154F606A" w14:textId="77777777" w:rsidR="005C4B07" w:rsidRPr="00496F64" w:rsidRDefault="005C4B07">
            <w:pPr>
              <w:spacing w:after="0" w:line="240" w:lineRule="auto"/>
              <w:rPr>
                <w:rFonts w:ascii="Times New Roman" w:hAnsi="Times New Roman" w:cs="Times New Roman"/>
                <w:b/>
                <w:bCs/>
              </w:rPr>
            </w:pPr>
            <w:r w:rsidRPr="00496F64">
              <w:rPr>
                <w:rFonts w:ascii="Times New Roman" w:hAnsi="Times New Roman" w:cs="Times New Roman"/>
                <w:b/>
                <w:bCs/>
              </w:rPr>
              <w:t>Numer reformy</w:t>
            </w:r>
          </w:p>
        </w:tc>
        <w:tc>
          <w:tcPr>
            <w:tcW w:w="3912" w:type="pct"/>
            <w:gridSpan w:val="2"/>
          </w:tcPr>
          <w:p w14:paraId="21327FCD" w14:textId="65579AA7" w:rsidR="005C4B07" w:rsidRPr="00496F64" w:rsidRDefault="005C4B07">
            <w:pPr>
              <w:spacing w:after="0" w:line="240" w:lineRule="auto"/>
              <w:rPr>
                <w:rFonts w:ascii="Times New Roman" w:hAnsi="Times New Roman" w:cs="Times New Roman"/>
                <w:b/>
                <w:bCs/>
              </w:rPr>
            </w:pPr>
            <w:r w:rsidRPr="00496F64">
              <w:rPr>
                <w:rFonts w:ascii="Times New Roman" w:hAnsi="Times New Roman" w:cs="Times New Roman"/>
                <w:b/>
                <w:bCs/>
              </w:rPr>
              <w:t>E2.1</w:t>
            </w:r>
            <w:r w:rsidR="00822A9B">
              <w:rPr>
                <w:rFonts w:ascii="Times New Roman" w:hAnsi="Times New Roman" w:cs="Times New Roman"/>
                <w:b/>
                <w:bCs/>
              </w:rPr>
              <w:t>.</w:t>
            </w:r>
            <w:r w:rsidRPr="00496F64">
              <w:rPr>
                <w:rFonts w:ascii="Times New Roman" w:hAnsi="Times New Roman" w:cs="Times New Roman"/>
                <w:b/>
                <w:bCs/>
              </w:rPr>
              <w:t xml:space="preserve">                                 </w:t>
            </w:r>
          </w:p>
        </w:tc>
      </w:tr>
      <w:tr w:rsidR="005C4B07" w:rsidRPr="00496F64" w14:paraId="61547C0B" w14:textId="77777777" w:rsidTr="00044CAD">
        <w:tc>
          <w:tcPr>
            <w:tcW w:w="1088" w:type="pct"/>
          </w:tcPr>
          <w:p w14:paraId="089A6B6A" w14:textId="77777777" w:rsidR="005C4B07" w:rsidRPr="00496F64" w:rsidRDefault="005C4B07">
            <w:pPr>
              <w:spacing w:after="0" w:line="240" w:lineRule="auto"/>
              <w:rPr>
                <w:rFonts w:ascii="Times New Roman" w:hAnsi="Times New Roman" w:cs="Times New Roman"/>
                <w:b/>
                <w:bCs/>
              </w:rPr>
            </w:pPr>
            <w:r w:rsidRPr="00496F64">
              <w:rPr>
                <w:rFonts w:ascii="Times New Roman" w:hAnsi="Times New Roman" w:cs="Times New Roman"/>
                <w:b/>
                <w:bCs/>
              </w:rPr>
              <w:lastRenderedPageBreak/>
              <w:t>Nazwa reformy</w:t>
            </w:r>
          </w:p>
        </w:tc>
        <w:tc>
          <w:tcPr>
            <w:tcW w:w="3912" w:type="pct"/>
            <w:gridSpan w:val="2"/>
          </w:tcPr>
          <w:p w14:paraId="49CD3AC5" w14:textId="7EACBF33" w:rsidR="005C4B07" w:rsidRPr="00496F64" w:rsidRDefault="005C4B07">
            <w:pPr>
              <w:spacing w:after="0" w:line="240" w:lineRule="auto"/>
              <w:rPr>
                <w:rFonts w:ascii="Times New Roman" w:hAnsi="Times New Roman" w:cs="Times New Roman"/>
                <w:b/>
                <w:bCs/>
              </w:rPr>
            </w:pPr>
            <w:r w:rsidRPr="00496F64">
              <w:rPr>
                <w:rFonts w:ascii="Times New Roman" w:hAnsi="Times New Roman" w:cs="Times New Roman"/>
                <w:b/>
                <w:bCs/>
              </w:rPr>
              <w:t>Zwiększenie konkurencyjności sektora kolejowego</w:t>
            </w:r>
          </w:p>
        </w:tc>
      </w:tr>
      <w:tr w:rsidR="005C4B07" w:rsidRPr="00822A9B" w14:paraId="5E1D3E77" w14:textId="77777777" w:rsidTr="00044CAD">
        <w:tc>
          <w:tcPr>
            <w:tcW w:w="1088" w:type="pct"/>
            <w:shd w:val="clear" w:color="auto" w:fill="auto"/>
          </w:tcPr>
          <w:p w14:paraId="0127A218" w14:textId="77777777" w:rsidR="005C4B07" w:rsidRPr="00496F64" w:rsidRDefault="005C4B07">
            <w:pPr>
              <w:spacing w:after="0" w:line="240" w:lineRule="auto"/>
              <w:rPr>
                <w:rFonts w:ascii="Times New Roman" w:hAnsi="Times New Roman" w:cs="Times New Roman"/>
              </w:rPr>
            </w:pPr>
            <w:r w:rsidRPr="00496F64">
              <w:rPr>
                <w:rFonts w:ascii="Times New Roman" w:hAnsi="Times New Roman" w:cs="Times New Roman"/>
              </w:rPr>
              <w:t>Rodzaj wprowadzonej zmiany w odniesieniu do CID</w:t>
            </w:r>
          </w:p>
        </w:tc>
        <w:tc>
          <w:tcPr>
            <w:tcW w:w="3912" w:type="pct"/>
            <w:gridSpan w:val="2"/>
            <w:shd w:val="clear" w:color="auto" w:fill="auto"/>
          </w:tcPr>
          <w:p w14:paraId="62792F6C" w14:textId="54FF41FB" w:rsidR="005C4B07" w:rsidRPr="005C5922" w:rsidRDefault="00822A9B">
            <w:pPr>
              <w:spacing w:after="0" w:line="240" w:lineRule="auto"/>
              <w:rPr>
                <w:rFonts w:ascii="Times New Roman" w:hAnsi="Times New Roman" w:cs="Times New Roman"/>
              </w:rPr>
            </w:pPr>
            <w:r>
              <w:rPr>
                <w:rFonts w:ascii="Times New Roman" w:hAnsi="Times New Roman" w:cs="Times New Roman"/>
              </w:rPr>
              <w:t>Przesunięcie</w:t>
            </w:r>
            <w:r w:rsidR="005C4B07" w:rsidRPr="00496F64">
              <w:rPr>
                <w:rFonts w:ascii="Times New Roman" w:hAnsi="Times New Roman" w:cs="Times New Roman"/>
              </w:rPr>
              <w:t xml:space="preserve"> terminu </w:t>
            </w:r>
            <w:r>
              <w:rPr>
                <w:rFonts w:ascii="Times New Roman" w:hAnsi="Times New Roman" w:cs="Times New Roman"/>
              </w:rPr>
              <w:t>realizacji</w:t>
            </w:r>
            <w:r w:rsidR="005C4B07" w:rsidRPr="00496F64">
              <w:rPr>
                <w:rFonts w:ascii="Times New Roman" w:hAnsi="Times New Roman" w:cs="Times New Roman"/>
              </w:rPr>
              <w:t xml:space="preserve"> </w:t>
            </w:r>
            <w:r>
              <w:rPr>
                <w:rFonts w:ascii="Times New Roman" w:hAnsi="Times New Roman" w:cs="Times New Roman"/>
              </w:rPr>
              <w:t>kamienia milowego</w:t>
            </w:r>
            <w:r w:rsidR="005C4B07" w:rsidRPr="00496F64">
              <w:rPr>
                <w:rFonts w:ascii="Times New Roman" w:hAnsi="Times New Roman" w:cs="Times New Roman"/>
              </w:rPr>
              <w:t xml:space="preserve"> E16G </w:t>
            </w:r>
          </w:p>
        </w:tc>
      </w:tr>
      <w:tr w:rsidR="005C4B07" w:rsidRPr="00496F64" w14:paraId="5C2A6D0A" w14:textId="77777777" w:rsidTr="00044CAD">
        <w:tc>
          <w:tcPr>
            <w:tcW w:w="1088" w:type="pct"/>
            <w:shd w:val="clear" w:color="auto" w:fill="auto"/>
          </w:tcPr>
          <w:p w14:paraId="22F23B37" w14:textId="77777777" w:rsidR="005C4B07" w:rsidRPr="00496F64" w:rsidRDefault="005C4B07">
            <w:pPr>
              <w:spacing w:after="0" w:line="240" w:lineRule="auto"/>
              <w:rPr>
                <w:rFonts w:ascii="Times New Roman" w:hAnsi="Times New Roman" w:cs="Times New Roman"/>
              </w:rPr>
            </w:pPr>
            <w:r w:rsidRPr="00496F64">
              <w:rPr>
                <w:rFonts w:ascii="Times New Roman" w:hAnsi="Times New Roman" w:cs="Times New Roman"/>
              </w:rPr>
              <w:t>Podstawa prawna zmiany</w:t>
            </w:r>
          </w:p>
        </w:tc>
        <w:tc>
          <w:tcPr>
            <w:tcW w:w="3912" w:type="pct"/>
            <w:gridSpan w:val="2"/>
            <w:shd w:val="clear" w:color="auto" w:fill="auto"/>
          </w:tcPr>
          <w:p w14:paraId="41D67A9B" w14:textId="5F931F7C" w:rsidR="005C4B07" w:rsidRPr="00496F64" w:rsidRDefault="006E3D06">
            <w:pPr>
              <w:spacing w:after="0" w:line="240" w:lineRule="auto"/>
              <w:rPr>
                <w:rFonts w:ascii="Times New Roman" w:hAnsi="Times New Roman" w:cs="Times New Roman"/>
              </w:rPr>
            </w:pPr>
            <w:r w:rsidRPr="00496F64">
              <w:rPr>
                <w:rFonts w:ascii="Times New Roman" w:hAnsi="Times New Roman" w:cs="Times New Roman"/>
              </w:rPr>
              <w:t>art. 21 rozporządzenia Parlamentu Europejskiego i Rady (UE) 2021/241 z dnia 12 lutego 2021 r. ustanawiające Instrument na rzecz Odbudowy i Zwiększania Odporności</w:t>
            </w:r>
            <w:r w:rsidRPr="00496F64" w:rsidDel="006E3D06">
              <w:rPr>
                <w:rFonts w:ascii="Times New Roman" w:hAnsi="Times New Roman" w:cs="Times New Roman"/>
              </w:rPr>
              <w:t xml:space="preserve"> </w:t>
            </w:r>
          </w:p>
        </w:tc>
      </w:tr>
      <w:tr w:rsidR="005C4B07" w:rsidRPr="00496F64" w14:paraId="379863AB" w14:textId="77777777" w:rsidTr="00044CAD">
        <w:tc>
          <w:tcPr>
            <w:tcW w:w="1088" w:type="pct"/>
            <w:shd w:val="clear" w:color="auto" w:fill="D9D9D9" w:themeFill="background1" w:themeFillShade="D9"/>
          </w:tcPr>
          <w:p w14:paraId="62A60594" w14:textId="77777777" w:rsidR="005C4B07" w:rsidRPr="00496F64" w:rsidRDefault="005C4B07">
            <w:pPr>
              <w:spacing w:after="0" w:line="240" w:lineRule="auto"/>
              <w:rPr>
                <w:rFonts w:ascii="Times New Roman" w:hAnsi="Times New Roman" w:cs="Times New Roman"/>
                <w:highlight w:val="lightGray"/>
              </w:rPr>
            </w:pPr>
            <w:r w:rsidRPr="00496F64">
              <w:rPr>
                <w:rFonts w:ascii="Times New Roman" w:hAnsi="Times New Roman" w:cs="Times New Roman"/>
                <w:highlight w:val="lightGray"/>
              </w:rPr>
              <w:t>Modyfikowany element</w:t>
            </w:r>
          </w:p>
        </w:tc>
        <w:tc>
          <w:tcPr>
            <w:tcW w:w="1897" w:type="pct"/>
            <w:shd w:val="clear" w:color="auto" w:fill="D9D9D9" w:themeFill="background1" w:themeFillShade="D9"/>
          </w:tcPr>
          <w:p w14:paraId="1630DCA7" w14:textId="77777777" w:rsidR="005C4B07" w:rsidRPr="00496F64" w:rsidRDefault="005C4B07">
            <w:pPr>
              <w:spacing w:after="0" w:line="240" w:lineRule="auto"/>
              <w:rPr>
                <w:rFonts w:ascii="Times New Roman" w:hAnsi="Times New Roman" w:cs="Times New Roman"/>
                <w:highlight w:val="lightGray"/>
              </w:rPr>
            </w:pPr>
            <w:r w:rsidRPr="00496F64">
              <w:rPr>
                <w:rFonts w:ascii="Times New Roman" w:hAnsi="Times New Roman" w:cs="Times New Roman"/>
                <w:highlight w:val="lightGray"/>
              </w:rPr>
              <w:t>Bieżąca wersja</w:t>
            </w:r>
          </w:p>
        </w:tc>
        <w:tc>
          <w:tcPr>
            <w:tcW w:w="2015" w:type="pct"/>
            <w:shd w:val="clear" w:color="auto" w:fill="D9D9D9" w:themeFill="background1" w:themeFillShade="D9"/>
          </w:tcPr>
          <w:p w14:paraId="6B8DBCFF" w14:textId="77777777" w:rsidR="005C4B07" w:rsidRPr="00496F64" w:rsidRDefault="005C4B07">
            <w:pPr>
              <w:spacing w:after="0" w:line="240" w:lineRule="auto"/>
              <w:rPr>
                <w:rFonts w:ascii="Times New Roman" w:hAnsi="Times New Roman" w:cs="Times New Roman"/>
                <w:highlight w:val="lightGray"/>
              </w:rPr>
            </w:pPr>
            <w:r w:rsidRPr="00496F64">
              <w:rPr>
                <w:rFonts w:ascii="Times New Roman" w:hAnsi="Times New Roman" w:cs="Times New Roman"/>
                <w:highlight w:val="lightGray"/>
              </w:rPr>
              <w:t>Wersja zmieniona</w:t>
            </w:r>
          </w:p>
        </w:tc>
      </w:tr>
      <w:tr w:rsidR="005C4B07" w:rsidRPr="00C9419C" w14:paraId="55958DC9" w14:textId="77777777" w:rsidTr="00044CAD">
        <w:tc>
          <w:tcPr>
            <w:tcW w:w="1088" w:type="pct"/>
          </w:tcPr>
          <w:p w14:paraId="6C3479A6" w14:textId="77777777" w:rsidR="005C4B07" w:rsidRPr="00496F64" w:rsidRDefault="005C4B07">
            <w:pPr>
              <w:spacing w:after="0" w:line="240" w:lineRule="auto"/>
              <w:rPr>
                <w:rFonts w:ascii="Times New Roman" w:hAnsi="Times New Roman" w:cs="Times New Roman"/>
              </w:rPr>
            </w:pPr>
            <w:r w:rsidRPr="00496F64">
              <w:rPr>
                <w:rFonts w:ascii="Times New Roman" w:hAnsi="Times New Roman" w:cs="Times New Roman"/>
              </w:rPr>
              <w:t>Opis komponentu oraz/lub działania (inwestycji/reformy)</w:t>
            </w:r>
          </w:p>
        </w:tc>
        <w:tc>
          <w:tcPr>
            <w:tcW w:w="1897" w:type="pct"/>
          </w:tcPr>
          <w:p w14:paraId="0FD8D77E" w14:textId="77777777" w:rsidR="005C4B07" w:rsidRPr="005C5922" w:rsidRDefault="005C4B07">
            <w:pPr>
              <w:spacing w:after="0" w:line="240" w:lineRule="auto"/>
              <w:rPr>
                <w:rFonts w:ascii="Times New Roman" w:hAnsi="Times New Roman" w:cs="Times New Roman"/>
              </w:rPr>
            </w:pPr>
            <w:r w:rsidRPr="005C5922">
              <w:rPr>
                <w:rFonts w:ascii="Times New Roman" w:hAnsi="Times New Roman" w:cs="Times New Roman"/>
              </w:rPr>
              <w:t>E16G</w:t>
            </w:r>
          </w:p>
          <w:p w14:paraId="17C5EC1F" w14:textId="426EC31E" w:rsidR="005C4B07" w:rsidRPr="005C5922" w:rsidRDefault="00822A9B">
            <w:pPr>
              <w:spacing w:after="0" w:line="240" w:lineRule="auto"/>
              <w:rPr>
                <w:rFonts w:ascii="Times New Roman" w:hAnsi="Times New Roman" w:cs="Times New Roman"/>
              </w:rPr>
            </w:pPr>
            <w:r w:rsidRPr="00496F64">
              <w:rPr>
                <w:rFonts w:ascii="Times New Roman" w:hAnsi="Times New Roman" w:cs="Times New Roman"/>
              </w:rPr>
              <w:t>Termin realizacji</w:t>
            </w:r>
            <w:r w:rsidR="009E5DFB">
              <w:rPr>
                <w:rFonts w:ascii="Times New Roman" w:hAnsi="Times New Roman" w:cs="Times New Roman"/>
              </w:rPr>
              <w:t xml:space="preserve">: </w:t>
            </w:r>
            <w:r w:rsidRPr="00496F64">
              <w:rPr>
                <w:rFonts w:ascii="Times New Roman" w:hAnsi="Times New Roman" w:cs="Times New Roman"/>
              </w:rPr>
              <w:t>IV kw</w:t>
            </w:r>
            <w:r>
              <w:rPr>
                <w:rFonts w:ascii="Times New Roman" w:hAnsi="Times New Roman" w:cs="Times New Roman"/>
              </w:rPr>
              <w:t>.</w:t>
            </w:r>
            <w:r w:rsidRPr="00496F64">
              <w:rPr>
                <w:rFonts w:ascii="Times New Roman" w:hAnsi="Times New Roman" w:cs="Times New Roman"/>
              </w:rPr>
              <w:t xml:space="preserve"> 2023</w:t>
            </w:r>
            <w:r>
              <w:rPr>
                <w:rFonts w:ascii="Times New Roman" w:hAnsi="Times New Roman" w:cs="Times New Roman"/>
              </w:rPr>
              <w:t>r.</w:t>
            </w:r>
          </w:p>
        </w:tc>
        <w:tc>
          <w:tcPr>
            <w:tcW w:w="2015" w:type="pct"/>
          </w:tcPr>
          <w:p w14:paraId="6330B0EC" w14:textId="77777777" w:rsidR="005C4B07" w:rsidRPr="005C5922" w:rsidRDefault="005C4B07">
            <w:pPr>
              <w:spacing w:after="0" w:line="240" w:lineRule="auto"/>
              <w:rPr>
                <w:rFonts w:ascii="Times New Roman" w:hAnsi="Times New Roman" w:cs="Times New Roman"/>
              </w:rPr>
            </w:pPr>
            <w:r w:rsidRPr="005C5922">
              <w:rPr>
                <w:rFonts w:ascii="Times New Roman" w:hAnsi="Times New Roman" w:cs="Times New Roman"/>
              </w:rPr>
              <w:t>E16G</w:t>
            </w:r>
          </w:p>
          <w:p w14:paraId="4453DEB8" w14:textId="68AB9AA2" w:rsidR="00822A9B" w:rsidRPr="005C5922" w:rsidRDefault="00822A9B">
            <w:pPr>
              <w:spacing w:after="0" w:line="240" w:lineRule="auto"/>
              <w:rPr>
                <w:rFonts w:ascii="Times New Roman" w:hAnsi="Times New Roman" w:cs="Times New Roman"/>
              </w:rPr>
            </w:pPr>
            <w:r w:rsidRPr="00496F64">
              <w:rPr>
                <w:rFonts w:ascii="Times New Roman" w:hAnsi="Times New Roman" w:cs="Times New Roman"/>
              </w:rPr>
              <w:t>Termin realizacji</w:t>
            </w:r>
            <w:r w:rsidR="009E5DFB">
              <w:rPr>
                <w:rFonts w:ascii="Times New Roman" w:hAnsi="Times New Roman" w:cs="Times New Roman"/>
              </w:rPr>
              <w:t xml:space="preserve">: </w:t>
            </w:r>
            <w:r w:rsidRPr="00496F64">
              <w:rPr>
                <w:rFonts w:ascii="Times New Roman" w:hAnsi="Times New Roman" w:cs="Times New Roman"/>
                <w:color w:val="FF0000"/>
              </w:rPr>
              <w:t>IV kw. 2024</w:t>
            </w:r>
            <w:r>
              <w:rPr>
                <w:rFonts w:ascii="Times New Roman" w:hAnsi="Times New Roman" w:cs="Times New Roman"/>
                <w:color w:val="FF0000"/>
              </w:rPr>
              <w:t>r.</w:t>
            </w:r>
          </w:p>
          <w:p w14:paraId="4A1CFFFE" w14:textId="12E6BA94" w:rsidR="005C4B07" w:rsidRPr="005C5922" w:rsidRDefault="005C4B07">
            <w:pPr>
              <w:spacing w:after="0" w:line="240" w:lineRule="auto"/>
              <w:rPr>
                <w:rFonts w:ascii="Times New Roman" w:hAnsi="Times New Roman" w:cs="Times New Roman"/>
              </w:rPr>
            </w:pPr>
          </w:p>
        </w:tc>
      </w:tr>
      <w:tr w:rsidR="005C4B07" w:rsidRPr="00D7176B" w14:paraId="0EB3AB67" w14:textId="77777777" w:rsidTr="00044CAD">
        <w:tc>
          <w:tcPr>
            <w:tcW w:w="1088" w:type="pct"/>
          </w:tcPr>
          <w:p w14:paraId="5CCDC817" w14:textId="77777777" w:rsidR="005C4B07" w:rsidRPr="00496F64" w:rsidRDefault="005C4B07">
            <w:pPr>
              <w:spacing w:after="0" w:line="240" w:lineRule="auto"/>
              <w:rPr>
                <w:rFonts w:ascii="Times New Roman" w:hAnsi="Times New Roman" w:cs="Times New Roman"/>
              </w:rPr>
            </w:pPr>
            <w:r w:rsidRPr="00496F64">
              <w:rPr>
                <w:rFonts w:ascii="Times New Roman" w:hAnsi="Times New Roman" w:cs="Times New Roman"/>
              </w:rPr>
              <w:t>Uzasadnienie</w:t>
            </w:r>
          </w:p>
        </w:tc>
        <w:tc>
          <w:tcPr>
            <w:tcW w:w="3912" w:type="pct"/>
            <w:gridSpan w:val="2"/>
          </w:tcPr>
          <w:p w14:paraId="151035D9" w14:textId="5C9B4419" w:rsidR="00C91F90" w:rsidRDefault="006E3D06" w:rsidP="005C5922">
            <w:pPr>
              <w:spacing w:after="120" w:line="240" w:lineRule="auto"/>
              <w:rPr>
                <w:rFonts w:ascii="Times New Roman" w:hAnsi="Times New Roman" w:cs="Times New Roman"/>
              </w:rPr>
            </w:pPr>
            <w:r>
              <w:rPr>
                <w:rFonts w:ascii="Times New Roman" w:hAnsi="Times New Roman" w:cs="Times New Roman"/>
              </w:rPr>
              <w:t>P</w:t>
            </w:r>
            <w:r w:rsidR="005C4B07" w:rsidRPr="00496F64">
              <w:rPr>
                <w:rFonts w:ascii="Times New Roman" w:hAnsi="Times New Roman" w:cs="Times New Roman"/>
              </w:rPr>
              <w:t xml:space="preserve">roponuje </w:t>
            </w:r>
            <w:r>
              <w:rPr>
                <w:rFonts w:ascii="Times New Roman" w:hAnsi="Times New Roman" w:cs="Times New Roman"/>
              </w:rPr>
              <w:t xml:space="preserve">się </w:t>
            </w:r>
            <w:r w:rsidR="005C4B07" w:rsidRPr="00496F64">
              <w:rPr>
                <w:rFonts w:ascii="Times New Roman" w:hAnsi="Times New Roman" w:cs="Times New Roman"/>
              </w:rPr>
              <w:t xml:space="preserve">przesunięcie terminu wdrożenia kamienia milowego na </w:t>
            </w:r>
            <w:r w:rsidR="005C4B07" w:rsidRPr="005C5922">
              <w:rPr>
                <w:rFonts w:ascii="Times New Roman" w:hAnsi="Times New Roman" w:cs="Times New Roman"/>
                <w:bCs/>
              </w:rPr>
              <w:t>IV kw. 2024 r.</w:t>
            </w:r>
            <w:r w:rsidR="005C4B07" w:rsidRPr="00D7176B">
              <w:rPr>
                <w:rFonts w:ascii="Times New Roman" w:hAnsi="Times New Roman" w:cs="Times New Roman"/>
                <w:bCs/>
              </w:rPr>
              <w:t>,</w:t>
            </w:r>
            <w:r w:rsidR="005C4B07" w:rsidRPr="00496F64">
              <w:rPr>
                <w:rFonts w:ascii="Times New Roman" w:hAnsi="Times New Roman" w:cs="Times New Roman"/>
              </w:rPr>
              <w:t xml:space="preserve"> ze względu na trudną sytuację przewoźników drogowych spowodowaną wpływem negatywnych skutków Wojny w Ukrainie na tę branżę. Wzmożona liczba operacji transportowych świadczonych przez przewoźników ukraińskich, będąca skutkiem czasowego braku obowiązku posiadania zezwoleń na przewozy komercyjne, wynikającego z umowy zawartej w Lyonie 29 czerwca 2022 r., pomiędzy Unią Europejską a Ukrainą w sprawie transportu drogowego towarów spowodowała, że sytuacja polskich przedsiębiorców transportu drogowego stała się niezwykle trudna. Dotyczy to </w:t>
            </w:r>
            <w:r w:rsidRPr="00496F64">
              <w:rPr>
                <w:rFonts w:ascii="Times New Roman" w:hAnsi="Times New Roman" w:cs="Times New Roman"/>
              </w:rPr>
              <w:t>szczególnie</w:t>
            </w:r>
            <w:r w:rsidR="005C4B07" w:rsidRPr="00496F64">
              <w:rPr>
                <w:rFonts w:ascii="Times New Roman" w:hAnsi="Times New Roman" w:cs="Times New Roman"/>
              </w:rPr>
              <w:t xml:space="preserve"> kierunku ukraińskiego, ale nie tylko. Zbyt gwałtowne obciążenie przedsiębiorców dodatkowymi daninami publicznymi może doprowadzić do niepokojów społecznych, skutkujących kolejnymi blokadami granicy PL-UA</w:t>
            </w:r>
          </w:p>
          <w:p w14:paraId="77CFAED9" w14:textId="77777777" w:rsidR="00C91F90" w:rsidRPr="005C5922" w:rsidRDefault="00C91F90" w:rsidP="005C5922">
            <w:pPr>
              <w:spacing w:after="120" w:line="240" w:lineRule="auto"/>
              <w:rPr>
                <w:rFonts w:ascii="Times New Roman" w:hAnsi="Times New Roman" w:cs="Times New Roman"/>
              </w:rPr>
            </w:pPr>
            <w:r w:rsidRPr="005C5922">
              <w:rPr>
                <w:rFonts w:ascii="Times New Roman" w:hAnsi="Times New Roman" w:cs="Times New Roman"/>
              </w:rPr>
              <w:t xml:space="preserve">Na obecnym etapie zakłada się, że przekazanie przez MI zgłoszenia projektu rozporządzenia RM do wykazu prac legislacyjnych i programowych Rady Ministrów nastąpi na przełomie II i III kw. 2024 r. Wówczas możliwe będzie uzyskanie wpisu do wykazu oraz przeprowadzenie konsultacji i uzgodnień projektu. Zgodnie ze standardową procedurą dla dokumentów legislacyjnych w Polsce szacuje się, że cały proces powinien trwać 3-4 miesiące.  </w:t>
            </w:r>
          </w:p>
          <w:p w14:paraId="50F2D3C9" w14:textId="333ED3D1" w:rsidR="00C91F90" w:rsidRPr="005C5922" w:rsidRDefault="00C91F90" w:rsidP="005C5922">
            <w:pPr>
              <w:spacing w:after="0" w:line="240" w:lineRule="auto"/>
              <w:rPr>
                <w:rFonts w:ascii="Times New Roman" w:hAnsi="Times New Roman" w:cs="Times New Roman"/>
                <w:color w:val="FF0000"/>
              </w:rPr>
            </w:pPr>
            <w:r w:rsidRPr="005C5922">
              <w:rPr>
                <w:rFonts w:ascii="Times New Roman" w:hAnsi="Times New Roman" w:cs="Times New Roman"/>
              </w:rPr>
              <w:t>Oznacza to, że przyjęcie odpowiedniego aktu przez Radę Ministrów powinno nastąpić najwcześniej na przełomie III i IV kw. 2024 r. Dodatkowo, należy mieć na uwadze, iż wdrożenie rozszerzenia sieci dróg płatnych wymaga przeprowadzenia z odpowiednim wyprzedzeniem prac w systemie e-TOLL, gdyż Krajowa Administracja Skarbowa potrzebuje minimum 45 dni na wprowadzenie w systemie odpowiednich modyfikacji i objęcia nowych odcinków opłatą. Wobec powyższego obecnie planuje się, iż przyjęcie rozporządzenia i wdrożenie rozszerzenia sieci dróg płatnych nastąpi najpóźniej w IV kwartale 2024 r.</w:t>
            </w:r>
            <w:r w:rsidR="005C4B07" w:rsidRPr="00C91F90">
              <w:rPr>
                <w:rFonts w:ascii="Times New Roman" w:hAnsi="Times New Roman" w:cs="Times New Roman"/>
              </w:rPr>
              <w:t xml:space="preserve"> </w:t>
            </w:r>
          </w:p>
        </w:tc>
      </w:tr>
      <w:tr w:rsidR="005C4B07" w:rsidRPr="00496F64" w14:paraId="02CF7A21" w14:textId="77777777" w:rsidTr="00044CAD">
        <w:tc>
          <w:tcPr>
            <w:tcW w:w="1088" w:type="pct"/>
          </w:tcPr>
          <w:p w14:paraId="1DC338AE" w14:textId="77777777"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t>Szacowany koszy</w:t>
            </w:r>
          </w:p>
        </w:tc>
        <w:tc>
          <w:tcPr>
            <w:tcW w:w="3912" w:type="pct"/>
            <w:gridSpan w:val="2"/>
          </w:tcPr>
          <w:p w14:paraId="65622FC5" w14:textId="0C50D611" w:rsidR="005C4B07" w:rsidRPr="00496F64" w:rsidRDefault="006E3D06" w:rsidP="00044CAD">
            <w:pPr>
              <w:spacing w:after="0" w:line="240" w:lineRule="auto"/>
              <w:rPr>
                <w:rFonts w:ascii="Times New Roman" w:hAnsi="Times New Roman" w:cs="Times New Roman"/>
              </w:rPr>
            </w:pPr>
            <w:r w:rsidRPr="00496F64">
              <w:rPr>
                <w:rFonts w:ascii="Times New Roman" w:hAnsi="Times New Roman" w:cs="Times New Roman"/>
              </w:rPr>
              <w:t>Zmiana nie ma wpływu na szacowany kosz</w:t>
            </w:r>
            <w:r>
              <w:rPr>
                <w:rFonts w:ascii="Times New Roman" w:hAnsi="Times New Roman" w:cs="Times New Roman"/>
              </w:rPr>
              <w:t>t</w:t>
            </w:r>
            <w:r w:rsidRPr="00496F64" w:rsidDel="006E3D06">
              <w:rPr>
                <w:rFonts w:ascii="Times New Roman" w:hAnsi="Times New Roman" w:cs="Times New Roman"/>
              </w:rPr>
              <w:t xml:space="preserve"> </w:t>
            </w:r>
          </w:p>
        </w:tc>
      </w:tr>
      <w:tr w:rsidR="005C4B07" w:rsidRPr="00496F64" w14:paraId="75081397" w14:textId="77777777" w:rsidTr="00044CAD">
        <w:tc>
          <w:tcPr>
            <w:tcW w:w="1088" w:type="pct"/>
          </w:tcPr>
          <w:p w14:paraId="6C8CE421" w14:textId="77777777"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t xml:space="preserve">Klimatyczny i cyfrowy </w:t>
            </w:r>
            <w:proofErr w:type="spellStart"/>
            <w:r w:rsidRPr="00496F64">
              <w:rPr>
                <w:rFonts w:ascii="Times New Roman" w:hAnsi="Times New Roman" w:cs="Times New Roman"/>
              </w:rPr>
              <w:t>tagging</w:t>
            </w:r>
            <w:proofErr w:type="spellEnd"/>
          </w:p>
        </w:tc>
        <w:tc>
          <w:tcPr>
            <w:tcW w:w="3912" w:type="pct"/>
            <w:gridSpan w:val="2"/>
          </w:tcPr>
          <w:p w14:paraId="7418C345" w14:textId="1430F530" w:rsidR="005C4B07" w:rsidRPr="00496F64" w:rsidRDefault="006E3D06" w:rsidP="00044CAD">
            <w:pPr>
              <w:spacing w:after="0" w:line="240" w:lineRule="auto"/>
              <w:rPr>
                <w:rFonts w:ascii="Times New Roman" w:hAnsi="Times New Roman" w:cs="Times New Roman"/>
              </w:rPr>
            </w:pPr>
            <w:r w:rsidRPr="00496F64">
              <w:rPr>
                <w:rFonts w:ascii="Times New Roman" w:hAnsi="Times New Roman" w:cs="Times New Roman"/>
              </w:rPr>
              <w:t xml:space="preserve">Zmiana nie ma wpływu na  </w:t>
            </w:r>
            <w:proofErr w:type="spellStart"/>
            <w:r w:rsidRPr="00496F64">
              <w:rPr>
                <w:rFonts w:ascii="Times New Roman" w:hAnsi="Times New Roman" w:cs="Times New Roman"/>
              </w:rPr>
              <w:t>tagging</w:t>
            </w:r>
            <w:proofErr w:type="spellEnd"/>
            <w:r w:rsidRPr="00496F64">
              <w:rPr>
                <w:rFonts w:ascii="Times New Roman" w:hAnsi="Times New Roman" w:cs="Times New Roman"/>
              </w:rPr>
              <w:t xml:space="preserve"> klimatyczny i cyfrowy </w:t>
            </w:r>
          </w:p>
        </w:tc>
      </w:tr>
      <w:tr w:rsidR="005C4B07" w:rsidRPr="00496F64" w14:paraId="3A84CC86" w14:textId="77777777" w:rsidTr="00044CAD">
        <w:tc>
          <w:tcPr>
            <w:tcW w:w="1088" w:type="pct"/>
          </w:tcPr>
          <w:p w14:paraId="51E48CDA" w14:textId="77777777"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t xml:space="preserve">Ocena DNSH </w:t>
            </w:r>
          </w:p>
        </w:tc>
        <w:tc>
          <w:tcPr>
            <w:tcW w:w="3912" w:type="pct"/>
            <w:gridSpan w:val="2"/>
          </w:tcPr>
          <w:p w14:paraId="47FC70EB" w14:textId="353AEFF4" w:rsidR="005C4B07" w:rsidRPr="00496F64" w:rsidRDefault="006E3D06" w:rsidP="00044CAD">
            <w:pPr>
              <w:spacing w:after="0" w:line="240" w:lineRule="auto"/>
              <w:rPr>
                <w:rFonts w:ascii="Times New Roman" w:hAnsi="Times New Roman" w:cs="Times New Roman"/>
              </w:rPr>
            </w:pPr>
            <w:r w:rsidRPr="00496F64">
              <w:rPr>
                <w:rFonts w:ascii="Times New Roman" w:hAnsi="Times New Roman" w:cs="Times New Roman"/>
              </w:rPr>
              <w:t>Zmiana nie ma wpływu na  DNSH</w:t>
            </w:r>
            <w:r w:rsidRPr="00496F64" w:rsidDel="006E3D06">
              <w:rPr>
                <w:rFonts w:ascii="Times New Roman" w:hAnsi="Times New Roman" w:cs="Times New Roman"/>
              </w:rPr>
              <w:t xml:space="preserve"> </w:t>
            </w:r>
          </w:p>
        </w:tc>
      </w:tr>
    </w:tbl>
    <w:p w14:paraId="3716CFAE" w14:textId="012A1FC1" w:rsidR="00246A61" w:rsidRPr="005C5922" w:rsidRDefault="00246A61" w:rsidP="00A52C99">
      <w:pPr>
        <w:rPr>
          <w:rFonts w:ascii="Times New Roman" w:hAnsi="Times New Roman" w:cs="Times New Roman"/>
        </w:rPr>
      </w:pPr>
    </w:p>
    <w:p w14:paraId="31B5B587" w14:textId="37FCEE3C" w:rsidR="00AD6312" w:rsidRPr="005C5922" w:rsidRDefault="00246A61" w:rsidP="00AD6312">
      <w:pPr>
        <w:rPr>
          <w:rFonts w:ascii="Times New Roman" w:hAnsi="Times New Roman" w:cs="Times New Roman"/>
          <w:b/>
          <w:bCs/>
          <w:sz w:val="28"/>
          <w:szCs w:val="28"/>
        </w:rPr>
      </w:pPr>
      <w:r w:rsidRPr="005C5922">
        <w:rPr>
          <w:rFonts w:ascii="Times New Roman" w:hAnsi="Times New Roman" w:cs="Times New Roman"/>
          <w:b/>
          <w:bCs/>
          <w:sz w:val="28"/>
          <w:szCs w:val="28"/>
        </w:rPr>
        <w:t>Rewizja KPO – część po</w:t>
      </w:r>
      <w:r w:rsidR="005C4B07" w:rsidRPr="005C5922">
        <w:rPr>
          <w:rFonts w:ascii="Times New Roman" w:hAnsi="Times New Roman" w:cs="Times New Roman"/>
          <w:b/>
          <w:bCs/>
          <w:sz w:val="28"/>
          <w:szCs w:val="28"/>
        </w:rPr>
        <w:t>ż</w:t>
      </w:r>
      <w:r w:rsidRPr="005C5922">
        <w:rPr>
          <w:rFonts w:ascii="Times New Roman" w:hAnsi="Times New Roman" w:cs="Times New Roman"/>
          <w:b/>
          <w:bCs/>
          <w:sz w:val="28"/>
          <w:szCs w:val="28"/>
        </w:rPr>
        <w:t>yczkowa</w:t>
      </w:r>
    </w:p>
    <w:p w14:paraId="6C9C5E36" w14:textId="61ACAC39" w:rsidR="005C4B07" w:rsidRDefault="00AD6312" w:rsidP="00A52C99">
      <w:pPr>
        <w:rPr>
          <w:rFonts w:ascii="Times New Roman" w:hAnsi="Times New Roman" w:cs="Times New Roman"/>
          <w:b/>
          <w:bCs/>
          <w:sz w:val="28"/>
          <w:szCs w:val="28"/>
        </w:rPr>
      </w:pPr>
      <w:r w:rsidRPr="00496F64">
        <w:rPr>
          <w:rFonts w:ascii="Times New Roman" w:hAnsi="Times New Roman" w:cs="Times New Roman"/>
          <w:b/>
          <w:bCs/>
          <w:sz w:val="28"/>
          <w:szCs w:val="28"/>
        </w:rPr>
        <w:t>Komponent D Efektywność, dostępność i jakość systemu ochrony zdrowia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2"/>
        <w:gridCol w:w="3438"/>
        <w:gridCol w:w="3652"/>
      </w:tblGrid>
      <w:tr w:rsidR="00E70A6D" w:rsidRPr="00524B1A" w14:paraId="03CEAFF7" w14:textId="77777777" w:rsidTr="00144E7D">
        <w:tc>
          <w:tcPr>
            <w:tcW w:w="1088" w:type="pct"/>
          </w:tcPr>
          <w:p w14:paraId="050754FC" w14:textId="77777777" w:rsidR="00E70A6D" w:rsidRPr="00496F64" w:rsidRDefault="00E70A6D" w:rsidP="00144E7D">
            <w:pPr>
              <w:spacing w:after="120" w:line="240" w:lineRule="auto"/>
              <w:rPr>
                <w:rFonts w:ascii="Times New Roman" w:hAnsi="Times New Roman" w:cs="Times New Roman"/>
                <w:b/>
                <w:bCs/>
              </w:rPr>
            </w:pPr>
            <w:r w:rsidRPr="00496F64">
              <w:rPr>
                <w:rFonts w:ascii="Times New Roman" w:hAnsi="Times New Roman" w:cs="Times New Roman"/>
                <w:b/>
                <w:bCs/>
              </w:rPr>
              <w:t>Numer reformy</w:t>
            </w:r>
          </w:p>
        </w:tc>
        <w:tc>
          <w:tcPr>
            <w:tcW w:w="3912" w:type="pct"/>
            <w:gridSpan w:val="2"/>
          </w:tcPr>
          <w:p w14:paraId="0554084A" w14:textId="77777777" w:rsidR="00E70A6D" w:rsidRPr="00524B1A" w:rsidRDefault="00E70A6D" w:rsidP="00144E7D">
            <w:pPr>
              <w:spacing w:after="120" w:line="240" w:lineRule="auto"/>
              <w:rPr>
                <w:rFonts w:ascii="Times New Roman" w:hAnsi="Times New Roman" w:cs="Times New Roman"/>
                <w:b/>
                <w:bCs/>
              </w:rPr>
            </w:pPr>
            <w:r>
              <w:rPr>
                <w:rFonts w:ascii="Times New Roman" w:hAnsi="Times New Roman" w:cs="Times New Roman"/>
                <w:b/>
                <w:bCs/>
              </w:rPr>
              <w:t>D3.2.</w:t>
            </w:r>
          </w:p>
        </w:tc>
      </w:tr>
      <w:tr w:rsidR="00E70A6D" w:rsidRPr="00496F64" w14:paraId="4CD890E8" w14:textId="77777777" w:rsidTr="00144E7D">
        <w:tc>
          <w:tcPr>
            <w:tcW w:w="1088" w:type="pct"/>
          </w:tcPr>
          <w:p w14:paraId="2B41493C" w14:textId="77777777" w:rsidR="00E70A6D" w:rsidRPr="00496F64" w:rsidRDefault="00E70A6D" w:rsidP="00144E7D">
            <w:pPr>
              <w:spacing w:after="120" w:line="240" w:lineRule="auto"/>
              <w:rPr>
                <w:rFonts w:ascii="Times New Roman" w:hAnsi="Times New Roman" w:cs="Times New Roman"/>
                <w:b/>
                <w:bCs/>
              </w:rPr>
            </w:pPr>
            <w:r w:rsidRPr="00496F64">
              <w:rPr>
                <w:rFonts w:ascii="Times New Roman" w:hAnsi="Times New Roman" w:cs="Times New Roman"/>
                <w:b/>
                <w:bCs/>
              </w:rPr>
              <w:t>Nazwa reformy</w:t>
            </w:r>
          </w:p>
        </w:tc>
        <w:tc>
          <w:tcPr>
            <w:tcW w:w="3912" w:type="pct"/>
            <w:gridSpan w:val="2"/>
          </w:tcPr>
          <w:p w14:paraId="02A3469C" w14:textId="77777777" w:rsidR="00E70A6D" w:rsidRPr="00496F64" w:rsidRDefault="00E70A6D" w:rsidP="00144E7D">
            <w:pPr>
              <w:spacing w:after="120" w:line="240" w:lineRule="auto"/>
              <w:rPr>
                <w:rFonts w:ascii="Times New Roman" w:hAnsi="Times New Roman" w:cs="Times New Roman"/>
                <w:b/>
                <w:bCs/>
              </w:rPr>
            </w:pPr>
            <w:r w:rsidRPr="00992CF7">
              <w:rPr>
                <w:rFonts w:ascii="Times New Roman" w:hAnsi="Times New Roman" w:cs="Times New Roman"/>
                <w:b/>
                <w:bCs/>
              </w:rPr>
              <w:t>Stworzenie sprzyjających warunków dla rozwoju sektora leków i wyrobów medycznych</w:t>
            </w:r>
          </w:p>
        </w:tc>
      </w:tr>
      <w:tr w:rsidR="00E70A6D" w:rsidRPr="00992CF7" w14:paraId="396A91D9" w14:textId="77777777" w:rsidTr="00144E7D">
        <w:tc>
          <w:tcPr>
            <w:tcW w:w="1088" w:type="pct"/>
            <w:shd w:val="clear" w:color="auto" w:fill="auto"/>
          </w:tcPr>
          <w:p w14:paraId="2B3C0401" w14:textId="77777777" w:rsidR="00E70A6D" w:rsidRPr="00496F64" w:rsidRDefault="00E70A6D" w:rsidP="00144E7D">
            <w:pPr>
              <w:spacing w:after="120" w:line="240" w:lineRule="auto"/>
              <w:rPr>
                <w:rFonts w:ascii="Times New Roman" w:hAnsi="Times New Roman" w:cs="Times New Roman"/>
              </w:rPr>
            </w:pPr>
            <w:r w:rsidRPr="00496F64">
              <w:rPr>
                <w:rFonts w:ascii="Times New Roman" w:hAnsi="Times New Roman" w:cs="Times New Roman"/>
              </w:rPr>
              <w:lastRenderedPageBreak/>
              <w:t>Rodzaj wprowadzonej zmiany w odniesieniu do CID</w:t>
            </w:r>
          </w:p>
        </w:tc>
        <w:tc>
          <w:tcPr>
            <w:tcW w:w="3912" w:type="pct"/>
            <w:gridSpan w:val="2"/>
            <w:shd w:val="clear" w:color="auto" w:fill="auto"/>
          </w:tcPr>
          <w:p w14:paraId="38725E2D" w14:textId="3114425A" w:rsidR="00E70A6D" w:rsidRDefault="00E70A6D" w:rsidP="00144E7D">
            <w:pPr>
              <w:spacing w:after="120" w:line="240" w:lineRule="auto"/>
              <w:rPr>
                <w:rFonts w:ascii="Times New Roman" w:hAnsi="Times New Roman" w:cs="Times New Roman"/>
              </w:rPr>
            </w:pPr>
            <w:r w:rsidRPr="00992CF7">
              <w:rPr>
                <w:rFonts w:ascii="Times New Roman" w:hAnsi="Times New Roman" w:cs="Times New Roman"/>
              </w:rPr>
              <w:t xml:space="preserve">Modyfikacja opisu </w:t>
            </w:r>
            <w:r>
              <w:rPr>
                <w:rFonts w:ascii="Times New Roman" w:hAnsi="Times New Roman" w:cs="Times New Roman"/>
              </w:rPr>
              <w:t xml:space="preserve">kamienia milowego D6L </w:t>
            </w:r>
            <w:r w:rsidRPr="00992CF7">
              <w:rPr>
                <w:rFonts w:ascii="Times New Roman" w:hAnsi="Times New Roman" w:cs="Times New Roman"/>
              </w:rPr>
              <w:t xml:space="preserve">i </w:t>
            </w:r>
            <w:r w:rsidR="006E3D06">
              <w:rPr>
                <w:rFonts w:ascii="Times New Roman" w:hAnsi="Times New Roman" w:cs="Times New Roman"/>
              </w:rPr>
              <w:t>przesunięcie</w:t>
            </w:r>
            <w:r w:rsidRPr="00992CF7">
              <w:rPr>
                <w:rFonts w:ascii="Times New Roman" w:hAnsi="Times New Roman" w:cs="Times New Roman"/>
              </w:rPr>
              <w:t xml:space="preserve"> terminu realizacji</w:t>
            </w:r>
            <w:r>
              <w:rPr>
                <w:rFonts w:ascii="Times New Roman" w:hAnsi="Times New Roman" w:cs="Times New Roman"/>
              </w:rPr>
              <w:t>.</w:t>
            </w:r>
          </w:p>
          <w:p w14:paraId="1693A696" w14:textId="77777777" w:rsidR="00E70A6D" w:rsidRPr="00992CF7" w:rsidRDefault="00E70A6D" w:rsidP="00144E7D">
            <w:pPr>
              <w:spacing w:after="120" w:line="240" w:lineRule="auto"/>
              <w:rPr>
                <w:rFonts w:ascii="Times New Roman" w:hAnsi="Times New Roman" w:cs="Times New Roman"/>
              </w:rPr>
            </w:pPr>
            <w:r>
              <w:rPr>
                <w:rFonts w:ascii="Times New Roman" w:hAnsi="Times New Roman" w:cs="Times New Roman"/>
              </w:rPr>
              <w:t>Zmiana nazwy reformy na: S</w:t>
            </w:r>
            <w:r w:rsidRPr="00BE69B1">
              <w:rPr>
                <w:rFonts w:ascii="Times New Roman" w:hAnsi="Times New Roman" w:cs="Times New Roman"/>
              </w:rPr>
              <w:t>tworzenie sprzyjających warunków dla rozwoju sektora leków</w:t>
            </w:r>
          </w:p>
        </w:tc>
      </w:tr>
      <w:tr w:rsidR="00E70A6D" w:rsidRPr="00496F64" w14:paraId="368EE2A7" w14:textId="77777777" w:rsidTr="00144E7D">
        <w:tc>
          <w:tcPr>
            <w:tcW w:w="1088" w:type="pct"/>
            <w:shd w:val="clear" w:color="auto" w:fill="auto"/>
          </w:tcPr>
          <w:p w14:paraId="486A0501" w14:textId="77777777" w:rsidR="00E70A6D" w:rsidRPr="00496F64" w:rsidRDefault="00E70A6D" w:rsidP="00144E7D">
            <w:pPr>
              <w:spacing w:after="120" w:line="240" w:lineRule="auto"/>
              <w:rPr>
                <w:rFonts w:ascii="Times New Roman" w:hAnsi="Times New Roman" w:cs="Times New Roman"/>
              </w:rPr>
            </w:pPr>
            <w:r w:rsidRPr="00496F64">
              <w:rPr>
                <w:rFonts w:ascii="Times New Roman" w:hAnsi="Times New Roman" w:cs="Times New Roman"/>
              </w:rPr>
              <w:t>Podstawa prawna zmiany</w:t>
            </w:r>
          </w:p>
        </w:tc>
        <w:tc>
          <w:tcPr>
            <w:tcW w:w="3912" w:type="pct"/>
            <w:gridSpan w:val="2"/>
            <w:shd w:val="clear" w:color="auto" w:fill="auto"/>
          </w:tcPr>
          <w:p w14:paraId="264EC2AB" w14:textId="77777777" w:rsidR="00E70A6D" w:rsidRPr="00496F64" w:rsidRDefault="00E70A6D" w:rsidP="00144E7D">
            <w:pPr>
              <w:spacing w:after="120" w:line="240" w:lineRule="auto"/>
              <w:rPr>
                <w:rFonts w:ascii="Times New Roman" w:hAnsi="Times New Roman" w:cs="Times New Roman"/>
              </w:rPr>
            </w:pPr>
            <w:r w:rsidRPr="00496F64">
              <w:rPr>
                <w:rFonts w:ascii="Times New Roman" w:hAnsi="Times New Roman" w:cs="Times New Roman"/>
              </w:rPr>
              <w:t xml:space="preserve">art. </w:t>
            </w:r>
            <w:r>
              <w:rPr>
                <w:rFonts w:ascii="Times New Roman" w:hAnsi="Times New Roman" w:cs="Times New Roman"/>
              </w:rPr>
              <w:t xml:space="preserve">21 </w:t>
            </w:r>
            <w:r w:rsidRPr="00496F64">
              <w:rPr>
                <w:rFonts w:ascii="Times New Roman" w:hAnsi="Times New Roman" w:cs="Times New Roman"/>
              </w:rPr>
              <w:t>rozporządzenia Parlamentu Europejskiego i Rady (UE) 2021/241 z dnia 12 lutego 2021 r. ustanawiające Instrument na rzecz Odbudowy i Zwiększania Odporności</w:t>
            </w:r>
          </w:p>
        </w:tc>
      </w:tr>
      <w:tr w:rsidR="00E70A6D" w:rsidRPr="00496F64" w14:paraId="3DCF1E4C" w14:textId="77777777" w:rsidTr="00144E7D">
        <w:tc>
          <w:tcPr>
            <w:tcW w:w="1088" w:type="pct"/>
            <w:shd w:val="clear" w:color="auto" w:fill="D9D9D9" w:themeFill="background1" w:themeFillShade="D9"/>
          </w:tcPr>
          <w:p w14:paraId="2299F3EA" w14:textId="77777777" w:rsidR="00E70A6D" w:rsidRPr="00496F64" w:rsidRDefault="00E70A6D" w:rsidP="00144E7D">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Modyfikowany element</w:t>
            </w:r>
          </w:p>
        </w:tc>
        <w:tc>
          <w:tcPr>
            <w:tcW w:w="1897" w:type="pct"/>
            <w:shd w:val="clear" w:color="auto" w:fill="D9D9D9" w:themeFill="background1" w:themeFillShade="D9"/>
          </w:tcPr>
          <w:p w14:paraId="072F2A48" w14:textId="77777777" w:rsidR="00E70A6D" w:rsidRPr="00496F64" w:rsidRDefault="00E70A6D" w:rsidP="00144E7D">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Bieżąca wersja</w:t>
            </w:r>
          </w:p>
        </w:tc>
        <w:tc>
          <w:tcPr>
            <w:tcW w:w="2015" w:type="pct"/>
            <w:shd w:val="clear" w:color="auto" w:fill="D9D9D9" w:themeFill="background1" w:themeFillShade="D9"/>
          </w:tcPr>
          <w:p w14:paraId="3775D091" w14:textId="77777777" w:rsidR="00E70A6D" w:rsidRPr="00496F64" w:rsidRDefault="00E70A6D" w:rsidP="00144E7D">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Wersja zmieniona</w:t>
            </w:r>
          </w:p>
        </w:tc>
      </w:tr>
      <w:tr w:rsidR="00E70A6D" w:rsidRPr="00457E9B" w14:paraId="643F6BFB" w14:textId="77777777" w:rsidTr="00144E7D">
        <w:tc>
          <w:tcPr>
            <w:tcW w:w="1088" w:type="pct"/>
            <w:vMerge w:val="restart"/>
          </w:tcPr>
          <w:p w14:paraId="4DCA185C" w14:textId="77777777" w:rsidR="00E70A6D" w:rsidRPr="00496F64" w:rsidRDefault="00E70A6D" w:rsidP="00144E7D">
            <w:pPr>
              <w:spacing w:after="0" w:line="240" w:lineRule="auto"/>
              <w:rPr>
                <w:rFonts w:ascii="Times New Roman" w:hAnsi="Times New Roman" w:cs="Times New Roman"/>
              </w:rPr>
            </w:pPr>
            <w:r>
              <w:rPr>
                <w:rFonts w:ascii="Times New Roman" w:hAnsi="Times New Roman" w:cs="Times New Roman"/>
              </w:rPr>
              <w:t>Opis reformy/mierników</w:t>
            </w:r>
            <w:r w:rsidRPr="00496F64">
              <w:rPr>
                <w:rFonts w:ascii="Times New Roman" w:hAnsi="Times New Roman" w:cs="Times New Roman"/>
              </w:rPr>
              <w:t xml:space="preserve"> </w:t>
            </w:r>
          </w:p>
        </w:tc>
        <w:tc>
          <w:tcPr>
            <w:tcW w:w="1897" w:type="pct"/>
          </w:tcPr>
          <w:p w14:paraId="16CE115A" w14:textId="714240F2" w:rsidR="00E70A6D" w:rsidRPr="00992CF7" w:rsidRDefault="00E70A6D" w:rsidP="00144E7D">
            <w:pPr>
              <w:spacing w:after="0" w:line="240" w:lineRule="auto"/>
              <w:rPr>
                <w:rFonts w:ascii="Times New Roman" w:hAnsi="Times New Roman" w:cs="Times New Roman"/>
              </w:rPr>
            </w:pPr>
            <w:r w:rsidRPr="00992CF7">
              <w:rPr>
                <w:rFonts w:ascii="Times New Roman" w:hAnsi="Times New Roman" w:cs="Times New Roman"/>
              </w:rPr>
              <w:t>Celem reformy jest wprowadzenie ram regulacyjnych ułatwiających przyciągnięcie do Polski producentów leków i farmaceutycznych składników czynnych (API) oraz zwiększenie ich produkcji w Polsce. Przyczyni się to do zwiększenia bezpieczeństwa Polski w zakresie podaży leków. Nowe ramy wzmocnią ramy analityczne w celu wskazania luk i zagrożeń dotyczących podaży API w Polsce</w:t>
            </w:r>
            <w:r>
              <w:rPr>
                <w:rFonts w:ascii="Times New Roman" w:hAnsi="Times New Roman" w:cs="Times New Roman"/>
              </w:rPr>
              <w:t xml:space="preserve"> (…)</w:t>
            </w:r>
          </w:p>
          <w:p w14:paraId="7A7C66D5" w14:textId="77777777" w:rsidR="00E70A6D" w:rsidRPr="00524B1A" w:rsidRDefault="00E70A6D" w:rsidP="00144E7D">
            <w:pPr>
              <w:spacing w:after="0" w:line="240" w:lineRule="auto"/>
              <w:rPr>
                <w:rFonts w:ascii="Times New Roman" w:hAnsi="Times New Roman" w:cs="Times New Roman"/>
              </w:rPr>
            </w:pPr>
            <w:r w:rsidRPr="00524B1A">
              <w:rPr>
                <w:rFonts w:ascii="Times New Roman" w:hAnsi="Times New Roman" w:cs="Times New Roman"/>
              </w:rPr>
              <w:t xml:space="preserve">Termin realizacji: </w:t>
            </w:r>
            <w:r>
              <w:rPr>
                <w:rFonts w:ascii="Times New Roman" w:hAnsi="Times New Roman" w:cs="Times New Roman"/>
              </w:rPr>
              <w:t>30.06.2023 r.</w:t>
            </w:r>
          </w:p>
        </w:tc>
        <w:tc>
          <w:tcPr>
            <w:tcW w:w="2015" w:type="pct"/>
          </w:tcPr>
          <w:p w14:paraId="118A850B" w14:textId="77777777" w:rsidR="00C45341" w:rsidRDefault="00C45341" w:rsidP="00C45341">
            <w:pPr>
              <w:spacing w:after="0" w:line="240" w:lineRule="auto"/>
              <w:rPr>
                <w:rFonts w:ascii="Times New Roman" w:hAnsi="Times New Roman" w:cs="Times New Roman"/>
              </w:rPr>
            </w:pPr>
            <w:r w:rsidRPr="00992CF7">
              <w:rPr>
                <w:rFonts w:ascii="Times New Roman" w:hAnsi="Times New Roman" w:cs="Times New Roman"/>
              </w:rPr>
              <w:t>Celem reformy jest wprowadzenie ram regulacyjnych ułatwiających przyciągnięcie do Polski producentów leków i farmaceutycznych składników czynnych (API) oraz zwiększenie ich produkcji w Polsce. Przyczyni się to do zwiększenia bezpieczeństwa Polski w zakresie podaży leków. Nowe ramy wzmocnią ramy analityczne w celu wskazania luk i zagrożeń dotyczących podaży API w Polsce</w:t>
            </w:r>
            <w:r>
              <w:rPr>
                <w:rFonts w:ascii="Times New Roman" w:hAnsi="Times New Roman" w:cs="Times New Roman"/>
              </w:rPr>
              <w:t xml:space="preserve"> (…)</w:t>
            </w:r>
          </w:p>
          <w:p w14:paraId="6820B77C" w14:textId="77777777" w:rsidR="00E70A6D" w:rsidRPr="00457E9B" w:rsidRDefault="00E70A6D" w:rsidP="00144E7D">
            <w:pPr>
              <w:spacing w:after="0" w:line="240" w:lineRule="auto"/>
              <w:rPr>
                <w:rFonts w:ascii="Times New Roman" w:hAnsi="Times New Roman" w:cs="Times New Roman"/>
              </w:rPr>
            </w:pPr>
          </w:p>
          <w:p w14:paraId="33A46218" w14:textId="77777777" w:rsidR="00E70A6D" w:rsidRPr="00457E9B" w:rsidRDefault="00E70A6D" w:rsidP="00144E7D">
            <w:pPr>
              <w:spacing w:after="0" w:line="240" w:lineRule="auto"/>
              <w:rPr>
                <w:rFonts w:ascii="Times New Roman" w:hAnsi="Times New Roman" w:cs="Times New Roman"/>
              </w:rPr>
            </w:pPr>
          </w:p>
          <w:p w14:paraId="4453F734" w14:textId="77777777" w:rsidR="00E70A6D" w:rsidRPr="00457E9B" w:rsidRDefault="00E70A6D" w:rsidP="00144E7D">
            <w:pPr>
              <w:spacing w:after="0" w:line="240" w:lineRule="auto"/>
              <w:rPr>
                <w:rFonts w:ascii="Times New Roman" w:hAnsi="Times New Roman" w:cs="Times New Roman"/>
              </w:rPr>
            </w:pPr>
            <w:r w:rsidRPr="00457E9B">
              <w:rPr>
                <w:rFonts w:ascii="Times New Roman" w:hAnsi="Times New Roman" w:cs="Times New Roman"/>
              </w:rPr>
              <w:t xml:space="preserve">Termin realizacji: </w:t>
            </w:r>
            <w:r w:rsidRPr="00002061">
              <w:rPr>
                <w:rFonts w:ascii="Times New Roman" w:hAnsi="Times New Roman" w:cs="Times New Roman"/>
                <w:color w:val="FF0000"/>
              </w:rPr>
              <w:t>30.06.2024</w:t>
            </w:r>
            <w:r>
              <w:rPr>
                <w:rFonts w:ascii="Times New Roman" w:hAnsi="Times New Roman" w:cs="Times New Roman"/>
                <w:color w:val="FF0000"/>
              </w:rPr>
              <w:t>r.</w:t>
            </w:r>
          </w:p>
        </w:tc>
      </w:tr>
      <w:tr w:rsidR="00E70A6D" w:rsidRPr="00457E9B" w14:paraId="59A12F92" w14:textId="77777777" w:rsidTr="00144E7D">
        <w:tc>
          <w:tcPr>
            <w:tcW w:w="1088" w:type="pct"/>
            <w:vMerge/>
          </w:tcPr>
          <w:p w14:paraId="4DA88408" w14:textId="77777777" w:rsidR="00E70A6D" w:rsidRPr="00496F64" w:rsidRDefault="00E70A6D" w:rsidP="00144E7D">
            <w:pPr>
              <w:spacing w:after="0" w:line="240" w:lineRule="auto"/>
              <w:rPr>
                <w:rFonts w:ascii="Times New Roman" w:hAnsi="Times New Roman" w:cs="Times New Roman"/>
              </w:rPr>
            </w:pPr>
          </w:p>
        </w:tc>
        <w:tc>
          <w:tcPr>
            <w:tcW w:w="1897" w:type="pct"/>
          </w:tcPr>
          <w:p w14:paraId="02D7158F" w14:textId="7A536BD7" w:rsidR="00E70A6D" w:rsidRDefault="00E70A6D" w:rsidP="00144E7D">
            <w:pPr>
              <w:spacing w:after="0" w:line="240" w:lineRule="auto"/>
              <w:rPr>
                <w:rFonts w:ascii="Times New Roman" w:hAnsi="Times New Roman" w:cs="Times New Roman"/>
              </w:rPr>
            </w:pPr>
            <w:r w:rsidRPr="00524B1A">
              <w:rPr>
                <w:rFonts w:ascii="Times New Roman" w:hAnsi="Times New Roman" w:cs="Times New Roman"/>
              </w:rPr>
              <w:t>D</w:t>
            </w:r>
            <w:r>
              <w:rPr>
                <w:rFonts w:ascii="Times New Roman" w:hAnsi="Times New Roman" w:cs="Times New Roman"/>
              </w:rPr>
              <w:t xml:space="preserve">6L </w:t>
            </w:r>
            <w:r w:rsidRPr="00074625">
              <w:rPr>
                <w:rFonts w:ascii="Times New Roman" w:hAnsi="Times New Roman" w:cs="Times New Roman"/>
              </w:rPr>
              <w:t>Wejście w życie aktu ustawodawczego zapewniającego bezpieczeństwo dostaw leków, w tym rozwiązań odnoszących się do niedoborów leków i kluczowych</w:t>
            </w:r>
            <w:r>
              <w:rPr>
                <w:rFonts w:ascii="Times New Roman" w:hAnsi="Times New Roman" w:cs="Times New Roman"/>
              </w:rPr>
              <w:t xml:space="preserve"> </w:t>
            </w:r>
            <w:r w:rsidRPr="00074625">
              <w:rPr>
                <w:rFonts w:ascii="Times New Roman" w:hAnsi="Times New Roman" w:cs="Times New Roman"/>
              </w:rPr>
              <w:t>zagrożeń w ramach łańcuchów dostaw</w:t>
            </w:r>
            <w:r>
              <w:rPr>
                <w:rFonts w:ascii="Times New Roman" w:hAnsi="Times New Roman" w:cs="Times New Roman"/>
              </w:rPr>
              <w:t>.</w:t>
            </w:r>
          </w:p>
          <w:p w14:paraId="1062D071" w14:textId="77777777" w:rsidR="00E70A6D" w:rsidRDefault="00E70A6D" w:rsidP="00144E7D">
            <w:pPr>
              <w:spacing w:after="0" w:line="240" w:lineRule="auto"/>
              <w:rPr>
                <w:rFonts w:ascii="Times New Roman" w:hAnsi="Times New Roman" w:cs="Times New Roman"/>
              </w:rPr>
            </w:pPr>
            <w:r w:rsidRPr="00524B1A">
              <w:rPr>
                <w:rFonts w:ascii="Times New Roman" w:hAnsi="Times New Roman" w:cs="Times New Roman"/>
              </w:rPr>
              <w:t xml:space="preserve">Termin realizacji: </w:t>
            </w:r>
            <w:r>
              <w:rPr>
                <w:rFonts w:ascii="Times New Roman" w:hAnsi="Times New Roman" w:cs="Times New Roman"/>
              </w:rPr>
              <w:t>II kw. 2023r.</w:t>
            </w:r>
          </w:p>
          <w:p w14:paraId="39E32917" w14:textId="77777777" w:rsidR="00E70A6D" w:rsidRDefault="00E70A6D" w:rsidP="00144E7D">
            <w:pPr>
              <w:spacing w:after="0" w:line="240" w:lineRule="auto"/>
              <w:rPr>
                <w:rFonts w:ascii="Times New Roman" w:hAnsi="Times New Roman" w:cs="Times New Roman"/>
              </w:rPr>
            </w:pPr>
          </w:p>
          <w:p w14:paraId="18083DF2" w14:textId="6D5D0493" w:rsidR="00E70A6D" w:rsidRDefault="00E70A6D" w:rsidP="00144E7D">
            <w:pPr>
              <w:spacing w:after="0" w:line="240" w:lineRule="auto"/>
              <w:rPr>
                <w:rFonts w:ascii="Times New Roman" w:hAnsi="Times New Roman" w:cs="Times New Roman"/>
              </w:rPr>
            </w:pPr>
            <w:r w:rsidRPr="00FC0AF6">
              <w:rPr>
                <w:rFonts w:ascii="Times New Roman" w:hAnsi="Times New Roman" w:cs="Times New Roman"/>
              </w:rPr>
              <w:t>Opis</w:t>
            </w:r>
            <w:r>
              <w:rPr>
                <w:rFonts w:ascii="Times New Roman" w:hAnsi="Times New Roman" w:cs="Times New Roman"/>
              </w:rPr>
              <w:t xml:space="preserve"> </w:t>
            </w:r>
            <w:r w:rsidRPr="00FC0AF6">
              <w:rPr>
                <w:rFonts w:ascii="Times New Roman" w:hAnsi="Times New Roman" w:cs="Times New Roman"/>
              </w:rPr>
              <w:t>kamienia milowego</w:t>
            </w:r>
            <w:r>
              <w:rPr>
                <w:rFonts w:ascii="Times New Roman" w:hAnsi="Times New Roman" w:cs="Times New Roman"/>
              </w:rPr>
              <w:t>:</w:t>
            </w:r>
          </w:p>
          <w:p w14:paraId="0F3D3320" w14:textId="77777777" w:rsidR="00E70A6D" w:rsidRPr="00524B1A" w:rsidRDefault="00E70A6D" w:rsidP="00144E7D">
            <w:pPr>
              <w:spacing w:after="0" w:line="240" w:lineRule="auto"/>
              <w:rPr>
                <w:rFonts w:ascii="Times New Roman" w:hAnsi="Times New Roman" w:cs="Times New Roman"/>
              </w:rPr>
            </w:pPr>
            <w:r w:rsidRPr="00FC0AF6">
              <w:rPr>
                <w:rFonts w:ascii="Times New Roman" w:hAnsi="Times New Roman" w:cs="Times New Roman"/>
              </w:rPr>
              <w:t>Wejście w życie aktu ustawodawczego wprowadzającego ramy regulacyjne mające na celu zwiększenie produkcji w Polsce leków i farmaceutycznych składników czynnych (API). Przyczyni się to do zwiększenia bezpieczeństwa w zakresie podaży leków o krytycznym znaczeniu. Akt ten będzie obejmował: – wzmocnienie ram analitycznych w celu wskazania luk i zagrożeń dotyczących podaży</w:t>
            </w:r>
            <w:r>
              <w:rPr>
                <w:rFonts w:ascii="Times New Roman" w:hAnsi="Times New Roman" w:cs="Times New Roman"/>
              </w:rPr>
              <w:t xml:space="preserve"> </w:t>
            </w:r>
            <w:r w:rsidRPr="00FC0AF6">
              <w:rPr>
                <w:rFonts w:ascii="Times New Roman" w:hAnsi="Times New Roman" w:cs="Times New Roman"/>
              </w:rPr>
              <w:t xml:space="preserve">API o krytycznym znaczeniu w Polsce, w tym pracy zespołu zadaniowego API; – upoważnienie właściwego ministra do przyjęcia, w drodze rozporządzenia, wykazu API o krytycznym znaczeniu (w tym stosowanych w lekach oryginalnych, </w:t>
            </w:r>
            <w:proofErr w:type="spellStart"/>
            <w:r w:rsidRPr="00FC0AF6">
              <w:rPr>
                <w:rFonts w:ascii="Times New Roman" w:hAnsi="Times New Roman" w:cs="Times New Roman"/>
              </w:rPr>
              <w:lastRenderedPageBreak/>
              <w:t>biopodobnych</w:t>
            </w:r>
            <w:proofErr w:type="spellEnd"/>
            <w:r w:rsidRPr="00FC0AF6">
              <w:rPr>
                <w:rFonts w:ascii="Times New Roman" w:hAnsi="Times New Roman" w:cs="Times New Roman"/>
              </w:rPr>
              <w:t xml:space="preserve"> i generycznych), które mają zostać opracowane oraz – ramy wprowadzające zachęty dla przedsiębiorców produkujących produkty lecznicze w Polsce. Zachęty te oraz wszelkie zapewnione wsparcie będą się opierać na jasnych, przejrzystych i niedyskryminacyjnych kryteriach. Wspomniany akt przyczyni się do wdrożenia strategii farmaceutycznej dla Europy, w szczególności w kontekście poprawy strategicznej</w:t>
            </w:r>
            <w:r>
              <w:rPr>
                <w:rFonts w:ascii="Times New Roman" w:hAnsi="Times New Roman" w:cs="Times New Roman"/>
              </w:rPr>
              <w:t>.</w:t>
            </w:r>
          </w:p>
        </w:tc>
        <w:tc>
          <w:tcPr>
            <w:tcW w:w="2015" w:type="pct"/>
          </w:tcPr>
          <w:p w14:paraId="7E9F503E" w14:textId="2C51A42F" w:rsidR="00E70A6D" w:rsidRPr="00457E9B" w:rsidRDefault="00E70A6D" w:rsidP="00144E7D">
            <w:pPr>
              <w:spacing w:after="0" w:line="240" w:lineRule="auto"/>
              <w:rPr>
                <w:rFonts w:ascii="Times New Roman" w:hAnsi="Times New Roman" w:cs="Times New Roman"/>
              </w:rPr>
            </w:pPr>
            <w:r w:rsidRPr="00457E9B">
              <w:rPr>
                <w:rFonts w:ascii="Times New Roman" w:hAnsi="Times New Roman" w:cs="Times New Roman"/>
              </w:rPr>
              <w:lastRenderedPageBreak/>
              <w:t>D6L</w:t>
            </w:r>
            <w:r w:rsidR="00C45341">
              <w:rPr>
                <w:rFonts w:ascii="Times New Roman" w:eastAsia="Times New Roman" w:hAnsi="Times New Roman" w:cs="Times New Roman"/>
                <w:color w:val="FF0000"/>
              </w:rPr>
              <w:t xml:space="preserve"> </w:t>
            </w:r>
            <w:r w:rsidRPr="00002061">
              <w:rPr>
                <w:rFonts w:ascii="Times New Roman" w:eastAsia="Times New Roman" w:hAnsi="Times New Roman" w:cs="Times New Roman"/>
                <w:color w:val="FF0000"/>
              </w:rPr>
              <w:t xml:space="preserve">Publikacja wykazu kluczowych aktywnych substancji farmaceutycznych oraz raportu dotyczącego dalszych działań w obszarze aktywnych substancji farmaceutycznych </w:t>
            </w:r>
          </w:p>
          <w:p w14:paraId="40D64E96" w14:textId="77777777" w:rsidR="00E70A6D" w:rsidRPr="00457E9B" w:rsidRDefault="00E70A6D" w:rsidP="00144E7D">
            <w:pPr>
              <w:spacing w:after="0" w:line="240" w:lineRule="auto"/>
              <w:rPr>
                <w:rFonts w:ascii="Times New Roman" w:hAnsi="Times New Roman" w:cs="Times New Roman"/>
              </w:rPr>
            </w:pPr>
            <w:r w:rsidRPr="00457E9B">
              <w:rPr>
                <w:rFonts w:ascii="Times New Roman" w:hAnsi="Times New Roman" w:cs="Times New Roman"/>
              </w:rPr>
              <w:t xml:space="preserve">Termin realizacji: II kw. </w:t>
            </w:r>
            <w:r w:rsidRPr="00002061">
              <w:rPr>
                <w:rFonts w:ascii="Times New Roman" w:hAnsi="Times New Roman" w:cs="Times New Roman"/>
                <w:color w:val="FF0000"/>
              </w:rPr>
              <w:t>2024</w:t>
            </w:r>
            <w:r>
              <w:rPr>
                <w:rFonts w:ascii="Times New Roman" w:hAnsi="Times New Roman" w:cs="Times New Roman"/>
                <w:color w:val="FF0000"/>
              </w:rPr>
              <w:t>r.</w:t>
            </w:r>
            <w:r w:rsidRPr="00002061">
              <w:rPr>
                <w:rFonts w:ascii="Times New Roman" w:hAnsi="Times New Roman" w:cs="Times New Roman"/>
                <w:color w:val="FF0000"/>
              </w:rPr>
              <w:t xml:space="preserve"> </w:t>
            </w:r>
          </w:p>
          <w:p w14:paraId="7891B844" w14:textId="77777777" w:rsidR="00E70A6D" w:rsidRPr="00457E9B" w:rsidRDefault="00E70A6D" w:rsidP="00144E7D">
            <w:pPr>
              <w:spacing w:after="0" w:line="240" w:lineRule="auto"/>
              <w:rPr>
                <w:rFonts w:ascii="Times New Roman" w:hAnsi="Times New Roman" w:cs="Times New Roman"/>
                <w:i/>
                <w:iCs/>
              </w:rPr>
            </w:pPr>
          </w:p>
          <w:p w14:paraId="6887FA46" w14:textId="53145F36" w:rsidR="00E70A6D" w:rsidRPr="00457E9B" w:rsidRDefault="00E70A6D" w:rsidP="00144E7D">
            <w:pPr>
              <w:spacing w:after="0" w:line="240" w:lineRule="auto"/>
              <w:rPr>
                <w:rFonts w:ascii="Times New Roman" w:hAnsi="Times New Roman" w:cs="Times New Roman"/>
              </w:rPr>
            </w:pPr>
            <w:r w:rsidRPr="00457E9B">
              <w:rPr>
                <w:rFonts w:ascii="Times New Roman" w:hAnsi="Times New Roman" w:cs="Times New Roman"/>
              </w:rPr>
              <w:t>Opis kamienia milowego:</w:t>
            </w:r>
          </w:p>
          <w:p w14:paraId="43993CFA" w14:textId="77777777" w:rsidR="00E70A6D" w:rsidRPr="00002061" w:rsidRDefault="00E70A6D" w:rsidP="00144E7D">
            <w:pPr>
              <w:spacing w:after="0" w:line="240" w:lineRule="auto"/>
              <w:rPr>
                <w:rFonts w:ascii="Times New Roman" w:eastAsia="Times New Roman" w:hAnsi="Times New Roman" w:cs="Times New Roman"/>
                <w:color w:val="FF0000"/>
              </w:rPr>
            </w:pPr>
            <w:r w:rsidRPr="00002061">
              <w:rPr>
                <w:rFonts w:ascii="Times New Roman" w:eastAsia="Times New Roman" w:hAnsi="Times New Roman" w:cs="Times New Roman"/>
                <w:color w:val="FF0000"/>
              </w:rPr>
              <w:t xml:space="preserve">Opublikowanie przez Ministra Rozwoju i Technologii po uzgodnieniu z Ministrem Zdrowia wykazu aktywnych substancji farmaceutycznych kluczowych dla zapewnienia bezpieczeństwa zdrowotnego obywateli </w:t>
            </w:r>
          </w:p>
          <w:p w14:paraId="68C50BB9" w14:textId="77777777" w:rsidR="00E70A6D" w:rsidRPr="00002061" w:rsidRDefault="00E70A6D" w:rsidP="00144E7D">
            <w:pPr>
              <w:spacing w:after="0" w:line="240" w:lineRule="auto"/>
              <w:rPr>
                <w:rFonts w:ascii="Times New Roman" w:eastAsia="Times New Roman" w:hAnsi="Times New Roman" w:cs="Times New Roman"/>
                <w:color w:val="FF0000"/>
              </w:rPr>
            </w:pPr>
            <w:r w:rsidRPr="00002061">
              <w:rPr>
                <w:rFonts w:ascii="Times New Roman" w:eastAsia="Times New Roman" w:hAnsi="Times New Roman" w:cs="Times New Roman"/>
                <w:color w:val="FF0000"/>
              </w:rPr>
              <w:t>oraz</w:t>
            </w:r>
          </w:p>
          <w:p w14:paraId="6A5FAE4B" w14:textId="77777777" w:rsidR="00E70A6D" w:rsidRPr="00002061" w:rsidRDefault="00E70A6D" w:rsidP="00144E7D">
            <w:pPr>
              <w:spacing w:after="0" w:line="240" w:lineRule="auto"/>
              <w:rPr>
                <w:rFonts w:ascii="Times New Roman" w:eastAsia="Times New Roman" w:hAnsi="Times New Roman" w:cs="Times New Roman"/>
                <w:color w:val="FF0000"/>
              </w:rPr>
            </w:pPr>
            <w:r w:rsidRPr="00002061">
              <w:rPr>
                <w:rFonts w:ascii="Times New Roman" w:eastAsia="Times New Roman" w:hAnsi="Times New Roman" w:cs="Times New Roman"/>
                <w:color w:val="FF0000"/>
              </w:rPr>
              <w:t xml:space="preserve">- publikacja na stronie </w:t>
            </w:r>
            <w:proofErr w:type="spellStart"/>
            <w:r w:rsidRPr="00002061">
              <w:rPr>
                <w:rFonts w:ascii="Times New Roman" w:eastAsia="Times New Roman" w:hAnsi="Times New Roman" w:cs="Times New Roman"/>
                <w:color w:val="FF0000"/>
              </w:rPr>
              <w:t>MRiT</w:t>
            </w:r>
            <w:proofErr w:type="spellEnd"/>
            <w:r w:rsidRPr="00002061">
              <w:rPr>
                <w:rFonts w:ascii="Times New Roman" w:eastAsia="Times New Roman" w:hAnsi="Times New Roman" w:cs="Times New Roman"/>
                <w:color w:val="FF0000"/>
              </w:rPr>
              <w:t xml:space="preserve">, po konsultacjach w ramach Zespołu do spraw aktywnych substancji farmaceutycznych oraz z interesariuszami po stronie społecznej raportu określającego: </w:t>
            </w:r>
          </w:p>
          <w:p w14:paraId="73AE5746" w14:textId="77777777" w:rsidR="00E70A6D" w:rsidRPr="00002061" w:rsidRDefault="00E70A6D" w:rsidP="00144E7D">
            <w:pPr>
              <w:spacing w:after="120" w:line="240" w:lineRule="auto"/>
              <w:contextualSpacing/>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r w:rsidRPr="00002061">
              <w:rPr>
                <w:rFonts w:ascii="Times New Roman" w:eastAsia="Times New Roman" w:hAnsi="Times New Roman" w:cs="Times New Roman"/>
                <w:color w:val="FF0000"/>
              </w:rPr>
              <w:t xml:space="preserve">główne problemy związane z rozwojem produkcji API w kraju, </w:t>
            </w:r>
          </w:p>
          <w:p w14:paraId="02570514" w14:textId="77777777" w:rsidR="00E70A6D" w:rsidRPr="00002061" w:rsidRDefault="00E70A6D" w:rsidP="00144E7D">
            <w:pPr>
              <w:spacing w:after="0" w:line="240" w:lineRule="auto"/>
              <w:contextualSpacing/>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r w:rsidRPr="00002061">
              <w:rPr>
                <w:rFonts w:ascii="Times New Roman" w:eastAsia="Times New Roman" w:hAnsi="Times New Roman" w:cs="Times New Roman"/>
                <w:color w:val="FF0000"/>
              </w:rPr>
              <w:t xml:space="preserve">czynniki wpływające bezpośrednio na produkcję API w kraju, </w:t>
            </w:r>
          </w:p>
          <w:p w14:paraId="5F6A926D" w14:textId="77777777" w:rsidR="00E70A6D" w:rsidRPr="00002061" w:rsidRDefault="00E70A6D" w:rsidP="00144E7D">
            <w:pPr>
              <w:spacing w:after="0" w:line="240" w:lineRule="auto"/>
              <w:contextualSpacing/>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r w:rsidRPr="00002061">
              <w:rPr>
                <w:rFonts w:ascii="Times New Roman" w:eastAsia="Times New Roman" w:hAnsi="Times New Roman" w:cs="Times New Roman"/>
                <w:color w:val="FF0000"/>
              </w:rPr>
              <w:t>trendy związane z produkcją API,</w:t>
            </w:r>
          </w:p>
          <w:p w14:paraId="1680485A" w14:textId="77777777" w:rsidR="00E70A6D" w:rsidRPr="00002061" w:rsidRDefault="00E70A6D" w:rsidP="00144E7D">
            <w:pPr>
              <w:spacing w:after="120" w:line="240" w:lineRule="auto"/>
              <w:contextualSpacing/>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 xml:space="preserve">- </w:t>
            </w:r>
            <w:r w:rsidRPr="00002061">
              <w:rPr>
                <w:rFonts w:ascii="Times New Roman" w:eastAsia="Times New Roman" w:hAnsi="Times New Roman" w:cs="Times New Roman"/>
                <w:color w:val="FF0000"/>
              </w:rPr>
              <w:t>analizę w zakresie potencjalnego systemu zachęt do rozwoju produkcji w kraju.</w:t>
            </w:r>
          </w:p>
          <w:p w14:paraId="52646CA0" w14:textId="77777777" w:rsidR="00E70A6D" w:rsidRPr="00002061" w:rsidRDefault="00E70A6D" w:rsidP="00144E7D">
            <w:pPr>
              <w:spacing w:after="120" w:line="240" w:lineRule="auto"/>
              <w:rPr>
                <w:rFonts w:ascii="Times New Roman" w:eastAsia="Times New Roman" w:hAnsi="Times New Roman" w:cs="Times New Roman"/>
                <w:color w:val="FF0000"/>
              </w:rPr>
            </w:pPr>
            <w:r w:rsidRPr="00002061">
              <w:rPr>
                <w:rFonts w:ascii="Times New Roman" w:eastAsia="Times New Roman" w:hAnsi="Times New Roman" w:cs="Times New Roman"/>
                <w:color w:val="FF0000"/>
              </w:rPr>
              <w:t xml:space="preserve">Raport będzie stanowił punkt wyjścia do dalszych długoterminowych działań w obszarze wspierania rozwoju produkcji API i gotowych form leków w kraju i budowania autonomii strategicznej w obszarze leków.  </w:t>
            </w:r>
          </w:p>
          <w:p w14:paraId="71A81E59" w14:textId="77777777" w:rsidR="00E70A6D" w:rsidRPr="00457E9B" w:rsidRDefault="00E70A6D" w:rsidP="00144E7D">
            <w:pPr>
              <w:spacing w:after="0" w:line="240" w:lineRule="auto"/>
              <w:rPr>
                <w:rFonts w:ascii="Times New Roman" w:hAnsi="Times New Roman" w:cs="Times New Roman"/>
              </w:rPr>
            </w:pPr>
          </w:p>
        </w:tc>
      </w:tr>
      <w:tr w:rsidR="00E70A6D" w:rsidRPr="00D7176B" w14:paraId="31E688B6" w14:textId="77777777" w:rsidTr="00144E7D">
        <w:tc>
          <w:tcPr>
            <w:tcW w:w="1088" w:type="pct"/>
          </w:tcPr>
          <w:p w14:paraId="29E6BC5D" w14:textId="77777777" w:rsidR="00E70A6D" w:rsidRPr="00496F64" w:rsidRDefault="00E70A6D" w:rsidP="00144E7D">
            <w:pPr>
              <w:spacing w:after="120" w:line="240" w:lineRule="auto"/>
              <w:rPr>
                <w:rFonts w:ascii="Times New Roman" w:hAnsi="Times New Roman" w:cs="Times New Roman"/>
              </w:rPr>
            </w:pPr>
            <w:r w:rsidRPr="00496F64">
              <w:rPr>
                <w:rFonts w:ascii="Times New Roman" w:hAnsi="Times New Roman" w:cs="Times New Roman"/>
              </w:rPr>
              <w:lastRenderedPageBreak/>
              <w:t>Uzasadnienie</w:t>
            </w:r>
          </w:p>
        </w:tc>
        <w:tc>
          <w:tcPr>
            <w:tcW w:w="3912" w:type="pct"/>
            <w:gridSpan w:val="2"/>
          </w:tcPr>
          <w:p w14:paraId="13D50DC2" w14:textId="77777777" w:rsidR="00E70A6D" w:rsidRPr="00FA6136" w:rsidRDefault="00E70A6D" w:rsidP="00144E7D">
            <w:pPr>
              <w:spacing w:after="120" w:line="240" w:lineRule="auto"/>
              <w:rPr>
                <w:rFonts w:ascii="Times New Roman" w:hAnsi="Times New Roman" w:cs="Times New Roman"/>
              </w:rPr>
            </w:pPr>
            <w:r w:rsidRPr="00FA6136">
              <w:rPr>
                <w:rFonts w:ascii="Times New Roman" w:hAnsi="Times New Roman" w:cs="Times New Roman"/>
              </w:rPr>
              <w:t>W okresie od 2021 (p</w:t>
            </w:r>
            <w:r>
              <w:rPr>
                <w:rFonts w:ascii="Times New Roman" w:hAnsi="Times New Roman" w:cs="Times New Roman"/>
              </w:rPr>
              <w:t>lanowanie reformy</w:t>
            </w:r>
            <w:r w:rsidRPr="00FA6136">
              <w:rPr>
                <w:rFonts w:ascii="Times New Roman" w:hAnsi="Times New Roman" w:cs="Times New Roman"/>
              </w:rPr>
              <w:t>) do chwili obecnej zmianie uległy uwarunkowania związane z realizacją inwestycji. Do momentu pandemii COVID-19 nie były prowadzone żadne zintensyfikowane działania w obszarze zwiększenia bezpieczeństwa zdrowotnego obywateli UE i u</w:t>
            </w:r>
            <w:r>
              <w:rPr>
                <w:rFonts w:ascii="Times New Roman" w:hAnsi="Times New Roman" w:cs="Times New Roman"/>
              </w:rPr>
              <w:t>nie</w:t>
            </w:r>
            <w:r w:rsidRPr="00FA6136">
              <w:rPr>
                <w:rFonts w:ascii="Times New Roman" w:hAnsi="Times New Roman" w:cs="Times New Roman"/>
              </w:rPr>
              <w:t xml:space="preserve">zależnienia się od produktów leczniczych z państw trzecich. W listopadzie 2020 r. KE przyjęła Strategię Farmaceutyczną dla Europy. Komunikat podkreślił problem niedoborów leków i konieczność zwiększenie odporności w zakresie łańcuchy dostaw. Niemniej jednak nie uwzględniał długofalowych działań w tym obszarze. Obecnie na forum Unii Europejskiej prowadzony jest szereg nowych </w:t>
            </w:r>
            <w:r>
              <w:rPr>
                <w:rFonts w:ascii="Times New Roman" w:hAnsi="Times New Roman" w:cs="Times New Roman"/>
              </w:rPr>
              <w:t>inicjatyw</w:t>
            </w:r>
            <w:r w:rsidRPr="00FA6136">
              <w:rPr>
                <w:rFonts w:ascii="Times New Roman" w:hAnsi="Times New Roman" w:cs="Times New Roman"/>
              </w:rPr>
              <w:t xml:space="preserve"> w obszarze bezpieczeństwa zdrowotnego obywateli. Komisja Europejska w nowym Komunikacie z 24 października 2023 r. w sprawie niedoborów leków w UE przedstawiła szereg propozycji przeciwdziałania niedoborom leków w UE. Jedną z deklaracji KE jest podjęcie działań na całej długości łańcucha dostaw, od podstawowych surowców, przez API aż do wytwarzania gotowych leków. Przeprowadzone ma zostać również badanie potencjału rozbudowy wewnętrznych zdolności produkcyjnych w UE. W związku z Komunikatem, swoje prace rozpoczęła DG HERA, która wraz z DG GROW opracowała propozycję metodyki badania łańcuchów dostaw. Trwają również przygotowania do testowania zaproponowanej metodyki. Równocześnie, DG HERA w ramach HERA </w:t>
            </w:r>
            <w:proofErr w:type="spellStart"/>
            <w:r w:rsidRPr="00FA6136">
              <w:rPr>
                <w:rFonts w:ascii="Times New Roman" w:hAnsi="Times New Roman" w:cs="Times New Roman"/>
              </w:rPr>
              <w:t>Advisory</w:t>
            </w:r>
            <w:proofErr w:type="spellEnd"/>
            <w:r w:rsidRPr="00FA6136">
              <w:rPr>
                <w:rFonts w:ascii="Times New Roman" w:hAnsi="Times New Roman" w:cs="Times New Roman"/>
              </w:rPr>
              <w:t xml:space="preserve"> Forum przedstawiła wstępną koncepcję Critical </w:t>
            </w:r>
            <w:proofErr w:type="spellStart"/>
            <w:r w:rsidRPr="00FA6136">
              <w:rPr>
                <w:rFonts w:ascii="Times New Roman" w:hAnsi="Times New Roman" w:cs="Times New Roman"/>
              </w:rPr>
              <w:t>Medicines</w:t>
            </w:r>
            <w:proofErr w:type="spellEnd"/>
            <w:r w:rsidRPr="00FA6136">
              <w:rPr>
                <w:rFonts w:ascii="Times New Roman" w:hAnsi="Times New Roman" w:cs="Times New Roman"/>
              </w:rPr>
              <w:t xml:space="preserve"> Alliance, który ma być sojuszem przemysłowym państw członkowskich i podmiotów sektora farmaceutycznego. Pierwszym celem sojuszu ma być zaproponowanie rozwiązań wspierających dostawy leków o krytycznym znaczeniu do UE. Dodatkowo</w:t>
            </w:r>
            <w:r>
              <w:rPr>
                <w:rFonts w:ascii="Times New Roman" w:hAnsi="Times New Roman" w:cs="Times New Roman"/>
              </w:rPr>
              <w:t>,</w:t>
            </w:r>
            <w:r w:rsidRPr="00FA6136">
              <w:rPr>
                <w:rFonts w:ascii="Times New Roman" w:hAnsi="Times New Roman" w:cs="Times New Roman"/>
              </w:rPr>
              <w:t xml:space="preserve"> na forum Unii trwa również rewizja prawa farmaceutycznego, której celem jest zapewnienie pacjentom dostępu do tanich leków, wspieraniu konkurencyjności i innowacyjności europejskiego przemysłu, która rozpoczęła się w kwietniu 2023 r.</w:t>
            </w:r>
            <w:r>
              <w:rPr>
                <w:rFonts w:ascii="Times New Roman" w:hAnsi="Times New Roman" w:cs="Times New Roman"/>
              </w:rPr>
              <w:t xml:space="preserve"> </w:t>
            </w:r>
          </w:p>
          <w:p w14:paraId="6F7D9A60" w14:textId="77777777" w:rsidR="00E70A6D" w:rsidRDefault="00E70A6D" w:rsidP="00144E7D">
            <w:pPr>
              <w:spacing w:after="120" w:line="240" w:lineRule="auto"/>
              <w:rPr>
                <w:rFonts w:ascii="Times New Roman" w:hAnsi="Times New Roman" w:cs="Times New Roman"/>
              </w:rPr>
            </w:pPr>
            <w:r>
              <w:rPr>
                <w:rFonts w:ascii="Times New Roman" w:hAnsi="Times New Roman" w:cs="Times New Roman"/>
              </w:rPr>
              <w:t>D</w:t>
            </w:r>
            <w:r w:rsidRPr="00FA6136">
              <w:rPr>
                <w:rFonts w:ascii="Times New Roman" w:hAnsi="Times New Roman" w:cs="Times New Roman"/>
              </w:rPr>
              <w:t>ziałania PL w obszarze leków powinny być spójne z działaniami UE. W Komunikacie w</w:t>
            </w:r>
            <w:r>
              <w:rPr>
                <w:rFonts w:ascii="Times New Roman" w:hAnsi="Times New Roman" w:cs="Times New Roman"/>
              </w:rPr>
              <w:t xml:space="preserve"> </w:t>
            </w:r>
            <w:r w:rsidRPr="00FA6136">
              <w:rPr>
                <w:rFonts w:ascii="Times New Roman" w:hAnsi="Times New Roman" w:cs="Times New Roman"/>
              </w:rPr>
              <w:t>s</w:t>
            </w:r>
            <w:r>
              <w:rPr>
                <w:rFonts w:ascii="Times New Roman" w:hAnsi="Times New Roman" w:cs="Times New Roman"/>
              </w:rPr>
              <w:t>prawie</w:t>
            </w:r>
            <w:r w:rsidRPr="00FA6136">
              <w:rPr>
                <w:rFonts w:ascii="Times New Roman" w:hAnsi="Times New Roman" w:cs="Times New Roman"/>
              </w:rPr>
              <w:t xml:space="preserve"> niedoborów leków z 2023 r. KE zobowiązała się do rozpoczęcia badani</w:t>
            </w:r>
            <w:r>
              <w:rPr>
                <w:rFonts w:ascii="Times New Roman" w:hAnsi="Times New Roman" w:cs="Times New Roman"/>
              </w:rPr>
              <w:t>a</w:t>
            </w:r>
            <w:r w:rsidRPr="00FA6136">
              <w:rPr>
                <w:rFonts w:ascii="Times New Roman" w:hAnsi="Times New Roman" w:cs="Times New Roman"/>
              </w:rPr>
              <w:t xml:space="preserve"> weryfikującego, czy prawodawstwo mogłoby pomóc w zapewnieniu długoterminowego wsparcia w obszarze leków krytycznych. Pozytywny wynik oceny skutków spowoduje stworzenie regulacji </w:t>
            </w:r>
            <w:r>
              <w:rPr>
                <w:rFonts w:ascii="Times New Roman" w:hAnsi="Times New Roman" w:cs="Times New Roman"/>
              </w:rPr>
              <w:t xml:space="preserve">dla sektora farmaceutycznego </w:t>
            </w:r>
            <w:r w:rsidRPr="00FA6136">
              <w:rPr>
                <w:rFonts w:ascii="Times New Roman" w:hAnsi="Times New Roman" w:cs="Times New Roman"/>
              </w:rPr>
              <w:t xml:space="preserve">na szczeblu </w:t>
            </w:r>
            <w:r>
              <w:rPr>
                <w:rFonts w:ascii="Times New Roman" w:hAnsi="Times New Roman" w:cs="Times New Roman"/>
              </w:rPr>
              <w:t>u</w:t>
            </w:r>
            <w:r w:rsidRPr="00FA6136">
              <w:rPr>
                <w:rFonts w:ascii="Times New Roman" w:hAnsi="Times New Roman" w:cs="Times New Roman"/>
              </w:rPr>
              <w:t>nijnym. Należy przypuszczać, że ewentualna regulacj</w:t>
            </w:r>
            <w:r>
              <w:rPr>
                <w:rFonts w:ascii="Times New Roman" w:hAnsi="Times New Roman" w:cs="Times New Roman"/>
              </w:rPr>
              <w:t>a</w:t>
            </w:r>
            <w:r w:rsidRPr="00FA6136">
              <w:rPr>
                <w:rFonts w:ascii="Times New Roman" w:hAnsi="Times New Roman" w:cs="Times New Roman"/>
              </w:rPr>
              <w:t xml:space="preserve"> będzie wskazywała odpowiednie instrumenty </w:t>
            </w:r>
            <w:r w:rsidRPr="005C5922">
              <w:rPr>
                <w:rFonts w:ascii="Times New Roman" w:hAnsi="Times New Roman" w:cs="Times New Roman"/>
              </w:rPr>
              <w:t>wsparcia oraz zachęty</w:t>
            </w:r>
            <w:r w:rsidRPr="00C45341">
              <w:rPr>
                <w:rFonts w:ascii="Times New Roman" w:hAnsi="Times New Roman" w:cs="Times New Roman"/>
              </w:rPr>
              <w:t>.</w:t>
            </w:r>
            <w:r w:rsidRPr="00FA6136">
              <w:rPr>
                <w:rFonts w:ascii="Times New Roman" w:hAnsi="Times New Roman" w:cs="Times New Roman"/>
              </w:rPr>
              <w:t xml:space="preserve"> Zaproponowan</w:t>
            </w:r>
            <w:r>
              <w:rPr>
                <w:rFonts w:ascii="Times New Roman" w:hAnsi="Times New Roman" w:cs="Times New Roman"/>
              </w:rPr>
              <w:t xml:space="preserve">a zmiana w </w:t>
            </w:r>
            <w:r w:rsidRPr="00FA6136">
              <w:rPr>
                <w:rFonts w:ascii="Times New Roman" w:hAnsi="Times New Roman" w:cs="Times New Roman"/>
              </w:rPr>
              <w:t xml:space="preserve"> kamie</w:t>
            </w:r>
            <w:r>
              <w:rPr>
                <w:rFonts w:ascii="Times New Roman" w:hAnsi="Times New Roman" w:cs="Times New Roman"/>
              </w:rPr>
              <w:t xml:space="preserve">niu </w:t>
            </w:r>
            <w:r w:rsidRPr="00FA6136">
              <w:rPr>
                <w:rFonts w:ascii="Times New Roman" w:hAnsi="Times New Roman" w:cs="Times New Roman"/>
              </w:rPr>
              <w:t>milowy</w:t>
            </w:r>
            <w:r>
              <w:rPr>
                <w:rFonts w:ascii="Times New Roman" w:hAnsi="Times New Roman" w:cs="Times New Roman"/>
              </w:rPr>
              <w:t>m D6L</w:t>
            </w:r>
            <w:r w:rsidRPr="00FA6136">
              <w:rPr>
                <w:rFonts w:ascii="Times New Roman" w:hAnsi="Times New Roman" w:cs="Times New Roman"/>
              </w:rPr>
              <w:t xml:space="preserve"> wpisuje się w działania prowadzone na forum UE i stanowi punkt wyjścia do dalszych długoterminowych działań w zakresie wspierania przemysłu farmaceutycznego i budowania autonomii strategicznej w obszarze leków oraz będzie podstawą do aktywnego włączenia się w działania UE w obszarze leków. </w:t>
            </w:r>
          </w:p>
          <w:p w14:paraId="409838FB" w14:textId="77777777" w:rsidR="00E70A6D" w:rsidRPr="005E24FC" w:rsidRDefault="00E70A6D" w:rsidP="00144E7D">
            <w:pPr>
              <w:spacing w:after="120" w:line="240" w:lineRule="auto"/>
              <w:rPr>
                <w:rFonts w:ascii="Times New Roman" w:hAnsi="Times New Roman" w:cs="Times New Roman"/>
              </w:rPr>
            </w:pPr>
            <w:r w:rsidRPr="005E24FC">
              <w:rPr>
                <w:rFonts w:ascii="Times New Roman" w:hAnsi="Times New Roman" w:cs="Times New Roman"/>
              </w:rPr>
              <w:lastRenderedPageBreak/>
              <w:t xml:space="preserve">Z uwagi na wszystkie powyższe inicjatywy, a także mając na względzie nieprzewidziane sytuacje (tak jak w przypadku pandemii COVID-19) w opinii PL Lista kluczowych API powinna być jak najbardziej elastyczna i dostosowana do aktualnych potrzeb pacjentów. Aktualizacja listy kluczowych API w przypadku zaistnienia konkretnych okoliczności – jeśli zostanie ona przyjęcia w drodze ustawy - będzie procesem długotrwałym – konieczne będzie wszczęcie całej procedury legislacyjnej. Należy również podkreślić, że niektóre z państw członkowskich przyjęły podobne listy w drodze </w:t>
            </w:r>
            <w:r>
              <w:rPr>
                <w:rFonts w:ascii="Times New Roman" w:hAnsi="Times New Roman" w:cs="Times New Roman"/>
              </w:rPr>
              <w:t>z</w:t>
            </w:r>
            <w:r w:rsidRPr="005E24FC">
              <w:rPr>
                <w:rFonts w:ascii="Times New Roman" w:hAnsi="Times New Roman" w:cs="Times New Roman"/>
              </w:rPr>
              <w:t>arządzenia np. na Litwie lista leków podstawowych, których dostępność musi zapewnić państwo została określona zarządzeniem Ministra Zdrowia. W przypadku Danii lista leków została przyjęta Zarządzeniem Ministra Spraw Wewnętrznych i Zdrowia, link do listy: https://www.retsinformation.dk/eli/lta/2014/381</w:t>
            </w:r>
          </w:p>
          <w:p w14:paraId="59060094" w14:textId="4F95870A" w:rsidR="00E70A6D" w:rsidRDefault="00E70A6D" w:rsidP="00144E7D">
            <w:pPr>
              <w:spacing w:after="120" w:line="240" w:lineRule="auto"/>
              <w:rPr>
                <w:rFonts w:ascii="Times New Roman" w:hAnsi="Times New Roman" w:cs="Times New Roman"/>
              </w:rPr>
            </w:pPr>
            <w:r w:rsidRPr="005E24FC">
              <w:rPr>
                <w:rFonts w:ascii="Times New Roman" w:hAnsi="Times New Roman" w:cs="Times New Roman"/>
              </w:rPr>
              <w:t xml:space="preserve">Natomiast w przypadku Francja działania w zakresie API są nieco szersze. FR przyjęła strategię inwestycji France 2030. W jej ramach jako jeden z kluczowych obszarów wskazano inwestycje w ochronę zdrowia. Następnie prezydent Francji zlecił opracowanie strategii przywracania zdolności produkcji leków jako elementu programu France 2030. Ministerstwo Zdrowia Francji we współpracy z ministerstwem gospodarki opracowało listę leków kluczowych, która została opublikowana w czerwcu 2023 r. Lista została opublikowana przez Ministra Zdrowia, ale nie została przyjęta oficjalnym aktem legislacyjnym – link do listy FR: </w:t>
            </w:r>
            <w:hyperlink r:id="rId7" w:history="1">
              <w:r w:rsidRPr="00DB37C8">
                <w:rPr>
                  <w:rStyle w:val="Hipercze"/>
                  <w:rFonts w:ascii="Times New Roman" w:hAnsi="Times New Roman" w:cs="Times New Roman"/>
                </w:rPr>
                <w:t>https://sante.gouv.fr/IMG/pdf/liste-medicaments-essentiels_acc.pdf?v=1709029545</w:t>
              </w:r>
            </w:hyperlink>
          </w:p>
          <w:p w14:paraId="565108F4" w14:textId="77777777" w:rsidR="00E70A6D" w:rsidRDefault="00E70A6D" w:rsidP="00144E7D">
            <w:pPr>
              <w:spacing w:after="120" w:line="240" w:lineRule="auto"/>
              <w:rPr>
                <w:rFonts w:ascii="Times New Roman" w:hAnsi="Times New Roman" w:cs="Times New Roman"/>
              </w:rPr>
            </w:pPr>
            <w:r>
              <w:rPr>
                <w:rFonts w:ascii="Times New Roman" w:hAnsi="Times New Roman" w:cs="Times New Roman"/>
              </w:rPr>
              <w:t xml:space="preserve">Zaproponowane przez PL rozwiązanie w zakresie listy kluczowych API jest transparentne oraz uwzględnia potrzeby administracji, pacjentów (konsultanci medyczni) oraz kluczowych interesariuszy – przedstawicieli przemysłu farmaceutycznego. W celu opracowania PL listy kluczowych API </w:t>
            </w:r>
            <w:proofErr w:type="spellStart"/>
            <w:r w:rsidRPr="006E7D8A">
              <w:rPr>
                <w:rFonts w:ascii="Times New Roman" w:hAnsi="Times New Roman" w:cs="Times New Roman"/>
              </w:rPr>
              <w:t>MRiT</w:t>
            </w:r>
            <w:proofErr w:type="spellEnd"/>
            <w:r w:rsidRPr="006E7D8A">
              <w:rPr>
                <w:rFonts w:ascii="Times New Roman" w:hAnsi="Times New Roman" w:cs="Times New Roman"/>
              </w:rPr>
              <w:t xml:space="preserve"> </w:t>
            </w:r>
            <w:r>
              <w:rPr>
                <w:rFonts w:ascii="Times New Roman" w:hAnsi="Times New Roman" w:cs="Times New Roman"/>
              </w:rPr>
              <w:t xml:space="preserve">w ramach zamówienia publicznego zleciło opracowanie rekomendacji w zakresie listy kluczowych API. Przy opracowywaniu rekomendacji firma zewnętrzna IQVIA wzięła pod uwagę wartość i wolumen sprzedaży leków znajdujących się na aktualnej liście WHO, tempo wzrostu sprzedaży, czynniki bezpieczeństwa zdrowotnego, czynniki produkcyjne.  </w:t>
            </w:r>
          </w:p>
          <w:p w14:paraId="7DD154A6" w14:textId="77777777" w:rsidR="00E70A6D" w:rsidRDefault="00E70A6D" w:rsidP="00144E7D">
            <w:pPr>
              <w:spacing w:after="120" w:line="240" w:lineRule="auto"/>
              <w:rPr>
                <w:rFonts w:ascii="Times New Roman" w:hAnsi="Times New Roman" w:cs="Times New Roman"/>
              </w:rPr>
            </w:pPr>
            <w:r>
              <w:rPr>
                <w:rFonts w:ascii="Times New Roman" w:hAnsi="Times New Roman" w:cs="Times New Roman"/>
              </w:rPr>
              <w:t xml:space="preserve">Opracowana w ten sposób lista </w:t>
            </w:r>
            <w:r w:rsidRPr="006E7D8A">
              <w:rPr>
                <w:rFonts w:ascii="Times New Roman" w:hAnsi="Times New Roman" w:cs="Times New Roman"/>
              </w:rPr>
              <w:t>została zaprezentowana członkom Zespołu ds. API</w:t>
            </w:r>
            <w:r>
              <w:rPr>
                <w:rFonts w:ascii="Times New Roman" w:hAnsi="Times New Roman" w:cs="Times New Roman"/>
              </w:rPr>
              <w:t xml:space="preserve">, w skład Zespołu wchodzą m. in. członkowie administracji publicznej zaangażowani w kwestie związane ze zdrowiem. Przedstawiciele Ministerstwa Zdrowia rozszerzyli listę o substancje, które ich zdaniem są kluczowe dla bezpieczeństwa zdrowotnego. Lista została rozszerzona również przez Rządową Agencję </w:t>
            </w:r>
            <w:r w:rsidRPr="00901B72">
              <w:rPr>
                <w:rFonts w:ascii="Times New Roman" w:hAnsi="Times New Roman" w:cs="Times New Roman"/>
              </w:rPr>
              <w:t>Rezerw Strategicznych</w:t>
            </w:r>
            <w:r>
              <w:rPr>
                <w:rFonts w:ascii="Times New Roman" w:hAnsi="Times New Roman" w:cs="Times New Roman"/>
              </w:rPr>
              <w:t xml:space="preserve"> substancję, które są istotne w przypadku wystąpienia kryzysów (np. wojny). </w:t>
            </w:r>
          </w:p>
          <w:p w14:paraId="62A9669A" w14:textId="77777777" w:rsidR="00E70A6D" w:rsidRDefault="00E70A6D" w:rsidP="00144E7D">
            <w:pPr>
              <w:spacing w:after="120" w:line="240" w:lineRule="auto"/>
              <w:rPr>
                <w:rFonts w:ascii="Times New Roman" w:hAnsi="Times New Roman" w:cs="Times New Roman"/>
              </w:rPr>
            </w:pPr>
            <w:r>
              <w:rPr>
                <w:rFonts w:ascii="Times New Roman" w:hAnsi="Times New Roman" w:cs="Times New Roman"/>
              </w:rPr>
              <w:t xml:space="preserve">Lista w takim kształcie została wysłana do wszystkich organizacji branżowych zrzeszających przedstawicieli przemysłu farmaceutycznego, celem konsultacji publicznych i uzupełnienia o gotowość technologiczną do wytwarzania substancji z listy. </w:t>
            </w:r>
          </w:p>
          <w:p w14:paraId="17D21D5B" w14:textId="77777777" w:rsidR="00E70A6D" w:rsidRDefault="00E70A6D" w:rsidP="00144E7D">
            <w:pPr>
              <w:spacing w:after="120" w:line="240" w:lineRule="auto"/>
              <w:rPr>
                <w:rFonts w:ascii="Times New Roman" w:hAnsi="Times New Roman" w:cs="Times New Roman"/>
              </w:rPr>
            </w:pPr>
            <w:r>
              <w:rPr>
                <w:rFonts w:ascii="Times New Roman" w:hAnsi="Times New Roman" w:cs="Times New Roman"/>
              </w:rPr>
              <w:t xml:space="preserve">Druga część kamienia milowego w postaci opublikowania na stronach </w:t>
            </w:r>
            <w:proofErr w:type="spellStart"/>
            <w:r>
              <w:rPr>
                <w:rFonts w:ascii="Times New Roman" w:hAnsi="Times New Roman" w:cs="Times New Roman"/>
              </w:rPr>
              <w:t>MRiT</w:t>
            </w:r>
            <w:proofErr w:type="spellEnd"/>
            <w:r>
              <w:rPr>
                <w:rFonts w:ascii="Times New Roman" w:hAnsi="Times New Roman" w:cs="Times New Roman"/>
              </w:rPr>
              <w:t xml:space="preserve"> raportu w zakresie API </w:t>
            </w:r>
            <w:r w:rsidRPr="00901B72">
              <w:rPr>
                <w:rFonts w:ascii="Times New Roman" w:hAnsi="Times New Roman" w:cs="Times New Roman"/>
              </w:rPr>
              <w:t>będzie stanowił</w:t>
            </w:r>
            <w:r>
              <w:rPr>
                <w:rFonts w:ascii="Times New Roman" w:hAnsi="Times New Roman" w:cs="Times New Roman"/>
              </w:rPr>
              <w:t>a</w:t>
            </w:r>
            <w:r w:rsidRPr="00901B72">
              <w:rPr>
                <w:rFonts w:ascii="Times New Roman" w:hAnsi="Times New Roman" w:cs="Times New Roman"/>
              </w:rPr>
              <w:t xml:space="preserve"> punkt wyjścia do dalszych długoterminowych działań w obszarze wspierania rozwoju produkcji API i gotowych form leków w kraju i budowania autonomii strategicznej w obszarze leków</w:t>
            </w:r>
            <w:r>
              <w:rPr>
                <w:rFonts w:ascii="Times New Roman" w:hAnsi="Times New Roman" w:cs="Times New Roman"/>
              </w:rPr>
              <w:t xml:space="preserve">. Obecnie we współpracy z IQVIA, </w:t>
            </w:r>
            <w:proofErr w:type="spellStart"/>
            <w:r>
              <w:rPr>
                <w:rFonts w:ascii="Times New Roman" w:hAnsi="Times New Roman" w:cs="Times New Roman"/>
              </w:rPr>
              <w:t>MRiT</w:t>
            </w:r>
            <w:proofErr w:type="spellEnd"/>
            <w:r>
              <w:rPr>
                <w:rFonts w:ascii="Times New Roman" w:hAnsi="Times New Roman" w:cs="Times New Roman"/>
              </w:rPr>
              <w:t xml:space="preserve"> zidentyfikowało:</w:t>
            </w:r>
          </w:p>
          <w:p w14:paraId="72BCE5C0" w14:textId="77777777" w:rsidR="00E70A6D" w:rsidRDefault="00E70A6D" w:rsidP="00144E7D">
            <w:pPr>
              <w:spacing w:after="120" w:line="240" w:lineRule="auto"/>
              <w:rPr>
                <w:rFonts w:ascii="Times New Roman" w:hAnsi="Times New Roman" w:cs="Times New Roman"/>
              </w:rPr>
            </w:pPr>
            <w:r>
              <w:rPr>
                <w:rFonts w:ascii="Times New Roman" w:hAnsi="Times New Roman" w:cs="Times New Roman"/>
              </w:rPr>
              <w:t xml:space="preserve">- </w:t>
            </w:r>
            <w:r w:rsidRPr="00901B72">
              <w:rPr>
                <w:rFonts w:ascii="Times New Roman" w:hAnsi="Times New Roman" w:cs="Times New Roman"/>
              </w:rPr>
              <w:t xml:space="preserve">główne problemy związane z rozwojem produkcji API w kraju, </w:t>
            </w:r>
          </w:p>
          <w:p w14:paraId="53C6F1B5" w14:textId="77777777" w:rsidR="00E70A6D" w:rsidRDefault="00E70A6D" w:rsidP="00144E7D">
            <w:pPr>
              <w:spacing w:after="120" w:line="240" w:lineRule="auto"/>
              <w:rPr>
                <w:rFonts w:ascii="Times New Roman" w:hAnsi="Times New Roman" w:cs="Times New Roman"/>
              </w:rPr>
            </w:pPr>
            <w:r>
              <w:rPr>
                <w:rFonts w:ascii="Times New Roman" w:hAnsi="Times New Roman" w:cs="Times New Roman"/>
              </w:rPr>
              <w:t xml:space="preserve">- </w:t>
            </w:r>
            <w:r w:rsidRPr="00901B72">
              <w:rPr>
                <w:rFonts w:ascii="Times New Roman" w:hAnsi="Times New Roman" w:cs="Times New Roman"/>
              </w:rPr>
              <w:t xml:space="preserve">czynniki wpływające bezpośrednio na produkcję API w kraju, </w:t>
            </w:r>
          </w:p>
          <w:p w14:paraId="12338971" w14:textId="77777777" w:rsidR="00E70A6D" w:rsidRDefault="00E70A6D" w:rsidP="00144E7D">
            <w:pPr>
              <w:spacing w:after="120" w:line="240" w:lineRule="auto"/>
              <w:rPr>
                <w:rFonts w:ascii="Times New Roman" w:hAnsi="Times New Roman" w:cs="Times New Roman"/>
              </w:rPr>
            </w:pPr>
            <w:r>
              <w:rPr>
                <w:rFonts w:ascii="Times New Roman" w:hAnsi="Times New Roman" w:cs="Times New Roman"/>
              </w:rPr>
              <w:t xml:space="preserve">- </w:t>
            </w:r>
            <w:r w:rsidRPr="00901B72">
              <w:rPr>
                <w:rFonts w:ascii="Times New Roman" w:hAnsi="Times New Roman" w:cs="Times New Roman"/>
              </w:rPr>
              <w:t>trendy związane z produkcją API,</w:t>
            </w:r>
          </w:p>
          <w:p w14:paraId="5E2C81FA" w14:textId="77777777" w:rsidR="00E70A6D" w:rsidRDefault="00E70A6D" w:rsidP="00144E7D">
            <w:pPr>
              <w:spacing w:after="120" w:line="240" w:lineRule="auto"/>
              <w:rPr>
                <w:rFonts w:ascii="Times New Roman" w:hAnsi="Times New Roman" w:cs="Times New Roman"/>
              </w:rPr>
            </w:pPr>
            <w:r>
              <w:rPr>
                <w:rFonts w:ascii="Times New Roman" w:hAnsi="Times New Roman" w:cs="Times New Roman"/>
              </w:rPr>
              <w:lastRenderedPageBreak/>
              <w:t xml:space="preserve">- </w:t>
            </w:r>
            <w:r w:rsidRPr="00901B72">
              <w:rPr>
                <w:rFonts w:ascii="Times New Roman" w:hAnsi="Times New Roman" w:cs="Times New Roman"/>
              </w:rPr>
              <w:t>analizę w zakresie potencjalnego systemu zachęt do rozwoju produkcji w kraju.</w:t>
            </w:r>
          </w:p>
          <w:p w14:paraId="28BE91A7" w14:textId="484DFB3A" w:rsidR="00E70A6D" w:rsidRPr="005C5922" w:rsidRDefault="00E70A6D" w:rsidP="00144E7D">
            <w:pPr>
              <w:spacing w:after="120" w:line="240" w:lineRule="auto"/>
              <w:rPr>
                <w:rFonts w:ascii="Times New Roman" w:hAnsi="Times New Roman" w:cs="Times New Roman"/>
              </w:rPr>
            </w:pPr>
            <w:r>
              <w:rPr>
                <w:rFonts w:ascii="Times New Roman" w:hAnsi="Times New Roman" w:cs="Times New Roman"/>
              </w:rPr>
              <w:t xml:space="preserve">W kolejnym kroku zagadnienia te zostaną przedstawione na Zespole ds. API oraz zostaną skierowane do konsultacji do </w:t>
            </w:r>
            <w:r w:rsidRPr="00901B72">
              <w:rPr>
                <w:rFonts w:ascii="Times New Roman" w:hAnsi="Times New Roman" w:cs="Times New Roman"/>
              </w:rPr>
              <w:t>wszystkich organizacji branżowych zrzeszających przedstawicieli przemysłu farmaceutycznego</w:t>
            </w:r>
            <w:r>
              <w:rPr>
                <w:rFonts w:ascii="Times New Roman" w:hAnsi="Times New Roman" w:cs="Times New Roman"/>
              </w:rPr>
              <w:t xml:space="preserve">. </w:t>
            </w:r>
          </w:p>
        </w:tc>
      </w:tr>
      <w:tr w:rsidR="00E70A6D" w:rsidRPr="00496F64" w14:paraId="554D823C" w14:textId="77777777" w:rsidTr="00144E7D">
        <w:tc>
          <w:tcPr>
            <w:tcW w:w="1088" w:type="pct"/>
          </w:tcPr>
          <w:p w14:paraId="74178E2C" w14:textId="77777777" w:rsidR="00E70A6D" w:rsidRPr="00496F64" w:rsidRDefault="00E70A6D" w:rsidP="00144E7D">
            <w:pPr>
              <w:spacing w:after="120" w:line="240" w:lineRule="auto"/>
              <w:rPr>
                <w:rFonts w:ascii="Times New Roman" w:hAnsi="Times New Roman" w:cs="Times New Roman"/>
              </w:rPr>
            </w:pPr>
            <w:r w:rsidRPr="00496F64">
              <w:rPr>
                <w:rFonts w:ascii="Times New Roman" w:hAnsi="Times New Roman" w:cs="Times New Roman"/>
              </w:rPr>
              <w:lastRenderedPageBreak/>
              <w:t>Szacowany koszy</w:t>
            </w:r>
          </w:p>
        </w:tc>
        <w:tc>
          <w:tcPr>
            <w:tcW w:w="3912" w:type="pct"/>
            <w:gridSpan w:val="2"/>
          </w:tcPr>
          <w:p w14:paraId="46B628F1" w14:textId="77777777" w:rsidR="00E70A6D" w:rsidRPr="00496F64" w:rsidRDefault="00E70A6D" w:rsidP="00144E7D">
            <w:pPr>
              <w:spacing w:after="120" w:line="240" w:lineRule="auto"/>
              <w:rPr>
                <w:rFonts w:ascii="Times New Roman" w:hAnsi="Times New Roman" w:cs="Times New Roman"/>
              </w:rPr>
            </w:pPr>
            <w:r w:rsidRPr="008F6100">
              <w:rPr>
                <w:rFonts w:ascii="Times New Roman" w:hAnsi="Times New Roman" w:cs="Times New Roman"/>
              </w:rPr>
              <w:t>Zmiana nie ma wpływu na szacowany koszt</w:t>
            </w:r>
          </w:p>
        </w:tc>
      </w:tr>
      <w:tr w:rsidR="00E70A6D" w:rsidRPr="008F6100" w14:paraId="38F6C042" w14:textId="77777777" w:rsidTr="00144E7D">
        <w:tc>
          <w:tcPr>
            <w:tcW w:w="1088" w:type="pct"/>
          </w:tcPr>
          <w:p w14:paraId="198A2C17" w14:textId="77777777" w:rsidR="00E70A6D" w:rsidRPr="00496F64" w:rsidRDefault="00E70A6D" w:rsidP="00144E7D">
            <w:pPr>
              <w:spacing w:after="120" w:line="240" w:lineRule="auto"/>
              <w:rPr>
                <w:rFonts w:ascii="Times New Roman" w:hAnsi="Times New Roman" w:cs="Times New Roman"/>
              </w:rPr>
            </w:pPr>
            <w:r w:rsidRPr="00496F64">
              <w:rPr>
                <w:rFonts w:ascii="Times New Roman" w:hAnsi="Times New Roman" w:cs="Times New Roman"/>
              </w:rPr>
              <w:t xml:space="preserve">Klimatyczny i cyfrowy </w:t>
            </w:r>
            <w:proofErr w:type="spellStart"/>
            <w:r w:rsidRPr="00496F64">
              <w:rPr>
                <w:rFonts w:ascii="Times New Roman" w:hAnsi="Times New Roman" w:cs="Times New Roman"/>
              </w:rPr>
              <w:t>tagging</w:t>
            </w:r>
            <w:proofErr w:type="spellEnd"/>
          </w:p>
        </w:tc>
        <w:tc>
          <w:tcPr>
            <w:tcW w:w="3912" w:type="pct"/>
            <w:gridSpan w:val="2"/>
          </w:tcPr>
          <w:p w14:paraId="64CA1E3C" w14:textId="77777777" w:rsidR="00E70A6D" w:rsidRPr="008F6100" w:rsidRDefault="00E70A6D" w:rsidP="00144E7D">
            <w:pPr>
              <w:spacing w:after="120" w:line="240" w:lineRule="auto"/>
              <w:rPr>
                <w:rFonts w:ascii="Times New Roman" w:hAnsi="Times New Roman" w:cs="Times New Roman"/>
              </w:rPr>
            </w:pPr>
            <w:r w:rsidRPr="008F6100">
              <w:rPr>
                <w:rFonts w:ascii="Times New Roman" w:hAnsi="Times New Roman" w:cs="Times New Roman"/>
              </w:rPr>
              <w:t xml:space="preserve">Zmiana nie ma wpływu na </w:t>
            </w:r>
            <w:proofErr w:type="spellStart"/>
            <w:r w:rsidRPr="008F6100">
              <w:rPr>
                <w:rFonts w:ascii="Times New Roman" w:hAnsi="Times New Roman" w:cs="Times New Roman"/>
              </w:rPr>
              <w:t>tagging</w:t>
            </w:r>
            <w:proofErr w:type="spellEnd"/>
            <w:r w:rsidRPr="008F6100">
              <w:rPr>
                <w:rFonts w:ascii="Times New Roman" w:hAnsi="Times New Roman" w:cs="Times New Roman"/>
              </w:rPr>
              <w:t xml:space="preserve"> klimatyczny i cyfrowy</w:t>
            </w:r>
          </w:p>
        </w:tc>
      </w:tr>
      <w:tr w:rsidR="00E70A6D" w:rsidRPr="008F6100" w14:paraId="1BEE3EE2" w14:textId="77777777" w:rsidTr="00144E7D">
        <w:tc>
          <w:tcPr>
            <w:tcW w:w="1088" w:type="pct"/>
          </w:tcPr>
          <w:p w14:paraId="6D3A835C" w14:textId="77777777" w:rsidR="00E70A6D" w:rsidRPr="00496F64" w:rsidRDefault="00E70A6D" w:rsidP="00144E7D">
            <w:pPr>
              <w:spacing w:after="120" w:line="240" w:lineRule="auto"/>
              <w:rPr>
                <w:rFonts w:ascii="Times New Roman" w:hAnsi="Times New Roman" w:cs="Times New Roman"/>
              </w:rPr>
            </w:pPr>
            <w:r w:rsidRPr="00496F64">
              <w:rPr>
                <w:rFonts w:ascii="Times New Roman" w:hAnsi="Times New Roman" w:cs="Times New Roman"/>
              </w:rPr>
              <w:t xml:space="preserve">Ocena DNSH </w:t>
            </w:r>
          </w:p>
        </w:tc>
        <w:tc>
          <w:tcPr>
            <w:tcW w:w="3912" w:type="pct"/>
            <w:gridSpan w:val="2"/>
          </w:tcPr>
          <w:p w14:paraId="78CE4306" w14:textId="77777777" w:rsidR="00E70A6D" w:rsidRPr="008F6100" w:rsidRDefault="00E70A6D" w:rsidP="00144E7D">
            <w:pPr>
              <w:spacing w:after="120" w:line="240" w:lineRule="auto"/>
              <w:rPr>
                <w:rFonts w:ascii="Times New Roman" w:hAnsi="Times New Roman" w:cs="Times New Roman"/>
              </w:rPr>
            </w:pPr>
            <w:r w:rsidRPr="008F6100">
              <w:rPr>
                <w:rFonts w:ascii="Times New Roman" w:hAnsi="Times New Roman" w:cs="Times New Roman"/>
              </w:rPr>
              <w:t>Zmiana nie ma wpływu na DNSH</w:t>
            </w:r>
          </w:p>
        </w:tc>
      </w:tr>
    </w:tbl>
    <w:p w14:paraId="3C9FCAE2" w14:textId="77777777" w:rsidR="00AD6312" w:rsidRPr="00496F64" w:rsidRDefault="00AD6312" w:rsidP="00A52C99">
      <w:pPr>
        <w:rPr>
          <w:rFonts w:ascii="Times New Roman" w:hAnsi="Times New Roman" w:cs="Times New Roman"/>
          <w:b/>
          <w:bCs/>
        </w:rPr>
      </w:pPr>
    </w:p>
    <w:p w14:paraId="386EE9E1" w14:textId="7D0F2AB8" w:rsidR="005C4B07" w:rsidRDefault="005C4B07" w:rsidP="00A52C99">
      <w:pPr>
        <w:rPr>
          <w:rFonts w:ascii="Times New Roman" w:hAnsi="Times New Roman" w:cs="Times New Roman"/>
          <w:b/>
          <w:bCs/>
          <w:sz w:val="28"/>
          <w:szCs w:val="28"/>
        </w:rPr>
      </w:pPr>
      <w:r w:rsidRPr="00496F64">
        <w:rPr>
          <w:rFonts w:ascii="Times New Roman" w:hAnsi="Times New Roman" w:cs="Times New Roman"/>
          <w:b/>
          <w:bCs/>
          <w:sz w:val="28"/>
          <w:szCs w:val="28"/>
        </w:rPr>
        <w:t>Komponent E Zielona, inteligentna mobilność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2"/>
        <w:gridCol w:w="3438"/>
        <w:gridCol w:w="3652"/>
      </w:tblGrid>
      <w:tr w:rsidR="00BD2488" w:rsidRPr="00496F64" w14:paraId="0D97638D" w14:textId="77777777" w:rsidTr="005D520A">
        <w:tc>
          <w:tcPr>
            <w:tcW w:w="1088" w:type="pct"/>
          </w:tcPr>
          <w:p w14:paraId="506793DC" w14:textId="647D118A" w:rsidR="00BD2488" w:rsidRPr="005C5922" w:rsidRDefault="00BD2488" w:rsidP="005D520A">
            <w:pPr>
              <w:spacing w:after="120" w:line="240" w:lineRule="auto"/>
              <w:rPr>
                <w:rFonts w:ascii="Times New Roman" w:hAnsi="Times New Roman" w:cs="Times New Roman"/>
                <w:b/>
                <w:bCs/>
              </w:rPr>
            </w:pPr>
            <w:r w:rsidRPr="00496F64">
              <w:rPr>
                <w:rFonts w:ascii="Times New Roman" w:hAnsi="Times New Roman" w:cs="Times New Roman"/>
                <w:b/>
                <w:bCs/>
              </w:rPr>
              <w:t>Numer reformy</w:t>
            </w:r>
          </w:p>
        </w:tc>
        <w:tc>
          <w:tcPr>
            <w:tcW w:w="3912" w:type="pct"/>
            <w:gridSpan w:val="2"/>
          </w:tcPr>
          <w:p w14:paraId="30A0382A" w14:textId="0AC60A04" w:rsidR="00BD2488" w:rsidRPr="00496F64" w:rsidRDefault="00BD2488" w:rsidP="005D520A">
            <w:pPr>
              <w:pStyle w:val="Default"/>
              <w:rPr>
                <w:b/>
                <w:bCs/>
                <w:sz w:val="22"/>
                <w:szCs w:val="22"/>
                <w:lang w:val="pl-PL"/>
              </w:rPr>
            </w:pPr>
            <w:r w:rsidRPr="00496F64">
              <w:rPr>
                <w:b/>
                <w:bCs/>
                <w:sz w:val="22"/>
                <w:szCs w:val="22"/>
              </w:rPr>
              <w:t>E1.2</w:t>
            </w:r>
            <w:r>
              <w:rPr>
                <w:b/>
                <w:bCs/>
                <w:sz w:val="22"/>
                <w:szCs w:val="22"/>
              </w:rPr>
              <w:t>.</w:t>
            </w:r>
            <w:r w:rsidRPr="00496F64">
              <w:rPr>
                <w:b/>
                <w:bCs/>
                <w:sz w:val="22"/>
                <w:szCs w:val="22"/>
              </w:rPr>
              <w:t xml:space="preserve">                                  </w:t>
            </w:r>
          </w:p>
        </w:tc>
      </w:tr>
      <w:tr w:rsidR="00BD2488" w:rsidRPr="00BD2488" w14:paraId="0C9B9B05" w14:textId="77777777" w:rsidTr="005D520A">
        <w:tc>
          <w:tcPr>
            <w:tcW w:w="1088" w:type="pct"/>
          </w:tcPr>
          <w:p w14:paraId="03D2C5DC" w14:textId="77777777" w:rsidR="00BD2488" w:rsidRPr="00496F64" w:rsidRDefault="00BD2488" w:rsidP="005D520A">
            <w:pPr>
              <w:spacing w:after="120" w:line="240" w:lineRule="auto"/>
              <w:rPr>
                <w:rFonts w:ascii="Times New Roman" w:hAnsi="Times New Roman" w:cs="Times New Roman"/>
                <w:b/>
                <w:bCs/>
                <w:lang w:val="en-GB"/>
              </w:rPr>
            </w:pPr>
            <w:proofErr w:type="spellStart"/>
            <w:r w:rsidRPr="00496F64">
              <w:rPr>
                <w:rFonts w:ascii="Times New Roman" w:hAnsi="Times New Roman" w:cs="Times New Roman"/>
                <w:b/>
                <w:bCs/>
                <w:lang w:val="en-GB"/>
              </w:rPr>
              <w:t>Nazwa</w:t>
            </w:r>
            <w:proofErr w:type="spellEnd"/>
            <w:r w:rsidRPr="00496F64">
              <w:rPr>
                <w:rFonts w:ascii="Times New Roman" w:hAnsi="Times New Roman" w:cs="Times New Roman"/>
                <w:b/>
                <w:bCs/>
                <w:lang w:val="en-GB"/>
              </w:rPr>
              <w:t xml:space="preserve"> </w:t>
            </w:r>
            <w:proofErr w:type="spellStart"/>
            <w:r w:rsidRPr="00496F64">
              <w:rPr>
                <w:rFonts w:ascii="Times New Roman" w:hAnsi="Times New Roman" w:cs="Times New Roman"/>
                <w:b/>
                <w:bCs/>
                <w:lang w:val="en-GB"/>
              </w:rPr>
              <w:t>reformy</w:t>
            </w:r>
            <w:proofErr w:type="spellEnd"/>
          </w:p>
          <w:p w14:paraId="47FD2DC9" w14:textId="1FE169A8" w:rsidR="00BD2488" w:rsidRPr="00496F64" w:rsidRDefault="00BD2488" w:rsidP="005D520A">
            <w:pPr>
              <w:spacing w:after="120" w:line="240" w:lineRule="auto"/>
              <w:rPr>
                <w:rFonts w:ascii="Times New Roman" w:hAnsi="Times New Roman" w:cs="Times New Roman"/>
                <w:b/>
                <w:bCs/>
                <w:lang w:val="en-GB"/>
              </w:rPr>
            </w:pPr>
          </w:p>
        </w:tc>
        <w:tc>
          <w:tcPr>
            <w:tcW w:w="3912" w:type="pct"/>
            <w:gridSpan w:val="2"/>
          </w:tcPr>
          <w:p w14:paraId="2240020E" w14:textId="0B719803" w:rsidR="00BD2488" w:rsidRPr="005C5922" w:rsidRDefault="00BD2488" w:rsidP="005D520A">
            <w:pPr>
              <w:pStyle w:val="Default"/>
              <w:rPr>
                <w:b/>
                <w:bCs/>
                <w:sz w:val="22"/>
                <w:szCs w:val="22"/>
                <w:lang w:val="pl-PL"/>
              </w:rPr>
            </w:pPr>
            <w:r w:rsidRPr="00496F64">
              <w:rPr>
                <w:b/>
                <w:bCs/>
                <w:sz w:val="22"/>
                <w:szCs w:val="22"/>
                <w:lang w:val="pl-PL"/>
              </w:rPr>
              <w:t>Zwiększenie udziału transportu zeroemisyjnego i niskoemisyjnego, zapobieganie problemowi negatywnego wpływu transportu na środowisko i jego ograniczenie</w:t>
            </w:r>
          </w:p>
        </w:tc>
      </w:tr>
      <w:tr w:rsidR="00BD2488" w:rsidRPr="00BD2488" w14:paraId="2A329C84" w14:textId="77777777" w:rsidTr="005D520A">
        <w:tc>
          <w:tcPr>
            <w:tcW w:w="1088" w:type="pct"/>
            <w:shd w:val="clear" w:color="auto" w:fill="auto"/>
          </w:tcPr>
          <w:p w14:paraId="5CD07016" w14:textId="6C039482" w:rsidR="00BD2488" w:rsidRPr="005C5922" w:rsidRDefault="00BD2488" w:rsidP="005D520A">
            <w:pPr>
              <w:spacing w:after="120" w:line="240" w:lineRule="auto"/>
              <w:rPr>
                <w:rFonts w:ascii="Times New Roman" w:hAnsi="Times New Roman" w:cs="Times New Roman"/>
              </w:rPr>
            </w:pPr>
            <w:r w:rsidRPr="00496F64">
              <w:rPr>
                <w:rFonts w:ascii="Times New Roman" w:hAnsi="Times New Roman" w:cs="Times New Roman"/>
              </w:rPr>
              <w:t>Rodzaj wprowadzonej zmiany w odniesieniu do CID</w:t>
            </w:r>
          </w:p>
        </w:tc>
        <w:tc>
          <w:tcPr>
            <w:tcW w:w="3912" w:type="pct"/>
            <w:gridSpan w:val="2"/>
            <w:shd w:val="clear" w:color="auto" w:fill="auto"/>
          </w:tcPr>
          <w:p w14:paraId="4368E3C5" w14:textId="2061BA21" w:rsidR="00BD2488" w:rsidRPr="005C5922" w:rsidRDefault="00BD2488" w:rsidP="005D520A">
            <w:pPr>
              <w:pStyle w:val="Default"/>
              <w:jc w:val="both"/>
              <w:rPr>
                <w:sz w:val="22"/>
                <w:szCs w:val="22"/>
                <w:lang w:val="pl-PL" w:eastAsia="pl-PL"/>
              </w:rPr>
            </w:pPr>
            <w:r w:rsidRPr="005C5922">
              <w:rPr>
                <w:sz w:val="22"/>
                <w:szCs w:val="22"/>
                <w:lang w:val="pl-PL" w:eastAsia="pl-PL"/>
              </w:rPr>
              <w:t>Przesunięcie terminu realizacji kamieni milowych E1L i E2L</w:t>
            </w:r>
          </w:p>
          <w:p w14:paraId="5302B6FB" w14:textId="5A5F9847" w:rsidR="00BD2488" w:rsidRPr="005C5922" w:rsidRDefault="00BD2488" w:rsidP="005D520A">
            <w:pPr>
              <w:pStyle w:val="Default"/>
              <w:rPr>
                <w:i/>
                <w:iCs/>
                <w:sz w:val="22"/>
                <w:szCs w:val="22"/>
                <w:lang w:val="pl-PL"/>
              </w:rPr>
            </w:pPr>
          </w:p>
        </w:tc>
      </w:tr>
      <w:tr w:rsidR="00BD2488" w:rsidRPr="00496F64" w14:paraId="382C635E" w14:textId="77777777" w:rsidTr="005D520A">
        <w:tc>
          <w:tcPr>
            <w:tcW w:w="1088" w:type="pct"/>
            <w:shd w:val="clear" w:color="auto" w:fill="auto"/>
          </w:tcPr>
          <w:p w14:paraId="308C59A7" w14:textId="03AD9916" w:rsidR="00BD2488" w:rsidRPr="00496F64" w:rsidRDefault="00BD2488" w:rsidP="005D520A">
            <w:pPr>
              <w:spacing w:after="120" w:line="240" w:lineRule="auto"/>
              <w:rPr>
                <w:rFonts w:ascii="Times New Roman" w:hAnsi="Times New Roman" w:cs="Times New Roman"/>
                <w:lang w:val="en-GB"/>
              </w:rPr>
            </w:pPr>
            <w:proofErr w:type="spellStart"/>
            <w:r w:rsidRPr="00496F64">
              <w:rPr>
                <w:rFonts w:ascii="Times New Roman" w:hAnsi="Times New Roman" w:cs="Times New Roman"/>
                <w:lang w:val="en-GB"/>
              </w:rPr>
              <w:t>Podstawa</w:t>
            </w:r>
            <w:proofErr w:type="spellEnd"/>
            <w:r w:rsidRPr="00496F64">
              <w:rPr>
                <w:rFonts w:ascii="Times New Roman" w:hAnsi="Times New Roman" w:cs="Times New Roman"/>
                <w:lang w:val="en-GB"/>
              </w:rPr>
              <w:t xml:space="preserve"> </w:t>
            </w:r>
            <w:proofErr w:type="spellStart"/>
            <w:r w:rsidRPr="00496F64">
              <w:rPr>
                <w:rFonts w:ascii="Times New Roman" w:hAnsi="Times New Roman" w:cs="Times New Roman"/>
                <w:lang w:val="en-GB"/>
              </w:rPr>
              <w:t>prawna</w:t>
            </w:r>
            <w:proofErr w:type="spellEnd"/>
            <w:r w:rsidRPr="00496F64">
              <w:rPr>
                <w:rFonts w:ascii="Times New Roman" w:hAnsi="Times New Roman" w:cs="Times New Roman"/>
                <w:lang w:val="en-GB"/>
              </w:rPr>
              <w:t xml:space="preserve"> </w:t>
            </w:r>
            <w:proofErr w:type="spellStart"/>
            <w:r w:rsidRPr="00496F64">
              <w:rPr>
                <w:rFonts w:ascii="Times New Roman" w:hAnsi="Times New Roman" w:cs="Times New Roman"/>
                <w:lang w:val="en-GB"/>
              </w:rPr>
              <w:t>zmiany</w:t>
            </w:r>
            <w:proofErr w:type="spellEnd"/>
          </w:p>
        </w:tc>
        <w:tc>
          <w:tcPr>
            <w:tcW w:w="3912" w:type="pct"/>
            <w:gridSpan w:val="2"/>
            <w:shd w:val="clear" w:color="auto" w:fill="auto"/>
          </w:tcPr>
          <w:p w14:paraId="13582912" w14:textId="2747C25F" w:rsidR="00BD2488" w:rsidRPr="00496F64" w:rsidRDefault="00BD2488" w:rsidP="005D520A">
            <w:pPr>
              <w:spacing w:after="120" w:line="240" w:lineRule="auto"/>
              <w:rPr>
                <w:rFonts w:ascii="Times New Roman" w:hAnsi="Times New Roman" w:cs="Times New Roman"/>
              </w:rPr>
            </w:pPr>
            <w:r w:rsidRPr="00496F64">
              <w:rPr>
                <w:rFonts w:ascii="Times New Roman" w:hAnsi="Times New Roman" w:cs="Times New Roman"/>
              </w:rPr>
              <w:t xml:space="preserve">art. </w:t>
            </w:r>
            <w:r>
              <w:rPr>
                <w:rFonts w:ascii="Times New Roman" w:hAnsi="Times New Roman" w:cs="Times New Roman"/>
              </w:rPr>
              <w:t xml:space="preserve">21 </w:t>
            </w:r>
            <w:r w:rsidRPr="00496F64">
              <w:rPr>
                <w:rFonts w:ascii="Times New Roman" w:hAnsi="Times New Roman" w:cs="Times New Roman"/>
              </w:rPr>
              <w:t>rozporządzenia Parlamentu Europejskiego i Rady (UE) 2021/241 z dnia 12 lutego 2021 r. ustanawiające Instrument na rzecz Odbudowy i Zwiększania Odporności</w:t>
            </w:r>
          </w:p>
        </w:tc>
      </w:tr>
      <w:tr w:rsidR="00BD2488" w:rsidRPr="00496F64" w14:paraId="11A1F89E" w14:textId="77777777" w:rsidTr="005D520A">
        <w:tc>
          <w:tcPr>
            <w:tcW w:w="1088" w:type="pct"/>
            <w:shd w:val="clear" w:color="auto" w:fill="D9D9D9" w:themeFill="background1" w:themeFillShade="D9"/>
          </w:tcPr>
          <w:p w14:paraId="2F5DD57B" w14:textId="6D4D08CD" w:rsidR="00BD2488" w:rsidRPr="00496F64" w:rsidRDefault="00BD2488" w:rsidP="005D520A">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Modyfikowany element</w:t>
            </w:r>
          </w:p>
        </w:tc>
        <w:tc>
          <w:tcPr>
            <w:tcW w:w="1897" w:type="pct"/>
            <w:shd w:val="clear" w:color="auto" w:fill="D9D9D9" w:themeFill="background1" w:themeFillShade="D9"/>
          </w:tcPr>
          <w:p w14:paraId="7B5D93E2" w14:textId="3F5791EA" w:rsidR="00BD2488" w:rsidRPr="00496F64" w:rsidRDefault="00BD2488" w:rsidP="005D520A">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Bieżąca wersja</w:t>
            </w:r>
          </w:p>
        </w:tc>
        <w:tc>
          <w:tcPr>
            <w:tcW w:w="2015" w:type="pct"/>
            <w:shd w:val="clear" w:color="auto" w:fill="D9D9D9" w:themeFill="background1" w:themeFillShade="D9"/>
          </w:tcPr>
          <w:p w14:paraId="0F858DEA" w14:textId="1D859826" w:rsidR="00BD2488" w:rsidRPr="00496F64" w:rsidRDefault="00BD2488" w:rsidP="005D520A">
            <w:pPr>
              <w:spacing w:after="120" w:line="240" w:lineRule="auto"/>
              <w:rPr>
                <w:rFonts w:ascii="Times New Roman" w:hAnsi="Times New Roman" w:cs="Times New Roman"/>
                <w:highlight w:val="lightGray"/>
              </w:rPr>
            </w:pPr>
            <w:r w:rsidRPr="00496F64">
              <w:rPr>
                <w:rFonts w:ascii="Times New Roman" w:hAnsi="Times New Roman" w:cs="Times New Roman"/>
                <w:highlight w:val="lightGray"/>
              </w:rPr>
              <w:t>Wersja zmieniona</w:t>
            </w:r>
          </w:p>
        </w:tc>
      </w:tr>
      <w:tr w:rsidR="00BD2488" w:rsidRPr="00346254" w14:paraId="79096F98" w14:textId="77777777" w:rsidTr="005D520A">
        <w:tc>
          <w:tcPr>
            <w:tcW w:w="1088" w:type="pct"/>
          </w:tcPr>
          <w:p w14:paraId="0DCB7821" w14:textId="77777777" w:rsidR="00BD2488" w:rsidRPr="00496F64" w:rsidRDefault="00BD2488" w:rsidP="005D520A">
            <w:pPr>
              <w:spacing w:after="120" w:line="240" w:lineRule="auto"/>
              <w:rPr>
                <w:rFonts w:ascii="Times New Roman" w:hAnsi="Times New Roman" w:cs="Times New Roman"/>
              </w:rPr>
            </w:pPr>
            <w:r w:rsidRPr="00496F64">
              <w:rPr>
                <w:rFonts w:ascii="Times New Roman" w:hAnsi="Times New Roman" w:cs="Times New Roman"/>
              </w:rPr>
              <w:t>Opis komponentu oraz/lub działania (inwestycji/reformy)</w:t>
            </w:r>
          </w:p>
          <w:p w14:paraId="2333B1D8" w14:textId="65D4A2D0" w:rsidR="00BD2488" w:rsidRPr="005C5922" w:rsidRDefault="00BD2488" w:rsidP="005D520A">
            <w:pPr>
              <w:spacing w:after="120" w:line="240" w:lineRule="auto"/>
              <w:rPr>
                <w:rFonts w:ascii="Times New Roman" w:hAnsi="Times New Roman" w:cs="Times New Roman"/>
              </w:rPr>
            </w:pPr>
          </w:p>
        </w:tc>
        <w:tc>
          <w:tcPr>
            <w:tcW w:w="1897" w:type="pct"/>
          </w:tcPr>
          <w:p w14:paraId="0ACBB3E3" w14:textId="77777777" w:rsidR="00BD2488" w:rsidRPr="00496F64" w:rsidRDefault="00BD2488" w:rsidP="005D520A">
            <w:pPr>
              <w:rPr>
                <w:rFonts w:ascii="Times New Roman" w:hAnsi="Times New Roman" w:cs="Times New Roman"/>
              </w:rPr>
            </w:pPr>
            <w:r w:rsidRPr="005C5922">
              <w:rPr>
                <w:rFonts w:ascii="Times New Roman" w:hAnsi="Times New Roman" w:cs="Times New Roman"/>
              </w:rPr>
              <w:t>E1L</w:t>
            </w:r>
            <w:r w:rsidRPr="00496F64">
              <w:rPr>
                <w:rFonts w:ascii="Times New Roman" w:hAnsi="Times New Roman" w:cs="Times New Roman"/>
                <w:b/>
                <w:bCs/>
              </w:rPr>
              <w:t xml:space="preserve"> </w:t>
            </w:r>
            <w:r w:rsidRPr="00496F64">
              <w:rPr>
                <w:rFonts w:ascii="Times New Roman" w:hAnsi="Times New Roman" w:cs="Times New Roman"/>
              </w:rPr>
              <w:t>Wejście w życie aktu prawnego wprowadzającego obowiązek tworzenia stref niskoemisyjnych dla wybranych, najbardziej zanieczyszczonych miast</w:t>
            </w:r>
          </w:p>
          <w:p w14:paraId="54785493" w14:textId="5FF3F4BA" w:rsidR="00BD2488" w:rsidRDefault="00BD2488" w:rsidP="005D520A">
            <w:pPr>
              <w:rPr>
                <w:rFonts w:ascii="Times New Roman" w:hAnsi="Times New Roman" w:cs="Times New Roman"/>
              </w:rPr>
            </w:pPr>
            <w:r w:rsidRPr="00496F64">
              <w:rPr>
                <w:rFonts w:ascii="Times New Roman" w:hAnsi="Times New Roman" w:cs="Times New Roman"/>
              </w:rPr>
              <w:t xml:space="preserve">W akcie prawnym ustanowiony zostanie od I kw. 2025 r. obowiązek tworzenia stref transportu niskoemisyjnego w miastach powyżej 100 000 mieszkańców, w których występuje przekroczenie poziomów szkodliwych substancji w stosunku do unijnych progów zanieczyszczenia powietrza, oraz przewidziane zostanie rozszerzenie możliwości ich wprowadzania na wszystkie obszary miejskie, niezależnie od liczby mieszkańców. Do stref będą mogły wjeżdżać wyłącznie „niskoemisyjne” pojazdy osobowe. W ciągu 9 miesięcy od daty otrzymania informacji o </w:t>
            </w:r>
            <w:r w:rsidRPr="00496F64">
              <w:rPr>
                <w:rFonts w:ascii="Times New Roman" w:hAnsi="Times New Roman" w:cs="Times New Roman"/>
              </w:rPr>
              <w:lastRenderedPageBreak/>
              <w:t>przekroczeniu poziomu stężenia zanieczyszczeń powietrza miasta utworzą na swoim terenie strefy czystego transportu. Okres 9 miesięcy ma umożliwić samorządom terytorialnym przygotowanie terenu, na którym ma być zlokalizowana strefa czystego transportu, pod kątem wprowadzenia planowanych ograniczeń.</w:t>
            </w:r>
          </w:p>
          <w:p w14:paraId="05D304A7" w14:textId="34CE859E" w:rsidR="00BA15AB" w:rsidRPr="005C5922" w:rsidRDefault="00BA15AB" w:rsidP="005D520A">
            <w:pPr>
              <w:rPr>
                <w:rFonts w:ascii="Times New Roman" w:hAnsi="Times New Roman" w:cs="Times New Roman"/>
              </w:rPr>
            </w:pPr>
            <w:r>
              <w:rPr>
                <w:rFonts w:ascii="Times New Roman" w:hAnsi="Times New Roman" w:cs="Times New Roman"/>
              </w:rPr>
              <w:t xml:space="preserve">Termin realizacji: </w:t>
            </w:r>
            <w:r w:rsidR="00BD2488">
              <w:rPr>
                <w:rFonts w:ascii="Times New Roman" w:hAnsi="Times New Roman" w:cs="Times New Roman"/>
              </w:rPr>
              <w:t>I kw.</w:t>
            </w:r>
            <w:r w:rsidR="00BD2488" w:rsidRPr="00496F64">
              <w:rPr>
                <w:rFonts w:ascii="Times New Roman" w:hAnsi="Times New Roman" w:cs="Times New Roman"/>
              </w:rPr>
              <w:t xml:space="preserve"> 2024</w:t>
            </w:r>
            <w:r w:rsidR="00BD2488">
              <w:rPr>
                <w:rFonts w:ascii="Times New Roman" w:hAnsi="Times New Roman" w:cs="Times New Roman"/>
              </w:rPr>
              <w:t>r.</w:t>
            </w:r>
          </w:p>
        </w:tc>
        <w:tc>
          <w:tcPr>
            <w:tcW w:w="2015" w:type="pct"/>
          </w:tcPr>
          <w:p w14:paraId="6C7A96CA" w14:textId="77777777" w:rsidR="00BD2488" w:rsidRPr="00496F64" w:rsidRDefault="00BD2488" w:rsidP="005D520A">
            <w:pPr>
              <w:rPr>
                <w:rFonts w:ascii="Times New Roman" w:hAnsi="Times New Roman" w:cs="Times New Roman"/>
              </w:rPr>
            </w:pPr>
            <w:r w:rsidRPr="005C5922">
              <w:rPr>
                <w:rFonts w:ascii="Times New Roman" w:hAnsi="Times New Roman" w:cs="Times New Roman"/>
              </w:rPr>
              <w:lastRenderedPageBreak/>
              <w:t>E1L</w:t>
            </w:r>
            <w:r w:rsidRPr="00496F64">
              <w:rPr>
                <w:rFonts w:ascii="Times New Roman" w:hAnsi="Times New Roman" w:cs="Times New Roman"/>
              </w:rPr>
              <w:t xml:space="preserve"> Wejście w życie aktu prawnego wprowadzającego obowiązek tworzenia stref niskoemisyjnych dla wybranych, najbardziej zanieczyszczonych miast</w:t>
            </w:r>
          </w:p>
          <w:p w14:paraId="5FD60319" w14:textId="603026D7" w:rsidR="008A5D4B" w:rsidRDefault="00BD2488" w:rsidP="005D520A">
            <w:pPr>
              <w:rPr>
                <w:rFonts w:ascii="Times New Roman" w:hAnsi="Times New Roman" w:cs="Times New Roman"/>
              </w:rPr>
            </w:pPr>
            <w:r w:rsidRPr="00496F64">
              <w:rPr>
                <w:rFonts w:ascii="Times New Roman" w:hAnsi="Times New Roman" w:cs="Times New Roman"/>
              </w:rPr>
              <w:t>W akcie prawnym ustanowiony zostanie od I kw. 202</w:t>
            </w:r>
            <w:r w:rsidRPr="00496F64">
              <w:rPr>
                <w:rFonts w:ascii="Times New Roman" w:hAnsi="Times New Roman" w:cs="Times New Roman"/>
                <w:color w:val="FF0000"/>
              </w:rPr>
              <w:t>6</w:t>
            </w:r>
            <w:r w:rsidRPr="00496F64">
              <w:rPr>
                <w:rFonts w:ascii="Times New Roman" w:hAnsi="Times New Roman" w:cs="Times New Roman"/>
              </w:rPr>
              <w:t xml:space="preserve"> r. obowiązek tworzenia stref transportu niskoemisyjnego w miastach powyżej 100 000 mieszkańców, w których występuje przekroczenie poziomów szkodliwych substancji w stosunku do unijnych progów zanieczyszczenia powietrza, oraz przewidziane zostanie rozszerzenie możliwości ich wprowadzania na wszystkie obszary miejskie, niezależnie od liczby mieszkańców. Do stref będą mogły wjeżdżać wyłącznie „niskoemisyjne” pojazdy osobowe. W ciągu 9 miesięcy od daty otrzymania informacji o przekroczeniu poziomu stężenia </w:t>
            </w:r>
            <w:r w:rsidRPr="00496F64">
              <w:rPr>
                <w:rFonts w:ascii="Times New Roman" w:hAnsi="Times New Roman" w:cs="Times New Roman"/>
              </w:rPr>
              <w:lastRenderedPageBreak/>
              <w:t>zanieczyszczeń powietrza miasta utworzą na swoim terenie strefy czystego transportu. Okres 9 miesięcy ma umożliwić samorządom terytorialnym przygotowanie terenu, na którym ma być zlokalizowana strefa czystego transportu, pod kątem wprowadzenia planowanych ograniczeń.</w:t>
            </w:r>
          </w:p>
          <w:p w14:paraId="342B37D3" w14:textId="087DDEB9" w:rsidR="00BA15AB" w:rsidRPr="005C5922" w:rsidRDefault="00BA15AB" w:rsidP="005D520A">
            <w:pPr>
              <w:rPr>
                <w:rFonts w:ascii="Times New Roman" w:hAnsi="Times New Roman" w:cs="Times New Roman"/>
              </w:rPr>
            </w:pPr>
            <w:r>
              <w:rPr>
                <w:rFonts w:ascii="Times New Roman" w:hAnsi="Times New Roman" w:cs="Times New Roman"/>
              </w:rPr>
              <w:t xml:space="preserve">Termin realizacji: </w:t>
            </w:r>
            <w:r w:rsidR="00BD2488">
              <w:rPr>
                <w:rFonts w:ascii="Times New Roman" w:hAnsi="Times New Roman" w:cs="Times New Roman"/>
              </w:rPr>
              <w:t>I</w:t>
            </w:r>
            <w:r w:rsidR="00BD2488" w:rsidRPr="00496F64">
              <w:rPr>
                <w:rFonts w:ascii="Times New Roman" w:hAnsi="Times New Roman" w:cs="Times New Roman"/>
              </w:rPr>
              <w:t xml:space="preserve"> </w:t>
            </w:r>
            <w:r w:rsidR="00BD2488">
              <w:rPr>
                <w:rFonts w:ascii="Times New Roman" w:hAnsi="Times New Roman" w:cs="Times New Roman"/>
              </w:rPr>
              <w:t>kw.</w:t>
            </w:r>
            <w:r w:rsidR="00BD2488" w:rsidRPr="00496F64">
              <w:rPr>
                <w:rFonts w:ascii="Times New Roman" w:hAnsi="Times New Roman" w:cs="Times New Roman"/>
              </w:rPr>
              <w:t xml:space="preserve"> 202</w:t>
            </w:r>
            <w:r w:rsidR="00BD2488" w:rsidRPr="00496F64">
              <w:rPr>
                <w:rFonts w:ascii="Times New Roman" w:hAnsi="Times New Roman" w:cs="Times New Roman"/>
                <w:color w:val="FF0000"/>
              </w:rPr>
              <w:t>5</w:t>
            </w:r>
            <w:r w:rsidR="00BD2488">
              <w:rPr>
                <w:rFonts w:ascii="Times New Roman" w:hAnsi="Times New Roman" w:cs="Times New Roman"/>
                <w:color w:val="FF0000"/>
              </w:rPr>
              <w:t>r.</w:t>
            </w:r>
          </w:p>
        </w:tc>
      </w:tr>
      <w:tr w:rsidR="00BD2488" w:rsidRPr="00346254" w14:paraId="568BED15" w14:textId="77777777" w:rsidTr="005D520A">
        <w:tc>
          <w:tcPr>
            <w:tcW w:w="1088" w:type="pct"/>
          </w:tcPr>
          <w:p w14:paraId="7B0B3E37" w14:textId="77777777" w:rsidR="00BD2488" w:rsidRPr="00496F64" w:rsidRDefault="00BD2488" w:rsidP="005D520A">
            <w:pPr>
              <w:spacing w:after="120" w:line="240" w:lineRule="auto"/>
              <w:rPr>
                <w:rFonts w:ascii="Times New Roman" w:hAnsi="Times New Roman" w:cs="Times New Roman"/>
              </w:rPr>
            </w:pPr>
            <w:r w:rsidRPr="00496F64">
              <w:rPr>
                <w:rFonts w:ascii="Times New Roman" w:hAnsi="Times New Roman" w:cs="Times New Roman"/>
              </w:rPr>
              <w:lastRenderedPageBreak/>
              <w:t>Opis komponentu oraz/lub działania (inwestycji/reformy)</w:t>
            </w:r>
          </w:p>
        </w:tc>
        <w:tc>
          <w:tcPr>
            <w:tcW w:w="1897" w:type="pct"/>
          </w:tcPr>
          <w:p w14:paraId="444B48CE" w14:textId="77777777" w:rsidR="00BD2488" w:rsidRPr="00496F64" w:rsidRDefault="00BD2488" w:rsidP="005D520A">
            <w:pPr>
              <w:spacing w:after="120" w:line="240" w:lineRule="auto"/>
              <w:rPr>
                <w:rFonts w:ascii="Times New Roman" w:hAnsi="Times New Roman" w:cs="Times New Roman"/>
              </w:rPr>
            </w:pPr>
            <w:r w:rsidRPr="005C5922">
              <w:rPr>
                <w:rFonts w:ascii="Times New Roman" w:hAnsi="Times New Roman" w:cs="Times New Roman"/>
              </w:rPr>
              <w:t>E2L</w:t>
            </w:r>
            <w:r w:rsidRPr="00BA15AB">
              <w:rPr>
                <w:rFonts w:ascii="Times New Roman" w:hAnsi="Times New Roman" w:cs="Times New Roman"/>
              </w:rPr>
              <w:t xml:space="preserve"> </w:t>
            </w:r>
            <w:r w:rsidRPr="00496F64">
              <w:rPr>
                <w:rFonts w:ascii="Times New Roman" w:hAnsi="Times New Roman" w:cs="Times New Roman"/>
              </w:rPr>
              <w:t>Wprowadzenie stref transportu niskoemisyjnego wdrażane przez właściwe władze miejskie</w:t>
            </w:r>
          </w:p>
          <w:p w14:paraId="5FCD7ED9" w14:textId="11959140" w:rsidR="00BD2488" w:rsidRDefault="00BD2488" w:rsidP="005D520A">
            <w:pPr>
              <w:spacing w:after="120" w:line="240" w:lineRule="auto"/>
              <w:rPr>
                <w:rFonts w:ascii="Times New Roman" w:hAnsi="Times New Roman" w:cs="Times New Roman"/>
              </w:rPr>
            </w:pPr>
            <w:r w:rsidRPr="00496F64">
              <w:rPr>
                <w:rFonts w:ascii="Times New Roman" w:hAnsi="Times New Roman" w:cs="Times New Roman"/>
              </w:rPr>
              <w:t>Strefy transportu niskoemisyjnego będą obowiązkowe w miastach powyżej 100 000 mieszkańców, w których przekroczone zostaną progi jakości powietrza. Główny Inspektorat Ochrony Środowiska będzie sporządzał corocznie sprawozdanie na temat jakości powietrza w terminie do dnia 30 kwietnia. Miasta, w których przekroczone zostaną limity jakości powietrza – wskazane w pierwszym sprawozdaniu opublikowanym po wejściu w życie przepisów – będą miały 6 miesięcy na ustanowienie stref transportu niskoemisyjnego.</w:t>
            </w:r>
          </w:p>
          <w:p w14:paraId="1D07AA8F" w14:textId="7908C853" w:rsidR="00BD2488" w:rsidRPr="005C5922" w:rsidRDefault="00122F5F" w:rsidP="005D520A">
            <w:pPr>
              <w:spacing w:after="120" w:line="240" w:lineRule="auto"/>
              <w:rPr>
                <w:rFonts w:ascii="Times New Roman" w:hAnsi="Times New Roman" w:cs="Times New Roman"/>
              </w:rPr>
            </w:pPr>
            <w:r w:rsidRPr="00122F5F">
              <w:rPr>
                <w:rFonts w:ascii="Times New Roman" w:hAnsi="Times New Roman" w:cs="Times New Roman"/>
              </w:rPr>
              <w:t>Termin realizacji:</w:t>
            </w:r>
            <w:r w:rsidRPr="005C5922">
              <w:rPr>
                <w:rFonts w:ascii="Times New Roman" w:hAnsi="Times New Roman" w:cs="Times New Roman"/>
              </w:rPr>
              <w:t xml:space="preserve"> I kw. 2025r</w:t>
            </w:r>
            <w:r>
              <w:rPr>
                <w:rFonts w:ascii="Times New Roman" w:hAnsi="Times New Roman" w:cs="Times New Roman"/>
              </w:rPr>
              <w:t>.</w:t>
            </w:r>
          </w:p>
        </w:tc>
        <w:tc>
          <w:tcPr>
            <w:tcW w:w="2015" w:type="pct"/>
          </w:tcPr>
          <w:p w14:paraId="50CD1FD2" w14:textId="751C6BE1" w:rsidR="00BD2488" w:rsidRPr="00496F64" w:rsidRDefault="00BD2488" w:rsidP="005D520A">
            <w:pPr>
              <w:spacing w:after="120" w:line="240" w:lineRule="auto"/>
              <w:rPr>
                <w:rFonts w:ascii="Times New Roman" w:hAnsi="Times New Roman" w:cs="Times New Roman"/>
              </w:rPr>
            </w:pPr>
            <w:r w:rsidRPr="005C5922">
              <w:rPr>
                <w:rFonts w:ascii="Times New Roman" w:hAnsi="Times New Roman" w:cs="Times New Roman"/>
              </w:rPr>
              <w:t>E2L</w:t>
            </w:r>
            <w:r w:rsidRPr="00496F64">
              <w:rPr>
                <w:rFonts w:ascii="Times New Roman" w:hAnsi="Times New Roman" w:cs="Times New Roman"/>
              </w:rPr>
              <w:t xml:space="preserve"> Wprowadzenie stref transportu niskoemisyjnego wdrażane przez właściwe władze miejskie</w:t>
            </w:r>
          </w:p>
          <w:p w14:paraId="11E0124D" w14:textId="77777777" w:rsidR="00BD2488" w:rsidRDefault="00BD2488" w:rsidP="005D520A">
            <w:pPr>
              <w:spacing w:after="120" w:line="240" w:lineRule="auto"/>
              <w:rPr>
                <w:rFonts w:ascii="Times New Roman" w:hAnsi="Times New Roman" w:cs="Times New Roman"/>
              </w:rPr>
            </w:pPr>
            <w:r w:rsidRPr="00496F64">
              <w:rPr>
                <w:rFonts w:ascii="Times New Roman" w:hAnsi="Times New Roman" w:cs="Times New Roman"/>
              </w:rPr>
              <w:t>Strefy transportu niskoemisyjnego będą obowiązkowe w miastach powyżej 100 000 mieszkańców, w których przekroczone zostaną progi jakości powietrza. Główny Inspektorat Ochrony Środowiska będzie sporządzał corocznie sprawozdanie na temat jakości powietrza w terminie do dnia 30 kwietnia. Miasta, w których przekroczone zostaną limity jakości powietrza – wskazane w pierwszym sprawozdaniu opublikowanym po wejściu w życie przepisów – będą miały 6 miesięcy na ustanowienie stref transportu niskoemisyjnego.</w:t>
            </w:r>
          </w:p>
          <w:p w14:paraId="7FF0DE45" w14:textId="60FA02E3" w:rsidR="00122F5F" w:rsidRPr="005C5922" w:rsidRDefault="00122F5F" w:rsidP="005D520A">
            <w:pPr>
              <w:spacing w:after="120" w:line="240" w:lineRule="auto"/>
              <w:rPr>
                <w:rFonts w:ascii="Times New Roman" w:hAnsi="Times New Roman" w:cs="Times New Roman"/>
              </w:rPr>
            </w:pPr>
            <w:r w:rsidRPr="005D520A">
              <w:rPr>
                <w:rFonts w:ascii="Times New Roman" w:hAnsi="Times New Roman" w:cs="Times New Roman"/>
              </w:rPr>
              <w:t>Termin realizacji: I kw. 202</w:t>
            </w:r>
            <w:r w:rsidRPr="005C5922">
              <w:rPr>
                <w:rFonts w:ascii="Times New Roman" w:hAnsi="Times New Roman" w:cs="Times New Roman"/>
                <w:color w:val="FF0000"/>
              </w:rPr>
              <w:t>6</w:t>
            </w:r>
            <w:r w:rsidRPr="005D520A">
              <w:rPr>
                <w:rFonts w:ascii="Times New Roman" w:hAnsi="Times New Roman" w:cs="Times New Roman"/>
              </w:rPr>
              <w:t>r</w:t>
            </w:r>
            <w:r>
              <w:rPr>
                <w:rFonts w:ascii="Times New Roman" w:hAnsi="Times New Roman" w:cs="Times New Roman"/>
              </w:rPr>
              <w:t>.</w:t>
            </w:r>
          </w:p>
        </w:tc>
      </w:tr>
      <w:tr w:rsidR="00BD2488" w:rsidRPr="00D7176B" w14:paraId="3D86A99F" w14:textId="77777777" w:rsidTr="005D520A">
        <w:tc>
          <w:tcPr>
            <w:tcW w:w="1088" w:type="pct"/>
          </w:tcPr>
          <w:p w14:paraId="7BEF17D4" w14:textId="77777777" w:rsidR="00BD2488" w:rsidRPr="00496F64" w:rsidRDefault="00BD2488" w:rsidP="005D520A">
            <w:pPr>
              <w:spacing w:after="120" w:line="240" w:lineRule="auto"/>
              <w:rPr>
                <w:rFonts w:ascii="Times New Roman" w:hAnsi="Times New Roman" w:cs="Times New Roman"/>
              </w:rPr>
            </w:pPr>
            <w:r w:rsidRPr="00496F64">
              <w:rPr>
                <w:rFonts w:ascii="Times New Roman" w:hAnsi="Times New Roman" w:cs="Times New Roman"/>
              </w:rPr>
              <w:t>Uzasadnienie</w:t>
            </w:r>
          </w:p>
          <w:p w14:paraId="1E720D6A" w14:textId="17D2587D" w:rsidR="00BD2488" w:rsidRPr="00496F64" w:rsidRDefault="00BD2488" w:rsidP="005D520A">
            <w:pPr>
              <w:spacing w:after="120" w:line="240" w:lineRule="auto"/>
              <w:rPr>
                <w:rFonts w:ascii="Times New Roman" w:hAnsi="Times New Roman" w:cs="Times New Roman"/>
              </w:rPr>
            </w:pPr>
          </w:p>
        </w:tc>
        <w:tc>
          <w:tcPr>
            <w:tcW w:w="3912" w:type="pct"/>
            <w:gridSpan w:val="2"/>
          </w:tcPr>
          <w:p w14:paraId="1879567B" w14:textId="5A305891" w:rsidR="00BD2488" w:rsidRPr="00496F64" w:rsidRDefault="00BD2488" w:rsidP="005D520A">
            <w:pPr>
              <w:rPr>
                <w:rFonts w:ascii="Times New Roman" w:hAnsi="Times New Roman" w:cs="Times New Roman"/>
                <w:lang w:eastAsia="pl-PL"/>
              </w:rPr>
            </w:pPr>
            <w:r w:rsidRPr="00496F64">
              <w:rPr>
                <w:rFonts w:ascii="Times New Roman" w:hAnsi="Times New Roman" w:cs="Times New Roman"/>
                <w:lang w:eastAsia="pl-PL"/>
              </w:rPr>
              <w:t>Przeprowadzenie procesu legislacyjnego z zachowaniem pełnego zakresu konsultacji jest czasochłonne. Podejm</w:t>
            </w:r>
            <w:r w:rsidR="00122F5F">
              <w:rPr>
                <w:rFonts w:ascii="Times New Roman" w:hAnsi="Times New Roman" w:cs="Times New Roman"/>
                <w:lang w:eastAsia="pl-PL"/>
              </w:rPr>
              <w:t>owane są</w:t>
            </w:r>
            <w:r w:rsidRPr="00496F64">
              <w:rPr>
                <w:rFonts w:ascii="Times New Roman" w:hAnsi="Times New Roman" w:cs="Times New Roman"/>
                <w:lang w:eastAsia="pl-PL"/>
              </w:rPr>
              <w:t xml:space="preserve"> działania mające na celu zakończenie tego procesu w tym roku, jednak skutkować to będzie brakiem czasu dla samorządów na przygotowanie się do realizacji tej reformy. Wprowadzenie tak dużych zmian dla polskich miast wymaga czasu i rozmów z samorządowcami. </w:t>
            </w:r>
          </w:p>
          <w:p w14:paraId="1257633C" w14:textId="3CBCAB1E" w:rsidR="00BD2488" w:rsidRPr="005C5922" w:rsidRDefault="00BD2488" w:rsidP="005D520A">
            <w:pPr>
              <w:rPr>
                <w:rFonts w:ascii="Times New Roman" w:hAnsi="Times New Roman" w:cs="Times New Roman"/>
                <w:lang w:eastAsia="pl-PL"/>
              </w:rPr>
            </w:pPr>
            <w:r w:rsidRPr="00496F64">
              <w:rPr>
                <w:rFonts w:ascii="Times New Roman" w:hAnsi="Times New Roman" w:cs="Times New Roman"/>
                <w:lang w:eastAsia="pl-PL"/>
              </w:rPr>
              <w:t>Wprowadzana reforma musi zostać skonsultowana z miastami – to one będą realizować obowiązek wynikający z ustawy. Dlatego proponowana zmiana jest konieczna z punktu widzenia proceduralnego, jak i społecznego</w:t>
            </w:r>
          </w:p>
        </w:tc>
      </w:tr>
      <w:tr w:rsidR="00BD2488" w:rsidRPr="00E4663D" w14:paraId="61A4442A" w14:textId="77777777" w:rsidTr="005D520A">
        <w:tc>
          <w:tcPr>
            <w:tcW w:w="1088" w:type="pct"/>
          </w:tcPr>
          <w:p w14:paraId="39F7CBDE" w14:textId="4A6F194D" w:rsidR="00BD2488" w:rsidRPr="00496F64" w:rsidRDefault="00BD2488" w:rsidP="005D520A">
            <w:pPr>
              <w:spacing w:after="120" w:line="240" w:lineRule="auto"/>
              <w:rPr>
                <w:rFonts w:ascii="Times New Roman" w:hAnsi="Times New Roman" w:cs="Times New Roman"/>
              </w:rPr>
            </w:pPr>
            <w:r w:rsidRPr="00496F64">
              <w:rPr>
                <w:rFonts w:ascii="Times New Roman" w:hAnsi="Times New Roman" w:cs="Times New Roman"/>
              </w:rPr>
              <w:t>Szacowany koszy</w:t>
            </w:r>
          </w:p>
        </w:tc>
        <w:tc>
          <w:tcPr>
            <w:tcW w:w="3912" w:type="pct"/>
            <w:gridSpan w:val="2"/>
          </w:tcPr>
          <w:p w14:paraId="3C09DE5C" w14:textId="42CA6A6F" w:rsidR="00BD2488" w:rsidRPr="005C5922" w:rsidRDefault="00E4663D" w:rsidP="005D520A">
            <w:pPr>
              <w:spacing w:after="120" w:line="240" w:lineRule="auto"/>
              <w:rPr>
                <w:rFonts w:ascii="Times New Roman" w:hAnsi="Times New Roman" w:cs="Times New Roman"/>
              </w:rPr>
            </w:pPr>
            <w:r w:rsidRPr="008F6100">
              <w:rPr>
                <w:rFonts w:ascii="Times New Roman" w:hAnsi="Times New Roman" w:cs="Times New Roman"/>
              </w:rPr>
              <w:t>Zmiana nie ma wpływu na szacowany koszt</w:t>
            </w:r>
          </w:p>
        </w:tc>
      </w:tr>
      <w:tr w:rsidR="00BD2488" w:rsidRPr="00E4663D" w14:paraId="69EA8027" w14:textId="77777777" w:rsidTr="005D520A">
        <w:tc>
          <w:tcPr>
            <w:tcW w:w="1088" w:type="pct"/>
          </w:tcPr>
          <w:p w14:paraId="773168E9" w14:textId="16AC23F8" w:rsidR="00BD2488" w:rsidRPr="00496F64" w:rsidRDefault="00BD2488" w:rsidP="005D520A">
            <w:pPr>
              <w:spacing w:after="120" w:line="240" w:lineRule="auto"/>
              <w:rPr>
                <w:rFonts w:ascii="Times New Roman" w:hAnsi="Times New Roman" w:cs="Times New Roman"/>
                <w:lang w:val="en-GB"/>
              </w:rPr>
            </w:pPr>
            <w:proofErr w:type="spellStart"/>
            <w:r w:rsidRPr="00496F64">
              <w:rPr>
                <w:rFonts w:ascii="Times New Roman" w:hAnsi="Times New Roman" w:cs="Times New Roman"/>
                <w:lang w:val="en-GB"/>
              </w:rPr>
              <w:t>Klimatyczny</w:t>
            </w:r>
            <w:proofErr w:type="spellEnd"/>
            <w:r w:rsidRPr="00496F64">
              <w:rPr>
                <w:rFonts w:ascii="Times New Roman" w:hAnsi="Times New Roman" w:cs="Times New Roman"/>
                <w:lang w:val="en-GB"/>
              </w:rPr>
              <w:t xml:space="preserve"> i </w:t>
            </w:r>
            <w:proofErr w:type="spellStart"/>
            <w:r w:rsidRPr="00496F64">
              <w:rPr>
                <w:rFonts w:ascii="Times New Roman" w:hAnsi="Times New Roman" w:cs="Times New Roman"/>
                <w:lang w:val="en-GB"/>
              </w:rPr>
              <w:t>cyfrowy</w:t>
            </w:r>
            <w:proofErr w:type="spellEnd"/>
            <w:r w:rsidRPr="00496F64">
              <w:rPr>
                <w:rFonts w:ascii="Times New Roman" w:hAnsi="Times New Roman" w:cs="Times New Roman"/>
                <w:lang w:val="en-GB"/>
              </w:rPr>
              <w:t xml:space="preserve"> tagging</w:t>
            </w:r>
          </w:p>
        </w:tc>
        <w:tc>
          <w:tcPr>
            <w:tcW w:w="3912" w:type="pct"/>
            <w:gridSpan w:val="2"/>
          </w:tcPr>
          <w:p w14:paraId="4017BE40" w14:textId="59CBD30A" w:rsidR="00BD2488" w:rsidRPr="005C5922" w:rsidRDefault="00BD2488" w:rsidP="005D520A">
            <w:pPr>
              <w:spacing w:after="120" w:line="240" w:lineRule="auto"/>
              <w:rPr>
                <w:rFonts w:ascii="Times New Roman" w:hAnsi="Times New Roman" w:cs="Times New Roman"/>
              </w:rPr>
            </w:pPr>
            <w:r w:rsidRPr="00496F64">
              <w:rPr>
                <w:rFonts w:ascii="Times New Roman" w:hAnsi="Times New Roman" w:cs="Times New Roman"/>
              </w:rPr>
              <w:t xml:space="preserve">Zmiana nie ma wpływu na  </w:t>
            </w:r>
            <w:proofErr w:type="spellStart"/>
            <w:r w:rsidR="00E4663D" w:rsidRPr="00496F64">
              <w:rPr>
                <w:rFonts w:ascii="Times New Roman" w:hAnsi="Times New Roman" w:cs="Times New Roman"/>
              </w:rPr>
              <w:t>tagging</w:t>
            </w:r>
            <w:proofErr w:type="spellEnd"/>
            <w:r w:rsidR="00E4663D" w:rsidRPr="00496F64">
              <w:rPr>
                <w:rFonts w:ascii="Times New Roman" w:hAnsi="Times New Roman" w:cs="Times New Roman"/>
              </w:rPr>
              <w:t xml:space="preserve"> </w:t>
            </w:r>
            <w:r w:rsidRPr="00496F64">
              <w:rPr>
                <w:rFonts w:ascii="Times New Roman" w:hAnsi="Times New Roman" w:cs="Times New Roman"/>
              </w:rPr>
              <w:t xml:space="preserve">klimatyczny i cyfrowy </w:t>
            </w:r>
          </w:p>
        </w:tc>
      </w:tr>
      <w:tr w:rsidR="00BD2488" w:rsidRPr="00E4663D" w14:paraId="1BD8B8FB" w14:textId="77777777" w:rsidTr="005D520A">
        <w:tc>
          <w:tcPr>
            <w:tcW w:w="1088" w:type="pct"/>
          </w:tcPr>
          <w:p w14:paraId="054915B5" w14:textId="32CDDDC1" w:rsidR="00BD2488" w:rsidRPr="00496F64" w:rsidRDefault="00BD2488" w:rsidP="005D520A">
            <w:pPr>
              <w:spacing w:after="120" w:line="240" w:lineRule="auto"/>
              <w:rPr>
                <w:rFonts w:ascii="Times New Roman" w:hAnsi="Times New Roman" w:cs="Times New Roman"/>
              </w:rPr>
            </w:pPr>
            <w:r w:rsidRPr="00496F64">
              <w:rPr>
                <w:rFonts w:ascii="Times New Roman" w:hAnsi="Times New Roman" w:cs="Times New Roman"/>
              </w:rPr>
              <w:t xml:space="preserve">Ocena DNSH </w:t>
            </w:r>
          </w:p>
        </w:tc>
        <w:tc>
          <w:tcPr>
            <w:tcW w:w="3912" w:type="pct"/>
            <w:gridSpan w:val="2"/>
          </w:tcPr>
          <w:p w14:paraId="270F9520" w14:textId="2951664A" w:rsidR="00BD2488" w:rsidRPr="005C5922" w:rsidRDefault="00BD2488" w:rsidP="005D520A">
            <w:pPr>
              <w:spacing w:after="120" w:line="240" w:lineRule="auto"/>
              <w:rPr>
                <w:rFonts w:ascii="Times New Roman" w:hAnsi="Times New Roman" w:cs="Times New Roman"/>
              </w:rPr>
            </w:pPr>
            <w:r w:rsidRPr="00496F64">
              <w:rPr>
                <w:rFonts w:ascii="Times New Roman" w:hAnsi="Times New Roman" w:cs="Times New Roman"/>
              </w:rPr>
              <w:t>Zmiana nie ma wpływu na  DNSH</w:t>
            </w:r>
          </w:p>
        </w:tc>
      </w:tr>
    </w:tbl>
    <w:p w14:paraId="49E6DB6A" w14:textId="387C540A" w:rsidR="00BD2488" w:rsidRPr="00E4663D" w:rsidRDefault="00BD2488" w:rsidP="00A52C99">
      <w:pPr>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2"/>
        <w:gridCol w:w="3438"/>
        <w:gridCol w:w="3652"/>
      </w:tblGrid>
      <w:tr w:rsidR="005C4B07" w:rsidRPr="00496F64" w14:paraId="5D9142B0" w14:textId="77777777" w:rsidTr="00044CAD">
        <w:tc>
          <w:tcPr>
            <w:tcW w:w="1088" w:type="pct"/>
          </w:tcPr>
          <w:p w14:paraId="18FADA46" w14:textId="50739575" w:rsidR="005C4B07" w:rsidRPr="00496F64" w:rsidRDefault="005C4B07" w:rsidP="00044CAD">
            <w:pPr>
              <w:spacing w:after="0" w:line="240" w:lineRule="auto"/>
              <w:rPr>
                <w:rFonts w:ascii="Times New Roman" w:hAnsi="Times New Roman" w:cs="Times New Roman"/>
                <w:b/>
              </w:rPr>
            </w:pPr>
            <w:r w:rsidRPr="00496F64">
              <w:rPr>
                <w:rFonts w:ascii="Times New Roman" w:hAnsi="Times New Roman" w:cs="Times New Roman"/>
                <w:b/>
                <w:bCs/>
              </w:rPr>
              <w:t>Numer reformy</w:t>
            </w:r>
          </w:p>
        </w:tc>
        <w:tc>
          <w:tcPr>
            <w:tcW w:w="3912" w:type="pct"/>
            <w:gridSpan w:val="2"/>
          </w:tcPr>
          <w:p w14:paraId="6A947D21" w14:textId="72ABB3C3" w:rsidR="005C4B07" w:rsidRPr="00496F64" w:rsidRDefault="005C4B07" w:rsidP="00044CAD">
            <w:pPr>
              <w:spacing w:after="0" w:line="240" w:lineRule="auto"/>
              <w:rPr>
                <w:rFonts w:ascii="Times New Roman" w:hAnsi="Times New Roman" w:cs="Times New Roman"/>
                <w:b/>
              </w:rPr>
            </w:pPr>
            <w:r w:rsidRPr="00496F64">
              <w:rPr>
                <w:rFonts w:ascii="Times New Roman" w:hAnsi="Times New Roman" w:cs="Times New Roman"/>
                <w:b/>
                <w:bCs/>
              </w:rPr>
              <w:t>E2.3</w:t>
            </w:r>
            <w:r w:rsidR="00E4663D">
              <w:rPr>
                <w:rFonts w:ascii="Times New Roman" w:hAnsi="Times New Roman" w:cs="Times New Roman"/>
                <w:b/>
                <w:bCs/>
              </w:rPr>
              <w:t>.</w:t>
            </w:r>
          </w:p>
        </w:tc>
      </w:tr>
      <w:tr w:rsidR="005C4B07" w:rsidRPr="00C9419C" w14:paraId="0621BAF9" w14:textId="77777777" w:rsidTr="00044CAD">
        <w:tc>
          <w:tcPr>
            <w:tcW w:w="1088" w:type="pct"/>
          </w:tcPr>
          <w:p w14:paraId="0852A50F" w14:textId="77777777" w:rsidR="005C4B07" w:rsidRPr="00496F64" w:rsidRDefault="005C4B07" w:rsidP="00044CAD">
            <w:pPr>
              <w:spacing w:after="0" w:line="240" w:lineRule="auto"/>
              <w:rPr>
                <w:rFonts w:ascii="Times New Roman" w:hAnsi="Times New Roman" w:cs="Times New Roman"/>
                <w:b/>
              </w:rPr>
            </w:pPr>
            <w:r w:rsidRPr="00496F64">
              <w:rPr>
                <w:rFonts w:ascii="Times New Roman" w:hAnsi="Times New Roman" w:cs="Times New Roman"/>
                <w:b/>
              </w:rPr>
              <w:lastRenderedPageBreak/>
              <w:t>Nazwa reformy</w:t>
            </w:r>
          </w:p>
        </w:tc>
        <w:tc>
          <w:tcPr>
            <w:tcW w:w="3912" w:type="pct"/>
            <w:gridSpan w:val="2"/>
          </w:tcPr>
          <w:p w14:paraId="4EA0B3E2" w14:textId="16339EC9" w:rsidR="005C4B07" w:rsidRPr="005C5922" w:rsidRDefault="005C4B07" w:rsidP="00044CAD">
            <w:pPr>
              <w:spacing w:after="0" w:line="240" w:lineRule="auto"/>
              <w:rPr>
                <w:rFonts w:ascii="Times New Roman" w:hAnsi="Times New Roman" w:cs="Times New Roman"/>
                <w:b/>
              </w:rPr>
            </w:pPr>
            <w:r w:rsidRPr="00496F64">
              <w:rPr>
                <w:rFonts w:ascii="Times New Roman" w:hAnsi="Times New Roman" w:cs="Times New Roman"/>
                <w:b/>
              </w:rPr>
              <w:t>Zwiększenie dostępności transportowej, bezpieczeństwa i cyfrowych rozwiązań</w:t>
            </w:r>
          </w:p>
        </w:tc>
      </w:tr>
      <w:tr w:rsidR="005C4B07" w:rsidRPr="00111BC5" w14:paraId="450791E5" w14:textId="77777777" w:rsidTr="00044CAD">
        <w:tc>
          <w:tcPr>
            <w:tcW w:w="1088" w:type="pct"/>
            <w:shd w:val="clear" w:color="auto" w:fill="auto"/>
          </w:tcPr>
          <w:p w14:paraId="570E9C13" w14:textId="77777777"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t>Rodzaj wprowadzonej zmiany w odniesieniu do CID</w:t>
            </w:r>
          </w:p>
        </w:tc>
        <w:tc>
          <w:tcPr>
            <w:tcW w:w="3912" w:type="pct"/>
            <w:gridSpan w:val="2"/>
            <w:shd w:val="clear" w:color="auto" w:fill="auto"/>
          </w:tcPr>
          <w:p w14:paraId="668678E4" w14:textId="777ABF61" w:rsidR="005C4B07" w:rsidRPr="00496F64" w:rsidRDefault="00111BC5" w:rsidP="00044CAD">
            <w:pPr>
              <w:spacing w:after="0" w:line="240" w:lineRule="auto"/>
              <w:rPr>
                <w:rFonts w:ascii="Times New Roman" w:hAnsi="Times New Roman" w:cs="Times New Roman"/>
              </w:rPr>
            </w:pPr>
            <w:r>
              <w:rPr>
                <w:rFonts w:ascii="Times New Roman" w:hAnsi="Times New Roman" w:cs="Times New Roman"/>
              </w:rPr>
              <w:t xml:space="preserve">Modyfikacja </w:t>
            </w:r>
            <w:r w:rsidR="005C4B07" w:rsidRPr="00496F64">
              <w:rPr>
                <w:rFonts w:ascii="Times New Roman" w:hAnsi="Times New Roman" w:cs="Times New Roman"/>
              </w:rPr>
              <w:t>opis</w:t>
            </w:r>
            <w:r>
              <w:rPr>
                <w:rFonts w:ascii="Times New Roman" w:hAnsi="Times New Roman" w:cs="Times New Roman"/>
              </w:rPr>
              <w:t>u</w:t>
            </w:r>
            <w:r w:rsidR="005C4B07" w:rsidRPr="00496F64">
              <w:rPr>
                <w:rFonts w:ascii="Times New Roman" w:hAnsi="Times New Roman" w:cs="Times New Roman"/>
              </w:rPr>
              <w:t xml:space="preserve"> reformy oraz kamienia</w:t>
            </w:r>
            <w:r>
              <w:rPr>
                <w:rFonts w:ascii="Times New Roman" w:hAnsi="Times New Roman" w:cs="Times New Roman"/>
              </w:rPr>
              <w:t xml:space="preserve"> milowego</w:t>
            </w:r>
            <w:r w:rsidR="005C4B07" w:rsidRPr="00496F64">
              <w:rPr>
                <w:rFonts w:ascii="Times New Roman" w:hAnsi="Times New Roman" w:cs="Times New Roman"/>
              </w:rPr>
              <w:t xml:space="preserve"> E6L</w:t>
            </w:r>
          </w:p>
          <w:p w14:paraId="4FD8A38F" w14:textId="7ADFF0E5" w:rsidR="005C4B07" w:rsidRPr="005C5922" w:rsidRDefault="005C4B07" w:rsidP="00044CAD">
            <w:pPr>
              <w:spacing w:after="0" w:line="240" w:lineRule="auto"/>
              <w:rPr>
                <w:rFonts w:ascii="Times New Roman" w:hAnsi="Times New Roman" w:cs="Times New Roman"/>
              </w:rPr>
            </w:pPr>
          </w:p>
        </w:tc>
      </w:tr>
      <w:tr w:rsidR="005C4B07" w:rsidRPr="00496F64" w14:paraId="4BE26940" w14:textId="77777777" w:rsidTr="00044CAD">
        <w:tc>
          <w:tcPr>
            <w:tcW w:w="1088" w:type="pct"/>
            <w:shd w:val="clear" w:color="auto" w:fill="auto"/>
          </w:tcPr>
          <w:p w14:paraId="4E74DC13" w14:textId="77777777"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t>Podstawa prawna zmiany</w:t>
            </w:r>
          </w:p>
        </w:tc>
        <w:tc>
          <w:tcPr>
            <w:tcW w:w="3912" w:type="pct"/>
            <w:gridSpan w:val="2"/>
            <w:shd w:val="clear" w:color="auto" w:fill="auto"/>
          </w:tcPr>
          <w:p w14:paraId="742BB597" w14:textId="7C298C68" w:rsidR="005C4B07" w:rsidRPr="00496F64" w:rsidRDefault="00111BC5" w:rsidP="00044CAD">
            <w:pPr>
              <w:spacing w:after="0" w:line="240" w:lineRule="auto"/>
              <w:rPr>
                <w:rFonts w:ascii="Times New Roman" w:hAnsi="Times New Roman" w:cs="Times New Roman"/>
              </w:rPr>
            </w:pPr>
            <w:r w:rsidRPr="00496F64">
              <w:rPr>
                <w:rFonts w:ascii="Times New Roman" w:hAnsi="Times New Roman" w:cs="Times New Roman"/>
              </w:rPr>
              <w:t xml:space="preserve">art. </w:t>
            </w:r>
            <w:r>
              <w:rPr>
                <w:rFonts w:ascii="Times New Roman" w:hAnsi="Times New Roman" w:cs="Times New Roman"/>
              </w:rPr>
              <w:t xml:space="preserve">21 </w:t>
            </w:r>
            <w:r w:rsidRPr="00496F64">
              <w:rPr>
                <w:rFonts w:ascii="Times New Roman" w:hAnsi="Times New Roman" w:cs="Times New Roman"/>
              </w:rPr>
              <w:t>rozporządzenia Parlamentu Europejskiego i Rady (UE) 2021/241 z dnia 12 lutego 2021 r. ustanawiające Instrument na rzecz Odbudowy i Zwiększania Odporności</w:t>
            </w:r>
            <w:r w:rsidRPr="00496F64" w:rsidDel="00111BC5">
              <w:rPr>
                <w:rFonts w:ascii="Times New Roman" w:hAnsi="Times New Roman" w:cs="Times New Roman"/>
              </w:rPr>
              <w:t xml:space="preserve"> </w:t>
            </w:r>
          </w:p>
        </w:tc>
      </w:tr>
      <w:tr w:rsidR="005C4B07" w:rsidRPr="00496F64" w14:paraId="5A977992" w14:textId="77777777" w:rsidTr="00044CAD">
        <w:tc>
          <w:tcPr>
            <w:tcW w:w="1088" w:type="pct"/>
            <w:shd w:val="clear" w:color="auto" w:fill="D9D9D9" w:themeFill="background1" w:themeFillShade="D9"/>
          </w:tcPr>
          <w:p w14:paraId="47EC9EC8" w14:textId="77777777" w:rsidR="005C4B07" w:rsidRPr="00496F64" w:rsidRDefault="005C4B07" w:rsidP="00044CAD">
            <w:pPr>
              <w:spacing w:after="0" w:line="240" w:lineRule="auto"/>
              <w:rPr>
                <w:rFonts w:ascii="Times New Roman" w:hAnsi="Times New Roman" w:cs="Times New Roman"/>
                <w:highlight w:val="lightGray"/>
              </w:rPr>
            </w:pPr>
            <w:r w:rsidRPr="00496F64">
              <w:rPr>
                <w:rFonts w:ascii="Times New Roman" w:hAnsi="Times New Roman" w:cs="Times New Roman"/>
                <w:highlight w:val="lightGray"/>
              </w:rPr>
              <w:t>Modyfikowany element</w:t>
            </w:r>
          </w:p>
        </w:tc>
        <w:tc>
          <w:tcPr>
            <w:tcW w:w="1897" w:type="pct"/>
            <w:shd w:val="clear" w:color="auto" w:fill="D9D9D9" w:themeFill="background1" w:themeFillShade="D9"/>
          </w:tcPr>
          <w:p w14:paraId="5B943306" w14:textId="77777777" w:rsidR="005C4B07" w:rsidRPr="00496F64" w:rsidRDefault="005C4B07" w:rsidP="00044CAD">
            <w:pPr>
              <w:spacing w:after="0" w:line="240" w:lineRule="auto"/>
              <w:rPr>
                <w:rFonts w:ascii="Times New Roman" w:hAnsi="Times New Roman" w:cs="Times New Roman"/>
                <w:highlight w:val="lightGray"/>
              </w:rPr>
            </w:pPr>
            <w:r w:rsidRPr="00496F64">
              <w:rPr>
                <w:rFonts w:ascii="Times New Roman" w:hAnsi="Times New Roman" w:cs="Times New Roman"/>
                <w:highlight w:val="lightGray"/>
              </w:rPr>
              <w:t>Bieżąca wersja</w:t>
            </w:r>
          </w:p>
        </w:tc>
        <w:tc>
          <w:tcPr>
            <w:tcW w:w="2015" w:type="pct"/>
            <w:shd w:val="clear" w:color="auto" w:fill="D9D9D9" w:themeFill="background1" w:themeFillShade="D9"/>
          </w:tcPr>
          <w:p w14:paraId="5F765B3F" w14:textId="77777777" w:rsidR="005C4B07" w:rsidRPr="00496F64" w:rsidRDefault="005C4B07" w:rsidP="00044CAD">
            <w:pPr>
              <w:spacing w:after="0" w:line="240" w:lineRule="auto"/>
              <w:rPr>
                <w:rFonts w:ascii="Times New Roman" w:hAnsi="Times New Roman" w:cs="Times New Roman"/>
                <w:highlight w:val="lightGray"/>
              </w:rPr>
            </w:pPr>
            <w:r w:rsidRPr="00496F64">
              <w:rPr>
                <w:rFonts w:ascii="Times New Roman" w:hAnsi="Times New Roman" w:cs="Times New Roman"/>
                <w:highlight w:val="lightGray"/>
              </w:rPr>
              <w:t>Wersja zmieniona</w:t>
            </w:r>
          </w:p>
        </w:tc>
      </w:tr>
      <w:tr w:rsidR="005C4B07" w:rsidRPr="00496F64" w14:paraId="4E08EE24" w14:textId="77777777" w:rsidTr="00044CAD">
        <w:tc>
          <w:tcPr>
            <w:tcW w:w="1088" w:type="pct"/>
          </w:tcPr>
          <w:p w14:paraId="001FAF48" w14:textId="77777777"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t>Opis komponentu oraz/lub działania (inwestycji/reformy)</w:t>
            </w:r>
          </w:p>
        </w:tc>
        <w:tc>
          <w:tcPr>
            <w:tcW w:w="1897" w:type="pct"/>
          </w:tcPr>
          <w:p w14:paraId="6131A396" w14:textId="36B52C85" w:rsidR="005C4B07" w:rsidRPr="00496F64" w:rsidRDefault="00B85B09" w:rsidP="00044CAD">
            <w:pPr>
              <w:spacing w:after="0" w:line="240" w:lineRule="auto"/>
              <w:rPr>
                <w:rFonts w:ascii="Times New Roman" w:hAnsi="Times New Roman" w:cs="Times New Roman"/>
              </w:rPr>
            </w:pPr>
            <w:r>
              <w:rPr>
                <w:rFonts w:ascii="Times New Roman" w:hAnsi="Times New Roman" w:cs="Times New Roman"/>
              </w:rPr>
              <w:t xml:space="preserve">E6L </w:t>
            </w:r>
            <w:r w:rsidR="005C4B07" w:rsidRPr="00496F64">
              <w:rPr>
                <w:rFonts w:ascii="Times New Roman" w:hAnsi="Times New Roman" w:cs="Times New Roman"/>
              </w:rPr>
              <w:t>Obowiązek modernizacji krajowego, międzynarodowego i regionalnego taboru kolejowego z uwzględnieniem wymogów dotyczących pasażerów z niepełnosprawnościami</w:t>
            </w:r>
          </w:p>
          <w:p w14:paraId="2C20AAF4" w14:textId="5D44C4FC" w:rsidR="005C4B07" w:rsidRPr="005C5922" w:rsidRDefault="005C4B07" w:rsidP="00044CAD">
            <w:pPr>
              <w:spacing w:after="0" w:line="238" w:lineRule="auto"/>
              <w:ind w:right="25"/>
              <w:rPr>
                <w:rFonts w:ascii="Times New Roman" w:hAnsi="Times New Roman" w:cs="Times New Roman"/>
              </w:rPr>
            </w:pPr>
          </w:p>
          <w:p w14:paraId="7C4B237C" w14:textId="77777777"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t>Wejście w życie właściwych przepisów dotyczących dostosowania taboru kolejowego do wymogów w zakresie praw pasażerów, dostosowanie do art. 9 ust. 3 rozporządzenia 2021/782 (gdy modernizacja jest uzasadniona i racjonalna z punktu widzenia przewidywanego okresu eksploatacji taboru) w odniesieniu do regionalnego, krajowego i międzynarodowego taboru, który ma zostać zmodernizowany na potrzeby pasażerów z niepełnosprawnościami, oraz wzmocnienie praw pasażerów.</w:t>
            </w:r>
          </w:p>
          <w:p w14:paraId="0725FED3" w14:textId="77777777" w:rsidR="008A5D4B" w:rsidRDefault="008A5D4B" w:rsidP="00044CAD">
            <w:pPr>
              <w:spacing w:after="0" w:line="240" w:lineRule="auto"/>
              <w:rPr>
                <w:rFonts w:ascii="Times New Roman" w:hAnsi="Times New Roman" w:cs="Times New Roman"/>
              </w:rPr>
            </w:pPr>
          </w:p>
          <w:p w14:paraId="699D4BDF" w14:textId="2999AA46"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t>W przypadku taboru regionalnego wymogi zostaną przyjęte do II kw. 2024 r., a w przypadku taboru międzynarodowego i dalekobieżnego od II kw. 2023 r</w:t>
            </w:r>
          </w:p>
        </w:tc>
        <w:tc>
          <w:tcPr>
            <w:tcW w:w="2015" w:type="pct"/>
          </w:tcPr>
          <w:p w14:paraId="2F110181" w14:textId="20062AEB" w:rsidR="00B85B09" w:rsidRPr="005C5922" w:rsidRDefault="00B85B09" w:rsidP="00B85B09">
            <w:pPr>
              <w:spacing w:after="0" w:line="240" w:lineRule="auto"/>
              <w:rPr>
                <w:rFonts w:ascii="Times New Roman" w:hAnsi="Times New Roman" w:cs="Times New Roman"/>
              </w:rPr>
            </w:pPr>
            <w:r>
              <w:rPr>
                <w:rFonts w:ascii="Times New Roman" w:hAnsi="Times New Roman" w:cs="Times New Roman"/>
              </w:rPr>
              <w:t xml:space="preserve">E6L </w:t>
            </w:r>
            <w:r w:rsidR="005C4B07" w:rsidRPr="00496F64">
              <w:rPr>
                <w:rFonts w:ascii="Times New Roman" w:hAnsi="Times New Roman" w:cs="Times New Roman"/>
              </w:rPr>
              <w:t>Obowiązek modernizacji krajowego</w:t>
            </w:r>
            <w:r w:rsidR="005C4B07" w:rsidRPr="00496F64">
              <w:rPr>
                <w:rFonts w:ascii="Times New Roman" w:hAnsi="Times New Roman" w:cs="Times New Roman"/>
                <w:strike/>
                <w:color w:val="FF0000"/>
              </w:rPr>
              <w:t>, międzynarodowego</w:t>
            </w:r>
            <w:r w:rsidR="005C4B07" w:rsidRPr="00496F64">
              <w:rPr>
                <w:rFonts w:ascii="Times New Roman" w:hAnsi="Times New Roman" w:cs="Times New Roman"/>
                <w:color w:val="FF0000"/>
              </w:rPr>
              <w:t xml:space="preserve"> </w:t>
            </w:r>
            <w:r w:rsidR="005C4B07" w:rsidRPr="00496F64">
              <w:rPr>
                <w:rFonts w:ascii="Times New Roman" w:hAnsi="Times New Roman" w:cs="Times New Roman"/>
              </w:rPr>
              <w:t>i regionalnego taboru kolejowego z uwzględnieniem wymogów dotyczących pasażerów z niepełnosprawnościami</w:t>
            </w:r>
          </w:p>
          <w:p w14:paraId="2748A975" w14:textId="77777777" w:rsidR="008A5D4B" w:rsidRPr="008B5C0D" w:rsidRDefault="008A5D4B" w:rsidP="00044CAD">
            <w:pPr>
              <w:spacing w:after="0" w:line="240" w:lineRule="auto"/>
              <w:rPr>
                <w:rFonts w:ascii="Times New Roman" w:hAnsi="Times New Roman" w:cs="Times New Roman"/>
                <w:i/>
              </w:rPr>
            </w:pPr>
          </w:p>
          <w:p w14:paraId="6C6C628A" w14:textId="77777777"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t>Wejście w życie właściwych przepisów dotyczących dostosowania taboru kolejowego do wymogów w zakresie praw pasażerów, dostosowanie do art. 9 ust. 3 rozporządzenia 2021/782 (gdy modernizacja jest uzasadniona i racjonalna z punktu widzenia przewidywanego okresu eksploatacji taboru) w odniesieniu do regionalnego</w:t>
            </w:r>
            <w:r w:rsidRPr="00496F64">
              <w:rPr>
                <w:rFonts w:ascii="Times New Roman" w:hAnsi="Times New Roman" w:cs="Times New Roman"/>
                <w:strike/>
                <w:color w:val="FF0000"/>
              </w:rPr>
              <w:t>,</w:t>
            </w:r>
            <w:r w:rsidRPr="00496F64">
              <w:rPr>
                <w:rFonts w:ascii="Times New Roman" w:hAnsi="Times New Roman" w:cs="Times New Roman"/>
                <w:color w:val="FF0000"/>
              </w:rPr>
              <w:t xml:space="preserve"> i</w:t>
            </w:r>
            <w:r w:rsidRPr="00496F64">
              <w:rPr>
                <w:rFonts w:ascii="Times New Roman" w:hAnsi="Times New Roman" w:cs="Times New Roman"/>
              </w:rPr>
              <w:t xml:space="preserve"> krajowego </w:t>
            </w:r>
            <w:r w:rsidRPr="00496F64">
              <w:rPr>
                <w:rFonts w:ascii="Times New Roman" w:hAnsi="Times New Roman" w:cs="Times New Roman"/>
                <w:strike/>
              </w:rPr>
              <w:t xml:space="preserve">i </w:t>
            </w:r>
            <w:r w:rsidRPr="00496F64">
              <w:rPr>
                <w:rFonts w:ascii="Times New Roman" w:hAnsi="Times New Roman" w:cs="Times New Roman"/>
                <w:strike/>
                <w:color w:val="FF0000"/>
              </w:rPr>
              <w:t>międzynarodowego</w:t>
            </w:r>
            <w:r w:rsidRPr="00496F64">
              <w:rPr>
                <w:rFonts w:ascii="Times New Roman" w:hAnsi="Times New Roman" w:cs="Times New Roman"/>
              </w:rPr>
              <w:t xml:space="preserve"> taboru, który ma zostać zmodernizowany na potrzeby pasażerów z niepełnosprawnościami, oraz wzmocnienie praw pasażerów.</w:t>
            </w:r>
          </w:p>
          <w:p w14:paraId="150D42F1" w14:textId="77777777" w:rsidR="005C4B07" w:rsidRPr="00496F64" w:rsidRDefault="005C4B07" w:rsidP="00044CAD">
            <w:pPr>
              <w:spacing w:after="0" w:line="240" w:lineRule="auto"/>
              <w:rPr>
                <w:rFonts w:ascii="Times New Roman" w:hAnsi="Times New Roman" w:cs="Times New Roman"/>
              </w:rPr>
            </w:pPr>
          </w:p>
          <w:p w14:paraId="38CDE64D" w14:textId="77777777"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t xml:space="preserve">W przypadku taboru regionalnego wymogi zostaną przyjęte do II kw. 2024 r., a w przypadku taboru </w:t>
            </w:r>
            <w:r w:rsidRPr="00496F64">
              <w:rPr>
                <w:rFonts w:ascii="Times New Roman" w:hAnsi="Times New Roman" w:cs="Times New Roman"/>
                <w:strike/>
                <w:color w:val="FF0000"/>
              </w:rPr>
              <w:t>międzynarodowego i</w:t>
            </w:r>
            <w:r w:rsidRPr="00496F64">
              <w:rPr>
                <w:rFonts w:ascii="Times New Roman" w:hAnsi="Times New Roman" w:cs="Times New Roman"/>
                <w:color w:val="FF0000"/>
              </w:rPr>
              <w:t xml:space="preserve"> </w:t>
            </w:r>
            <w:r w:rsidRPr="00496F64">
              <w:rPr>
                <w:rFonts w:ascii="Times New Roman" w:hAnsi="Times New Roman" w:cs="Times New Roman"/>
              </w:rPr>
              <w:t>dalekobieżnego od II kw. 2023 r</w:t>
            </w:r>
          </w:p>
        </w:tc>
      </w:tr>
      <w:tr w:rsidR="005C4B07" w:rsidRPr="00D7176B" w14:paraId="4AEDC3F1" w14:textId="77777777" w:rsidTr="00044CAD">
        <w:tc>
          <w:tcPr>
            <w:tcW w:w="1088" w:type="pct"/>
          </w:tcPr>
          <w:p w14:paraId="47A4B092" w14:textId="77777777"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t>Uzasadnienie</w:t>
            </w:r>
          </w:p>
        </w:tc>
        <w:tc>
          <w:tcPr>
            <w:tcW w:w="3912" w:type="pct"/>
            <w:gridSpan w:val="2"/>
          </w:tcPr>
          <w:p w14:paraId="1416B48C" w14:textId="00406372" w:rsidR="005C4B07" w:rsidRPr="00496F64" w:rsidRDefault="005C4B07" w:rsidP="005C5922">
            <w:pPr>
              <w:spacing w:after="120"/>
              <w:rPr>
                <w:rFonts w:ascii="Times New Roman" w:hAnsi="Times New Roman" w:cs="Times New Roman"/>
              </w:rPr>
            </w:pPr>
            <w:r w:rsidRPr="00496F64">
              <w:rPr>
                <w:rFonts w:ascii="Times New Roman" w:hAnsi="Times New Roman" w:cs="Times New Roman"/>
              </w:rPr>
              <w:t xml:space="preserve">Usunięcie zapisu mówiącego o taborze międzynarodowym jest uzasadnione z uwagi na brak możliwości ustawowego wpływania na standard świadczenia usług poza granicami Polski. Ustawa, której przyjęcie było wypełnieniem kamienia </w:t>
            </w:r>
            <w:r w:rsidR="00B85B09">
              <w:rPr>
                <w:rFonts w:ascii="Times New Roman" w:hAnsi="Times New Roman" w:cs="Times New Roman"/>
              </w:rPr>
              <w:t xml:space="preserve">E6L </w:t>
            </w:r>
            <w:r w:rsidRPr="00496F64">
              <w:rPr>
                <w:rFonts w:ascii="Times New Roman" w:hAnsi="Times New Roman" w:cs="Times New Roman"/>
              </w:rPr>
              <w:t>nie odnosiła się do pociągów międzynarodowych, przy czym standardy w pociągach międzynarodowych, które podlegają polskim przepisom będą zachowane.</w:t>
            </w:r>
          </w:p>
          <w:p w14:paraId="46191ABA" w14:textId="594F159E" w:rsidR="005C4B07" w:rsidRPr="00496F64" w:rsidRDefault="005C4B07" w:rsidP="005C5922">
            <w:pPr>
              <w:spacing w:after="120"/>
              <w:rPr>
                <w:rFonts w:ascii="Times New Roman" w:hAnsi="Times New Roman" w:cs="Times New Roman"/>
              </w:rPr>
            </w:pPr>
            <w:r w:rsidRPr="00496F64">
              <w:rPr>
                <w:rFonts w:ascii="Times New Roman" w:hAnsi="Times New Roman" w:cs="Times New Roman"/>
              </w:rPr>
              <w:t>W celu wypełnienia zobowiązań wynikających z reformy E6L, polskie prawo zostało zmienione. Zmiana ta dotyczy terminu wejścia w życie przepisów rozporządzenia UE 2021/752 w zakresie wymogów dla pasażerów z niepełnosprawnościami. Należy podkreślić, że zobowiązanie wobec K</w:t>
            </w:r>
            <w:r w:rsidR="00B85B09">
              <w:rPr>
                <w:rFonts w:ascii="Times New Roman" w:hAnsi="Times New Roman" w:cs="Times New Roman"/>
              </w:rPr>
              <w:t xml:space="preserve">E </w:t>
            </w:r>
            <w:r w:rsidRPr="00496F64">
              <w:rPr>
                <w:rFonts w:ascii="Times New Roman" w:hAnsi="Times New Roman" w:cs="Times New Roman"/>
              </w:rPr>
              <w:t xml:space="preserve">zostało wypełnione. Wymogi dotyczące taboru będą miały również zastosowanie do transportu międzynarodowego. Usunięcie słowa "międzynarodowy" podyktowane jest jednak wyłącznie faktem, że ani ustawa Parlamentu, ani rozporządzenie UE nie mają zastosowania do taboru </w:t>
            </w:r>
            <w:r w:rsidRPr="00496F64">
              <w:rPr>
                <w:rFonts w:ascii="Times New Roman" w:hAnsi="Times New Roman" w:cs="Times New Roman"/>
              </w:rPr>
              <w:lastRenderedPageBreak/>
              <w:t>należącego do przewoźników z siedzibą w państwach trzecich (poza terytorium Unii Europejskiej).</w:t>
            </w:r>
          </w:p>
          <w:p w14:paraId="253A5C25" w14:textId="303CBC1A" w:rsidR="005C4B07" w:rsidRPr="005C5922" w:rsidRDefault="005C4B07" w:rsidP="005C5922">
            <w:pPr>
              <w:spacing w:after="120"/>
              <w:rPr>
                <w:rFonts w:ascii="Times New Roman" w:hAnsi="Times New Roman" w:cs="Times New Roman"/>
              </w:rPr>
            </w:pPr>
            <w:r w:rsidRPr="00496F64">
              <w:rPr>
                <w:rFonts w:ascii="Times New Roman" w:hAnsi="Times New Roman" w:cs="Times New Roman"/>
              </w:rPr>
              <w:t>Oznacza to, że pociągi międzynarodowe składające się z wagonów należących do polskiego przewoźnika będą spełniały wymagania znowelizowanej ustawy. Pociągi należące do przewoźników mających siedzibę np. w Niemczech lub Czechach będą spełniały wymagania rozporządzenia unijnego, natomiast pojedyncze pociągi należące np. do ukraińskiego przewoźnika mogą nie spełniać tych wymagań, o ile są dopuszczone do eksploatacji na terytorium Unii Europejskiej na podstawie prawa unijnego.</w:t>
            </w:r>
          </w:p>
        </w:tc>
      </w:tr>
      <w:tr w:rsidR="005C4B07" w:rsidRPr="00B85B09" w14:paraId="6CDA62CC" w14:textId="77777777" w:rsidTr="00044CAD">
        <w:tc>
          <w:tcPr>
            <w:tcW w:w="1088" w:type="pct"/>
          </w:tcPr>
          <w:p w14:paraId="1E82DFDA" w14:textId="77777777"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lastRenderedPageBreak/>
              <w:t>Szacowany koszy</w:t>
            </w:r>
          </w:p>
        </w:tc>
        <w:tc>
          <w:tcPr>
            <w:tcW w:w="3912" w:type="pct"/>
            <w:gridSpan w:val="2"/>
          </w:tcPr>
          <w:p w14:paraId="2B9ACDEA" w14:textId="5EBB66B9" w:rsidR="005C4B07" w:rsidRPr="005C5922" w:rsidRDefault="00B85B09" w:rsidP="00044CAD">
            <w:pPr>
              <w:spacing w:after="0" w:line="240" w:lineRule="auto"/>
              <w:rPr>
                <w:rFonts w:ascii="Times New Roman" w:hAnsi="Times New Roman" w:cs="Times New Roman"/>
              </w:rPr>
            </w:pPr>
            <w:r w:rsidRPr="008F6100">
              <w:rPr>
                <w:rFonts w:ascii="Times New Roman" w:hAnsi="Times New Roman" w:cs="Times New Roman"/>
              </w:rPr>
              <w:t>Zmiana nie ma wpływu na szacowany koszt</w:t>
            </w:r>
            <w:r w:rsidRPr="00496F64" w:rsidDel="00B85B09">
              <w:rPr>
                <w:rFonts w:ascii="Times New Roman" w:hAnsi="Times New Roman" w:cs="Times New Roman"/>
              </w:rPr>
              <w:t xml:space="preserve"> </w:t>
            </w:r>
          </w:p>
        </w:tc>
      </w:tr>
      <w:tr w:rsidR="005C4B07" w:rsidRPr="00B85B09" w14:paraId="3FA05AB1" w14:textId="77777777" w:rsidTr="00044CAD">
        <w:tc>
          <w:tcPr>
            <w:tcW w:w="1088" w:type="pct"/>
          </w:tcPr>
          <w:p w14:paraId="110D0F51" w14:textId="77777777"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t xml:space="preserve">Klimatyczny i cyfrowy </w:t>
            </w:r>
            <w:proofErr w:type="spellStart"/>
            <w:r w:rsidRPr="00496F64">
              <w:rPr>
                <w:rFonts w:ascii="Times New Roman" w:hAnsi="Times New Roman" w:cs="Times New Roman"/>
              </w:rPr>
              <w:t>tagging</w:t>
            </w:r>
            <w:proofErr w:type="spellEnd"/>
          </w:p>
        </w:tc>
        <w:tc>
          <w:tcPr>
            <w:tcW w:w="3912" w:type="pct"/>
            <w:gridSpan w:val="2"/>
          </w:tcPr>
          <w:p w14:paraId="4F4BC6A0" w14:textId="77777777" w:rsidR="00B85B09" w:rsidRPr="00496F64" w:rsidRDefault="00B85B09" w:rsidP="00B85B09">
            <w:pPr>
              <w:spacing w:after="120" w:line="240" w:lineRule="auto"/>
              <w:rPr>
                <w:rFonts w:ascii="Times New Roman" w:hAnsi="Times New Roman" w:cs="Times New Roman"/>
              </w:rPr>
            </w:pPr>
            <w:r w:rsidRPr="00496F64">
              <w:rPr>
                <w:rFonts w:ascii="Times New Roman" w:hAnsi="Times New Roman" w:cs="Times New Roman"/>
              </w:rPr>
              <w:t xml:space="preserve">Zmiana nie ma wpływu na  </w:t>
            </w:r>
            <w:proofErr w:type="spellStart"/>
            <w:r w:rsidRPr="00496F64">
              <w:rPr>
                <w:rFonts w:ascii="Times New Roman" w:hAnsi="Times New Roman" w:cs="Times New Roman"/>
              </w:rPr>
              <w:t>tagging</w:t>
            </w:r>
            <w:proofErr w:type="spellEnd"/>
            <w:r w:rsidRPr="00496F64">
              <w:rPr>
                <w:rFonts w:ascii="Times New Roman" w:hAnsi="Times New Roman" w:cs="Times New Roman"/>
              </w:rPr>
              <w:t xml:space="preserve"> klimatyczny i cyfrowy </w:t>
            </w:r>
          </w:p>
          <w:p w14:paraId="5E215400" w14:textId="7C3F58FA" w:rsidR="005C4B07" w:rsidRPr="005C5922" w:rsidRDefault="005C4B07" w:rsidP="00044CAD">
            <w:pPr>
              <w:spacing w:after="0" w:line="240" w:lineRule="auto"/>
              <w:rPr>
                <w:rFonts w:ascii="Times New Roman" w:hAnsi="Times New Roman" w:cs="Times New Roman"/>
              </w:rPr>
            </w:pPr>
          </w:p>
        </w:tc>
      </w:tr>
      <w:tr w:rsidR="005C4B07" w:rsidRPr="00B85B09" w14:paraId="4FFF16BA" w14:textId="77777777" w:rsidTr="00044CAD">
        <w:tc>
          <w:tcPr>
            <w:tcW w:w="1088" w:type="pct"/>
          </w:tcPr>
          <w:p w14:paraId="05C41836" w14:textId="77777777" w:rsidR="005C4B07" w:rsidRPr="00496F64" w:rsidRDefault="005C4B07" w:rsidP="00044CAD">
            <w:pPr>
              <w:spacing w:after="0" w:line="240" w:lineRule="auto"/>
              <w:rPr>
                <w:rFonts w:ascii="Times New Roman" w:hAnsi="Times New Roman" w:cs="Times New Roman"/>
              </w:rPr>
            </w:pPr>
            <w:r w:rsidRPr="00496F64">
              <w:rPr>
                <w:rFonts w:ascii="Times New Roman" w:hAnsi="Times New Roman" w:cs="Times New Roman"/>
              </w:rPr>
              <w:t xml:space="preserve">Ocena DNSH </w:t>
            </w:r>
          </w:p>
        </w:tc>
        <w:tc>
          <w:tcPr>
            <w:tcW w:w="3912" w:type="pct"/>
            <w:gridSpan w:val="2"/>
          </w:tcPr>
          <w:p w14:paraId="3F4EE049" w14:textId="7466B721" w:rsidR="005C4B07" w:rsidRPr="005C5922" w:rsidRDefault="00B85B09" w:rsidP="00044CAD">
            <w:pPr>
              <w:spacing w:after="0" w:line="240" w:lineRule="auto"/>
              <w:rPr>
                <w:rFonts w:ascii="Times New Roman" w:hAnsi="Times New Roman" w:cs="Times New Roman"/>
              </w:rPr>
            </w:pPr>
            <w:r w:rsidRPr="00496F64">
              <w:rPr>
                <w:rFonts w:ascii="Times New Roman" w:hAnsi="Times New Roman" w:cs="Times New Roman"/>
              </w:rPr>
              <w:t>Zmiana nie ma wpływu na  DNSH</w:t>
            </w:r>
            <w:r w:rsidRPr="00496F64" w:rsidDel="00B85B09">
              <w:rPr>
                <w:rFonts w:ascii="Times New Roman" w:hAnsi="Times New Roman" w:cs="Times New Roman"/>
              </w:rPr>
              <w:t xml:space="preserve"> </w:t>
            </w:r>
          </w:p>
        </w:tc>
      </w:tr>
    </w:tbl>
    <w:p w14:paraId="6DB8D1A9" w14:textId="77777777" w:rsidR="00DD024A" w:rsidRPr="005C5922" w:rsidRDefault="00DD024A">
      <w:pPr>
        <w:rPr>
          <w:rFonts w:ascii="Times New Roman" w:hAnsi="Times New Roman" w:cs="Times New Roman"/>
        </w:rPr>
      </w:pPr>
    </w:p>
    <w:sectPr w:rsidR="00DD024A" w:rsidRPr="005C5922" w:rsidSect="00D139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BF00" w14:textId="77777777" w:rsidR="00E63BF1" w:rsidRDefault="00F317B2">
      <w:pPr>
        <w:spacing w:after="0" w:line="240" w:lineRule="auto"/>
      </w:pPr>
      <w:r>
        <w:separator/>
      </w:r>
    </w:p>
  </w:endnote>
  <w:endnote w:type="continuationSeparator" w:id="0">
    <w:p w14:paraId="5F652536" w14:textId="77777777" w:rsidR="00E63BF1" w:rsidRDefault="00F3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B83D" w14:textId="77777777" w:rsidR="00CD1048" w:rsidRPr="00286088" w:rsidRDefault="00103C07" w:rsidP="00C30802">
    <w:pPr>
      <w:pStyle w:val="Stopka"/>
      <w:jc w:val="center"/>
      <w:rPr>
        <w:rFonts w:ascii="Arial" w:hAnsi="Arial" w:cs="Arial"/>
      </w:rPr>
    </w:pPr>
    <w:r w:rsidRPr="00286088">
      <w:fldChar w:fldCharType="begin"/>
    </w:r>
    <w:r w:rsidRPr="00286088">
      <w:instrText xml:space="preserve"> PAGE  \* MERGEFORMAT </w:instrText>
    </w:r>
    <w:r w:rsidRPr="00286088">
      <w:fldChar w:fldCharType="separate"/>
    </w:r>
    <w:r w:rsidRPr="00286088">
      <w:rPr>
        <w:noProof/>
      </w:rPr>
      <w:t>6</w:t>
    </w:r>
    <w:r w:rsidRPr="002860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E4A8" w14:textId="77777777" w:rsidR="00E63BF1" w:rsidRDefault="00F317B2">
      <w:pPr>
        <w:spacing w:after="0" w:line="240" w:lineRule="auto"/>
      </w:pPr>
      <w:r>
        <w:separator/>
      </w:r>
    </w:p>
  </w:footnote>
  <w:footnote w:type="continuationSeparator" w:id="0">
    <w:p w14:paraId="27EC4EF9" w14:textId="77777777" w:rsidR="00E63BF1" w:rsidRDefault="00F31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0FA1"/>
    <w:multiLevelType w:val="hybridMultilevel"/>
    <w:tmpl w:val="A8484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B2EE53"/>
    <w:multiLevelType w:val="hybridMultilevel"/>
    <w:tmpl w:val="E070DEBE"/>
    <w:lvl w:ilvl="0" w:tplc="DECE0AAC">
      <w:start w:val="1"/>
      <w:numFmt w:val="bullet"/>
      <w:lvlText w:val=""/>
      <w:lvlJc w:val="left"/>
      <w:pPr>
        <w:ind w:left="720" w:hanging="360"/>
      </w:pPr>
      <w:rPr>
        <w:rFonts w:ascii="Symbol" w:hAnsi="Symbol" w:hint="default"/>
      </w:rPr>
    </w:lvl>
    <w:lvl w:ilvl="1" w:tplc="CCEADAFC">
      <w:start w:val="1"/>
      <w:numFmt w:val="bullet"/>
      <w:lvlText w:val="o"/>
      <w:lvlJc w:val="left"/>
      <w:pPr>
        <w:ind w:left="1440" w:hanging="360"/>
      </w:pPr>
      <w:rPr>
        <w:rFonts w:ascii="Courier New" w:hAnsi="Courier New" w:hint="default"/>
      </w:rPr>
    </w:lvl>
    <w:lvl w:ilvl="2" w:tplc="B2F63236">
      <w:start w:val="1"/>
      <w:numFmt w:val="bullet"/>
      <w:lvlText w:val=""/>
      <w:lvlJc w:val="left"/>
      <w:pPr>
        <w:ind w:left="2160" w:hanging="360"/>
      </w:pPr>
      <w:rPr>
        <w:rFonts w:ascii="Wingdings" w:hAnsi="Wingdings" w:hint="default"/>
      </w:rPr>
    </w:lvl>
    <w:lvl w:ilvl="3" w:tplc="9DEC0C7C">
      <w:start w:val="1"/>
      <w:numFmt w:val="bullet"/>
      <w:lvlText w:val=""/>
      <w:lvlJc w:val="left"/>
      <w:pPr>
        <w:ind w:left="2880" w:hanging="360"/>
      </w:pPr>
      <w:rPr>
        <w:rFonts w:ascii="Symbol" w:hAnsi="Symbol" w:hint="default"/>
      </w:rPr>
    </w:lvl>
    <w:lvl w:ilvl="4" w:tplc="690EBB9E">
      <w:start w:val="1"/>
      <w:numFmt w:val="bullet"/>
      <w:lvlText w:val="o"/>
      <w:lvlJc w:val="left"/>
      <w:pPr>
        <w:ind w:left="3600" w:hanging="360"/>
      </w:pPr>
      <w:rPr>
        <w:rFonts w:ascii="Courier New" w:hAnsi="Courier New" w:hint="default"/>
      </w:rPr>
    </w:lvl>
    <w:lvl w:ilvl="5" w:tplc="2988ACD2">
      <w:start w:val="1"/>
      <w:numFmt w:val="bullet"/>
      <w:lvlText w:val=""/>
      <w:lvlJc w:val="left"/>
      <w:pPr>
        <w:ind w:left="4320" w:hanging="360"/>
      </w:pPr>
      <w:rPr>
        <w:rFonts w:ascii="Wingdings" w:hAnsi="Wingdings" w:hint="default"/>
      </w:rPr>
    </w:lvl>
    <w:lvl w:ilvl="6" w:tplc="8F2057D2">
      <w:start w:val="1"/>
      <w:numFmt w:val="bullet"/>
      <w:lvlText w:val=""/>
      <w:lvlJc w:val="left"/>
      <w:pPr>
        <w:ind w:left="5040" w:hanging="360"/>
      </w:pPr>
      <w:rPr>
        <w:rFonts w:ascii="Symbol" w:hAnsi="Symbol" w:hint="default"/>
      </w:rPr>
    </w:lvl>
    <w:lvl w:ilvl="7" w:tplc="71AA2ABC">
      <w:start w:val="1"/>
      <w:numFmt w:val="bullet"/>
      <w:lvlText w:val="o"/>
      <w:lvlJc w:val="left"/>
      <w:pPr>
        <w:ind w:left="5760" w:hanging="360"/>
      </w:pPr>
      <w:rPr>
        <w:rFonts w:ascii="Courier New" w:hAnsi="Courier New" w:hint="default"/>
      </w:rPr>
    </w:lvl>
    <w:lvl w:ilvl="8" w:tplc="CB8A0996">
      <w:start w:val="1"/>
      <w:numFmt w:val="bullet"/>
      <w:lvlText w:val=""/>
      <w:lvlJc w:val="left"/>
      <w:pPr>
        <w:ind w:left="6480" w:hanging="360"/>
      </w:pPr>
      <w:rPr>
        <w:rFonts w:ascii="Wingdings" w:hAnsi="Wingdings" w:hint="default"/>
      </w:rPr>
    </w:lvl>
  </w:abstractNum>
  <w:abstractNum w:abstractNumId="2" w15:restartNumberingAfterBreak="0">
    <w:nsid w:val="40680CA7"/>
    <w:multiLevelType w:val="hybridMultilevel"/>
    <w:tmpl w:val="3F74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43F4F"/>
    <w:multiLevelType w:val="hybridMultilevel"/>
    <w:tmpl w:val="DC288A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BA95ACE"/>
    <w:multiLevelType w:val="hybridMultilevel"/>
    <w:tmpl w:val="AF32C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1D540C"/>
    <w:multiLevelType w:val="hybridMultilevel"/>
    <w:tmpl w:val="0E2899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49"/>
    <w:rsid w:val="00040D1F"/>
    <w:rsid w:val="00100CA1"/>
    <w:rsid w:val="00103C07"/>
    <w:rsid w:val="00111BC5"/>
    <w:rsid w:val="00114FF7"/>
    <w:rsid w:val="00122F5F"/>
    <w:rsid w:val="001248D4"/>
    <w:rsid w:val="001D2FE7"/>
    <w:rsid w:val="00246A61"/>
    <w:rsid w:val="00272A8B"/>
    <w:rsid w:val="002820D5"/>
    <w:rsid w:val="002B4CE1"/>
    <w:rsid w:val="002C50BA"/>
    <w:rsid w:val="002F2DFC"/>
    <w:rsid w:val="00356791"/>
    <w:rsid w:val="0038349F"/>
    <w:rsid w:val="003E08A1"/>
    <w:rsid w:val="00450B49"/>
    <w:rsid w:val="00496F64"/>
    <w:rsid w:val="004E161F"/>
    <w:rsid w:val="0051031A"/>
    <w:rsid w:val="0051649A"/>
    <w:rsid w:val="00523CCD"/>
    <w:rsid w:val="0055266C"/>
    <w:rsid w:val="005C4B07"/>
    <w:rsid w:val="005C5922"/>
    <w:rsid w:val="0060517A"/>
    <w:rsid w:val="006B11FC"/>
    <w:rsid w:val="006E3D06"/>
    <w:rsid w:val="00701C46"/>
    <w:rsid w:val="007C46B0"/>
    <w:rsid w:val="007D422B"/>
    <w:rsid w:val="007E3554"/>
    <w:rsid w:val="0082019A"/>
    <w:rsid w:val="00822A9B"/>
    <w:rsid w:val="008336C3"/>
    <w:rsid w:val="008450E5"/>
    <w:rsid w:val="008A5D4B"/>
    <w:rsid w:val="008B5C0D"/>
    <w:rsid w:val="00954BF9"/>
    <w:rsid w:val="009E5DFB"/>
    <w:rsid w:val="00A6662A"/>
    <w:rsid w:val="00A70EDC"/>
    <w:rsid w:val="00A800D5"/>
    <w:rsid w:val="00A8540F"/>
    <w:rsid w:val="00AB48CE"/>
    <w:rsid w:val="00AC7B32"/>
    <w:rsid w:val="00AD6312"/>
    <w:rsid w:val="00AD663A"/>
    <w:rsid w:val="00B85B09"/>
    <w:rsid w:val="00BA15AB"/>
    <w:rsid w:val="00BD2488"/>
    <w:rsid w:val="00C45341"/>
    <w:rsid w:val="00C87C05"/>
    <w:rsid w:val="00C91F90"/>
    <w:rsid w:val="00C9419C"/>
    <w:rsid w:val="00D15404"/>
    <w:rsid w:val="00D7176B"/>
    <w:rsid w:val="00DD024A"/>
    <w:rsid w:val="00E4663D"/>
    <w:rsid w:val="00E63BF1"/>
    <w:rsid w:val="00E70A6D"/>
    <w:rsid w:val="00E96E39"/>
    <w:rsid w:val="00F317B2"/>
    <w:rsid w:val="00F6438D"/>
    <w:rsid w:val="00F65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8F3C"/>
  <w15:chartTrackingRefBased/>
  <w15:docId w15:val="{5721E920-F5FD-43BA-BC4F-10D04580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50B49"/>
    <w:pPr>
      <w:tabs>
        <w:tab w:val="center" w:pos="4535"/>
        <w:tab w:val="right" w:pos="9071"/>
        <w:tab w:val="right" w:pos="9921"/>
      </w:tabs>
      <w:spacing w:before="360" w:after="0" w:line="257" w:lineRule="auto"/>
      <w:ind w:left="-850" w:right="-850"/>
      <w:jc w:val="both"/>
    </w:pPr>
    <w:rPr>
      <w:rFonts w:ascii="Times New Roman" w:eastAsiaTheme="minorEastAsia" w:hAnsi="Times New Roman" w:cs="Times New Roman"/>
      <w:sz w:val="24"/>
      <w:szCs w:val="24"/>
    </w:rPr>
  </w:style>
  <w:style w:type="character" w:customStyle="1" w:styleId="StopkaZnak">
    <w:name w:val="Stopka Znak"/>
    <w:basedOn w:val="Domylnaczcionkaakapitu"/>
    <w:link w:val="Stopka"/>
    <w:uiPriority w:val="99"/>
    <w:rsid w:val="00450B49"/>
    <w:rPr>
      <w:rFonts w:ascii="Times New Roman" w:eastAsiaTheme="minorEastAsia" w:hAnsi="Times New Roman" w:cs="Times New Roman"/>
      <w:sz w:val="24"/>
      <w:szCs w:val="24"/>
    </w:rPr>
  </w:style>
  <w:style w:type="paragraph" w:customStyle="1" w:styleId="Default">
    <w:name w:val="Default"/>
    <w:rsid w:val="00450B49"/>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HTML-wstpniesformatowany">
    <w:name w:val="HTML Preformatted"/>
    <w:basedOn w:val="Normalny"/>
    <w:link w:val="HTML-wstpniesformatowanyZnak"/>
    <w:uiPriority w:val="99"/>
    <w:unhideWhenUsed/>
    <w:rsid w:val="00450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50B49"/>
    <w:rPr>
      <w:rFonts w:ascii="Courier New" w:eastAsia="Times New Roman" w:hAnsi="Courier New" w:cs="Courier New"/>
      <w:sz w:val="20"/>
      <w:szCs w:val="20"/>
      <w:lang w:eastAsia="pl-PL"/>
    </w:rPr>
  </w:style>
  <w:style w:type="character" w:customStyle="1" w:styleId="rynqvb">
    <w:name w:val="rynqvb"/>
    <w:basedOn w:val="Domylnaczcionkaakapitu"/>
    <w:rsid w:val="00450B49"/>
  </w:style>
  <w:style w:type="paragraph" w:styleId="Akapitzlist">
    <w:name w:val="List Paragraph"/>
    <w:aliases w:val="numbered list,2,OBC Bullet,Normal 1,Task Body,Viñetas (Inicio Parrafo),Paragrafo elenco,3 Txt tabla,Zerrenda-paragrafoa,Fiche List Paragraph,Dot pt,F5 List Paragraph,List Paragraph1,No Spacing1,List Paragraph Char Char Char,Indicator Text"/>
    <w:basedOn w:val="Normalny"/>
    <w:link w:val="AkapitzlistZnak"/>
    <w:uiPriority w:val="34"/>
    <w:qFormat/>
    <w:rsid w:val="00272A8B"/>
    <w:pPr>
      <w:spacing w:line="257" w:lineRule="auto"/>
      <w:ind w:left="720"/>
      <w:contextualSpacing/>
      <w:jc w:val="both"/>
    </w:pPr>
    <w:rPr>
      <w:rFonts w:ascii="Times New Roman" w:eastAsia="Times New Roman" w:hAnsi="Times New Roman" w:cs="Times New Roman"/>
      <w:sz w:val="24"/>
      <w:szCs w:val="24"/>
    </w:rPr>
  </w:style>
  <w:style w:type="character" w:customStyle="1" w:styleId="AkapitzlistZnak">
    <w:name w:val="Akapit z listą Znak"/>
    <w:aliases w:val="numbered list Znak,2 Znak,OBC Bullet Znak,Normal 1 Znak,Task Body Znak,Viñetas (Inicio Parrafo) Znak,Paragrafo elenco Znak,3 Txt tabla Znak,Zerrenda-paragrafoa Znak,Fiche List Paragraph Znak,Dot pt Znak,F5 List Paragraph Znak"/>
    <w:basedOn w:val="Domylnaczcionkaakapitu"/>
    <w:link w:val="Akapitzlist"/>
    <w:uiPriority w:val="34"/>
    <w:qFormat/>
    <w:rsid w:val="00272A8B"/>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B11FC"/>
    <w:rPr>
      <w:sz w:val="16"/>
      <w:szCs w:val="16"/>
    </w:rPr>
  </w:style>
  <w:style w:type="paragraph" w:styleId="Tekstkomentarza">
    <w:name w:val="annotation text"/>
    <w:basedOn w:val="Normalny"/>
    <w:link w:val="TekstkomentarzaZnak"/>
    <w:uiPriority w:val="99"/>
    <w:semiHidden/>
    <w:unhideWhenUsed/>
    <w:rsid w:val="006B11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11FC"/>
    <w:rPr>
      <w:sz w:val="20"/>
      <w:szCs w:val="20"/>
    </w:rPr>
  </w:style>
  <w:style w:type="paragraph" w:customStyle="1" w:styleId="TekstpismaMF">
    <w:name w:val="Tekst pisma MF"/>
    <w:qFormat/>
    <w:rsid w:val="006B11FC"/>
    <w:pPr>
      <w:spacing w:before="240" w:after="0" w:line="260" w:lineRule="exact"/>
      <w:contextualSpacing/>
    </w:pPr>
    <w:rPr>
      <w:rFonts w:ascii="Lato" w:hAnsi="Lato"/>
    </w:rPr>
  </w:style>
  <w:style w:type="character" w:styleId="Hipercze">
    <w:name w:val="Hyperlink"/>
    <w:basedOn w:val="Domylnaczcionkaakapitu"/>
    <w:uiPriority w:val="99"/>
    <w:unhideWhenUsed/>
    <w:rsid w:val="00E70A6D"/>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A6662A"/>
    <w:rPr>
      <w:b/>
      <w:bCs/>
    </w:rPr>
  </w:style>
  <w:style w:type="character" w:customStyle="1" w:styleId="TematkomentarzaZnak">
    <w:name w:val="Temat komentarza Znak"/>
    <w:basedOn w:val="TekstkomentarzaZnak"/>
    <w:link w:val="Tematkomentarza"/>
    <w:uiPriority w:val="99"/>
    <w:semiHidden/>
    <w:rsid w:val="00A6662A"/>
    <w:rPr>
      <w:b/>
      <w:bCs/>
      <w:sz w:val="20"/>
      <w:szCs w:val="20"/>
    </w:rPr>
  </w:style>
  <w:style w:type="paragraph" w:styleId="Poprawka">
    <w:name w:val="Revision"/>
    <w:hidden/>
    <w:uiPriority w:val="99"/>
    <w:semiHidden/>
    <w:rsid w:val="00A6662A"/>
    <w:pPr>
      <w:spacing w:after="0" w:line="240" w:lineRule="auto"/>
    </w:pPr>
  </w:style>
  <w:style w:type="character" w:customStyle="1" w:styleId="y2iqfc">
    <w:name w:val="y2iqfc"/>
    <w:basedOn w:val="Domylnaczcionkaakapitu"/>
    <w:rsid w:val="0084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nte.gouv.fr/IMG/pdf/liste-medicaments-essentiels_acc.pdf?v=17090295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8720</Words>
  <Characters>52325</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Kałuża Robert</dc:creator>
  <cp:keywords/>
  <dc:description/>
  <cp:lastModifiedBy>Dziubek-Grudzińska Magdalena</cp:lastModifiedBy>
  <cp:revision>3</cp:revision>
  <cp:lastPrinted>2024-03-15T10:22:00Z</cp:lastPrinted>
  <dcterms:created xsi:type="dcterms:W3CDTF">2024-03-15T10:20:00Z</dcterms:created>
  <dcterms:modified xsi:type="dcterms:W3CDTF">2024-03-15T10:22:00Z</dcterms:modified>
</cp:coreProperties>
</file>