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D1BE2" w14:textId="77777777" w:rsidR="00523003" w:rsidRDefault="00523003" w:rsidP="00F070C3">
      <w:pPr>
        <w:pStyle w:val="OZNPROJEKTUwskazaniedatylubwersjiprojektu"/>
        <w:jc w:val="left"/>
      </w:pPr>
      <w:bookmarkStart w:id="0" w:name="_GoBack"/>
      <w:bookmarkEnd w:id="0"/>
    </w:p>
    <w:p w14:paraId="3E43AECE" w14:textId="54087BB3" w:rsidR="002D4237" w:rsidRPr="002D4237" w:rsidRDefault="002D4237" w:rsidP="00C60F22">
      <w:pPr>
        <w:pStyle w:val="OZNPROJEKTUwskazaniedatylubwersjiprojektu"/>
      </w:pPr>
      <w:r w:rsidRPr="002D4237">
        <w:t xml:space="preserve">Projekt </w:t>
      </w:r>
      <w:r w:rsidR="00245054">
        <w:t xml:space="preserve">z dnia </w:t>
      </w:r>
      <w:r w:rsidR="001E62E8">
        <w:t>0</w:t>
      </w:r>
      <w:r w:rsidR="009F2954">
        <w:t>6</w:t>
      </w:r>
      <w:r w:rsidR="00245054">
        <w:t xml:space="preserve"> września </w:t>
      </w:r>
      <w:r w:rsidRPr="002D4237">
        <w:t>2023 r.</w:t>
      </w:r>
    </w:p>
    <w:p w14:paraId="4595D87F" w14:textId="282E952B" w:rsidR="002D4237" w:rsidRDefault="001E62E8" w:rsidP="001E62E8">
      <w:pPr>
        <w:pStyle w:val="OZNRODZAKTUtznustawalubrozporzdzenieiorganwydajcy"/>
        <w:tabs>
          <w:tab w:val="center" w:pos="4527"/>
          <w:tab w:val="right" w:pos="9054"/>
        </w:tabs>
        <w:jc w:val="left"/>
      </w:pPr>
      <w:r>
        <w:tab/>
      </w:r>
      <w:r w:rsidR="006067A7">
        <w:t>rozporządzenie</w:t>
      </w:r>
      <w:r>
        <w:tab/>
      </w:r>
    </w:p>
    <w:p w14:paraId="209F5ACD" w14:textId="77777777" w:rsidR="006067A7" w:rsidRPr="006067A7" w:rsidRDefault="006067A7" w:rsidP="006067A7">
      <w:pPr>
        <w:pStyle w:val="OZNRODZAKTUtznustawalubrozporzdzenieiorganwydajcy"/>
      </w:pPr>
      <w:r>
        <w:t>ministra cyfryzacji</w:t>
      </w:r>
      <w:r w:rsidRPr="002F5C0D">
        <w:rPr>
          <w:rStyle w:val="IGindeksgrny"/>
        </w:rPr>
        <w:footnoteReference w:id="1"/>
      </w:r>
      <w:r w:rsidRPr="002F5C0D">
        <w:rPr>
          <w:rStyle w:val="IGindeksgrny"/>
        </w:rPr>
        <w:t>)</w:t>
      </w:r>
    </w:p>
    <w:p w14:paraId="1C6B3C12" w14:textId="647E56FE" w:rsidR="002D4237" w:rsidRPr="002D4237" w:rsidRDefault="002D4237" w:rsidP="002D4237">
      <w:pPr>
        <w:pStyle w:val="DATAAKTUdatauchwalenialubwydaniaaktu"/>
      </w:pPr>
      <w:r w:rsidRPr="002D4237">
        <w:t>z dnia</w:t>
      </w:r>
      <w:r w:rsidR="00245054">
        <w:t xml:space="preserve"> </w:t>
      </w:r>
      <w:r w:rsidRPr="002D4237">
        <w:t>… 2023 r.</w:t>
      </w:r>
    </w:p>
    <w:p w14:paraId="58EC50F6" w14:textId="11CEF99F" w:rsidR="002D4237" w:rsidRDefault="00CD7B27" w:rsidP="002D4237">
      <w:pPr>
        <w:pStyle w:val="TYTUAKTUprzedmiotregulacjiustawylubrozporzdzenia"/>
        <w:rPr>
          <w:rStyle w:val="IGindeksgrny"/>
        </w:rPr>
      </w:pPr>
      <w:r w:rsidRPr="00CD7B27">
        <w:t xml:space="preserve">w sprawie udzielania </w:t>
      </w:r>
      <w:r w:rsidRPr="00C81B56">
        <w:t xml:space="preserve">pomocy publicznej i pomocy </w:t>
      </w:r>
      <w:r w:rsidRPr="00C81B56">
        <w:rPr>
          <w:rStyle w:val="Kkursywa"/>
        </w:rPr>
        <w:t>de minimis</w:t>
      </w:r>
      <w:r w:rsidR="00355CD1" w:rsidRPr="00C81B56">
        <w:t xml:space="preserve"> </w:t>
      </w:r>
      <w:r w:rsidR="00355CD1">
        <w:t>na cyfrową dostępność i </w:t>
      </w:r>
      <w:r w:rsidRPr="00CD7B27">
        <w:t>ponowne wykorzy</w:t>
      </w:r>
      <w:r w:rsidR="00C8704B">
        <w:t>sta</w:t>
      </w:r>
      <w:r w:rsidRPr="00CD7B27">
        <w:t xml:space="preserve">nie informacji w ramach </w:t>
      </w:r>
      <w:r w:rsidR="00C8704B">
        <w:t>p</w:t>
      </w:r>
      <w:r w:rsidRPr="00CD7B27">
        <w:t xml:space="preserve">rogramu Fundusze Europejskie na Rozwój Cyfrowy </w:t>
      </w:r>
      <w:r w:rsidR="00FD44A3" w:rsidRPr="002F2E02">
        <w:t>2021</w:t>
      </w:r>
      <w:r w:rsidR="00FD44A3">
        <w:rPr>
          <w:rFonts w:cs="Times"/>
        </w:rPr>
        <w:t>‒</w:t>
      </w:r>
      <w:r w:rsidR="00FD44A3" w:rsidRPr="002F2E02">
        <w:t>2027</w:t>
      </w:r>
      <w:r w:rsidR="002D4237" w:rsidRPr="0060435B">
        <w:rPr>
          <w:rStyle w:val="IGindeksgrny"/>
        </w:rPr>
        <w:footnoteReference w:id="2"/>
      </w:r>
      <w:r w:rsidR="002D4237" w:rsidRPr="0060435B">
        <w:rPr>
          <w:rStyle w:val="IGindeksgrny"/>
        </w:rPr>
        <w:t>)</w:t>
      </w:r>
    </w:p>
    <w:p w14:paraId="7CEABFB6" w14:textId="31DCB592" w:rsidR="002E566F" w:rsidRPr="00355CD1" w:rsidRDefault="002E566F" w:rsidP="00355CD1">
      <w:pPr>
        <w:pStyle w:val="NIEARTTEKSTtekstnieartykuowanynppodstprawnarozplubpreambua"/>
        <w:rPr>
          <w:rStyle w:val="Ppogrubienie"/>
          <w:b w:val="0"/>
        </w:rPr>
      </w:pPr>
      <w:r>
        <w:t xml:space="preserve">Na podstawie art. </w:t>
      </w:r>
      <w:r w:rsidR="00355CD1">
        <w:t>30</w:t>
      </w:r>
      <w:r>
        <w:t xml:space="preserve"> ust. 4 </w:t>
      </w:r>
      <w:r w:rsidR="00355CD1">
        <w:t>ustawy z dnia 28 kwietnia 2022 r. o zasadach realizacji zadań finansowanych ze środków europejskich w perspektywie finansowej 2021–2027 (Dz. U. poz. 1079) zarządza się, co następuje</w:t>
      </w:r>
      <w:r w:rsidR="00213A67">
        <w:t>:</w:t>
      </w:r>
    </w:p>
    <w:p w14:paraId="54C99ADB" w14:textId="45A633BF" w:rsidR="009354BE" w:rsidRPr="009354BE" w:rsidRDefault="00355CD1" w:rsidP="009354BE">
      <w:pPr>
        <w:pStyle w:val="ARTartustawynprozporzdzenia"/>
      </w:pPr>
      <w:r w:rsidRPr="009354BE">
        <w:rPr>
          <w:rStyle w:val="Ppogrubienie"/>
        </w:rPr>
        <w:lastRenderedPageBreak/>
        <w:t>§</w:t>
      </w:r>
      <w:r w:rsidR="00462F1F">
        <w:rPr>
          <w:rStyle w:val="Ppogrubienie"/>
        </w:rPr>
        <w:t xml:space="preserve"> </w:t>
      </w:r>
      <w:r w:rsidR="002D4237" w:rsidRPr="009354BE">
        <w:rPr>
          <w:rStyle w:val="Ppogrubienie"/>
        </w:rPr>
        <w:t>1</w:t>
      </w:r>
      <w:r w:rsidR="002D4237" w:rsidRPr="009354BE">
        <w:rPr>
          <w:rStyle w:val="Ppogrubienie"/>
          <w:b w:val="0"/>
        </w:rPr>
        <w:t>.</w:t>
      </w:r>
      <w:r w:rsidR="00462F1F">
        <w:t xml:space="preserve"> </w:t>
      </w:r>
      <w:r w:rsidRPr="009354BE">
        <w:t>Rozporządzenie określa szczegółowe przeznaczenie, warunki i tryb udzielania przez Centrum Projektów Polska</w:t>
      </w:r>
      <w:r w:rsidR="00DB01A4" w:rsidRPr="009354BE">
        <w:t xml:space="preserve"> </w:t>
      </w:r>
      <w:r w:rsidRPr="00C81B56">
        <w:t xml:space="preserve">Cyfrowa pomocy publicznej i pomocy </w:t>
      </w:r>
      <w:r w:rsidRPr="00C81B56">
        <w:rPr>
          <w:rStyle w:val="Kkursywa"/>
        </w:rPr>
        <w:t>de minimis</w:t>
      </w:r>
      <w:r w:rsidRPr="00C81B56">
        <w:t xml:space="preserve"> </w:t>
      </w:r>
      <w:r w:rsidRPr="009354BE">
        <w:t xml:space="preserve">w ramach </w:t>
      </w:r>
      <w:r w:rsidR="00060752" w:rsidRPr="009354BE">
        <w:t xml:space="preserve">działania 2.3 </w:t>
      </w:r>
      <w:r w:rsidR="00FD43F6" w:rsidRPr="009354BE">
        <w:t xml:space="preserve">Cyfrowa dostępność i ponowne wykorzystanie informacji </w:t>
      </w:r>
      <w:r w:rsidR="00060752" w:rsidRPr="009354BE">
        <w:t>w</w:t>
      </w:r>
      <w:r w:rsidR="00DB01A4" w:rsidRPr="009354BE">
        <w:t xml:space="preserve"> </w:t>
      </w:r>
      <w:r w:rsidR="00FD3B6A">
        <w:t>p</w:t>
      </w:r>
      <w:r w:rsidR="00DB01A4" w:rsidRPr="009354BE">
        <w:t>rogram</w:t>
      </w:r>
      <w:r w:rsidR="00060752" w:rsidRPr="009354BE">
        <w:t>ie</w:t>
      </w:r>
      <w:r w:rsidR="00DB01A4" w:rsidRPr="009354BE">
        <w:t xml:space="preserve"> Fundusze Europejskie na Rozwój Cyfrowy 2021</w:t>
      </w:r>
      <w:r w:rsidR="00D30B78">
        <w:rPr>
          <w:rFonts w:cs="Times"/>
        </w:rPr>
        <w:t>‒</w:t>
      </w:r>
      <w:r w:rsidR="00DB01A4" w:rsidRPr="009354BE">
        <w:t>2027</w:t>
      </w:r>
      <w:r w:rsidR="00A54F99" w:rsidRPr="009354BE">
        <w:t>, zwanego dalej</w:t>
      </w:r>
      <w:r w:rsidR="00060752" w:rsidRPr="009354BE">
        <w:t xml:space="preserve"> „</w:t>
      </w:r>
      <w:r w:rsidR="00A54F99" w:rsidRPr="009354BE">
        <w:t>dział</w:t>
      </w:r>
      <w:r w:rsidR="00060752" w:rsidRPr="009354BE">
        <w:t>aniem</w:t>
      </w:r>
      <w:r w:rsidR="00A54F99" w:rsidRPr="009354BE">
        <w:t xml:space="preserve"> 2.3</w:t>
      </w:r>
      <w:r w:rsidR="00060752" w:rsidRPr="009354BE">
        <w:t>”</w:t>
      </w:r>
      <w:r w:rsidR="00C730B1" w:rsidRPr="009354BE">
        <w:t>.</w:t>
      </w:r>
    </w:p>
    <w:p w14:paraId="5546B992" w14:textId="77777777" w:rsidR="009354BE" w:rsidRDefault="009354BE" w:rsidP="008244A1">
      <w:pPr>
        <w:pStyle w:val="ARTartustawynprozporzdzenia"/>
      </w:pPr>
      <w:r w:rsidRPr="009354BE">
        <w:rPr>
          <w:rStyle w:val="Ppogrubienie"/>
        </w:rPr>
        <w:t>§ 2</w:t>
      </w:r>
      <w:r w:rsidRPr="009354BE">
        <w:t>. Ilekroć w rozporządzeniu jest mowa o:</w:t>
      </w:r>
    </w:p>
    <w:p w14:paraId="54D6BBE5" w14:textId="77777777" w:rsidR="00D260A8" w:rsidRDefault="00462F1F" w:rsidP="00BC4A36">
      <w:pPr>
        <w:pStyle w:val="PKTpunkt"/>
      </w:pPr>
      <w:r>
        <w:t>1)</w:t>
      </w:r>
      <w:r w:rsidR="008244A1">
        <w:tab/>
      </w:r>
      <w:r w:rsidR="009354BE">
        <w:t>dniu udzielenia pomocy – należy przez to ro</w:t>
      </w:r>
      <w:r w:rsidR="008244A1">
        <w:t>zumieć dzień podpisania umowy o </w:t>
      </w:r>
      <w:r w:rsidR="009354BE">
        <w:t>dofinansowanie;</w:t>
      </w:r>
    </w:p>
    <w:p w14:paraId="62D8D941" w14:textId="740F56A0" w:rsidR="00BC4A36" w:rsidRDefault="00FD44A3" w:rsidP="00BC4A36">
      <w:pPr>
        <w:pStyle w:val="PKTpunkt"/>
      </w:pPr>
      <w:r>
        <w:t>2</w:t>
      </w:r>
      <w:r w:rsidR="00462F1F">
        <w:t>)</w:t>
      </w:r>
      <w:r w:rsidR="008244A1">
        <w:tab/>
      </w:r>
      <w:r w:rsidR="009354BE">
        <w:t>intensywności wsparcia – należy przez to rozumieć intensywność pomocy</w:t>
      </w:r>
      <w:r w:rsidR="00245054">
        <w:t xml:space="preserve">, o której mowa w </w:t>
      </w:r>
      <w:r w:rsidR="009354BE">
        <w:t>art. 2 pkt 26 rozporządzenia</w:t>
      </w:r>
      <w:r w:rsidR="008244A1">
        <w:t xml:space="preserve"> </w:t>
      </w:r>
      <w:r w:rsidR="009354BE">
        <w:t>Komisji (UE) nr 651/2014</w:t>
      </w:r>
      <w:r w:rsidR="008244A1" w:rsidRPr="008244A1">
        <w:t xml:space="preserve"> z dnia 17 czerwca 2014 r. uznające</w:t>
      </w:r>
      <w:r w:rsidR="008244A1">
        <w:t>go</w:t>
      </w:r>
      <w:r w:rsidR="008244A1" w:rsidRPr="008244A1">
        <w:t xml:space="preserve"> niektóre rodzaje pomocy za zgodne z rynkiem wewnętrznym w zastosowaniu art. 107 i 108 Traktatu </w:t>
      </w:r>
      <w:r w:rsidR="008244A1">
        <w:t>(Dz. Urz. UE L 187 z 26.06.2014, str. 1, z późn. zm.</w:t>
      </w:r>
      <w:r w:rsidR="001C4884">
        <w:rPr>
          <w:rStyle w:val="Odwoanieprzypisudolnego"/>
        </w:rPr>
        <w:footnoteReference w:id="3"/>
      </w:r>
      <w:r w:rsidR="00D65833" w:rsidRPr="00D65833">
        <w:rPr>
          <w:rStyle w:val="IGindeksgrny"/>
        </w:rPr>
        <w:t>)</w:t>
      </w:r>
      <w:r w:rsidR="008244A1">
        <w:t>), zwanego dalej „rozporządzeniem Komisji (UE) nr 651/2014”</w:t>
      </w:r>
      <w:r w:rsidR="00ED73EF">
        <w:t>;</w:t>
      </w:r>
    </w:p>
    <w:p w14:paraId="68E4A987" w14:textId="04F5453C" w:rsidR="00D260A8" w:rsidRDefault="00FD44A3" w:rsidP="00214719">
      <w:pPr>
        <w:pStyle w:val="PKTpunkt"/>
      </w:pPr>
      <w:r>
        <w:lastRenderedPageBreak/>
        <w:t>3</w:t>
      </w:r>
      <w:r w:rsidR="00462F1F">
        <w:t>)</w:t>
      </w:r>
      <w:r w:rsidR="00F221D3">
        <w:tab/>
      </w:r>
      <w:r w:rsidR="009354BE">
        <w:t>inwestycji początkowej – należy przez to rozumieć inwestycję początkową</w:t>
      </w:r>
      <w:r w:rsidR="00245054">
        <w:t xml:space="preserve">, o której mowa w </w:t>
      </w:r>
      <w:r w:rsidR="009354BE">
        <w:t>art. 2 pkt 49 rozporządzenia</w:t>
      </w:r>
      <w:r w:rsidR="00F221D3">
        <w:t xml:space="preserve"> </w:t>
      </w:r>
      <w:r w:rsidR="009354BE">
        <w:t>Komisji (UE) nr 651/2014;</w:t>
      </w:r>
    </w:p>
    <w:p w14:paraId="7F29558E" w14:textId="1D9EE315" w:rsidR="009354BE" w:rsidRDefault="00FD44A3" w:rsidP="00214719">
      <w:pPr>
        <w:pStyle w:val="PKTpunkt"/>
      </w:pPr>
      <w:r>
        <w:t>4</w:t>
      </w:r>
      <w:r w:rsidR="00462F1F">
        <w:t>)</w:t>
      </w:r>
      <w:r w:rsidR="00503377" w:rsidRPr="00C81B56">
        <w:tab/>
      </w:r>
      <w:r w:rsidR="009354BE" w:rsidRPr="00C81B56">
        <w:t>jednym przedsiębiorcy – należy przez to rozumieć jednego przedsiębiorcę</w:t>
      </w:r>
      <w:r w:rsidR="00245054">
        <w:t xml:space="preserve">, o którym mowa w </w:t>
      </w:r>
      <w:r w:rsidR="009354BE" w:rsidRPr="00C81B56">
        <w:t>art. 2 pkt 2 rozporządzenia</w:t>
      </w:r>
      <w:r w:rsidR="00503377" w:rsidRPr="00C81B56">
        <w:t xml:space="preserve"> </w:t>
      </w:r>
      <w:r w:rsidR="00214719" w:rsidRPr="00C81B56">
        <w:t xml:space="preserve">Komisji (UE) nr 1407/2013 z dnia 18 grudnia 2013 r. w sprawie stosowania art. 107 i 108 Traktatu o funkcjonowaniu Unii Europejskiej do pomocy </w:t>
      </w:r>
      <w:r w:rsidR="00214719" w:rsidRPr="00C81B56">
        <w:rPr>
          <w:rStyle w:val="Kkursywa"/>
        </w:rPr>
        <w:t>de minimis</w:t>
      </w:r>
      <w:r w:rsidR="00214719" w:rsidRPr="00C81B56">
        <w:t xml:space="preserve"> (Dz. Urz. UE L 352 z 24.12.2013, </w:t>
      </w:r>
      <w:r w:rsidR="007C64C8">
        <w:t>str. 1 oraz Dz. Urz. UE L 215 z </w:t>
      </w:r>
      <w:r w:rsidR="00214719" w:rsidRPr="00C81B56">
        <w:t>07.07.2020, str. 3), zwan</w:t>
      </w:r>
      <w:r w:rsidR="00245054">
        <w:t>ego</w:t>
      </w:r>
      <w:r w:rsidR="00214719" w:rsidRPr="00C81B56">
        <w:t xml:space="preserve"> dalej „rozporządzeniem Komisji (UE) nr 1407/2013”</w:t>
      </w:r>
      <w:r w:rsidR="009354BE" w:rsidRPr="00C81B56">
        <w:t>;</w:t>
      </w:r>
    </w:p>
    <w:p w14:paraId="6FC4124F" w14:textId="14726FC8" w:rsidR="009354BE" w:rsidRDefault="00FD44A3" w:rsidP="00863BCE">
      <w:pPr>
        <w:pStyle w:val="PKTpunkt"/>
      </w:pPr>
      <w:r>
        <w:t>5</w:t>
      </w:r>
      <w:r w:rsidR="00462F1F">
        <w:t>)</w:t>
      </w:r>
      <w:r w:rsidR="00863BCE">
        <w:tab/>
      </w:r>
      <w:r w:rsidR="009354BE">
        <w:t>rozpoczęciu realizacji projektu – należy przez to rozumieć rozpoczęcie prac</w:t>
      </w:r>
      <w:r w:rsidR="00245054">
        <w:t xml:space="preserve">, o którym mowa w </w:t>
      </w:r>
      <w:r w:rsidR="009354BE">
        <w:t>art. 2 pkt 23 rozporządzenia</w:t>
      </w:r>
      <w:r w:rsidR="00863BCE">
        <w:t xml:space="preserve"> </w:t>
      </w:r>
      <w:r w:rsidR="009354BE">
        <w:t>Komisji (UE) nr 651/2014;</w:t>
      </w:r>
    </w:p>
    <w:p w14:paraId="4FFF45ED" w14:textId="2BF8DADF" w:rsidR="009354BE" w:rsidRDefault="00FD44A3" w:rsidP="00863BCE">
      <w:pPr>
        <w:pStyle w:val="PKTpunkt"/>
      </w:pPr>
      <w:r>
        <w:t>6</w:t>
      </w:r>
      <w:r w:rsidR="00462F1F">
        <w:t>)</w:t>
      </w:r>
      <w:r w:rsidR="00863BCE">
        <w:tab/>
      </w:r>
      <w:r w:rsidR="009354BE">
        <w:t>środkach trwałych – należy przez to rozumieć środki trwałe, o których mowa w art. 3 ust. 1 pkt 15 ustawy z dnia</w:t>
      </w:r>
      <w:r w:rsidR="00863BCE">
        <w:t xml:space="preserve"> </w:t>
      </w:r>
      <w:r w:rsidR="009354BE">
        <w:t>29 września 1994 r. o rachunkowości (Dz. U. z 20</w:t>
      </w:r>
      <w:r w:rsidR="002D4825">
        <w:t>2</w:t>
      </w:r>
      <w:r w:rsidR="009354BE">
        <w:t xml:space="preserve">3 r. poz. </w:t>
      </w:r>
      <w:r w:rsidR="002D4825">
        <w:t>120</w:t>
      </w:r>
      <w:r>
        <w:t>,</w:t>
      </w:r>
      <w:r w:rsidR="002D4825">
        <w:t xml:space="preserve"> 295</w:t>
      </w:r>
      <w:r>
        <w:t xml:space="preserve"> i 1598</w:t>
      </w:r>
      <w:r w:rsidR="009354BE">
        <w:t>);</w:t>
      </w:r>
    </w:p>
    <w:p w14:paraId="0F2A7E3A" w14:textId="04F16612" w:rsidR="0014191F" w:rsidRDefault="00FD44A3" w:rsidP="0014191F">
      <w:pPr>
        <w:pStyle w:val="PKTpunkt"/>
      </w:pPr>
      <w:r>
        <w:t>7</w:t>
      </w:r>
      <w:r w:rsidR="00462F1F">
        <w:t>)</w:t>
      </w:r>
      <w:r w:rsidR="002D4825">
        <w:tab/>
      </w:r>
      <w:r w:rsidR="009354BE">
        <w:t>wartościach niematerialnych i prawnych – należy przez to rozumieć wartości niematerialne i prawne, o których mowa</w:t>
      </w:r>
      <w:r w:rsidR="002D4825">
        <w:t xml:space="preserve"> </w:t>
      </w:r>
      <w:r w:rsidR="009354BE">
        <w:t>w art. 3 ust. 1 pkt 14 ustawy z dnia 29 września 1994 r. o rachunkowości.</w:t>
      </w:r>
    </w:p>
    <w:p w14:paraId="6C392479" w14:textId="77777777" w:rsidR="005539CC" w:rsidRPr="006A6503" w:rsidRDefault="0014191F" w:rsidP="006A6503">
      <w:pPr>
        <w:pStyle w:val="ARTartustawynprozporzdzenia"/>
      </w:pPr>
      <w:r w:rsidRPr="0014191F">
        <w:rPr>
          <w:rStyle w:val="Ppogrubienie"/>
        </w:rPr>
        <w:t>§ 3</w:t>
      </w:r>
      <w:r>
        <w:t xml:space="preserve">. Pomoc jest udzielana w formie bezzwrotnego wsparcia finansowego, zwanego dalej „wsparciem”, przeznaczonego na pokrycie części wydatków </w:t>
      </w:r>
      <w:r>
        <w:lastRenderedPageBreak/>
        <w:t xml:space="preserve">kwalifikujących się do objęcia wsparciem na </w:t>
      </w:r>
      <w:r w:rsidR="00332701" w:rsidRPr="00332701">
        <w:t>cyfrową</w:t>
      </w:r>
      <w:r w:rsidR="00FD59C4" w:rsidRPr="00FD59C4">
        <w:t xml:space="preserve"> dostępność i ponowne wykorzystanie informacji</w:t>
      </w:r>
      <w:r w:rsidR="00A32E80">
        <w:t>.</w:t>
      </w:r>
    </w:p>
    <w:p w14:paraId="67393901" w14:textId="77777777" w:rsidR="005539CC" w:rsidRPr="003913FE" w:rsidRDefault="005539CC" w:rsidP="005539CC">
      <w:pPr>
        <w:pStyle w:val="ARTartustawynprozporzdzenia"/>
      </w:pPr>
      <w:r w:rsidRPr="00E42941">
        <w:rPr>
          <w:rStyle w:val="Ppogrubienie"/>
        </w:rPr>
        <w:t>§ 4</w:t>
      </w:r>
      <w:r w:rsidRPr="00E42941">
        <w:t xml:space="preserve">. 1. Wsparcie udzielane w ramach działania 2.3 w odniesieniu do wydatków, o których mowa w § </w:t>
      </w:r>
      <w:r w:rsidR="00C227B2">
        <w:t>9 ust. 2</w:t>
      </w:r>
      <w:r w:rsidRPr="00E42941">
        <w:t>, może stanowić:</w:t>
      </w:r>
    </w:p>
    <w:p w14:paraId="194CCFBB" w14:textId="16024C45" w:rsidR="005539CC" w:rsidRPr="00C81B56" w:rsidRDefault="007C64C8" w:rsidP="005539CC">
      <w:pPr>
        <w:pStyle w:val="PKTpunkt"/>
      </w:pPr>
      <w:r>
        <w:t>1)</w:t>
      </w:r>
      <w:r w:rsidR="00245054">
        <w:rPr>
          <w:color w:val="FF0000"/>
        </w:rPr>
        <w:tab/>
      </w:r>
      <w:r w:rsidR="005539CC" w:rsidRPr="00446BFF">
        <w:t xml:space="preserve">pomoc </w:t>
      </w:r>
      <w:r w:rsidR="005539CC" w:rsidRPr="00446BFF">
        <w:rPr>
          <w:rStyle w:val="Kkursywa"/>
        </w:rPr>
        <w:t>de minimis</w:t>
      </w:r>
      <w:r w:rsidR="005539CC" w:rsidRPr="00446BFF">
        <w:t xml:space="preserve"> i jest udzielane zgodnie z warunkami określonymi w rozporządzeniu Komisji (UE) nr 1407/2013;</w:t>
      </w:r>
    </w:p>
    <w:p w14:paraId="32C9EFC8" w14:textId="77777777" w:rsidR="00EF2EB2" w:rsidRDefault="007C64C8" w:rsidP="00EF2EB2">
      <w:pPr>
        <w:pStyle w:val="PKTpunkt"/>
      </w:pPr>
      <w:r>
        <w:t>2)</w:t>
      </w:r>
      <w:r w:rsidR="005539CC" w:rsidRPr="00C81B56">
        <w:tab/>
        <w:t>regionalną pomoc inwestycyjną i jest udzielane zg</w:t>
      </w:r>
      <w:r w:rsidR="003913FE" w:rsidRPr="00C81B56">
        <w:t>odnie z</w:t>
      </w:r>
      <w:r w:rsidR="00944ADC" w:rsidRPr="00944ADC">
        <w:t xml:space="preserve"> </w:t>
      </w:r>
      <w:r w:rsidR="00944ADC" w:rsidRPr="00C81B56">
        <w:t>warunkami określonymi</w:t>
      </w:r>
      <w:r w:rsidR="00944ADC">
        <w:t xml:space="preserve"> w</w:t>
      </w:r>
      <w:r w:rsidR="00EF2EB2">
        <w:t>:</w:t>
      </w:r>
    </w:p>
    <w:p w14:paraId="0800A400" w14:textId="77777777" w:rsidR="00EF2EB2" w:rsidRDefault="00EF2EB2" w:rsidP="00EF2EB2">
      <w:pPr>
        <w:pStyle w:val="LITlitera"/>
      </w:pPr>
      <w:r>
        <w:t>a)</w:t>
      </w:r>
      <w:r>
        <w:tab/>
      </w:r>
      <w:r w:rsidR="005539CC" w:rsidRPr="00C81B56">
        <w:t xml:space="preserve">przepisach </w:t>
      </w:r>
      <w:r w:rsidR="005539CC" w:rsidRPr="00410F3F">
        <w:t xml:space="preserve">rozdziału I i art. 14 </w:t>
      </w:r>
      <w:r w:rsidR="005539CC" w:rsidRPr="00C81B56">
        <w:t>rozporzą</w:t>
      </w:r>
      <w:r w:rsidR="00FE3CB8">
        <w:t>dzenia Komisji (UE) nr 651/2014</w:t>
      </w:r>
      <w:r>
        <w:t>,</w:t>
      </w:r>
    </w:p>
    <w:p w14:paraId="1BA04D66" w14:textId="499F0C0D" w:rsidR="00B87122" w:rsidRPr="00C81B56" w:rsidRDefault="007C64C8" w:rsidP="00EF2EB2">
      <w:pPr>
        <w:pStyle w:val="LITlitera"/>
      </w:pPr>
      <w:r>
        <w:t>b)</w:t>
      </w:r>
      <w:r w:rsidR="00EF2EB2">
        <w:tab/>
      </w:r>
      <w:r w:rsidR="00FE3CB8">
        <w:t>przepisa</w:t>
      </w:r>
      <w:r w:rsidR="00944ADC">
        <w:t xml:space="preserve">ch wydanych </w:t>
      </w:r>
      <w:r w:rsidR="00FE3CB8">
        <w:t xml:space="preserve">na podstawie art. 10 ust. 2 ustawy </w:t>
      </w:r>
      <w:r w:rsidR="00EF2EB2">
        <w:t>z dnia 30 kwietnia 2004 </w:t>
      </w:r>
      <w:r w:rsidR="00FE3CB8" w:rsidRPr="00FE3CB8">
        <w:t>r. o postępowaniu w sprawach dotyczących pomocy publicznej</w:t>
      </w:r>
      <w:r w:rsidR="00EF2EB2">
        <w:t xml:space="preserve"> (Dz. U. z 2023 </w:t>
      </w:r>
      <w:r w:rsidR="00F71A6F">
        <w:t xml:space="preserve">r. </w:t>
      </w:r>
      <w:r w:rsidR="00EF2EB2">
        <w:t>poz. 702);</w:t>
      </w:r>
    </w:p>
    <w:p w14:paraId="6FC5FAC6" w14:textId="77777777" w:rsidR="005539CC" w:rsidRDefault="007C64C8" w:rsidP="005539CC">
      <w:pPr>
        <w:pStyle w:val="PKTpunkt"/>
      </w:pPr>
      <w:r>
        <w:t>3)</w:t>
      </w:r>
      <w:r w:rsidR="005539CC" w:rsidRPr="00C81B56">
        <w:tab/>
        <w:t xml:space="preserve">pomoc na szkolenia, o ile są niezbędne do osiągnięcia zasadniczego celu projektu; wsparcie to jest udzielane zgodnie z warunkami określonymi w </w:t>
      </w:r>
      <w:r w:rsidR="005539CC" w:rsidRPr="00AF61BD">
        <w:t xml:space="preserve">rozdz. I i art. 31 </w:t>
      </w:r>
      <w:r w:rsidR="005539CC" w:rsidRPr="00E42941">
        <w:t>rozporządzenia Komisji (UE) nr 651/2014</w:t>
      </w:r>
      <w:r w:rsidR="00531C3F">
        <w:t>;</w:t>
      </w:r>
    </w:p>
    <w:p w14:paraId="19326B07" w14:textId="77777777" w:rsidR="00E959CD" w:rsidRPr="00C81B56" w:rsidRDefault="00E959CD" w:rsidP="00E959CD">
      <w:pPr>
        <w:pStyle w:val="PKTpunkt"/>
      </w:pPr>
      <w:r>
        <w:t>4)</w:t>
      </w:r>
      <w:r>
        <w:tab/>
        <w:t>pomoc na kulturę i zachowanie dziedzictwa kulturowego i jest udzielane zgod</w:t>
      </w:r>
      <w:r w:rsidR="007C64C8">
        <w:t>nie z </w:t>
      </w:r>
      <w:r>
        <w:t xml:space="preserve">warunkami określonymi w </w:t>
      </w:r>
      <w:r w:rsidRPr="00AF61BD">
        <w:t xml:space="preserve">rozdz. I i art. 53 rozporządzenia </w:t>
      </w:r>
      <w:r>
        <w:t>Komisji (UE) nr 651/2014</w:t>
      </w:r>
      <w:r w:rsidR="00184AB1">
        <w:t>.</w:t>
      </w:r>
    </w:p>
    <w:p w14:paraId="3E40B100" w14:textId="77777777" w:rsidR="0000662E" w:rsidRDefault="000B07B4" w:rsidP="009225FD">
      <w:pPr>
        <w:pStyle w:val="USTustnpkodeksu"/>
      </w:pPr>
      <w:r w:rsidRPr="00F7137A">
        <w:lastRenderedPageBreak/>
        <w:t>2</w:t>
      </w:r>
      <w:r w:rsidR="00A7349B" w:rsidRPr="00F7137A">
        <w:t>. Wsparcie, o którym mowa w ust. 1 pkt 1, udzielone jednemu przedsiębiorcy nie może doprowadzić do przekroczenia w bieżącym roku podatkowym oraz w ciągu dwóch poprzednich lat podatkowych</w:t>
      </w:r>
      <w:r w:rsidR="00A7349B" w:rsidRPr="00F7137A">
        <w:rPr>
          <w:rStyle w:val="Ppogrubienie"/>
        </w:rPr>
        <w:t xml:space="preserve"> </w:t>
      </w:r>
      <w:r w:rsidR="00A7349B" w:rsidRPr="00F7137A">
        <w:t>równowartości 200 000 euro, a w odniesieniu do przedsiębiorców prowadzących działalność gospodarczą w zakresie drogowego transportu towarów – równowartości 100 000 euro.</w:t>
      </w:r>
    </w:p>
    <w:p w14:paraId="52D33573" w14:textId="77777777" w:rsidR="002F15EF" w:rsidRPr="00C61F32" w:rsidRDefault="006D372F" w:rsidP="00244D32">
      <w:pPr>
        <w:pStyle w:val="ARTartustawynprozporzdzenia"/>
      </w:pPr>
      <w:r w:rsidRPr="00F413C8">
        <w:rPr>
          <w:rStyle w:val="Ppogrubienie"/>
        </w:rPr>
        <w:t>§ 5</w:t>
      </w:r>
      <w:r w:rsidRPr="00F413C8">
        <w:t xml:space="preserve">. </w:t>
      </w:r>
      <w:r w:rsidR="002F15EF" w:rsidRPr="00F413C8">
        <w:t>1. Wsparcie, o którym mowa w § 4:</w:t>
      </w:r>
    </w:p>
    <w:p w14:paraId="0BB65E90" w14:textId="77777777" w:rsidR="002F15EF" w:rsidRPr="0082749B" w:rsidRDefault="007C64C8" w:rsidP="00244D32">
      <w:pPr>
        <w:pStyle w:val="PKTpunkt"/>
      </w:pPr>
      <w:r>
        <w:t>1)</w:t>
      </w:r>
      <w:r w:rsidR="00244D32" w:rsidRPr="00C61F32">
        <w:tab/>
      </w:r>
      <w:r w:rsidR="002F15EF" w:rsidRPr="00C61F32">
        <w:t>ust. 1 pkt 1, nie może być udzielone w przypadkach, o których mowa w art. 1 rozporządzenia Komisji (UE) nr 1407/2013;</w:t>
      </w:r>
    </w:p>
    <w:p w14:paraId="6E566F5C" w14:textId="6D332887" w:rsidR="002F15EF" w:rsidRPr="007C64C8" w:rsidRDefault="007C64C8" w:rsidP="00244D32">
      <w:pPr>
        <w:pStyle w:val="PKTpunkt"/>
      </w:pPr>
      <w:r>
        <w:t>2)</w:t>
      </w:r>
      <w:r w:rsidR="00244D32" w:rsidRPr="009E45AA">
        <w:tab/>
      </w:r>
      <w:r w:rsidR="009E45AA" w:rsidRPr="009E45AA">
        <w:t>ust. 1 pkt 2</w:t>
      </w:r>
      <w:r w:rsidR="00485360">
        <w:rPr>
          <w:rFonts w:cs="Times"/>
        </w:rPr>
        <w:t>‒</w:t>
      </w:r>
      <w:r w:rsidR="009E45AA" w:rsidRPr="009E45AA">
        <w:t>4</w:t>
      </w:r>
      <w:r w:rsidR="002F15EF" w:rsidRPr="009E45AA">
        <w:t>, nie może być udzielone w przypadkach, o których mowa w art. 1 ust. 2–5 rozporządzenia Komisji (UE) nr 651/2014, a także – w odniesieniu do wsparcia, o którym mowa w § 4 ust. 1 pkt 2 – w przypadkach, o których mowa w art. 13 rozporządzenia Komisji (UE) nr 651/2014</w:t>
      </w:r>
      <w:r w:rsidR="002F15EF" w:rsidRPr="007C64C8">
        <w:t>;</w:t>
      </w:r>
    </w:p>
    <w:p w14:paraId="04FB0D58" w14:textId="77777777" w:rsidR="002F15EF" w:rsidRPr="009E45AA" w:rsidRDefault="007C64C8" w:rsidP="00244D32">
      <w:pPr>
        <w:pStyle w:val="PKTpunkt"/>
      </w:pPr>
      <w:r>
        <w:t>3)</w:t>
      </w:r>
      <w:r w:rsidR="00244D32" w:rsidRPr="009E45AA">
        <w:tab/>
      </w:r>
      <w:r w:rsidR="002F15EF" w:rsidRPr="009E45AA">
        <w:t>nie może być udzielone na działalność niezgodną z prawem oraz w zakresie:</w:t>
      </w:r>
    </w:p>
    <w:p w14:paraId="2E3B9241" w14:textId="77777777" w:rsidR="002F15EF" w:rsidRPr="009E45AA" w:rsidRDefault="007C64C8" w:rsidP="00244D32">
      <w:pPr>
        <w:pStyle w:val="LITlitera"/>
      </w:pPr>
      <w:r>
        <w:t>a)</w:t>
      </w:r>
      <w:r w:rsidR="00244D32" w:rsidRPr="009E45AA">
        <w:tab/>
      </w:r>
      <w:r w:rsidR="002F15EF" w:rsidRPr="009E45AA">
        <w:t>produkcji lub wprowadzania do obrotu wyrobów tytoniowych,</w:t>
      </w:r>
    </w:p>
    <w:p w14:paraId="3E66A4AD" w14:textId="77777777" w:rsidR="002F15EF" w:rsidRPr="009E45AA" w:rsidRDefault="007C64C8" w:rsidP="00244D32">
      <w:pPr>
        <w:pStyle w:val="LITlitera"/>
      </w:pPr>
      <w:r>
        <w:t>b)</w:t>
      </w:r>
      <w:r w:rsidR="00244D32" w:rsidRPr="009E45AA">
        <w:tab/>
      </w:r>
      <w:r w:rsidR="002F15EF" w:rsidRPr="009E45AA">
        <w:t>produkcji lub wprowadzania do obrotu napojów alkoholowych,</w:t>
      </w:r>
    </w:p>
    <w:p w14:paraId="02C84B41" w14:textId="77777777" w:rsidR="002F15EF" w:rsidRPr="009E45AA" w:rsidRDefault="007C64C8" w:rsidP="00244D32">
      <w:pPr>
        <w:pStyle w:val="LITlitera"/>
      </w:pPr>
      <w:r>
        <w:t>c)</w:t>
      </w:r>
      <w:r w:rsidR="00244D32" w:rsidRPr="009E45AA">
        <w:tab/>
      </w:r>
      <w:r w:rsidR="002F15EF" w:rsidRPr="009E45AA">
        <w:t>produkcji lub wprowadzania do obrotu treści pornograficznych,</w:t>
      </w:r>
    </w:p>
    <w:p w14:paraId="58FBBE40" w14:textId="77777777" w:rsidR="002F15EF" w:rsidRPr="009E45AA" w:rsidRDefault="007C64C8" w:rsidP="00244D32">
      <w:pPr>
        <w:pStyle w:val="LITlitera"/>
      </w:pPr>
      <w:r>
        <w:t>d)</w:t>
      </w:r>
      <w:r w:rsidR="00244D32" w:rsidRPr="009E45AA">
        <w:tab/>
      </w:r>
      <w:r w:rsidR="002F15EF" w:rsidRPr="009E45AA">
        <w:t>obrotu materiałami wybuchowymi, bronią i amunicją,</w:t>
      </w:r>
    </w:p>
    <w:p w14:paraId="39954CDA" w14:textId="77777777" w:rsidR="00B23A1A" w:rsidRDefault="007C64C8" w:rsidP="00244D32">
      <w:pPr>
        <w:pStyle w:val="LITlitera"/>
      </w:pPr>
      <w:r>
        <w:t>e)</w:t>
      </w:r>
      <w:r w:rsidR="00244D32" w:rsidRPr="009E45AA">
        <w:tab/>
      </w:r>
      <w:r w:rsidR="002F15EF" w:rsidRPr="009E45AA">
        <w:t>gier losowych, zakładów wzajemnych, gier na automatach i g</w:t>
      </w:r>
      <w:r>
        <w:t>ier na automatach o </w:t>
      </w:r>
      <w:r w:rsidR="002F15EF" w:rsidRPr="009E45AA">
        <w:t>niskich wygranych</w:t>
      </w:r>
      <w:r w:rsidR="00B23A1A">
        <w:t>,</w:t>
      </w:r>
    </w:p>
    <w:p w14:paraId="4CBE7B96" w14:textId="28D105A3" w:rsidR="002F15EF" w:rsidRPr="009E45AA" w:rsidRDefault="00B23A1A" w:rsidP="00244D32">
      <w:pPr>
        <w:pStyle w:val="LITlitera"/>
      </w:pPr>
      <w:r>
        <w:lastRenderedPageBreak/>
        <w:t>f)</w:t>
      </w:r>
      <w:r>
        <w:tab/>
      </w:r>
      <w:r w:rsidRPr="00B23A1A">
        <w:t xml:space="preserve">produkcji lub wprowadzania do obrotu środków odurzających, substancji </w:t>
      </w:r>
      <w:r>
        <w:t>psychotropowych lub prekursorów</w:t>
      </w:r>
      <w:r w:rsidRPr="00B23A1A">
        <w:t>.</w:t>
      </w:r>
    </w:p>
    <w:p w14:paraId="42980E45" w14:textId="77777777" w:rsidR="006D372F" w:rsidRPr="009E45AA" w:rsidRDefault="002F15EF" w:rsidP="00244D32">
      <w:pPr>
        <w:pStyle w:val="USTustnpkodeksu"/>
      </w:pPr>
      <w:r w:rsidRPr="009E45AA">
        <w:t>2. Wsparcie nie może zostać udzielone ani wypłacone przedsiębiorcy, na którym ciąży obowiązek zwrotu pomocy</w:t>
      </w:r>
      <w:r w:rsidR="00244D32" w:rsidRPr="009E45AA">
        <w:t xml:space="preserve"> </w:t>
      </w:r>
      <w:r w:rsidRPr="009E45AA">
        <w:t>publicznej, wynikający z decyzji Komisji Europejskiej uznającej taką pomoc za niezgodną z prawem oraz rynkiem wewnętrznym.</w:t>
      </w:r>
    </w:p>
    <w:p w14:paraId="5E6852AB" w14:textId="3BCB9A05" w:rsidR="00C76F50" w:rsidRPr="00A17CF6" w:rsidRDefault="006D372F" w:rsidP="00CC364D">
      <w:pPr>
        <w:pStyle w:val="ARTartustawynprozporzdzenia"/>
      </w:pPr>
      <w:r w:rsidRPr="00A17CF6">
        <w:rPr>
          <w:rStyle w:val="Ppogrubienie"/>
        </w:rPr>
        <w:t>§ 6</w:t>
      </w:r>
      <w:r w:rsidRPr="00A17CF6">
        <w:t>. O wsparcie może u</w:t>
      </w:r>
      <w:r w:rsidR="00523003" w:rsidRPr="00A17CF6">
        <w:t xml:space="preserve">biegać się podmiot określony w </w:t>
      </w:r>
      <w:r w:rsidR="00C02844">
        <w:t>p</w:t>
      </w:r>
      <w:r w:rsidRPr="00A17CF6">
        <w:t>rogramie Fundusze Europejskie na Rozwój Cyfrowy 2021</w:t>
      </w:r>
      <w:r w:rsidR="00485360">
        <w:rPr>
          <w:rFonts w:cs="Times"/>
        </w:rPr>
        <w:t>‒</w:t>
      </w:r>
      <w:r w:rsidRPr="00A17CF6">
        <w:t xml:space="preserve">2027 </w:t>
      </w:r>
      <w:r w:rsidR="00523003" w:rsidRPr="00A17CF6">
        <w:t xml:space="preserve">oraz </w:t>
      </w:r>
      <w:r w:rsidR="00BB17FE" w:rsidRPr="00A17CF6">
        <w:t>Szczegółowy</w:t>
      </w:r>
      <w:r w:rsidR="00523003" w:rsidRPr="00A17CF6">
        <w:t>m</w:t>
      </w:r>
      <w:r w:rsidR="00BB17FE" w:rsidRPr="00A17CF6">
        <w:t xml:space="preserve"> Opisie Priorytetów Programu Fundusze Europejskie na Rozwój Cyfrowy 2021</w:t>
      </w:r>
      <w:r w:rsidR="00485360">
        <w:rPr>
          <w:rFonts w:cs="Times"/>
        </w:rPr>
        <w:t>‒</w:t>
      </w:r>
      <w:r w:rsidR="00BB17FE" w:rsidRPr="00A17CF6">
        <w:t>2027</w:t>
      </w:r>
      <w:r w:rsidR="002A162B">
        <w:t>.</w:t>
      </w:r>
    </w:p>
    <w:p w14:paraId="63384FA6" w14:textId="77777777" w:rsidR="00650826" w:rsidRPr="00A17CF6" w:rsidRDefault="00DA25A2" w:rsidP="00DA25A2">
      <w:pPr>
        <w:pStyle w:val="ARTartustawynprozporzdzenia"/>
      </w:pPr>
      <w:r w:rsidRPr="00B707AA">
        <w:rPr>
          <w:rStyle w:val="Ppogrubienie"/>
        </w:rPr>
        <w:t>§ 7</w:t>
      </w:r>
      <w:r w:rsidRPr="00DA25A2">
        <w:t xml:space="preserve">. 1. Wsparcie może być udzielone na projekty </w:t>
      </w:r>
      <w:r w:rsidR="002F0F20" w:rsidRPr="00A17CF6">
        <w:t>w ramach działania 2.3, których celem w szczególności jest</w:t>
      </w:r>
      <w:r w:rsidR="00650826" w:rsidRPr="00A17CF6">
        <w:t>:</w:t>
      </w:r>
    </w:p>
    <w:p w14:paraId="025471DE" w14:textId="5F89F02A" w:rsidR="00650826" w:rsidRDefault="008E750F" w:rsidP="00D260A8">
      <w:pPr>
        <w:pStyle w:val="PKTpunkt"/>
      </w:pPr>
      <w:r>
        <w:t>1)</w:t>
      </w:r>
      <w:r w:rsidR="00D260A8">
        <w:tab/>
      </w:r>
      <w:r w:rsidR="00EC5954" w:rsidRPr="00EC5954">
        <w:t>zwiększenie ilości i jakości informacji sektora publicznego dostępnych do ponownego wykorzystania, w szczególności danych o wysokiej wartości i danych dynamicznych</w:t>
      </w:r>
      <w:r w:rsidR="00EC5954">
        <w:t>,</w:t>
      </w:r>
      <w:r w:rsidR="00EC5954" w:rsidRPr="00EC5954">
        <w:t xml:space="preserve"> oraz zwiększeni</w:t>
      </w:r>
      <w:r w:rsidR="00EC5954">
        <w:t>e</w:t>
      </w:r>
      <w:r w:rsidR="00EC5954" w:rsidRPr="00EC5954">
        <w:t xml:space="preserve"> otwartoś</w:t>
      </w:r>
      <w:r w:rsidR="00531C3F">
        <w:t>ci</w:t>
      </w:r>
      <w:r w:rsidR="00EC5954" w:rsidRPr="00EC5954">
        <w:t xml:space="preserve"> i poziomu ponownego wykorzysty</w:t>
      </w:r>
      <w:r w:rsidR="00EC5954">
        <w:t xml:space="preserve">wania danych z zasobów kultury, </w:t>
      </w:r>
      <w:r w:rsidR="00EC5954" w:rsidRPr="00EC5954">
        <w:t xml:space="preserve">w tym niebędących </w:t>
      </w:r>
      <w:r w:rsidR="00EC5954">
        <w:t>informacjami sektora publicznego</w:t>
      </w:r>
      <w:r w:rsidR="00EC5954" w:rsidRPr="00EC5954">
        <w:t>, nauki i administracji</w:t>
      </w:r>
      <w:r w:rsidR="0037374D">
        <w:t>;</w:t>
      </w:r>
    </w:p>
    <w:p w14:paraId="7CA10DF6" w14:textId="17AA7F7E" w:rsidR="00FF45D8" w:rsidRPr="00DA25A2" w:rsidRDefault="008E750F" w:rsidP="00D260A8">
      <w:pPr>
        <w:pStyle w:val="PKTpunkt"/>
      </w:pPr>
      <w:r>
        <w:t>2)</w:t>
      </w:r>
      <w:r w:rsidR="00D260A8">
        <w:tab/>
      </w:r>
      <w:r w:rsidR="00FF45D8" w:rsidRPr="00FF45D8">
        <w:t>zapewnienie dostępu do danych, w tym danych dynamicznych</w:t>
      </w:r>
      <w:r w:rsidR="00700E71">
        <w:t>,</w:t>
      </w:r>
      <w:r w:rsidR="00FF45D8" w:rsidRPr="00FF45D8">
        <w:t xml:space="preserve"> za pośrednictwem interfejsów programistycznych aplikacji, wykorzystywanie danych i analityki </w:t>
      </w:r>
      <w:r w:rsidR="00FF45D8" w:rsidRPr="00FF45D8">
        <w:lastRenderedPageBreak/>
        <w:t>biznesowej w przedsiębiorstwach oraz wsparcie wzajemnego dzielenia się danymi przez przedsiębiorstwa, w tym opracowanie standardów współpracy w zakresie organizacyjnym, technicznym i prawnym</w:t>
      </w:r>
      <w:r w:rsidR="00AA5805">
        <w:t>.</w:t>
      </w:r>
    </w:p>
    <w:p w14:paraId="49A19F0A" w14:textId="28607232" w:rsidR="00DA25A2" w:rsidRPr="00DA25A2" w:rsidRDefault="00DA25A2" w:rsidP="00066508">
      <w:pPr>
        <w:pStyle w:val="USTustnpkodeksu"/>
      </w:pPr>
      <w:r w:rsidRPr="00A17CF6">
        <w:t xml:space="preserve">2. </w:t>
      </w:r>
      <w:r w:rsidRPr="00C604A7">
        <w:t xml:space="preserve">Wsparcie jest udzielane w </w:t>
      </w:r>
      <w:r w:rsidR="00C604A7">
        <w:t>sposó</w:t>
      </w:r>
      <w:r w:rsidR="0073466C">
        <w:t>b</w:t>
      </w:r>
      <w:r w:rsidRPr="00C604A7">
        <w:t>, o który</w:t>
      </w:r>
      <w:r w:rsidR="002F0F20" w:rsidRPr="00C604A7">
        <w:t>m</w:t>
      </w:r>
      <w:r w:rsidRPr="00C604A7">
        <w:t xml:space="preserve"> mowa w art. </w:t>
      </w:r>
      <w:r w:rsidR="00066508" w:rsidRPr="00C604A7">
        <w:t xml:space="preserve">44 </w:t>
      </w:r>
      <w:r w:rsidRPr="00DA25A2">
        <w:t>ustawy z dnia</w:t>
      </w:r>
      <w:r w:rsidR="00066508" w:rsidRPr="00066508">
        <w:t xml:space="preserve"> 28 kwietnia 2022 r. o zasadach realizacji zadań finansowanych ze środków europejskich w perspektywie finansowej 2021–2027</w:t>
      </w:r>
      <w:r w:rsidRPr="00DA25A2">
        <w:t>.</w:t>
      </w:r>
    </w:p>
    <w:p w14:paraId="585F192D" w14:textId="77777777" w:rsidR="00DA25A2" w:rsidRPr="00DA25A2" w:rsidRDefault="00DA25A2" w:rsidP="00DA25A2">
      <w:pPr>
        <w:pStyle w:val="USTustnpkodeksu"/>
      </w:pPr>
      <w:r w:rsidRPr="00DA25A2">
        <w:t>3. Wsparcie, o którym mowa w ust. 1, może być udzielone przedsiębiorcy, który spełnia łącznie następujące warunki:</w:t>
      </w:r>
    </w:p>
    <w:p w14:paraId="5355A551" w14:textId="1E38E751" w:rsidR="00DA25A2" w:rsidRPr="00DA25A2" w:rsidRDefault="007C64C8" w:rsidP="00DA25A2">
      <w:pPr>
        <w:pStyle w:val="PKTpunkt"/>
      </w:pPr>
      <w:r>
        <w:t>1)</w:t>
      </w:r>
      <w:r w:rsidR="00DA25A2">
        <w:tab/>
      </w:r>
      <w:r w:rsidR="00DA25A2" w:rsidRPr="00DA25A2">
        <w:t xml:space="preserve">prowadzi działalność gospodarczą, co najmniej w formie oddziału, na terytorium Rzeczypospolitej Polskiej; </w:t>
      </w:r>
      <w:r w:rsidR="007D047A">
        <w:t>niniejsz</w:t>
      </w:r>
      <w:r w:rsidR="007D047A" w:rsidRPr="00DA25A2">
        <w:t xml:space="preserve">y </w:t>
      </w:r>
      <w:r w:rsidR="00DA25A2" w:rsidRPr="00DA25A2">
        <w:t>wymóg musi być spełniony najpóźniej w momencie wypłaty wsparcia;</w:t>
      </w:r>
    </w:p>
    <w:p w14:paraId="17B409B1" w14:textId="77777777" w:rsidR="00DA25A2" w:rsidRPr="00DA25A2" w:rsidRDefault="007C64C8" w:rsidP="00DA25A2">
      <w:pPr>
        <w:pStyle w:val="PKTpunkt"/>
      </w:pPr>
      <w:r>
        <w:t>2)</w:t>
      </w:r>
      <w:r w:rsidR="00DA25A2">
        <w:tab/>
      </w:r>
      <w:r w:rsidR="00DA25A2" w:rsidRPr="00DA25A2">
        <w:t>jest wpisany do właściwego rejestru;</w:t>
      </w:r>
    </w:p>
    <w:p w14:paraId="70E4890A" w14:textId="77777777" w:rsidR="00DA25A2" w:rsidRPr="00DA25A2" w:rsidRDefault="007C64C8" w:rsidP="00DA25A2">
      <w:pPr>
        <w:pStyle w:val="PKTpunkt"/>
      </w:pPr>
      <w:r>
        <w:t>3)</w:t>
      </w:r>
      <w:r w:rsidR="00DA25A2">
        <w:tab/>
      </w:r>
      <w:r w:rsidR="00DA25A2" w:rsidRPr="00DA25A2">
        <w:t xml:space="preserve">złożył wniosek o udzielenie wsparcia przed rozpoczęciem realizacji projektu, chyba że podmiot ubiegający się o wsparcie wnioskuje jedynie o przyznanie pomocy zgodnie </w:t>
      </w:r>
      <w:r w:rsidR="00DA25A2" w:rsidRPr="00BE21DB">
        <w:t xml:space="preserve">z § 4 ust. 1 pkt 1 </w:t>
      </w:r>
      <w:r w:rsidR="005E430D">
        <w:t>i</w:t>
      </w:r>
      <w:r w:rsidR="00DA25A2" w:rsidRPr="00BE21DB">
        <w:t xml:space="preserve"> </w:t>
      </w:r>
      <w:r w:rsidR="00A11F2F">
        <w:t>pkt 4</w:t>
      </w:r>
      <w:r w:rsidR="00DA25A2" w:rsidRPr="007C64C8">
        <w:t>; w</w:t>
      </w:r>
      <w:r w:rsidR="00DA25A2" w:rsidRPr="008F64B3">
        <w:t>niosek</w:t>
      </w:r>
      <w:r w:rsidR="00DA25A2" w:rsidRPr="00DA25A2">
        <w:t xml:space="preserve"> o przyznanie pomocy zawiera co najmniej informacje wskazane w art. 6 ust. 2 rozporządzenia Komisji (UE) nr 651/2014;</w:t>
      </w:r>
    </w:p>
    <w:p w14:paraId="0A6A3840" w14:textId="77777777" w:rsidR="00DA25A2" w:rsidRPr="00DA25A2" w:rsidRDefault="007C64C8" w:rsidP="00DA25A2">
      <w:pPr>
        <w:pStyle w:val="PKTpunkt"/>
      </w:pPr>
      <w:r>
        <w:t>4)</w:t>
      </w:r>
      <w:r w:rsidR="00DA25A2">
        <w:tab/>
      </w:r>
      <w:r w:rsidR="00DA25A2" w:rsidRPr="00DA25A2">
        <w:t>nie uzyskał pomocy finansowej ze środków publicznych na te same wydatki w ramach realizowanego projektu;</w:t>
      </w:r>
    </w:p>
    <w:p w14:paraId="27FCAD38" w14:textId="77777777" w:rsidR="006D372F" w:rsidRPr="007C64C8" w:rsidRDefault="007C64C8" w:rsidP="00DA25A2">
      <w:pPr>
        <w:pStyle w:val="PKTpunkt"/>
      </w:pPr>
      <w:r>
        <w:lastRenderedPageBreak/>
        <w:t>5)</w:t>
      </w:r>
      <w:r w:rsidR="00DA25A2">
        <w:tab/>
      </w:r>
      <w:r w:rsidR="00DA25A2" w:rsidRPr="00DA25A2">
        <w:t>zobowiązał się do utrzymywania inwestycji w obszarze otrzymującym pomoc przez co najmniej pięć lat lub –</w:t>
      </w:r>
      <w:r w:rsidR="00DA25A2">
        <w:t xml:space="preserve"> </w:t>
      </w:r>
      <w:r w:rsidR="00DA25A2" w:rsidRPr="00DA25A2">
        <w:t>w przypadku małych i średnich przedsiębiorców – przez co najmniej trzy lata od daty jej ukończenia, co</w:t>
      </w:r>
      <w:r w:rsidR="00DA25A2">
        <w:t xml:space="preserve"> </w:t>
      </w:r>
      <w:r w:rsidR="00DA25A2" w:rsidRPr="00DA25A2">
        <w:t xml:space="preserve">nie wyklucza wymiany w tym okresie przestarzałych lub zepsutych instalacji lub sprzętu, pod warunkiem że działalność gospodarcza zostanie utrzymana na danym obszarze przez stosowny minimalny okres, przy czym </w:t>
      </w:r>
      <w:r w:rsidR="00DA25A2" w:rsidRPr="007C64C8">
        <w:t>warunek ten ma zastosowanie wyłącznie do wsparcia udzielonego na podstawie § 4 ust. 1 pkt 2.</w:t>
      </w:r>
    </w:p>
    <w:p w14:paraId="238DF923" w14:textId="77777777" w:rsidR="00245361" w:rsidRDefault="00245361" w:rsidP="00245361">
      <w:pPr>
        <w:pStyle w:val="ARTartustawynprozporzdzenia"/>
      </w:pPr>
      <w:r w:rsidRPr="007C64C8">
        <w:rPr>
          <w:rStyle w:val="Ppogrubienie"/>
        </w:rPr>
        <w:t>§ 8</w:t>
      </w:r>
      <w:r w:rsidRPr="007C64C8">
        <w:t xml:space="preserve">. 1. Pomoc podlega kumulacji </w:t>
      </w:r>
      <w:r>
        <w:t xml:space="preserve">na zasadach określonych </w:t>
      </w:r>
      <w:r w:rsidRPr="005E430D">
        <w:t>w art. 5 rozporządzenia Komisji (UE) nr 1407/2013</w:t>
      </w:r>
      <w:r>
        <w:t xml:space="preserve"> i art. 8 rozporządzenia Komisji (UE) nr 651/2014.</w:t>
      </w:r>
    </w:p>
    <w:p w14:paraId="189B8B9C" w14:textId="77777777" w:rsidR="00245361" w:rsidRDefault="00245361" w:rsidP="00245361">
      <w:pPr>
        <w:pStyle w:val="USTustnpkodeksu"/>
      </w:pPr>
      <w:r>
        <w:t>2. Równowartość udzielonego wsparcia oblicza się według średniego kursu euro ogłoszonego przez Narodowy Bank Polski w dniu udzielenia pomocy.</w:t>
      </w:r>
    </w:p>
    <w:p w14:paraId="2247959F" w14:textId="77777777" w:rsidR="003710CD" w:rsidRDefault="00245361" w:rsidP="003710CD">
      <w:pPr>
        <w:pStyle w:val="USTustnpkodeksu"/>
      </w:pPr>
      <w:r>
        <w:t xml:space="preserve">3. Podmiot ubiegający się o wsparcie jest obowiązany </w:t>
      </w:r>
      <w:r w:rsidR="007C64C8">
        <w:t>do przedstawienia informacji, o </w:t>
      </w:r>
      <w:r>
        <w:t xml:space="preserve">których </w:t>
      </w:r>
      <w:r w:rsidRPr="00F92415">
        <w:t>mowa w art. 37 ust. 1 i 5 ustawy z dnia 30 kw</w:t>
      </w:r>
      <w:r w:rsidR="007C64C8">
        <w:t>ietnia 2004 r. o postępowaniu w </w:t>
      </w:r>
      <w:r w:rsidRPr="00F92415">
        <w:t>sprawach dotyczących pomocy publicznej (Dz</w:t>
      </w:r>
      <w:r>
        <w:t xml:space="preserve">. U. z </w:t>
      </w:r>
      <w:r w:rsidR="00AC5431">
        <w:t>2023</w:t>
      </w:r>
      <w:r>
        <w:t xml:space="preserve"> r</w:t>
      </w:r>
      <w:r w:rsidR="00AC5431">
        <w:t>. poz. 702</w:t>
      </w:r>
      <w:r>
        <w:t>)</w:t>
      </w:r>
      <w:r w:rsidR="003710CD">
        <w:t>.</w:t>
      </w:r>
    </w:p>
    <w:p w14:paraId="2F43C636" w14:textId="0390745D" w:rsidR="004E25EB" w:rsidRPr="00A17CF6" w:rsidRDefault="003710CD" w:rsidP="004B1D15">
      <w:pPr>
        <w:pStyle w:val="ARTartustawynprozporzdzenia"/>
        <w:rPr>
          <w:rStyle w:val="Ppogrubienie"/>
          <w:b w:val="0"/>
        </w:rPr>
      </w:pPr>
      <w:r w:rsidRPr="00CC12CE">
        <w:rPr>
          <w:rStyle w:val="Ppogrubienie"/>
        </w:rPr>
        <w:t>§ 9</w:t>
      </w:r>
      <w:r w:rsidR="00302ABA" w:rsidRPr="00CC12CE">
        <w:rPr>
          <w:rStyle w:val="Ppogrubienie"/>
          <w:b w:val="0"/>
        </w:rPr>
        <w:t>.</w:t>
      </w:r>
      <w:r w:rsidR="00740406" w:rsidRPr="00CC12CE">
        <w:rPr>
          <w:rStyle w:val="Ppogrubienie"/>
          <w:b w:val="0"/>
        </w:rPr>
        <w:t xml:space="preserve"> 1. Wydatkami kwalifikującymi się do objęcia wsparciem są wydatki </w:t>
      </w:r>
      <w:r w:rsidR="00740406" w:rsidRPr="00A17CF6">
        <w:rPr>
          <w:rStyle w:val="Ppogrubienie"/>
          <w:b w:val="0"/>
        </w:rPr>
        <w:t xml:space="preserve">faktycznie poniesione i udokumentowane w okresie kwalifikowalności wydatków </w:t>
      </w:r>
      <w:r w:rsidR="008F64B3" w:rsidRPr="00A17CF6">
        <w:rPr>
          <w:rStyle w:val="Ppogrubienie"/>
          <w:b w:val="0"/>
        </w:rPr>
        <w:t>wskazanym</w:t>
      </w:r>
      <w:r w:rsidR="00740406" w:rsidRPr="00A17CF6">
        <w:rPr>
          <w:rStyle w:val="Ppogrubienie"/>
          <w:b w:val="0"/>
        </w:rPr>
        <w:t xml:space="preserve"> w umowie o dofinansowanie, bezpośrednio i wyłącznie związane z projektem, niezbędne do jego realizacji i ponoszone w sposób efektywny, które spełniają łącznie warunki określone w niniejszym rozporządzeniu oraz w wytycznych </w:t>
      </w:r>
      <w:r w:rsidR="00740406" w:rsidRPr="00A17CF6">
        <w:rPr>
          <w:rStyle w:val="Ppogrubienie"/>
          <w:b w:val="0"/>
        </w:rPr>
        <w:lastRenderedPageBreak/>
        <w:t xml:space="preserve">ministra właściwego do spraw rozwoju regionalnego </w:t>
      </w:r>
      <w:r w:rsidR="0055371D">
        <w:rPr>
          <w:rStyle w:val="Ppogrubienie"/>
          <w:b w:val="0"/>
        </w:rPr>
        <w:t>dotyczących</w:t>
      </w:r>
      <w:r w:rsidR="00740406" w:rsidRPr="00A17CF6">
        <w:rPr>
          <w:rStyle w:val="Ppogrubienie"/>
          <w:b w:val="0"/>
        </w:rPr>
        <w:t xml:space="preserve"> kwalifikowalności wydatków </w:t>
      </w:r>
      <w:r w:rsidR="0055371D">
        <w:rPr>
          <w:rStyle w:val="Ppogrubienie"/>
          <w:b w:val="0"/>
        </w:rPr>
        <w:t>na lata</w:t>
      </w:r>
      <w:r w:rsidR="00D078BF" w:rsidRPr="00A17CF6">
        <w:rPr>
          <w:rStyle w:val="Ppogrubienie"/>
          <w:b w:val="0"/>
        </w:rPr>
        <w:t xml:space="preserve"> 2021</w:t>
      </w:r>
      <w:r w:rsidR="0037374D">
        <w:rPr>
          <w:rFonts w:cs="Times"/>
        </w:rPr>
        <w:t>‒</w:t>
      </w:r>
      <w:r w:rsidR="00D078BF" w:rsidRPr="00A17CF6">
        <w:rPr>
          <w:rStyle w:val="Ppogrubienie"/>
          <w:b w:val="0"/>
        </w:rPr>
        <w:t>2027</w:t>
      </w:r>
      <w:r w:rsidR="0055371D">
        <w:rPr>
          <w:rStyle w:val="Ppogrubienie"/>
          <w:b w:val="0"/>
        </w:rPr>
        <w:t xml:space="preserve"> oraz </w:t>
      </w:r>
      <w:r w:rsidR="0055371D" w:rsidRPr="0055371D">
        <w:rPr>
          <w:rStyle w:val="Ppogrubienie"/>
          <w:b w:val="0"/>
        </w:rPr>
        <w:t>w dokumentach stanowiącyc</w:t>
      </w:r>
      <w:r w:rsidR="00AC13F5">
        <w:rPr>
          <w:rStyle w:val="Ppogrubienie"/>
          <w:b w:val="0"/>
        </w:rPr>
        <w:t xml:space="preserve">h podstawę realizacji programu </w:t>
      </w:r>
      <w:r w:rsidR="0055371D" w:rsidRPr="0055371D">
        <w:rPr>
          <w:rStyle w:val="Ppogrubienie"/>
          <w:b w:val="0"/>
        </w:rPr>
        <w:t>Fundusze Europejskie na Rozwój Cyfrowy 2021</w:t>
      </w:r>
      <w:r w:rsidR="0037374D">
        <w:rPr>
          <w:rFonts w:cs="Times"/>
        </w:rPr>
        <w:t>‒</w:t>
      </w:r>
      <w:r w:rsidR="0055371D" w:rsidRPr="0055371D">
        <w:rPr>
          <w:rStyle w:val="Ppogrubienie"/>
          <w:b w:val="0"/>
        </w:rPr>
        <w:t>2027 wydawanych na podstawie art. 6 ust. 2 ustawy z dnia 28 kwietnia 2022 r. o zasadach realizacji zadań finansowanych ze środków europejskich w pe</w:t>
      </w:r>
      <w:r w:rsidR="0055371D">
        <w:rPr>
          <w:rStyle w:val="Ppogrubienie"/>
          <w:b w:val="0"/>
        </w:rPr>
        <w:t>rspektywie finansowej 2021</w:t>
      </w:r>
      <w:r w:rsidR="0037374D">
        <w:rPr>
          <w:rFonts w:cs="Times"/>
        </w:rPr>
        <w:t>‒</w:t>
      </w:r>
      <w:r w:rsidR="0055371D">
        <w:rPr>
          <w:rStyle w:val="Ppogrubienie"/>
          <w:b w:val="0"/>
        </w:rPr>
        <w:t>2027.</w:t>
      </w:r>
    </w:p>
    <w:p w14:paraId="5617CA1A" w14:textId="57CCB367" w:rsidR="00DC687B" w:rsidRPr="002B65BB" w:rsidRDefault="00C227B2" w:rsidP="009905FF">
      <w:pPr>
        <w:pStyle w:val="USTustnpkodeksu"/>
        <w:rPr>
          <w:rStyle w:val="Ppogrubienie"/>
          <w:b w:val="0"/>
        </w:rPr>
      </w:pPr>
      <w:r w:rsidRPr="007051DF">
        <w:rPr>
          <w:rStyle w:val="Ppogrubienie"/>
          <w:b w:val="0"/>
        </w:rPr>
        <w:t>2.</w:t>
      </w:r>
      <w:r>
        <w:rPr>
          <w:rStyle w:val="Ppogrubienie"/>
        </w:rPr>
        <w:t xml:space="preserve"> </w:t>
      </w:r>
      <w:r w:rsidR="00740406" w:rsidRPr="002B65BB">
        <w:rPr>
          <w:rStyle w:val="Ppogrubienie"/>
          <w:b w:val="0"/>
        </w:rPr>
        <w:t xml:space="preserve">Do wydatków kwalifikujących się do objęcia wsparciem zalicza się wydatki </w:t>
      </w:r>
      <w:r w:rsidR="005B4F1B">
        <w:rPr>
          <w:rStyle w:val="Ppogrubienie"/>
          <w:b w:val="0"/>
        </w:rPr>
        <w:t>wymienione</w:t>
      </w:r>
      <w:r w:rsidR="009905FF">
        <w:rPr>
          <w:rStyle w:val="Ppogrubienie"/>
          <w:b w:val="0"/>
        </w:rPr>
        <w:t xml:space="preserve"> w Katalogu wydatków </w:t>
      </w:r>
      <w:r w:rsidR="009905FF" w:rsidRPr="009905FF">
        <w:rPr>
          <w:rStyle w:val="Ppogrubienie"/>
          <w:b w:val="0"/>
        </w:rPr>
        <w:t>kwalifikowalnych II priorytetu programu Fundusze Europejskie na Rozwój Cyfrowy 2021</w:t>
      </w:r>
      <w:r w:rsidR="00575979">
        <w:rPr>
          <w:rFonts w:cs="Times"/>
        </w:rPr>
        <w:t>‒</w:t>
      </w:r>
      <w:r w:rsidR="009905FF" w:rsidRPr="009905FF">
        <w:rPr>
          <w:rStyle w:val="Ppogrubienie"/>
          <w:b w:val="0"/>
        </w:rPr>
        <w:t>2027</w:t>
      </w:r>
      <w:r w:rsidR="008C0E63">
        <w:rPr>
          <w:rStyle w:val="Ppogrubienie"/>
          <w:b w:val="0"/>
        </w:rPr>
        <w:t xml:space="preserve"> wydanym na podstawie art. 6 ust. 2 </w:t>
      </w:r>
      <w:r w:rsidR="008C0E63" w:rsidRPr="008C0E63">
        <w:rPr>
          <w:rStyle w:val="Ppogrubienie"/>
          <w:b w:val="0"/>
        </w:rPr>
        <w:t xml:space="preserve">ustawy </w:t>
      </w:r>
      <w:r w:rsidR="0037374D" w:rsidRPr="0037374D">
        <w:rPr>
          <w:rStyle w:val="Ppogrubienie"/>
          <w:b w:val="0"/>
        </w:rPr>
        <w:t xml:space="preserve">z dnia 28 kwietnia 2022 r. </w:t>
      </w:r>
      <w:r w:rsidR="008C0E63" w:rsidRPr="008C0E63">
        <w:rPr>
          <w:rStyle w:val="Ppogrubienie"/>
          <w:b w:val="0"/>
        </w:rPr>
        <w:t>o zasadach realizacji zadań</w:t>
      </w:r>
      <w:r w:rsidR="0037374D">
        <w:rPr>
          <w:rStyle w:val="Ppogrubienie"/>
          <w:b w:val="0"/>
        </w:rPr>
        <w:t xml:space="preserve"> </w:t>
      </w:r>
      <w:r w:rsidR="0037374D" w:rsidRPr="0037374D">
        <w:rPr>
          <w:rStyle w:val="Ppogrubienie"/>
          <w:b w:val="0"/>
        </w:rPr>
        <w:t>finansow</w:t>
      </w:r>
      <w:r w:rsidR="00D260A8">
        <w:rPr>
          <w:rStyle w:val="Ppogrubienie"/>
          <w:b w:val="0"/>
        </w:rPr>
        <w:t>anych ze środków europejskich w </w:t>
      </w:r>
      <w:r w:rsidR="0037374D" w:rsidRPr="0037374D">
        <w:rPr>
          <w:rStyle w:val="Ppogrubienie"/>
          <w:b w:val="0"/>
        </w:rPr>
        <w:t>perspektywie finansowej 2021–2027</w:t>
      </w:r>
      <w:r w:rsidR="0037374D">
        <w:rPr>
          <w:rStyle w:val="Ppogrubienie"/>
          <w:b w:val="0"/>
        </w:rPr>
        <w:t>.</w:t>
      </w:r>
    </w:p>
    <w:p w14:paraId="2D63A831" w14:textId="15C401D5" w:rsidR="00AB660C" w:rsidRDefault="0037374D" w:rsidP="00AB660C">
      <w:pPr>
        <w:pStyle w:val="USTustnpkodeksu"/>
        <w:rPr>
          <w:rStyle w:val="Ppogrubienie"/>
          <w:b w:val="0"/>
        </w:rPr>
      </w:pPr>
      <w:r>
        <w:rPr>
          <w:rStyle w:val="Ppogrubienie"/>
          <w:b w:val="0"/>
        </w:rPr>
        <w:t>3</w:t>
      </w:r>
      <w:r w:rsidR="00AB660C" w:rsidRPr="00AB660C">
        <w:rPr>
          <w:rStyle w:val="Ppogrubienie"/>
          <w:b w:val="0"/>
        </w:rPr>
        <w:t>. Cenę nabycia wartości niematerialnych i prawnych oraz ś</w:t>
      </w:r>
      <w:r w:rsidR="00AB660C">
        <w:rPr>
          <w:rStyle w:val="Ppogrubienie"/>
          <w:b w:val="0"/>
        </w:rPr>
        <w:t xml:space="preserve">rodków trwałych </w:t>
      </w:r>
      <w:r w:rsidR="00AB660C" w:rsidRPr="00AB660C">
        <w:rPr>
          <w:rStyle w:val="Ppogrubienie"/>
          <w:b w:val="0"/>
        </w:rPr>
        <w:t>ustala</w:t>
      </w:r>
      <w:r w:rsidR="00AB660C">
        <w:rPr>
          <w:rStyle w:val="Ppogrubienie"/>
          <w:b w:val="0"/>
        </w:rPr>
        <w:t xml:space="preserve"> </w:t>
      </w:r>
      <w:r w:rsidR="00AB660C" w:rsidRPr="00AB660C">
        <w:rPr>
          <w:rStyle w:val="Ppogrubienie"/>
          <w:b w:val="0"/>
        </w:rPr>
        <w:t xml:space="preserve">się zgodnie </w:t>
      </w:r>
      <w:r w:rsidR="00065A21">
        <w:rPr>
          <w:rStyle w:val="Ppogrubienie"/>
          <w:b w:val="0"/>
        </w:rPr>
        <w:t>z przepisami</w:t>
      </w:r>
      <w:r w:rsidR="001D6548" w:rsidRPr="001D6548">
        <w:rPr>
          <w:rStyle w:val="Ppogrubienie"/>
          <w:b w:val="0"/>
        </w:rPr>
        <w:t xml:space="preserve"> </w:t>
      </w:r>
      <w:r w:rsidR="00AB660C" w:rsidRPr="00AB660C">
        <w:rPr>
          <w:rStyle w:val="Ppogrubienie"/>
          <w:b w:val="0"/>
        </w:rPr>
        <w:t>o rachunkowości.</w:t>
      </w:r>
    </w:p>
    <w:p w14:paraId="6338209D" w14:textId="77777777" w:rsidR="003710CD" w:rsidRDefault="003710CD" w:rsidP="003710CD">
      <w:pPr>
        <w:pStyle w:val="ARTartustawynprozporzdzenia"/>
      </w:pPr>
      <w:r w:rsidRPr="003710CD">
        <w:rPr>
          <w:rStyle w:val="Ppogrubienie"/>
        </w:rPr>
        <w:t xml:space="preserve">§ </w:t>
      </w:r>
      <w:r w:rsidR="00F92415">
        <w:rPr>
          <w:rStyle w:val="Ppogrubienie"/>
        </w:rPr>
        <w:t>10</w:t>
      </w:r>
      <w:r>
        <w:t>. 1. Wydatkami kwalifikującymi się do objęcia wsparciem są wydatki poniesione po dniu złożenia wniosku o udzielenie wsparcia do dnia określonego w umowie o dofinansowanie.</w:t>
      </w:r>
    </w:p>
    <w:p w14:paraId="7B480571" w14:textId="689C52AD" w:rsidR="003710CD" w:rsidRDefault="003710CD" w:rsidP="003710CD">
      <w:pPr>
        <w:pStyle w:val="USTustnpkodeksu"/>
      </w:pPr>
      <w:r w:rsidRPr="003710CD">
        <w:t xml:space="preserve">2. Wydatki ponoszone zgodnie </w:t>
      </w:r>
      <w:r w:rsidRPr="00164970">
        <w:t xml:space="preserve">z </w:t>
      </w:r>
      <w:r w:rsidR="00590CBD">
        <w:t xml:space="preserve">§ 4 ust. </w:t>
      </w:r>
      <w:r w:rsidR="000E77CC">
        <w:t>1</w:t>
      </w:r>
      <w:r w:rsidR="00D260A8">
        <w:t xml:space="preserve"> </w:t>
      </w:r>
      <w:r w:rsidRPr="00590CBD">
        <w:t xml:space="preserve">pkt 1 </w:t>
      </w:r>
      <w:r w:rsidR="00590CBD" w:rsidRPr="00590CBD">
        <w:t xml:space="preserve">oraz pkt 4 </w:t>
      </w:r>
      <w:r w:rsidRPr="003710CD">
        <w:t>mogą być ponoszone przed dniem złożenia wniosku o udzielenie wsparcia.</w:t>
      </w:r>
    </w:p>
    <w:p w14:paraId="1505BB29" w14:textId="77777777" w:rsidR="00F642D4" w:rsidRDefault="00F642D4" w:rsidP="00F642D4">
      <w:pPr>
        <w:pStyle w:val="ARTartustawynprozporzdzenia"/>
      </w:pPr>
      <w:r w:rsidRPr="00F642D4">
        <w:rPr>
          <w:rStyle w:val="Ppogrubienie"/>
        </w:rPr>
        <w:t>§ 1</w:t>
      </w:r>
      <w:r w:rsidR="00AB660C">
        <w:rPr>
          <w:rStyle w:val="Ppogrubienie"/>
        </w:rPr>
        <w:t>1</w:t>
      </w:r>
      <w:r>
        <w:t>. Wydatki kwalifikujące się do objęcia wsparciem poniesione w walucie obcej:</w:t>
      </w:r>
    </w:p>
    <w:p w14:paraId="17E9D828" w14:textId="77777777" w:rsidR="00F642D4" w:rsidRDefault="007C64C8" w:rsidP="00F642D4">
      <w:pPr>
        <w:pStyle w:val="PKTpunkt"/>
      </w:pPr>
      <w:r>
        <w:lastRenderedPageBreak/>
        <w:t>1)</w:t>
      </w:r>
      <w:r w:rsidR="00F642D4">
        <w:tab/>
        <w:t>z rachunku bankowego beneficjenta prowadzonego w walucie polskiej przelicza się na walutę polską po kursie sprzedaży zastosowanym przez bank dokonujący płatności w dniu jej dokonania;</w:t>
      </w:r>
    </w:p>
    <w:p w14:paraId="01163C38" w14:textId="77777777" w:rsidR="00F642D4" w:rsidRDefault="007C64C8" w:rsidP="00F642D4">
      <w:pPr>
        <w:pStyle w:val="PKTpunkt"/>
      </w:pPr>
      <w:r>
        <w:t>2)</w:t>
      </w:r>
      <w:r w:rsidR="00F642D4">
        <w:tab/>
        <w:t>posiadanej przez beneficjenta przelicza się na walutę polską według średniego kursu euro ogłoszonego przez Narodowy Bank Polski w dniu dokonania płatności przez właściwą instytucję na rzecz beneficjenta.</w:t>
      </w:r>
    </w:p>
    <w:p w14:paraId="4D10E0F9" w14:textId="77777777" w:rsidR="00425595" w:rsidRPr="002A549D" w:rsidRDefault="00425595" w:rsidP="00425595">
      <w:pPr>
        <w:pStyle w:val="ARTartustawynprozporzdzenia"/>
      </w:pPr>
      <w:r w:rsidRPr="002A549D">
        <w:rPr>
          <w:rStyle w:val="Ppogrubienie"/>
        </w:rPr>
        <w:t>§ 1</w:t>
      </w:r>
      <w:r w:rsidR="00E03921" w:rsidRPr="002A549D">
        <w:rPr>
          <w:rStyle w:val="Ppogrubienie"/>
        </w:rPr>
        <w:t>2</w:t>
      </w:r>
      <w:r w:rsidRPr="002A549D">
        <w:rPr>
          <w:rStyle w:val="Ppogrubienie"/>
        </w:rPr>
        <w:t>.</w:t>
      </w:r>
      <w:r w:rsidRPr="002A549D">
        <w:t xml:space="preserve"> 1. Maksymalna kwota wsparcia w odniesieniu</w:t>
      </w:r>
      <w:r w:rsidR="007C64C8">
        <w:t xml:space="preserve"> do pomocy udzielanej zgodnie z </w:t>
      </w:r>
      <w:r w:rsidRPr="002A549D">
        <w:t>przepisami, o których mowa w § 4 ust. 1:</w:t>
      </w:r>
    </w:p>
    <w:p w14:paraId="1B9385E1" w14:textId="501CA0B8" w:rsidR="00425595" w:rsidRPr="002A549D" w:rsidRDefault="007C64C8" w:rsidP="00425595">
      <w:pPr>
        <w:pStyle w:val="PKTpunkt"/>
      </w:pPr>
      <w:r>
        <w:t>1)</w:t>
      </w:r>
      <w:r w:rsidR="00425595" w:rsidRPr="002A549D">
        <w:tab/>
        <w:t xml:space="preserve">pkt 1, nie przekracza </w:t>
      </w:r>
      <w:r w:rsidR="00861A80" w:rsidRPr="002A549D">
        <w:t>79,71</w:t>
      </w:r>
      <w:r w:rsidR="000E77CC">
        <w:t xml:space="preserve"> </w:t>
      </w:r>
      <w:r w:rsidR="00425595" w:rsidRPr="002A549D">
        <w:t>%</w:t>
      </w:r>
      <w:r w:rsidR="000E77CC">
        <w:t xml:space="preserve"> </w:t>
      </w:r>
      <w:r w:rsidR="00425595" w:rsidRPr="002A549D">
        <w:t>wydatków kwalifikujących się do objęcia wsparciem;</w:t>
      </w:r>
    </w:p>
    <w:p w14:paraId="0583CA61" w14:textId="155EADD4" w:rsidR="00425595" w:rsidRPr="002A549D" w:rsidRDefault="007C64C8" w:rsidP="00425595">
      <w:pPr>
        <w:pStyle w:val="PKTpunkt"/>
      </w:pPr>
      <w:r>
        <w:t>2)</w:t>
      </w:r>
      <w:r w:rsidR="00425595" w:rsidRPr="002A549D">
        <w:tab/>
        <w:t>pkt 2, wynika z mapy pomocy regionalnej zgodnie z przepisami wydanymi na podstawie art. 10 ust. 2 ustawy z dnia 30 kwietnia 2004 r. o postępowaniu w sprawach dotyczących pomocy publicznej;</w:t>
      </w:r>
    </w:p>
    <w:p w14:paraId="2BF7A336" w14:textId="7AA09A80" w:rsidR="00425595" w:rsidRPr="002A549D" w:rsidRDefault="007C64C8" w:rsidP="002A549D">
      <w:pPr>
        <w:pStyle w:val="PKTpunkt"/>
      </w:pPr>
      <w:r>
        <w:t>3)</w:t>
      </w:r>
      <w:r w:rsidR="00CC0647">
        <w:tab/>
        <w:t>pkt 3</w:t>
      </w:r>
      <w:r w:rsidR="000E77CC">
        <w:t>,</w:t>
      </w:r>
      <w:r w:rsidR="00CC0647">
        <w:t xml:space="preserve"> jest określana zgodnie z art. </w:t>
      </w:r>
      <w:r w:rsidR="002C2080">
        <w:t>31 ust. 4</w:t>
      </w:r>
      <w:r w:rsidR="000E77CC">
        <w:rPr>
          <w:rFonts w:cs="Times"/>
        </w:rPr>
        <w:t>‒</w:t>
      </w:r>
      <w:r w:rsidR="002C2080">
        <w:t xml:space="preserve">5 rozporządzenia </w:t>
      </w:r>
      <w:r w:rsidR="002C2080" w:rsidRPr="002C2080">
        <w:t>Komisji (UE) nr 651/2014</w:t>
      </w:r>
      <w:r w:rsidR="002C2080">
        <w:t>;</w:t>
      </w:r>
    </w:p>
    <w:p w14:paraId="563D1C64" w14:textId="65409BA9" w:rsidR="00DB4E28" w:rsidRPr="00CC0647" w:rsidRDefault="00CC0647" w:rsidP="00CC0647">
      <w:pPr>
        <w:pStyle w:val="PKTpunkt"/>
      </w:pPr>
      <w:r w:rsidRPr="00CC0647">
        <w:t>4)</w:t>
      </w:r>
      <w:r w:rsidRPr="00CC0647">
        <w:tab/>
        <w:t>pkt 4</w:t>
      </w:r>
      <w:r w:rsidR="000E77CC">
        <w:t>,</w:t>
      </w:r>
      <w:r w:rsidRPr="00CC0647">
        <w:t xml:space="preserve"> </w:t>
      </w:r>
      <w:r w:rsidR="00DB4E28" w:rsidRPr="00CC0647">
        <w:t xml:space="preserve">jest określana zgodnie z </w:t>
      </w:r>
      <w:r>
        <w:t>art. 56 ust. 6</w:t>
      </w:r>
      <w:r w:rsidR="000E77CC">
        <w:rPr>
          <w:rFonts w:cs="Times"/>
        </w:rPr>
        <w:t>‒</w:t>
      </w:r>
      <w:r>
        <w:t xml:space="preserve">9 </w:t>
      </w:r>
      <w:r w:rsidR="00DB4E28" w:rsidRPr="00CC0647">
        <w:t>rozporządzenia Komisji (UE) nr 651/2014</w:t>
      </w:r>
      <w:r>
        <w:t>.</w:t>
      </w:r>
    </w:p>
    <w:p w14:paraId="01771700" w14:textId="08F45FFB" w:rsidR="00425595" w:rsidRPr="00CC0647" w:rsidRDefault="00425595" w:rsidP="00425595">
      <w:pPr>
        <w:pStyle w:val="USTustnpkodeksu"/>
      </w:pPr>
      <w:r w:rsidRPr="00CC0647">
        <w:t xml:space="preserve">2. Beneficjent wsparcia, o którym mowa w § 4 ust. 1 pkt 2, </w:t>
      </w:r>
      <w:r w:rsidR="00EE3897">
        <w:t>wnosi</w:t>
      </w:r>
      <w:r w:rsidR="00AC13F5">
        <w:t xml:space="preserve"> wkład finansowy w </w:t>
      </w:r>
      <w:r w:rsidRPr="00CC0647">
        <w:t>wysokości co najmniej 25</w:t>
      </w:r>
      <w:r w:rsidR="000E77CC">
        <w:t xml:space="preserve"> </w:t>
      </w:r>
      <w:r w:rsidRPr="00CC0647">
        <w:t xml:space="preserve">% kosztów kwalifikowalnych, pochodzący ze </w:t>
      </w:r>
      <w:r w:rsidRPr="00CC0647">
        <w:lastRenderedPageBreak/>
        <w:t>środków własnych lub zewnętrznych źródeł finansowania, w postaci wolnej od wszelkiego publicznego wsparcia finansowego.</w:t>
      </w:r>
    </w:p>
    <w:p w14:paraId="50BA1957" w14:textId="0646DA83" w:rsidR="00DB4E28" w:rsidRDefault="00106281" w:rsidP="00DB4E28">
      <w:pPr>
        <w:pStyle w:val="USTustnpkodeksu"/>
      </w:pPr>
      <w:r>
        <w:t>3</w:t>
      </w:r>
      <w:r w:rsidR="00425595" w:rsidRPr="00CC0647">
        <w:t>. W przypadku gdy wsparcie w odniesieniu do regionalnej pomocy inwestycyjnej</w:t>
      </w:r>
      <w:r w:rsidR="00D260A8">
        <w:t>, o </w:t>
      </w:r>
      <w:r w:rsidR="00994B5C">
        <w:t xml:space="preserve">której mowa w </w:t>
      </w:r>
      <w:r w:rsidR="00994B5C" w:rsidRPr="00CC0647">
        <w:t>§ 4 ust. 1 pkt 2</w:t>
      </w:r>
      <w:r w:rsidR="00994B5C">
        <w:t>,</w:t>
      </w:r>
      <w:r w:rsidR="00425595" w:rsidRPr="00CC0647">
        <w:t xml:space="preserve"> dotyczy projektu realizowanego w kilku lokalizacjach objętych różną intensywnością wsparcia, maksymalną dopuszczalną intensywnością wsparcia w części dotyczącej wydatków na inwestycję początkową jest pułap określony dla tej lokalizacji projektu, w której intensywność wsparcia jest najniższa.</w:t>
      </w:r>
    </w:p>
    <w:p w14:paraId="0E6AFD3F" w14:textId="77777777" w:rsidR="00CB77ED" w:rsidRPr="00CB77ED" w:rsidRDefault="005E0E7C" w:rsidP="00CB77ED">
      <w:pPr>
        <w:pStyle w:val="USTustnpkodeksu"/>
        <w:rPr>
          <w:rStyle w:val="Ppogrubienie"/>
          <w:b w:val="0"/>
        </w:rPr>
      </w:pPr>
      <w:r w:rsidRPr="00CB77ED">
        <w:rPr>
          <w:rStyle w:val="Ppogrubienie"/>
        </w:rPr>
        <w:t>§ 1</w:t>
      </w:r>
      <w:r w:rsidR="00E03921">
        <w:rPr>
          <w:rStyle w:val="Ppogrubienie"/>
        </w:rPr>
        <w:t>3</w:t>
      </w:r>
      <w:r w:rsidRPr="00CB77ED">
        <w:rPr>
          <w:rStyle w:val="Ppogrubienie"/>
          <w:b w:val="0"/>
        </w:rPr>
        <w:t>.</w:t>
      </w:r>
      <w:r w:rsidR="00CB77ED" w:rsidRPr="00CB77ED">
        <w:rPr>
          <w:b/>
        </w:rPr>
        <w:t xml:space="preserve"> </w:t>
      </w:r>
      <w:r w:rsidR="00CB77ED" w:rsidRPr="00CB77ED">
        <w:rPr>
          <w:rStyle w:val="Ppogrubienie"/>
          <w:b w:val="0"/>
        </w:rPr>
        <w:t xml:space="preserve">Wsparcie na realizację </w:t>
      </w:r>
      <w:r w:rsidR="00166851">
        <w:rPr>
          <w:rStyle w:val="Ppogrubienie"/>
          <w:b w:val="0"/>
        </w:rPr>
        <w:t>działania</w:t>
      </w:r>
      <w:r w:rsidR="00166851" w:rsidRPr="00166851">
        <w:rPr>
          <w:rStyle w:val="Ppogrubienie"/>
          <w:b w:val="0"/>
        </w:rPr>
        <w:t xml:space="preserve"> 2.3</w:t>
      </w:r>
      <w:r w:rsidR="00166851">
        <w:rPr>
          <w:rStyle w:val="Ppogrubienie"/>
          <w:b w:val="0"/>
        </w:rPr>
        <w:t xml:space="preserve"> </w:t>
      </w:r>
      <w:r w:rsidR="00CB77ED" w:rsidRPr="00CB77ED">
        <w:rPr>
          <w:rStyle w:val="Ppogrubienie"/>
          <w:b w:val="0"/>
        </w:rPr>
        <w:t>podlega indywidualnej notyfikacji Komisji</w:t>
      </w:r>
      <w:r w:rsidR="00CB77ED">
        <w:rPr>
          <w:rStyle w:val="Ppogrubienie"/>
          <w:b w:val="0"/>
        </w:rPr>
        <w:t xml:space="preserve"> </w:t>
      </w:r>
      <w:r w:rsidR="00CB77ED" w:rsidRPr="00CB77ED">
        <w:rPr>
          <w:rStyle w:val="Ppogrubienie"/>
          <w:b w:val="0"/>
        </w:rPr>
        <w:t>Europejskiej:</w:t>
      </w:r>
    </w:p>
    <w:p w14:paraId="39820246" w14:textId="67CF2DDF" w:rsidR="00CB77ED" w:rsidRPr="00D260A8" w:rsidRDefault="00D260A8" w:rsidP="00D260A8">
      <w:pPr>
        <w:pStyle w:val="PKTpunkt"/>
        <w:rPr>
          <w:rStyle w:val="Ppogrubienie"/>
          <w:b w:val="0"/>
        </w:rPr>
      </w:pPr>
      <w:r w:rsidRPr="00D260A8">
        <w:rPr>
          <w:rStyle w:val="Ppogrubienie"/>
          <w:b w:val="0"/>
        </w:rPr>
        <w:t>1)</w:t>
      </w:r>
      <w:r w:rsidRPr="00D260A8">
        <w:rPr>
          <w:rStyle w:val="Ppogrubienie"/>
          <w:b w:val="0"/>
        </w:rPr>
        <w:tab/>
      </w:r>
      <w:r w:rsidR="00CB77ED" w:rsidRPr="00D260A8">
        <w:rPr>
          <w:rStyle w:val="Ppogrubienie"/>
          <w:b w:val="0"/>
        </w:rPr>
        <w:t>w</w:t>
      </w:r>
      <w:r w:rsidR="00994B5C" w:rsidRPr="00D260A8">
        <w:rPr>
          <w:rStyle w:val="Ppogrubienie"/>
          <w:b w:val="0"/>
        </w:rPr>
        <w:t xml:space="preserve"> zakresie wsparcia, o którym mowa w </w:t>
      </w:r>
      <w:r w:rsidR="00994B5C" w:rsidRPr="00D260A8">
        <w:t xml:space="preserve">§ 4 ust. 1 pkt 2 </w:t>
      </w:r>
      <w:r w:rsidR="00777B44">
        <w:rPr>
          <w:rFonts w:cs="Times"/>
        </w:rPr>
        <w:t>‒</w:t>
      </w:r>
      <w:r w:rsidR="00CB77ED" w:rsidRPr="00D260A8">
        <w:rPr>
          <w:rStyle w:val="Ppogrubienie"/>
          <w:b w:val="0"/>
        </w:rPr>
        <w:t xml:space="preserve"> </w:t>
      </w:r>
      <w:r w:rsidR="00994B5C" w:rsidRPr="00D260A8">
        <w:rPr>
          <w:rStyle w:val="Ppogrubienie"/>
          <w:b w:val="0"/>
        </w:rPr>
        <w:t xml:space="preserve">w </w:t>
      </w:r>
      <w:r w:rsidR="00AE7F46">
        <w:rPr>
          <w:rStyle w:val="Ppogrubienie"/>
          <w:b w:val="0"/>
        </w:rPr>
        <w:t>przypadkach określonych w </w:t>
      </w:r>
      <w:r w:rsidR="00CB77ED" w:rsidRPr="00D260A8">
        <w:rPr>
          <w:rStyle w:val="Ppogrubienie"/>
          <w:b w:val="0"/>
        </w:rPr>
        <w:t>art. 4 ust. 1 lit. a rozporządzenia Komisji (UE) nr 651/2014;</w:t>
      </w:r>
    </w:p>
    <w:p w14:paraId="44350F9D" w14:textId="5EA3796E" w:rsidR="00994B5C" w:rsidRPr="00D260A8" w:rsidRDefault="00D260A8" w:rsidP="00D260A8">
      <w:pPr>
        <w:pStyle w:val="PKTpunkt"/>
        <w:rPr>
          <w:rStyle w:val="Ppogrubienie"/>
          <w:b w:val="0"/>
        </w:rPr>
      </w:pPr>
      <w:r w:rsidRPr="00D260A8">
        <w:rPr>
          <w:rStyle w:val="Ppogrubienie"/>
          <w:b w:val="0"/>
        </w:rPr>
        <w:t>2)</w:t>
      </w:r>
      <w:r w:rsidRPr="00D260A8">
        <w:rPr>
          <w:rStyle w:val="Ppogrubienie"/>
          <w:b w:val="0"/>
        </w:rPr>
        <w:tab/>
      </w:r>
      <w:r w:rsidR="00994B5C" w:rsidRPr="00D260A8">
        <w:rPr>
          <w:rStyle w:val="Ppogrubienie"/>
          <w:b w:val="0"/>
        </w:rPr>
        <w:t xml:space="preserve">w zakresie wsparcia, o którym mowa w </w:t>
      </w:r>
      <w:r w:rsidR="00994B5C" w:rsidRPr="00D260A8">
        <w:t xml:space="preserve">§ 4 ust. 1 pkt 3 </w:t>
      </w:r>
      <w:r w:rsidR="00777B44">
        <w:rPr>
          <w:rFonts w:cs="Times"/>
        </w:rPr>
        <w:t>‒</w:t>
      </w:r>
      <w:r w:rsidR="00994B5C" w:rsidRPr="00D260A8">
        <w:t xml:space="preserve"> </w:t>
      </w:r>
      <w:r w:rsidR="00994B5C" w:rsidRPr="00D260A8">
        <w:rPr>
          <w:rStyle w:val="Ppogrubienie"/>
          <w:b w:val="0"/>
        </w:rPr>
        <w:t>w przypadku określonym w art. 4 ust. 1 lit. n rozporządzenia Komisji (UE) nr 651/2014;</w:t>
      </w:r>
    </w:p>
    <w:p w14:paraId="4B9E0D99" w14:textId="000D7859" w:rsidR="00CB77ED" w:rsidRPr="00D260A8" w:rsidRDefault="00D260A8" w:rsidP="00D260A8">
      <w:pPr>
        <w:pStyle w:val="PKTpunkt"/>
        <w:rPr>
          <w:rStyle w:val="Ppogrubienie"/>
          <w:b w:val="0"/>
        </w:rPr>
      </w:pPr>
      <w:r w:rsidRPr="00D260A8">
        <w:rPr>
          <w:rStyle w:val="Ppogrubienie"/>
          <w:b w:val="0"/>
        </w:rPr>
        <w:t>3)</w:t>
      </w:r>
      <w:r w:rsidRPr="00D260A8">
        <w:rPr>
          <w:rStyle w:val="Ppogrubienie"/>
          <w:b w:val="0"/>
        </w:rPr>
        <w:tab/>
      </w:r>
      <w:r w:rsidR="00994B5C" w:rsidRPr="00D260A8">
        <w:rPr>
          <w:rStyle w:val="Ppogrubienie"/>
          <w:b w:val="0"/>
        </w:rPr>
        <w:t xml:space="preserve">w zakresie wsparcia, o którym mowa w § 4 ust. 1 pkt </w:t>
      </w:r>
      <w:r w:rsidR="00F800B9">
        <w:rPr>
          <w:rStyle w:val="Ppogrubienie"/>
          <w:b w:val="0"/>
        </w:rPr>
        <w:t xml:space="preserve">4 </w:t>
      </w:r>
      <w:r w:rsidR="00777B44">
        <w:rPr>
          <w:rStyle w:val="Ppogrubienie"/>
          <w:rFonts w:cs="Times"/>
          <w:b w:val="0"/>
        </w:rPr>
        <w:t>‒</w:t>
      </w:r>
      <w:r w:rsidR="00F800B9">
        <w:rPr>
          <w:rStyle w:val="Ppogrubienie"/>
          <w:b w:val="0"/>
        </w:rPr>
        <w:t xml:space="preserve"> w przypadkach określonych w </w:t>
      </w:r>
      <w:r w:rsidR="00994B5C" w:rsidRPr="00D260A8">
        <w:rPr>
          <w:rStyle w:val="Ppogrubienie"/>
          <w:b w:val="0"/>
        </w:rPr>
        <w:t>art. 4 ust. 1 lit. z rozporządzenia Komisji (UE) nr 651/2014</w:t>
      </w:r>
      <w:r w:rsidR="00CB77ED" w:rsidRPr="00D260A8">
        <w:rPr>
          <w:rStyle w:val="Ppogrubienie"/>
          <w:b w:val="0"/>
        </w:rPr>
        <w:t>.</w:t>
      </w:r>
    </w:p>
    <w:p w14:paraId="097C7C14" w14:textId="77777777" w:rsidR="00CB77ED" w:rsidRPr="00245A02" w:rsidRDefault="00CB77ED" w:rsidP="00CB77ED">
      <w:pPr>
        <w:pStyle w:val="USTustnpkodeksu"/>
        <w:rPr>
          <w:rStyle w:val="Ppogrubienie"/>
          <w:b w:val="0"/>
        </w:rPr>
      </w:pPr>
      <w:r w:rsidRPr="00245A02">
        <w:rPr>
          <w:rStyle w:val="Ppogrubienie"/>
        </w:rPr>
        <w:t>§ 1</w:t>
      </w:r>
      <w:r w:rsidR="00E03921">
        <w:rPr>
          <w:rStyle w:val="Ppogrubienie"/>
        </w:rPr>
        <w:t>4</w:t>
      </w:r>
      <w:r w:rsidRPr="00245A02">
        <w:rPr>
          <w:rStyle w:val="Ppogrubienie"/>
          <w:b w:val="0"/>
        </w:rPr>
        <w:t>. Pomoc, o której mowa w § 4:</w:t>
      </w:r>
    </w:p>
    <w:p w14:paraId="07B0C869" w14:textId="7670B458" w:rsidR="00CB77ED" w:rsidRPr="00245A02" w:rsidRDefault="007C64C8" w:rsidP="00CB77ED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1)</w:t>
      </w:r>
      <w:r w:rsidR="00CB77ED" w:rsidRPr="00245A02">
        <w:rPr>
          <w:rStyle w:val="Ppogrubienie"/>
          <w:b w:val="0"/>
        </w:rPr>
        <w:tab/>
        <w:t>ust. 1 pkt 1</w:t>
      </w:r>
      <w:r w:rsidR="00766516">
        <w:rPr>
          <w:rStyle w:val="Ppogrubienie"/>
          <w:b w:val="0"/>
        </w:rPr>
        <w:t>,</w:t>
      </w:r>
      <w:r w:rsidR="00CB77ED" w:rsidRPr="00245A02">
        <w:rPr>
          <w:rStyle w:val="Ppogrubienie"/>
          <w:b w:val="0"/>
        </w:rPr>
        <w:t xml:space="preserve"> jest udzielana do końca okresu dostosowawczego, o którym mowa w art. 7 ust. 4 rozporządzenia Komisji (UE) nr 1407/2013;</w:t>
      </w:r>
    </w:p>
    <w:p w14:paraId="24052004" w14:textId="77777777" w:rsidR="00CB77ED" w:rsidRPr="00245A02" w:rsidRDefault="007C64C8" w:rsidP="00CB77ED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lastRenderedPageBreak/>
        <w:t>2)</w:t>
      </w:r>
      <w:r w:rsidR="00CB77ED" w:rsidRPr="00245A02">
        <w:rPr>
          <w:rStyle w:val="Ppogrubienie"/>
          <w:b w:val="0"/>
        </w:rPr>
        <w:tab/>
        <w:t>ust. 1 pkt 2, jest udzielana w zakresie wynikającym z mapy pomocy regionalnej zgodnie z przepisami wydanymi na podstawie art. 10 ust. 2 usta</w:t>
      </w:r>
      <w:r>
        <w:rPr>
          <w:rStyle w:val="Ppogrubienie"/>
          <w:b w:val="0"/>
        </w:rPr>
        <w:t>wy z dnia 30 kwietnia 2004 r. o </w:t>
      </w:r>
      <w:r w:rsidR="00CB77ED" w:rsidRPr="00245A02">
        <w:rPr>
          <w:rStyle w:val="Ppogrubienie"/>
          <w:b w:val="0"/>
        </w:rPr>
        <w:t>postępowaniu w sprawach dotyczących pomocy publicznej;</w:t>
      </w:r>
    </w:p>
    <w:p w14:paraId="73A9F1F2" w14:textId="5A2648D1" w:rsidR="00210192" w:rsidRPr="00CB77ED" w:rsidRDefault="007C64C8" w:rsidP="00CB77ED">
      <w:pPr>
        <w:pStyle w:val="PKTpunkt"/>
        <w:rPr>
          <w:rStyle w:val="Ppogrubienie"/>
          <w:b w:val="0"/>
        </w:rPr>
      </w:pPr>
      <w:r>
        <w:rPr>
          <w:rStyle w:val="Ppogrubienie"/>
          <w:b w:val="0"/>
        </w:rPr>
        <w:t>3)</w:t>
      </w:r>
      <w:r w:rsidR="00CB77ED" w:rsidRPr="00245A02">
        <w:rPr>
          <w:rStyle w:val="Ppogrubienie"/>
          <w:b w:val="0"/>
        </w:rPr>
        <w:tab/>
        <w:t xml:space="preserve">ust. 1 pkt 3 </w:t>
      </w:r>
      <w:r w:rsidR="00766516">
        <w:rPr>
          <w:rStyle w:val="Ppogrubienie"/>
          <w:b w:val="0"/>
        </w:rPr>
        <w:t>i</w:t>
      </w:r>
      <w:r w:rsidR="00DB4E28" w:rsidRPr="00245A02">
        <w:rPr>
          <w:rStyle w:val="Ppogrubienie"/>
          <w:b w:val="0"/>
        </w:rPr>
        <w:t xml:space="preserve"> 4</w:t>
      </w:r>
      <w:r w:rsidR="00CB77ED" w:rsidRPr="00245A02">
        <w:rPr>
          <w:rStyle w:val="Ppogrubienie"/>
          <w:b w:val="0"/>
        </w:rPr>
        <w:t>, jest udzielana do końca okresu dostosowawczego, o którym mowa w art. 58 ust. 4 rozporządzenia Komisji (UE) nr 651/2014.</w:t>
      </w:r>
    </w:p>
    <w:p w14:paraId="7E4BBEDB" w14:textId="5BBCA4EB" w:rsidR="00766516" w:rsidRDefault="005E0E7C" w:rsidP="007F148E">
      <w:pPr>
        <w:pStyle w:val="ARTartustawynprozporzdzenia"/>
        <w:ind w:firstLine="170"/>
      </w:pPr>
      <w:r w:rsidRPr="005E0E7C">
        <w:rPr>
          <w:rStyle w:val="Ppogrubienie"/>
        </w:rPr>
        <w:t>§ 1</w:t>
      </w:r>
      <w:r w:rsidR="00E03921">
        <w:rPr>
          <w:rStyle w:val="Ppogrubienie"/>
        </w:rPr>
        <w:t>5</w:t>
      </w:r>
      <w:r w:rsidRPr="005E0E7C">
        <w:t>. Rozporządzenie wchodzi w życie z dniem następującym po dniu ogłoszenia.</w:t>
      </w:r>
    </w:p>
    <w:p w14:paraId="234660C1" w14:textId="324B919B" w:rsidR="00766516" w:rsidRPr="007F148E" w:rsidRDefault="00766516" w:rsidP="007F148E">
      <w:pPr>
        <w:keepNext/>
        <w:widowControl/>
        <w:suppressAutoHyphens/>
        <w:autoSpaceDE/>
        <w:autoSpaceDN/>
        <w:adjustRightInd/>
        <w:spacing w:before="480" w:after="120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 w:rsidRPr="00766516">
        <w:rPr>
          <w:rFonts w:ascii="Times" w:eastAsia="Times New Roman" w:hAnsi="Times" w:cs="Times New Roman"/>
          <w:b/>
          <w:bCs/>
          <w:caps/>
          <w:kern w:val="24"/>
          <w:szCs w:val="24"/>
        </w:rPr>
        <w:t>Minister cyfryzacji</w:t>
      </w:r>
    </w:p>
    <w:p w14:paraId="1A6F4BC6" w14:textId="77777777" w:rsidR="00766516" w:rsidRPr="00766516" w:rsidRDefault="00766516" w:rsidP="007F148E">
      <w:pPr>
        <w:spacing w:before="480" w:line="240" w:lineRule="auto"/>
        <w:rPr>
          <w:sz w:val="20"/>
        </w:rPr>
      </w:pPr>
      <w:r w:rsidRPr="00766516">
        <w:rPr>
          <w:sz w:val="20"/>
        </w:rPr>
        <w:t>ZA ZGODNOŚĆ POD WZGLĘDEM PRAWNYM,</w:t>
      </w:r>
    </w:p>
    <w:p w14:paraId="3ABAA6DF" w14:textId="77777777" w:rsidR="00766516" w:rsidRPr="00766516" w:rsidRDefault="00766516" w:rsidP="00766516">
      <w:pPr>
        <w:spacing w:line="240" w:lineRule="auto"/>
        <w:rPr>
          <w:sz w:val="20"/>
        </w:rPr>
      </w:pPr>
      <w:r w:rsidRPr="00766516">
        <w:rPr>
          <w:sz w:val="20"/>
        </w:rPr>
        <w:t>LEGISLACYJNYM I REDAKCYJNYM</w:t>
      </w:r>
    </w:p>
    <w:p w14:paraId="25A09ED7" w14:textId="69C27D30" w:rsidR="00766516" w:rsidRPr="00766516" w:rsidRDefault="00826D2C" w:rsidP="00766516">
      <w:pPr>
        <w:spacing w:line="240" w:lineRule="auto"/>
        <w:rPr>
          <w:sz w:val="20"/>
        </w:rPr>
      </w:pPr>
      <w:r>
        <w:rPr>
          <w:sz w:val="20"/>
        </w:rPr>
        <w:t>Magdalena Witkowska-Krzymowska</w:t>
      </w:r>
    </w:p>
    <w:p w14:paraId="1DFA722D" w14:textId="505FFE0C" w:rsidR="00766516" w:rsidRPr="00766516" w:rsidRDefault="00766516" w:rsidP="00766516">
      <w:pPr>
        <w:spacing w:line="240" w:lineRule="auto"/>
        <w:rPr>
          <w:sz w:val="20"/>
        </w:rPr>
      </w:pPr>
      <w:r w:rsidRPr="00766516">
        <w:rPr>
          <w:sz w:val="20"/>
        </w:rPr>
        <w:t>Dyrektor Departamentu Prawnego</w:t>
      </w:r>
    </w:p>
    <w:p w14:paraId="5DFA7EC3" w14:textId="2BFAFA8C" w:rsidR="00766516" w:rsidRDefault="00766516" w:rsidP="00766516">
      <w:pPr>
        <w:spacing w:line="240" w:lineRule="auto"/>
        <w:rPr>
          <w:sz w:val="20"/>
        </w:rPr>
      </w:pPr>
      <w:r w:rsidRPr="00766516">
        <w:rPr>
          <w:sz w:val="20"/>
        </w:rPr>
        <w:t>w Ministerstwie Cyfryzacji</w:t>
      </w:r>
    </w:p>
    <w:p w14:paraId="4AE2A27B" w14:textId="77777777" w:rsidR="00F345C0" w:rsidRDefault="00F345C0" w:rsidP="00766516">
      <w:pPr>
        <w:spacing w:line="240" w:lineRule="auto"/>
        <w:rPr>
          <w:sz w:val="20"/>
        </w:rPr>
      </w:pPr>
    </w:p>
    <w:p w14:paraId="72B8C858" w14:textId="77777777" w:rsidR="00D209B4" w:rsidRPr="00766516" w:rsidRDefault="00D209B4" w:rsidP="00766516">
      <w:pPr>
        <w:spacing w:line="240" w:lineRule="auto"/>
        <w:rPr>
          <w:sz w:val="20"/>
        </w:rPr>
        <w:sectPr w:rsidR="00D209B4" w:rsidRPr="00766516" w:rsidSect="001A7F15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14:paraId="622B007D" w14:textId="77777777" w:rsidR="002D4237" w:rsidRPr="00E572BF" w:rsidRDefault="002D4237" w:rsidP="00E572BF">
      <w:pPr>
        <w:pStyle w:val="TYTUAKTUprzedmiotregulacjiustawylubrozporzdzenia"/>
        <w:rPr>
          <w:rStyle w:val="Ppogrubienie"/>
          <w:rFonts w:ascii="Times New Roman" w:hAnsi="Times New Roman"/>
          <w:b/>
        </w:rPr>
      </w:pPr>
      <w:r w:rsidRPr="00E572BF">
        <w:rPr>
          <w:rStyle w:val="Ppogrubienie"/>
          <w:rFonts w:ascii="Times New Roman" w:hAnsi="Times New Roman"/>
          <w:b/>
        </w:rPr>
        <w:lastRenderedPageBreak/>
        <w:t>UZASADNIENIE</w:t>
      </w:r>
    </w:p>
    <w:p w14:paraId="26BEA9B5" w14:textId="3AFC176E" w:rsidR="009A1E96" w:rsidRPr="00E572BF" w:rsidRDefault="00E572BF" w:rsidP="00E572BF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t>I</w:t>
      </w:r>
      <w:r w:rsidRPr="00E572BF">
        <w:rPr>
          <w:rStyle w:val="Ppogrubienie"/>
        </w:rPr>
        <w:t xml:space="preserve">. </w:t>
      </w:r>
      <w:r w:rsidR="009A1E96" w:rsidRPr="00E572BF">
        <w:rPr>
          <w:rStyle w:val="Ppogrubienie"/>
        </w:rPr>
        <w:t>Cel oraz zakres projektowane</w:t>
      </w:r>
      <w:r w:rsidR="00D209B4" w:rsidRPr="00E572BF">
        <w:rPr>
          <w:rStyle w:val="Ppogrubienie"/>
        </w:rPr>
        <w:t>go rozporządzenia</w:t>
      </w:r>
    </w:p>
    <w:p w14:paraId="7B81469D" w14:textId="54C46515" w:rsidR="00765CBD" w:rsidRPr="00E572BF" w:rsidRDefault="00765CBD" w:rsidP="00E572BF">
      <w:pPr>
        <w:pStyle w:val="NIEARTTEKSTtekstnieartykuowanynppodstprawnarozplubpreambua"/>
      </w:pPr>
      <w:r w:rsidRPr="00E572BF">
        <w:t>W 2022 r. przyjęty został program Fundusze Europejskie na Rozwój Cyfrowy 2021</w:t>
      </w:r>
      <w:r w:rsidR="00D209B4" w:rsidRPr="00E572BF">
        <w:t>–</w:t>
      </w:r>
      <w:r w:rsidRPr="00E572BF">
        <w:t xml:space="preserve">2027 (dalej </w:t>
      </w:r>
      <w:r w:rsidR="00177F38" w:rsidRPr="00E572BF">
        <w:t xml:space="preserve">również </w:t>
      </w:r>
      <w:r w:rsidRPr="00E572BF">
        <w:t>jako: FERC lub program). FERC stanowi kontynuację Programu Operacyjnego Polska Cyfrowa na lata 2014–2020 i zapewnia ramy dla kolejnego etapu cyfrowej transformacji kraju.</w:t>
      </w:r>
      <w:r w:rsidR="00D209B4" w:rsidRPr="00E572BF">
        <w:t xml:space="preserve"> W </w:t>
      </w:r>
      <w:r w:rsidRPr="00E572BF">
        <w:t>program</w:t>
      </w:r>
      <w:r w:rsidR="00470761" w:rsidRPr="00E572BF">
        <w:t>ie</w:t>
      </w:r>
      <w:r w:rsidRPr="00E572BF">
        <w:t xml:space="preserve"> zaprojektow</w:t>
      </w:r>
      <w:r w:rsidR="004245F3" w:rsidRPr="00E572BF">
        <w:t>ane zostało m.in. działanie 2.3:</w:t>
      </w:r>
      <w:r w:rsidRPr="00E572BF">
        <w:t xml:space="preserve"> Cyfrowa dostępność i ponowne wykorzystanie informacji (dalej jako: działanie 2.3), które przewiduje interwencję w dwóch obszarach:</w:t>
      </w:r>
    </w:p>
    <w:p w14:paraId="297EE847" w14:textId="5E55BE29" w:rsidR="00765CBD" w:rsidRPr="00E572BF" w:rsidRDefault="00E572BF" w:rsidP="00E572BF">
      <w:pPr>
        <w:pStyle w:val="NIEARTTEKSTtekstnieartykuowanynppodstprawnarozplubpreambua"/>
      </w:pPr>
      <w:r>
        <w:t xml:space="preserve">1. </w:t>
      </w:r>
      <w:r w:rsidR="00765CBD" w:rsidRPr="00E572BF">
        <w:t>Cyfrowa dostępność informacji sektora publicznego</w:t>
      </w:r>
    </w:p>
    <w:p w14:paraId="04A1AD5C" w14:textId="088381B5" w:rsidR="00765CBD" w:rsidRPr="00E572BF" w:rsidRDefault="00765CBD" w:rsidP="00E572BF">
      <w:pPr>
        <w:pStyle w:val="NIEARTTEKSTtekstnieartykuowanynppodstprawnarozplubpreambua"/>
      </w:pPr>
      <w:r w:rsidRPr="00E572BF">
        <w:t>Celem jest zwiększenie ilości i jakości informacji sektora publicznego dostępnych do ponownego wykorzystania, w szczególności danych o wysokiej wartości i danych dynamicznych. Program zakłada działania zwiększające otwartość i poziom ponownego wykorzystania danych z zasobów kultury (w tym niebędących informacjami sektora publicznego), nauki i administracji. Wsparcie będzie udzielane tak</w:t>
      </w:r>
      <w:r w:rsidR="001347DE" w:rsidRPr="00E572BF">
        <w:t xml:space="preserve">że na budowę lub modernizację i </w:t>
      </w:r>
      <w:r w:rsidRPr="00E572BF">
        <w:t>udostępnianie rozwiązań informatycznych do prowadzenia zaawansowanej analityki danych z wy</w:t>
      </w:r>
      <w:r w:rsidR="00AC216E" w:rsidRPr="00E572BF">
        <w:t>korzystaniem nowych technologii</w:t>
      </w:r>
    </w:p>
    <w:p w14:paraId="4984536D" w14:textId="02ADC1CB" w:rsidR="00765CBD" w:rsidRPr="00E572BF" w:rsidRDefault="00E572BF" w:rsidP="00E572BF">
      <w:pPr>
        <w:pStyle w:val="NIEARTTEKSTtekstnieartykuowanynppodstprawnarozplubpreambua"/>
      </w:pPr>
      <w:r>
        <w:t xml:space="preserve">2. </w:t>
      </w:r>
      <w:r w:rsidR="00765CBD" w:rsidRPr="00E572BF">
        <w:t>Cyfrowa dostępność i ponowne wykorzystanie informacji przez przedsiębiorstwa</w:t>
      </w:r>
      <w:r w:rsidR="003151FF" w:rsidRPr="00E572BF">
        <w:t>.</w:t>
      </w:r>
    </w:p>
    <w:p w14:paraId="74814E7E" w14:textId="77777777" w:rsidR="00765CBD" w:rsidRPr="00E572BF" w:rsidRDefault="00765CBD" w:rsidP="00E572BF">
      <w:pPr>
        <w:pStyle w:val="NIEARTTEKSTtekstnieartykuowanynppodstprawnarozplubpreambua"/>
      </w:pPr>
      <w:r w:rsidRPr="00E572BF">
        <w:lastRenderedPageBreak/>
        <w:t>W tym przypadku przewiduje się wsparcie projektów, których celem będzie z</w:t>
      </w:r>
      <w:r w:rsidR="001347DE" w:rsidRPr="00E572BF">
        <w:t xml:space="preserve">apewnienie dostępu do danych, w </w:t>
      </w:r>
      <w:r w:rsidRPr="00E572BF">
        <w:t xml:space="preserve">tym danych dynamicznych za pośrednictwem interfejsów programistycznych aplikacji (API), wykorzystywanie </w:t>
      </w:r>
      <w:r w:rsidR="00470761" w:rsidRPr="00E572BF">
        <w:t>danych i analityki biznesowej w </w:t>
      </w:r>
      <w:r w:rsidRPr="00E572BF">
        <w:t>przedsiębiorstwach oraz wsparcie wzajemnego dzielenia się danymi przez przedsiębiorstwa, w tym opracowanie standardów współpracy w zakresie organizacyjnym, technicznym i prawnym.</w:t>
      </w:r>
    </w:p>
    <w:p w14:paraId="1FAD2612" w14:textId="7ACCA0C3" w:rsidR="00EF6C76" w:rsidRPr="00E572BF" w:rsidRDefault="00C23076" w:rsidP="00E572BF">
      <w:pPr>
        <w:pStyle w:val="NIEARTTEKSTtekstnieartykuowanynppodstprawnarozplubpreambua"/>
      </w:pPr>
      <w:r w:rsidRPr="00E572BF">
        <w:t>Działa</w:t>
      </w:r>
      <w:r w:rsidR="005A0714" w:rsidRPr="00E572BF">
        <w:t>nie 2.3</w:t>
      </w:r>
      <w:r w:rsidR="00EF6C76" w:rsidRPr="00E572BF">
        <w:t xml:space="preserve"> przewiduje udzielanie wsparcia na realizację projektów, których celem jest szeroko rozumiane zwiększenie dostępności oraz wymiany danych w gospodarce. W tym kontekście działanie odwołuje się do regulacji z obszaru otwierania </w:t>
      </w:r>
      <w:r w:rsidR="00EF7F6E" w:rsidRPr="00E572BF">
        <w:t xml:space="preserve">i ponownego wykorzystywania </w:t>
      </w:r>
      <w:r w:rsidR="00EF6C76" w:rsidRPr="00E572BF">
        <w:t>danych oraz zarzadzania danymi, tj.:</w:t>
      </w:r>
    </w:p>
    <w:p w14:paraId="509A4266" w14:textId="6B321F84" w:rsidR="00EF6C76" w:rsidRPr="00E572BF" w:rsidRDefault="00E572BF" w:rsidP="00E572BF">
      <w:pPr>
        <w:pStyle w:val="NIEARTTEKSTtekstnieartykuowanynppodstprawnarozplubpreambua"/>
      </w:pPr>
      <w:r>
        <w:rPr>
          <w:rFonts w:cs="Times"/>
        </w:rPr>
        <w:t>‒</w:t>
      </w:r>
      <w:r>
        <w:t xml:space="preserve"> </w:t>
      </w:r>
      <w:r w:rsidR="00EF6C76" w:rsidRPr="00E572BF">
        <w:t>dyrektywy Parlamentu Europejskiego i Rady (UE) 2019/1024 z dnia 20 czerwca 2019 r. w sprawie otwartych danych i ponownego wykorzystywania informacji sektora publicznego (Dz. Urz. UE L 172 z 26.06.2019, str. 56)</w:t>
      </w:r>
      <w:r w:rsidR="00481FB6" w:rsidRPr="00E572BF">
        <w:t xml:space="preserve"> (</w:t>
      </w:r>
      <w:r w:rsidR="00EF6C76" w:rsidRPr="00E572BF">
        <w:t>na poziomie krajowym dyrektywę wdraża ustawa z dnia 11 sierpnia 2021 r. o otwartych danych i ponownym wykorzystywaniu informacji sektora pu</w:t>
      </w:r>
      <w:r w:rsidR="007A30C1" w:rsidRPr="00E572BF">
        <w:t xml:space="preserve">blicznego, </w:t>
      </w:r>
      <w:r w:rsidR="00911DEA" w:rsidRPr="00E572BF">
        <w:t xml:space="preserve">Dz. U. </w:t>
      </w:r>
      <w:r w:rsidR="00186EF9" w:rsidRPr="00E572BF">
        <w:t>z 2023 r. poz. 1524</w:t>
      </w:r>
      <w:r w:rsidR="00481FB6" w:rsidRPr="00E572BF">
        <w:t>)</w:t>
      </w:r>
      <w:r>
        <w:t>;</w:t>
      </w:r>
    </w:p>
    <w:p w14:paraId="48F2364B" w14:textId="10E673BB" w:rsidR="00EF6C76" w:rsidRPr="00E572BF" w:rsidRDefault="00E572BF" w:rsidP="00E572BF">
      <w:pPr>
        <w:pStyle w:val="NIEARTTEKSTtekstnieartykuowanynppodstprawnarozplubpreambua"/>
      </w:pPr>
      <w:r>
        <w:rPr>
          <w:rFonts w:cs="Times"/>
        </w:rPr>
        <w:t>‒</w:t>
      </w:r>
      <w:r>
        <w:t xml:space="preserve"> </w:t>
      </w:r>
      <w:r w:rsidR="00EF6C76" w:rsidRPr="00E572BF">
        <w:t>rozporządzenia Parlamentu Europejskiego i Rady (UE) 2022/868 z dnia 30 maja 2022 r. w sprawie europejskiego zarządzania danymi i zmieniającego rozporządzenie (UE) 2018/1724 (akt w sprawie zarządzania danymi) (Dz. Urz. UE L 152 z 03.06.2022, str. 1</w:t>
      </w:r>
      <w:r w:rsidR="00481FB6" w:rsidRPr="00E572BF">
        <w:t xml:space="preserve"> oraz Dz. Urz. UE L 132 z 17.05.2023, str. 89</w:t>
      </w:r>
      <w:r w:rsidR="00EF6C76" w:rsidRPr="00E572BF">
        <w:t>).</w:t>
      </w:r>
    </w:p>
    <w:p w14:paraId="0F19C306" w14:textId="383D0A5A" w:rsidR="00765CBD" w:rsidRPr="00E572BF" w:rsidRDefault="00765CBD" w:rsidP="00E572BF">
      <w:pPr>
        <w:pStyle w:val="NIEARTTEKSTtekstnieartykuowanynppodstprawnarozplubpreambua"/>
      </w:pPr>
      <w:r w:rsidRPr="00E572BF">
        <w:lastRenderedPageBreak/>
        <w:t xml:space="preserve">W istotnym zakresie działanie 2.3 stanowi </w:t>
      </w:r>
      <w:r w:rsidR="00EF6C76" w:rsidRPr="00E572BF">
        <w:t xml:space="preserve">również </w:t>
      </w:r>
      <w:r w:rsidRPr="00E572BF">
        <w:t>kontynuację poddziałań drugiej osi priorytetowej Programu Operacyjnego Polska Cyfrowa na lata 2014</w:t>
      </w:r>
      <w:r w:rsidR="00D209B4" w:rsidRPr="00E572BF">
        <w:t>–</w:t>
      </w:r>
      <w:r w:rsidRPr="00E572BF">
        <w:t>2020: 2.3.1 Cyfrowe udostępnienie informacji sektora publicznego ze źródeł administracyjnych i zasobów nauki oraz 2.3.2</w:t>
      </w:r>
      <w:r w:rsidR="00A963C2" w:rsidRPr="00E572BF">
        <w:t xml:space="preserve"> </w:t>
      </w:r>
      <w:r w:rsidRPr="00E572BF">
        <w:t>Cyfrowe udostępnienie zasobów kultury.</w:t>
      </w:r>
    </w:p>
    <w:p w14:paraId="6A5B869B" w14:textId="70E330B2" w:rsidR="00765CBD" w:rsidRPr="00E572BF" w:rsidRDefault="00765CBD" w:rsidP="00E572BF">
      <w:pPr>
        <w:pStyle w:val="NIEARTTEKSTtekstnieartykuowanynppodstprawnarozplubpreambua"/>
      </w:pPr>
      <w:r w:rsidRPr="00E572BF">
        <w:t>Wy</w:t>
      </w:r>
      <w:r w:rsidR="00C814FB" w:rsidRPr="00E572BF">
        <w:t xml:space="preserve">datkowane w </w:t>
      </w:r>
      <w:r w:rsidRPr="00E572BF">
        <w:t>ramach programu środki mogą stanowić pomoc publiczną lub pomoc de minimis. Zgodnie z art. 30 ust. 1 ustawy z dnia 28 kwietnia 2022 r. o zasadach realizacji zadań finansowanych ze środków europejskich w perspektywie finansowej 2021–2027 (Dz. U. poz. 1079) w zakresie, w</w:t>
      </w:r>
      <w:r w:rsidR="00C814FB" w:rsidRPr="00E572BF">
        <w:t xml:space="preserve"> </w:t>
      </w:r>
      <w:r w:rsidRPr="00E572BF">
        <w:t xml:space="preserve">jakim w ramach programów (np. </w:t>
      </w:r>
      <w:r w:rsidR="00FC2D51" w:rsidRPr="00E572BF">
        <w:t>w ramach FERC</w:t>
      </w:r>
      <w:r w:rsidRPr="00E572BF">
        <w:t>) jest udzielana pomoc publiczna w rozumieniu art. 107 ust. 1 Traktatu o funkcjonowaniu Unii Europejskiej (Dz. Urz. UE C 326 z 26.10.2012, str. 47) lub pomoc de minimis, zastosowanie mają szczegółowe warunki i tryb udzielania takiej pomocy. W art. 30 ust. 4 wskazanej ustawy zawarto upoważnienie do wydania</w:t>
      </w:r>
      <w:r w:rsidR="00866670" w:rsidRPr="00E572BF">
        <w:t>,</w:t>
      </w:r>
      <w:r w:rsidRPr="00E572BF">
        <w:t xml:space="preserve"> przez właściwego ministra</w:t>
      </w:r>
      <w:r w:rsidR="00866670" w:rsidRPr="00E572BF">
        <w:t>,</w:t>
      </w:r>
      <w:r w:rsidRPr="00E572BF">
        <w:t xml:space="preserve"> przepisów wykonawczych określających szczegółowe przeznaczenie, warunki i tryb udzielania </w:t>
      </w:r>
      <w:r w:rsidR="00FC2D51" w:rsidRPr="00E572BF">
        <w:t>takiej pomocy, a </w:t>
      </w:r>
      <w:r w:rsidRPr="00E572BF">
        <w:t>także podmioty udzielające pomocy, przy uwzględnieniu konieczności zapewnienia zgodności pomocy z ryn</w:t>
      </w:r>
      <w:r w:rsidR="00866670" w:rsidRPr="00E572BF">
        <w:t>kiem wewnętr</w:t>
      </w:r>
      <w:r w:rsidR="00D209B4" w:rsidRPr="00E572BF">
        <w:t xml:space="preserve">znym, efektywnego i </w:t>
      </w:r>
      <w:r w:rsidRPr="00E572BF">
        <w:t>skutecznego jej wykorzystania oraz przejrzystości jej udzielania.</w:t>
      </w:r>
    </w:p>
    <w:p w14:paraId="5447E8CF" w14:textId="2E012F28" w:rsidR="002D4237" w:rsidRPr="00E572BF" w:rsidRDefault="00765CBD" w:rsidP="00E572BF">
      <w:pPr>
        <w:pStyle w:val="NIEARTTEKSTtekstnieartykuowanynppodstprawnarozplubpreambua"/>
        <w:rPr>
          <w:rStyle w:val="Ppogrubienie"/>
          <w:b w:val="0"/>
        </w:rPr>
      </w:pPr>
      <w:r w:rsidRPr="00E572BF">
        <w:lastRenderedPageBreak/>
        <w:t>W odniesieniu do działania 2.3 brak jest obecnie przepisów wykonawczych regulujących szczegółowe przeznaczenie, warunki oraz tryb udzielania pomocy publicznej i pomocy de minimis</w:t>
      </w:r>
      <w:r w:rsidR="00866670" w:rsidRPr="00E572BF">
        <w:t xml:space="preserve"> w</w:t>
      </w:r>
      <w:r w:rsidR="00D209B4" w:rsidRPr="00E572BF">
        <w:t xml:space="preserve"> </w:t>
      </w:r>
      <w:r w:rsidRPr="00E572BF">
        <w:t>ramach środków wydatko</w:t>
      </w:r>
      <w:r w:rsidR="00186EF9" w:rsidRPr="00E572BF">
        <w:t>wanych w obszarze działania 2.3</w:t>
      </w:r>
      <w:r w:rsidRPr="00E572BF">
        <w:t>. Konieczne jest w</w:t>
      </w:r>
      <w:r w:rsidR="00245054">
        <w:t> </w:t>
      </w:r>
      <w:r w:rsidRPr="00E572BF">
        <w:t>związku z tym wydanie odpowiedniego aktu normatywnego</w:t>
      </w:r>
      <w:r w:rsidR="007C1FFA" w:rsidRPr="00E572BF">
        <w:t xml:space="preserve"> – nowego rozporządzenia</w:t>
      </w:r>
      <w:r w:rsidRPr="00E572BF">
        <w:t>.</w:t>
      </w:r>
    </w:p>
    <w:p w14:paraId="65BB3ABE" w14:textId="111740D8" w:rsidR="00765CBD" w:rsidRPr="00E572BF" w:rsidRDefault="007C1FFA" w:rsidP="00E572BF">
      <w:pPr>
        <w:pStyle w:val="NIEARTTEKSTtekstnieartykuowanynppodstprawnarozplubpreambua"/>
      </w:pPr>
      <w:r w:rsidRPr="00E572BF">
        <w:t>Podstawą do wydania projektowanego rozporządzenia jest</w:t>
      </w:r>
      <w:r w:rsidR="00765CBD" w:rsidRPr="00E572BF">
        <w:t xml:space="preserve"> art. 30 ust. 4 </w:t>
      </w:r>
      <w:r w:rsidRPr="00E572BF">
        <w:t>ustawy z dnia 28</w:t>
      </w:r>
      <w:r w:rsidR="00245054">
        <w:t> </w:t>
      </w:r>
      <w:r w:rsidRPr="00E572BF">
        <w:t>kwietnia 2022 </w:t>
      </w:r>
      <w:r w:rsidR="00765CBD" w:rsidRPr="00E572BF">
        <w:t>r. o zasadach realizacji zadań finansowanych ze środków europejskich w</w:t>
      </w:r>
      <w:r w:rsidR="00245054">
        <w:t> </w:t>
      </w:r>
      <w:r w:rsidR="00765CBD" w:rsidRPr="00E572BF">
        <w:t>perspektywie finansowej 2021–2027</w:t>
      </w:r>
      <w:r w:rsidRPr="00E572BF">
        <w:t xml:space="preserve">. W projekcie zawarte zostały </w:t>
      </w:r>
      <w:r w:rsidR="00765CBD" w:rsidRPr="00E572BF">
        <w:t>przepisy regulujące szczegółowe przeznaczenie, warunki oraz tryb udzielania przez Centrum Projektów Polska Cyfrowa pomocy publicznej i pomocy de minimis</w:t>
      </w:r>
      <w:r w:rsidR="00B10567" w:rsidRPr="00E572BF">
        <w:t xml:space="preserve"> w </w:t>
      </w:r>
      <w:r w:rsidR="00765CBD" w:rsidRPr="00E572BF">
        <w:t>ramach działania 2.3. Przepisy te są</w:t>
      </w:r>
      <w:r w:rsidR="00765CBD" w:rsidRPr="00E572BF">
        <w:rPr>
          <w:rStyle w:val="Ppogrubienie"/>
          <w:b w:val="0"/>
        </w:rPr>
        <w:t xml:space="preserve"> </w:t>
      </w:r>
      <w:r w:rsidR="00765CBD" w:rsidRPr="00E572BF">
        <w:t>niezbędne do legalizacji, w konte</w:t>
      </w:r>
      <w:r w:rsidR="00815EB4" w:rsidRPr="00E572BF">
        <w:t>kście art. 107 i 108 Traktatu o </w:t>
      </w:r>
      <w:r w:rsidR="00765CBD" w:rsidRPr="00E572BF">
        <w:t xml:space="preserve">funkcjonowaniu Unii Europejskiej, środków wydatkowanych </w:t>
      </w:r>
      <w:r w:rsidR="00C814FB" w:rsidRPr="00E572BF">
        <w:t xml:space="preserve">w </w:t>
      </w:r>
      <w:r w:rsidR="00765CBD" w:rsidRPr="00E572BF">
        <w:t>ramach tego działania.</w:t>
      </w:r>
    </w:p>
    <w:p w14:paraId="5AC97A4A" w14:textId="77777777" w:rsidR="00765CBD" w:rsidRPr="00E572BF" w:rsidRDefault="00765CBD" w:rsidP="00E572BF">
      <w:pPr>
        <w:pStyle w:val="NIEARTTEKSTtekstnieartykuowanynppodstprawnarozplubpreambua"/>
      </w:pPr>
      <w:r w:rsidRPr="00E572BF">
        <w:t>Przy projektowaniu rozporządzenia wykorzystano istniejące ramy prawne UE dotyczące pomocy publicznej, tj.:</w:t>
      </w:r>
    </w:p>
    <w:p w14:paraId="7E655EF7" w14:textId="76915152" w:rsidR="00765CBD" w:rsidRPr="0027126C" w:rsidRDefault="0027126C" w:rsidP="00E572BF">
      <w:pPr>
        <w:pStyle w:val="NIEARTTEKSTtekstnieartykuowanynppodstprawnarozplubpreambua"/>
        <w:rPr>
          <w:color w:val="000000"/>
        </w:rPr>
      </w:pPr>
      <w:r>
        <w:rPr>
          <w:color w:val="000000"/>
        </w:rPr>
        <w:t>1)</w:t>
      </w:r>
      <w:r w:rsidR="00245054">
        <w:rPr>
          <w:color w:val="000000"/>
        </w:rPr>
        <w:tab/>
      </w:r>
      <w:r w:rsidR="003151FF" w:rsidRPr="0027126C">
        <w:rPr>
          <w:color w:val="000000"/>
        </w:rPr>
        <w:t>r</w:t>
      </w:r>
      <w:r w:rsidR="00765CBD" w:rsidRPr="0027126C">
        <w:rPr>
          <w:color w:val="000000"/>
        </w:rPr>
        <w:t xml:space="preserve">ozporządzenie Komisji (UE) nr 1407/2013 z dnia 18 grudnia 2013 r. w sprawie stosowania art. 107 i 108 Traktatu o funkcjonowaniu Unii Europejskiej do pomocy </w:t>
      </w:r>
      <w:r w:rsidR="00765CBD" w:rsidRPr="0027126C">
        <w:rPr>
          <w:rStyle w:val="Kkursywa"/>
        </w:rPr>
        <w:t>de minimis</w:t>
      </w:r>
      <w:r w:rsidR="00765CBD" w:rsidRPr="0027126C">
        <w:rPr>
          <w:color w:val="000000"/>
        </w:rPr>
        <w:t xml:space="preserve"> (Dz. Urz. UE L 352 z 2</w:t>
      </w:r>
      <w:r w:rsidR="00196782" w:rsidRPr="0027126C">
        <w:rPr>
          <w:color w:val="000000"/>
        </w:rPr>
        <w:t>4.12.2013, str. 1, z późn. zm.)</w:t>
      </w:r>
      <w:r w:rsidR="00245054">
        <w:rPr>
          <w:color w:val="000000"/>
        </w:rPr>
        <w:t xml:space="preserve">, zwane </w:t>
      </w:r>
      <w:r w:rsidR="00196782" w:rsidRPr="0027126C">
        <w:rPr>
          <w:color w:val="000000"/>
        </w:rPr>
        <w:t xml:space="preserve">dalej </w:t>
      </w:r>
      <w:r w:rsidR="00245054">
        <w:rPr>
          <w:color w:val="000000"/>
        </w:rPr>
        <w:t>„</w:t>
      </w:r>
      <w:r w:rsidR="00196782" w:rsidRPr="0027126C">
        <w:t>rozporządzenie</w:t>
      </w:r>
      <w:r w:rsidR="0015257E">
        <w:t>m</w:t>
      </w:r>
      <w:r w:rsidR="00196782" w:rsidRPr="0027126C">
        <w:t xml:space="preserve"> Komisji (UE) nr 1407/2013</w:t>
      </w:r>
      <w:r w:rsidR="0015257E">
        <w:t>”</w:t>
      </w:r>
      <w:r w:rsidR="00CE7796" w:rsidRPr="0027126C">
        <w:t>;</w:t>
      </w:r>
    </w:p>
    <w:p w14:paraId="11F93420" w14:textId="28F528A4" w:rsidR="00765CBD" w:rsidRPr="0027126C" w:rsidRDefault="0027126C" w:rsidP="00E572BF">
      <w:pPr>
        <w:pStyle w:val="NIEARTTEKSTtekstnieartykuowanynppodstprawnarozplubpreambua"/>
        <w:rPr>
          <w:color w:val="000000"/>
        </w:rPr>
      </w:pPr>
      <w:r>
        <w:rPr>
          <w:color w:val="000000"/>
        </w:rPr>
        <w:lastRenderedPageBreak/>
        <w:t>2)</w:t>
      </w:r>
      <w:r>
        <w:rPr>
          <w:color w:val="000000"/>
        </w:rPr>
        <w:tab/>
      </w:r>
      <w:r w:rsidR="003151FF" w:rsidRPr="0027126C">
        <w:rPr>
          <w:color w:val="000000"/>
        </w:rPr>
        <w:t>r</w:t>
      </w:r>
      <w:r w:rsidR="00765CBD" w:rsidRPr="0027126C">
        <w:rPr>
          <w:color w:val="000000"/>
        </w:rPr>
        <w:t>ozporządzenie Komisji (UE) nr 651/2014 z dnia 17 czerwca 2014 r. uznającego niektóre rodzaje pomocy za zgodne z rynkiem wewnętrznym w zastosowaniu art. 107 i 108 Traktatu (Dz. Urz. UE L 187 z 2</w:t>
      </w:r>
      <w:r w:rsidR="00196782" w:rsidRPr="0027126C">
        <w:rPr>
          <w:color w:val="000000"/>
        </w:rPr>
        <w:t>6.06.2014, str. 1, z późn. zm.)</w:t>
      </w:r>
      <w:r w:rsidR="0015257E">
        <w:rPr>
          <w:color w:val="000000"/>
        </w:rPr>
        <w:t xml:space="preserve">, zwane </w:t>
      </w:r>
      <w:r w:rsidR="00196782" w:rsidRPr="0027126C">
        <w:rPr>
          <w:color w:val="000000"/>
        </w:rPr>
        <w:t xml:space="preserve">dalej </w:t>
      </w:r>
      <w:r w:rsidR="0015257E">
        <w:rPr>
          <w:color w:val="000000"/>
        </w:rPr>
        <w:t>„</w:t>
      </w:r>
      <w:r w:rsidR="00196782" w:rsidRPr="0027126C">
        <w:rPr>
          <w:color w:val="000000"/>
        </w:rPr>
        <w:t>rozporządzenie</w:t>
      </w:r>
      <w:r w:rsidR="0015257E">
        <w:rPr>
          <w:color w:val="000000"/>
        </w:rPr>
        <w:t>m</w:t>
      </w:r>
      <w:r w:rsidR="00196782" w:rsidRPr="0027126C">
        <w:rPr>
          <w:color w:val="000000"/>
        </w:rPr>
        <w:t xml:space="preserve"> Komisji (UE) nr 651/2014</w:t>
      </w:r>
      <w:r w:rsidR="0015257E">
        <w:rPr>
          <w:color w:val="000000"/>
        </w:rPr>
        <w:t>”.</w:t>
      </w:r>
      <w:r w:rsidR="00C814FB" w:rsidRPr="0027126C">
        <w:rPr>
          <w:color w:val="000000"/>
        </w:rPr>
        <w:t>.</w:t>
      </w:r>
    </w:p>
    <w:p w14:paraId="205175FC" w14:textId="77777777" w:rsidR="00765CBD" w:rsidRPr="00E572BF" w:rsidRDefault="00765CBD" w:rsidP="00E572BF">
      <w:pPr>
        <w:pStyle w:val="NIEARTTEKSTtekstnieartykuowanynppodstprawnarozplubpreambua"/>
        <w:rPr>
          <w:bCs w:val="0"/>
          <w:color w:val="000000"/>
        </w:rPr>
      </w:pPr>
      <w:r w:rsidRPr="00E572BF">
        <w:rPr>
          <w:bCs w:val="0"/>
          <w:color w:val="000000"/>
        </w:rPr>
        <w:t>Punktem odniesienia dla projektowanych rozwiązań były również przepisy rozporzą</w:t>
      </w:r>
      <w:r w:rsidR="00C814FB" w:rsidRPr="00E572BF">
        <w:rPr>
          <w:bCs w:val="0"/>
          <w:color w:val="000000"/>
        </w:rPr>
        <w:t xml:space="preserve">dzenia Ministra Administracji i </w:t>
      </w:r>
      <w:r w:rsidRPr="00E572BF">
        <w:rPr>
          <w:bCs w:val="0"/>
          <w:color w:val="000000"/>
        </w:rPr>
        <w:t>Cyfryzacji z dnia 21 sierpnia 2015 r. sprawie udzielania pomocy publicznej i pomocy de minimis na cyfrowe udostępnienie informacji sektora publiczneg</w:t>
      </w:r>
      <w:r w:rsidR="00866670" w:rsidRPr="00E572BF">
        <w:rPr>
          <w:bCs w:val="0"/>
          <w:color w:val="000000"/>
        </w:rPr>
        <w:t>o ze źródeł administracyjnych i </w:t>
      </w:r>
      <w:r w:rsidRPr="00E572BF">
        <w:rPr>
          <w:bCs w:val="0"/>
          <w:color w:val="000000"/>
        </w:rPr>
        <w:t>zasobów nauki oraz cyfrowe udostępnienie zasobów kultury w ramach Programu Operacyjnego Polska Cyfrowa na lata 2014–2020 (Dz. U. poz. 1237).</w:t>
      </w:r>
    </w:p>
    <w:p w14:paraId="4B9BCABC" w14:textId="30102525" w:rsidR="00765CBD" w:rsidRPr="00E572BF" w:rsidRDefault="00765CBD" w:rsidP="00E572BF">
      <w:pPr>
        <w:pStyle w:val="NIEARTTEKSTtekstnieartykuowanynppodstprawnarozplubpreambua"/>
        <w:rPr>
          <w:bCs w:val="0"/>
          <w:color w:val="000000"/>
        </w:rPr>
      </w:pPr>
      <w:r w:rsidRPr="00E572BF">
        <w:rPr>
          <w:bCs w:val="0"/>
          <w:color w:val="000000"/>
        </w:rPr>
        <w:t>Projektowane rozporządzenie jest wtórnym aktem prawnym w stosunku do programu Fundusze Europejskie na Rozwój Cyfrowy 2021</w:t>
      </w:r>
      <w:r w:rsidR="008E504D" w:rsidRPr="00E572BF">
        <w:rPr>
          <w:rFonts w:eastAsia="Calibri"/>
          <w:bCs w:val="0"/>
          <w:color w:val="000000"/>
          <w:lang w:eastAsia="en-US"/>
        </w:rPr>
        <w:t>–</w:t>
      </w:r>
      <w:r w:rsidRPr="00E572BF">
        <w:rPr>
          <w:bCs w:val="0"/>
          <w:color w:val="000000"/>
        </w:rPr>
        <w:t>2027 i dokument</w:t>
      </w:r>
      <w:r w:rsidR="00866A05" w:rsidRPr="00E572BF">
        <w:rPr>
          <w:bCs w:val="0"/>
          <w:color w:val="000000"/>
        </w:rPr>
        <w:t>ów systemowych, w</w:t>
      </w:r>
      <w:r w:rsidR="0015257E">
        <w:rPr>
          <w:bCs w:val="0"/>
          <w:color w:val="000000"/>
        </w:rPr>
        <w:t> </w:t>
      </w:r>
      <w:r w:rsidR="00866A05" w:rsidRPr="00E572BF">
        <w:rPr>
          <w:bCs w:val="0"/>
          <w:color w:val="000000"/>
        </w:rPr>
        <w:t xml:space="preserve">szczególności Szczegółowego Opisu Priorytetów Programu Fundusze Europejskie na Rozwój Cyfrowy 2021–2027. </w:t>
      </w:r>
      <w:r w:rsidRPr="00E572BF">
        <w:rPr>
          <w:bCs w:val="0"/>
          <w:color w:val="000000"/>
        </w:rPr>
        <w:t>Wydanie projektowanych przepisów wykonawczych umożliwi wydatkowanie środków przewidzianych w ramach działania 2.3 w zgodzie z przepisami o</w:t>
      </w:r>
      <w:r w:rsidR="0015257E">
        <w:rPr>
          <w:bCs w:val="0"/>
          <w:color w:val="000000"/>
        </w:rPr>
        <w:t> </w:t>
      </w:r>
      <w:r w:rsidRPr="00E572BF">
        <w:rPr>
          <w:bCs w:val="0"/>
          <w:color w:val="000000"/>
        </w:rPr>
        <w:t>pomocy publicznej i pomocy de minimis.</w:t>
      </w:r>
    </w:p>
    <w:p w14:paraId="32BD6E48" w14:textId="0F60EFAD" w:rsidR="00765CBD" w:rsidRPr="00E572BF" w:rsidRDefault="00232DA5" w:rsidP="00E572BF">
      <w:pPr>
        <w:pStyle w:val="NIEARTTEKSTtekstnieartykuowanynppodstprawnarozplubpreambua"/>
        <w:rPr>
          <w:bCs w:val="0"/>
          <w:color w:val="000000"/>
        </w:rPr>
      </w:pPr>
      <w:r w:rsidRPr="00E572BF">
        <w:rPr>
          <w:bCs w:val="0"/>
          <w:color w:val="000000"/>
        </w:rPr>
        <w:t xml:space="preserve">W projekcie rozporządzenia przyjęto założenie, że niezależnie od tego, który </w:t>
      </w:r>
      <w:r w:rsidR="00866670" w:rsidRPr="00E572BF">
        <w:rPr>
          <w:bCs w:val="0"/>
          <w:color w:val="000000"/>
        </w:rPr>
        <w:t xml:space="preserve">ze wskazanych powyżej </w:t>
      </w:r>
      <w:r w:rsidRPr="00E572BF">
        <w:rPr>
          <w:bCs w:val="0"/>
          <w:color w:val="000000"/>
        </w:rPr>
        <w:t xml:space="preserve">aktów prawa </w:t>
      </w:r>
      <w:r w:rsidR="00866670" w:rsidRPr="00E572BF">
        <w:rPr>
          <w:bCs w:val="0"/>
          <w:color w:val="000000"/>
        </w:rPr>
        <w:t>UE</w:t>
      </w:r>
      <w:r w:rsidRPr="00E572BF">
        <w:rPr>
          <w:bCs w:val="0"/>
          <w:color w:val="000000"/>
        </w:rPr>
        <w:t xml:space="preserve"> będzie podstawą prawną wydatkowania </w:t>
      </w:r>
      <w:r w:rsidRPr="00E572BF">
        <w:rPr>
          <w:bCs w:val="0"/>
          <w:color w:val="000000"/>
        </w:rPr>
        <w:lastRenderedPageBreak/>
        <w:t>środków, zasadnicza część przepisów będzie wspólna. Jednocześnie zrezygnowano z powielania szczegół</w:t>
      </w:r>
      <w:r w:rsidR="00866670" w:rsidRPr="00E572BF">
        <w:rPr>
          <w:bCs w:val="0"/>
          <w:color w:val="000000"/>
        </w:rPr>
        <w:t>owych informacji wynikających z </w:t>
      </w:r>
      <w:r w:rsidRPr="00E572BF">
        <w:rPr>
          <w:bCs w:val="0"/>
          <w:color w:val="000000"/>
        </w:rPr>
        <w:t>dokumentów systemowych, w szczególności</w:t>
      </w:r>
      <w:r w:rsidR="009A1E96" w:rsidRPr="00E572BF">
        <w:rPr>
          <w:bCs w:val="0"/>
          <w:color w:val="000000"/>
        </w:rPr>
        <w:t xml:space="preserve"> </w:t>
      </w:r>
      <w:r w:rsidR="00866A05" w:rsidRPr="00E572BF">
        <w:rPr>
          <w:bCs w:val="0"/>
          <w:color w:val="000000"/>
        </w:rPr>
        <w:t>Szczegółowego Opisu Priorytetów Programu Fundusze Europejskie na Rozwój Cyfrowy 2021–2027</w:t>
      </w:r>
      <w:r w:rsidRPr="00E572BF">
        <w:rPr>
          <w:bCs w:val="0"/>
          <w:color w:val="000000"/>
        </w:rPr>
        <w:t>, które chociaż w aspekcie merytorycznym poszerzają informacje dotyczące udzielanej pomocy, to jednak mogą ulegać zmianom.</w:t>
      </w:r>
    </w:p>
    <w:p w14:paraId="283C8DC9" w14:textId="7D36C4C8" w:rsidR="009A1E96" w:rsidRPr="00D70282" w:rsidRDefault="00E572BF" w:rsidP="00E572BF">
      <w:pPr>
        <w:pStyle w:val="NIEARTTEKSTtekstnieartykuowanynppodstprawnarozplubpreambua"/>
        <w:rPr>
          <w:rStyle w:val="Ppogrubienie"/>
          <w:rFonts w:ascii="Times New Roman" w:hAnsi="Times New Roman" w:cs="Times New Roman"/>
          <w:szCs w:val="24"/>
        </w:rPr>
      </w:pPr>
      <w:r>
        <w:rPr>
          <w:rStyle w:val="Ppogrubienie"/>
          <w:rFonts w:ascii="Times New Roman" w:hAnsi="Times New Roman" w:cs="Times New Roman"/>
          <w:szCs w:val="24"/>
        </w:rPr>
        <w:t xml:space="preserve">II. </w:t>
      </w:r>
      <w:r w:rsidR="009A1E96" w:rsidRPr="00D70282">
        <w:rPr>
          <w:rStyle w:val="Ppogrubienie"/>
          <w:rFonts w:ascii="Times New Roman" w:hAnsi="Times New Roman" w:cs="Times New Roman"/>
          <w:szCs w:val="24"/>
        </w:rPr>
        <w:t>Szczegółowe regulacje</w:t>
      </w:r>
    </w:p>
    <w:p w14:paraId="36181264" w14:textId="2CA83A74" w:rsidR="00207A5B" w:rsidRDefault="00207A5B" w:rsidP="00E572BF">
      <w:pPr>
        <w:pStyle w:val="NIEARTTEKSTtekstnieartykuowanynppodstprawnarozplubpreambua"/>
      </w:pPr>
      <w:r>
        <w:t xml:space="preserve">W § 1 projektu wskazano przedmiot rozporządzenia, które </w:t>
      </w:r>
      <w:r w:rsidRPr="00207A5B">
        <w:t xml:space="preserve">określa szczegółowe przeznaczenie, warunki oraz tryb udzielania przez Centrum Projektów Polska Cyfrowa pomocy publicznej i pomocy </w:t>
      </w:r>
      <w:r w:rsidRPr="00207A5B">
        <w:rPr>
          <w:i/>
        </w:rPr>
        <w:t>de minimis</w:t>
      </w:r>
      <w:r w:rsidRPr="00207A5B">
        <w:t xml:space="preserve"> w ramach działania 2.3.</w:t>
      </w:r>
    </w:p>
    <w:p w14:paraId="54864CE9" w14:textId="012699C4" w:rsidR="00207A5B" w:rsidRPr="00207A5B" w:rsidRDefault="00207A5B" w:rsidP="00E572BF">
      <w:pPr>
        <w:pStyle w:val="NIEARTTEKSTtekstnieartykuowanynppodstprawnarozplubpreambua"/>
      </w:pPr>
      <w:r>
        <w:t xml:space="preserve">W § 2 projektu zamieszczony został słowniczek, w którym </w:t>
      </w:r>
      <w:r w:rsidRPr="00207A5B">
        <w:t>zdefiniowano podstaw</w:t>
      </w:r>
      <w:r w:rsidR="00196782">
        <w:t>owe</w:t>
      </w:r>
      <w:r w:rsidRPr="00207A5B">
        <w:t xml:space="preserve"> pojęcia odwołując</w:t>
      </w:r>
      <w:r w:rsidR="00524C54">
        <w:t>e</w:t>
      </w:r>
      <w:r w:rsidRPr="00207A5B">
        <w:t xml:space="preserve"> się przede wszystkim do przepisów prawa UE z obszaru pomocy publicznej oraz pomocy </w:t>
      </w:r>
      <w:r w:rsidRPr="00207A5B">
        <w:rPr>
          <w:i/>
        </w:rPr>
        <w:t>de minimis.</w:t>
      </w:r>
    </w:p>
    <w:p w14:paraId="3F416488" w14:textId="2B3371F6" w:rsidR="00207A5B" w:rsidRDefault="00207A5B" w:rsidP="00E572BF">
      <w:pPr>
        <w:pStyle w:val="NIEARTTEKSTtekstnieartykuowanynppodstprawnarozplubpreambua"/>
      </w:pPr>
      <w:r>
        <w:t xml:space="preserve">Zgodnie z § 3 </w:t>
      </w:r>
      <w:r w:rsidR="005A0714">
        <w:t>projektu</w:t>
      </w:r>
      <w:r>
        <w:t xml:space="preserve"> p</w:t>
      </w:r>
      <w:r w:rsidRPr="00207A5B">
        <w:t>omoc udzielana będzie w formie bezzwrotnego wsparcia finansowego (dalej jako: wsparcie) przeznaczonego na pokrycie części wydatków kwalifikujących się do objęcia w</w:t>
      </w:r>
      <w:r w:rsidR="00196782">
        <w:t>sparciem w ramach działania 2.3</w:t>
      </w:r>
      <w:r w:rsidRPr="00207A5B">
        <w:t>.</w:t>
      </w:r>
    </w:p>
    <w:p w14:paraId="4ABA7FBC" w14:textId="660B1686" w:rsidR="00207A5B" w:rsidRPr="00F7480F" w:rsidRDefault="00207A5B" w:rsidP="00E572BF">
      <w:pPr>
        <w:pStyle w:val="NIEARTTEKSTtekstnieartykuowanynppodstprawnarozplubpreambua"/>
      </w:pPr>
      <w:r w:rsidRPr="00F7480F">
        <w:t>W § 4 projektu wskazano</w:t>
      </w:r>
      <w:r w:rsidR="00CE7796">
        <w:t>,</w:t>
      </w:r>
      <w:r w:rsidRPr="00F7480F">
        <w:t xml:space="preserve"> w jakich formach bę</w:t>
      </w:r>
      <w:r w:rsidR="003F5CA1" w:rsidRPr="00F7480F">
        <w:t>dzie udzielane wsparcie. Będzie to:</w:t>
      </w:r>
    </w:p>
    <w:p w14:paraId="6FC33054" w14:textId="1DCE048A" w:rsidR="00207A5B" w:rsidRDefault="00E572BF" w:rsidP="00E572BF">
      <w:pPr>
        <w:pStyle w:val="NIEARTTEKSTtekstnieartykuowanynppodstprawnarozplubpreambua"/>
      </w:pPr>
      <w:r>
        <w:rPr>
          <w:rFonts w:cs="Times"/>
        </w:rPr>
        <w:lastRenderedPageBreak/>
        <w:t>‒</w:t>
      </w:r>
      <w:r>
        <w:t xml:space="preserve"> </w:t>
      </w:r>
      <w:r w:rsidR="00207A5B">
        <w:t xml:space="preserve">pomoc </w:t>
      </w:r>
      <w:r w:rsidR="00207A5B" w:rsidRPr="003F5CA1">
        <w:rPr>
          <w:i/>
        </w:rPr>
        <w:t>de minimis</w:t>
      </w:r>
      <w:r w:rsidR="00207A5B">
        <w:t xml:space="preserve"> zgodnie z warunkami określonymi w rozporządzeniu </w:t>
      </w:r>
      <w:r w:rsidR="00196782" w:rsidRPr="00196782">
        <w:t>(UE) nr 1407/2013</w:t>
      </w:r>
      <w:r w:rsidR="00196782">
        <w:t>,</w:t>
      </w:r>
    </w:p>
    <w:p w14:paraId="4E88C35A" w14:textId="7B0C6948" w:rsidR="00524F20" w:rsidRDefault="00E572BF" w:rsidP="00E572BF">
      <w:pPr>
        <w:pStyle w:val="NIEARTTEKSTtekstnieartykuowanynppodstprawnarozplubpreambua"/>
      </w:pPr>
      <w:r>
        <w:rPr>
          <w:rFonts w:cs="Times"/>
        </w:rPr>
        <w:t>‒</w:t>
      </w:r>
      <w:r>
        <w:t xml:space="preserve"> </w:t>
      </w:r>
      <w:r w:rsidR="00207A5B">
        <w:t>regionalna pomoc inwestycyjna zgodnie z warunkami określonymi w przepisach rozdziału I i art. 14 rozporządzenia Komisji (UE) nr 651/2014</w:t>
      </w:r>
      <w:r w:rsidR="00524F20">
        <w:t xml:space="preserve"> </w:t>
      </w:r>
      <w:r w:rsidR="00524F20" w:rsidRPr="00524F20">
        <w:t>oraz przepisach wydanych na podstawie art. 10 ust. 2 ustawy z dnia 30 kwietnia</w:t>
      </w:r>
      <w:r w:rsidR="00524F20">
        <w:t xml:space="preserve"> 2004 r. o </w:t>
      </w:r>
      <w:r w:rsidR="00524F20" w:rsidRPr="00524F20">
        <w:t>postępowaniu w sprawach dotyczących pomocy publicznej (Dz. U. z 2023 poz. 702),</w:t>
      </w:r>
    </w:p>
    <w:p w14:paraId="65F36601" w14:textId="33CE984A" w:rsidR="00207A5B" w:rsidRDefault="00E572BF" w:rsidP="00E572BF">
      <w:pPr>
        <w:pStyle w:val="NIEARTTEKSTtekstnieartykuowanynppodstprawnarozplubpreambua"/>
      </w:pPr>
      <w:r>
        <w:rPr>
          <w:rFonts w:cs="Times"/>
        </w:rPr>
        <w:t>‒</w:t>
      </w:r>
      <w:r>
        <w:t xml:space="preserve"> </w:t>
      </w:r>
      <w:r w:rsidR="00207A5B">
        <w:t>pomoc na szkolenia zgodnie z warunkami określonymi w rozdz. I i art. 31 rozporząd</w:t>
      </w:r>
      <w:r w:rsidR="00CD4117">
        <w:t>zenia Komisji (UE) nr 651/2014,</w:t>
      </w:r>
    </w:p>
    <w:p w14:paraId="6C329147" w14:textId="65DE3EB2" w:rsidR="00CD4117" w:rsidRDefault="00E572BF" w:rsidP="00E572BF">
      <w:pPr>
        <w:pStyle w:val="NIEARTTEKSTtekstnieartykuowanynppodstprawnarozplubpreambua"/>
      </w:pPr>
      <w:r>
        <w:rPr>
          <w:rFonts w:cs="Times"/>
        </w:rPr>
        <w:t>‒</w:t>
      </w:r>
      <w:r>
        <w:t xml:space="preserve"> </w:t>
      </w:r>
      <w:r w:rsidR="00207A5B">
        <w:t>pomoc na kulturę i zachowanie dziedzictwa kulturowego zgodnie z warunkami określonymi w rozdz. I i art. 53 rozporządzenia Komisji (UE) nr 651/2014.</w:t>
      </w:r>
    </w:p>
    <w:p w14:paraId="3AF3907A" w14:textId="603BC81D" w:rsidR="003F5CA1" w:rsidRDefault="00CD4117" w:rsidP="00E572BF">
      <w:pPr>
        <w:pStyle w:val="NIEARTTEKSTtekstnieartykuowanynppodstprawnarozplubpreambua"/>
      </w:pPr>
      <w:r w:rsidRPr="00F7480F">
        <w:t xml:space="preserve">W § 4 </w:t>
      </w:r>
      <w:r>
        <w:t>o</w:t>
      </w:r>
      <w:r w:rsidR="003F5CA1" w:rsidRPr="003F5CA1">
        <w:t>kreślono również maksymalne w</w:t>
      </w:r>
      <w:r w:rsidR="00706324">
        <w:t>ysokości</w:t>
      </w:r>
      <w:r w:rsidR="003F5CA1" w:rsidRPr="003F5CA1">
        <w:t xml:space="preserve"> wsparcia w formie pomocy </w:t>
      </w:r>
      <w:r w:rsidR="003F5CA1" w:rsidRPr="00CD4117">
        <w:rPr>
          <w:i/>
        </w:rPr>
        <w:t>de minimis</w:t>
      </w:r>
      <w:r w:rsidR="00755D82">
        <w:t>.</w:t>
      </w:r>
    </w:p>
    <w:p w14:paraId="2CFA75D5" w14:textId="6A862234" w:rsidR="003F5CA1" w:rsidRDefault="00266B6D" w:rsidP="00E572BF">
      <w:pPr>
        <w:pStyle w:val="NIEARTTEKSTtekstnieartykuowanynppodstprawnarozplubpreambua"/>
      </w:pPr>
      <w:r>
        <w:t>W § 5 projektu określon</w:t>
      </w:r>
      <w:r w:rsidR="00524C54">
        <w:t>e</w:t>
      </w:r>
      <w:r w:rsidR="00CD4117">
        <w:t xml:space="preserve"> zostały przypadki, </w:t>
      </w:r>
      <w:r>
        <w:t xml:space="preserve">w których wsparcie nie </w:t>
      </w:r>
      <w:r w:rsidR="00C814FB">
        <w:t>będzie mogło zostać udzielone.</w:t>
      </w:r>
    </w:p>
    <w:p w14:paraId="1F873A3B" w14:textId="5470F934" w:rsidR="00266B6D" w:rsidRPr="00755D82" w:rsidRDefault="00755D82" w:rsidP="00E572BF">
      <w:pPr>
        <w:pStyle w:val="NIEARTTEKSTtekstnieartykuowanynppodstprawnarozplubpreambua"/>
      </w:pPr>
      <w:r w:rsidRPr="00755D82">
        <w:t>W §</w:t>
      </w:r>
      <w:r w:rsidR="007C2776">
        <w:t xml:space="preserve"> </w:t>
      </w:r>
      <w:r w:rsidRPr="00755D82">
        <w:t>6 projekt</w:t>
      </w:r>
      <w:r w:rsidR="00CD4117">
        <w:t>u</w:t>
      </w:r>
      <w:r w:rsidRPr="00755D82">
        <w:t xml:space="preserve"> wskazano</w:t>
      </w:r>
      <w:r w:rsidR="00FA3BB5">
        <w:t>,</w:t>
      </w:r>
      <w:r w:rsidRPr="00755D82">
        <w:t xml:space="preserve"> jakie podmioty będą mogły ubiegać się o wsparcie w ramach działania 2.3.</w:t>
      </w:r>
    </w:p>
    <w:p w14:paraId="21D1B8B6" w14:textId="77777777" w:rsidR="003F5CA1" w:rsidRDefault="00AC313C" w:rsidP="00E572BF">
      <w:pPr>
        <w:pStyle w:val="NIEARTTEKSTtekstnieartykuowanynppodstprawnarozplubpreambua"/>
      </w:pPr>
      <w:r>
        <w:t>W</w:t>
      </w:r>
      <w:r w:rsidRPr="00AC313C">
        <w:t xml:space="preserve"> § </w:t>
      </w:r>
      <w:r>
        <w:t>7</w:t>
      </w:r>
      <w:r w:rsidRPr="00AC313C">
        <w:t xml:space="preserve"> projektu </w:t>
      </w:r>
      <w:r w:rsidR="00755D82">
        <w:t>określono</w:t>
      </w:r>
      <w:r w:rsidRPr="00AC313C">
        <w:t xml:space="preserve"> warunki przyznania pomocy na projekty oraz określono warunki, jakie </w:t>
      </w:r>
      <w:r>
        <w:t>powinien spełniać wnioskodawca u</w:t>
      </w:r>
      <w:r w:rsidR="00C814FB">
        <w:t>biegający się o dofinansowanie.</w:t>
      </w:r>
    </w:p>
    <w:p w14:paraId="7527F88A" w14:textId="77777777" w:rsidR="00E711B3" w:rsidRDefault="00524F20" w:rsidP="00E572BF">
      <w:pPr>
        <w:pStyle w:val="NIEARTTEKSTtekstnieartykuowanynppodstprawnarozplubpreambua"/>
      </w:pPr>
      <w:r>
        <w:lastRenderedPageBreak/>
        <w:t xml:space="preserve">W </w:t>
      </w:r>
      <w:r w:rsidR="00AC313C" w:rsidRPr="00AC313C">
        <w:t xml:space="preserve">§ </w:t>
      </w:r>
      <w:r w:rsidR="00AC313C">
        <w:t xml:space="preserve">8 projektu </w:t>
      </w:r>
      <w:r>
        <w:t>uregulowano</w:t>
      </w:r>
      <w:r w:rsidR="00AC313C">
        <w:t xml:space="preserve"> zasady kumulacji</w:t>
      </w:r>
      <w:r w:rsidR="00AC313C" w:rsidRPr="00AC313C">
        <w:t xml:space="preserve"> pomocy z innymi rodzajami pomocy oraz sposób przeliczania</w:t>
      </w:r>
      <w:r w:rsidR="00C814FB">
        <w:t xml:space="preserve"> na polską walutę</w:t>
      </w:r>
      <w:r w:rsidR="00755D82">
        <w:t xml:space="preserve"> wysokości udzielonego wsparcia</w:t>
      </w:r>
      <w:r w:rsidR="00C814FB">
        <w:t>.</w:t>
      </w:r>
    </w:p>
    <w:p w14:paraId="13233A41" w14:textId="1976AD29" w:rsidR="00D56319" w:rsidRDefault="00D56319" w:rsidP="00E572BF">
      <w:pPr>
        <w:pStyle w:val="NIEARTTEKSTtekstnieartykuowanynppodstprawnarozplubpreambua"/>
      </w:pPr>
      <w:r>
        <w:t>W § 9</w:t>
      </w:r>
      <w:r w:rsidR="00551BD8" w:rsidRPr="00551BD8">
        <w:t>‒</w:t>
      </w:r>
      <w:r>
        <w:t>11 projektu zawarto przepisy regulujące zasady zaliczania wydatków jako wydatków kwalifikuj</w:t>
      </w:r>
      <w:r w:rsidR="00524C54">
        <w:t>ących się do objęcia wsparciem</w:t>
      </w:r>
      <w:r w:rsidR="00C814FB">
        <w:t>.</w:t>
      </w:r>
    </w:p>
    <w:p w14:paraId="497E8F61" w14:textId="68F33C8A" w:rsidR="00D56319" w:rsidRDefault="00D56319" w:rsidP="00E572BF">
      <w:pPr>
        <w:pStyle w:val="NIEARTTEKSTtekstnieartykuowanynppodstprawnarozplubpreambua"/>
      </w:pPr>
      <w:r>
        <w:t xml:space="preserve">W § 12 </w:t>
      </w:r>
      <w:r w:rsidR="00524F20">
        <w:t xml:space="preserve">projektu zawarto </w:t>
      </w:r>
      <w:r w:rsidR="00755D82">
        <w:t xml:space="preserve">przepisy dotyczące </w:t>
      </w:r>
      <w:r>
        <w:t>maksymaln</w:t>
      </w:r>
      <w:r w:rsidR="00755D82">
        <w:t>ych</w:t>
      </w:r>
      <w:r>
        <w:t xml:space="preserve"> kwot wsparcia w odniesieniu do poszczególn</w:t>
      </w:r>
      <w:r w:rsidR="00C814FB">
        <w:t>ych form pomocy.</w:t>
      </w:r>
    </w:p>
    <w:p w14:paraId="174F45D2" w14:textId="77777777" w:rsidR="00855AFB" w:rsidRDefault="00855AFB" w:rsidP="00E572BF">
      <w:pPr>
        <w:pStyle w:val="NIEARTTEKSTtekstnieartykuowanynppodstprawnarozplubpreambua"/>
      </w:pPr>
      <w:r>
        <w:t xml:space="preserve">W </w:t>
      </w:r>
      <w:r w:rsidR="00207A5B">
        <w:t xml:space="preserve">§ 13 projektu uregulowano sytuacje, w których </w:t>
      </w:r>
      <w:r>
        <w:t>konieczne będzie</w:t>
      </w:r>
      <w:r w:rsidR="00207A5B">
        <w:t xml:space="preserve"> notyfikowani</w:t>
      </w:r>
      <w:r>
        <w:t>e</w:t>
      </w:r>
      <w:r w:rsidR="00207A5B">
        <w:t xml:space="preserve"> po</w:t>
      </w:r>
      <w:r>
        <w:t>mocy przyznanej na dany projekt.</w:t>
      </w:r>
    </w:p>
    <w:p w14:paraId="57364B00" w14:textId="2B657515" w:rsidR="00855AFB" w:rsidRDefault="00855AFB" w:rsidP="00E572BF">
      <w:pPr>
        <w:pStyle w:val="NIEARTTEKSTtekstnieartykuowanynppodstprawnarozplubpreambua"/>
      </w:pPr>
      <w:r>
        <w:t>W</w:t>
      </w:r>
      <w:r w:rsidR="00207A5B">
        <w:t xml:space="preserve"> § 14 projektu wskazano termin</w:t>
      </w:r>
      <w:r>
        <w:t>y</w:t>
      </w:r>
      <w:r w:rsidR="00207A5B">
        <w:t>, do któr</w:t>
      </w:r>
      <w:r>
        <w:t>ych może być udzielane wsparcie w odniesieni</w:t>
      </w:r>
      <w:r w:rsidR="00A87B3A">
        <w:t xml:space="preserve">u </w:t>
      </w:r>
      <w:r>
        <w:t>do poszczególnych form pomocy</w:t>
      </w:r>
      <w:r w:rsidR="00A87B3A">
        <w:t>.</w:t>
      </w:r>
    </w:p>
    <w:p w14:paraId="58E8244D" w14:textId="1BF1F454" w:rsidR="00180150" w:rsidRPr="00180150" w:rsidRDefault="00855AFB" w:rsidP="00E572BF">
      <w:pPr>
        <w:pStyle w:val="NIEARTTEKSTtekstnieartykuowanynppodstprawnarozplubpreambua"/>
      </w:pPr>
      <w:r>
        <w:t>W</w:t>
      </w:r>
      <w:r w:rsidR="00207A5B">
        <w:t xml:space="preserve"> § 15 projektu wskazano termin wejścia w życie rozporządzenia. </w:t>
      </w:r>
      <w:r>
        <w:t>Z</w:t>
      </w:r>
      <w:r w:rsidR="00207A5B">
        <w:t xml:space="preserve">e względu na potrzebę szybkiego uruchomienia wdrażania </w:t>
      </w:r>
      <w:r>
        <w:t xml:space="preserve">działania 2.3 </w:t>
      </w:r>
      <w:r w:rsidR="00207A5B">
        <w:t>uzasadnionym pozost</w:t>
      </w:r>
      <w:r w:rsidR="008A5581">
        <w:t>aje skorzystanie z </w:t>
      </w:r>
      <w:r w:rsidR="00207A5B">
        <w:t xml:space="preserve">możliwości skrócenia terminu wejścia </w:t>
      </w:r>
      <w:r>
        <w:t>w życie rozporządzenia</w:t>
      </w:r>
      <w:r w:rsidR="00207A5B">
        <w:t xml:space="preserve">, </w:t>
      </w:r>
      <w:r>
        <w:t>zgodnie z</w:t>
      </w:r>
      <w:r w:rsidR="008A5581">
        <w:t xml:space="preserve"> </w:t>
      </w:r>
      <w:r w:rsidR="00207A5B">
        <w:t xml:space="preserve">art. 4 ust. 2 ustawy z dnia 20 lipca 2000 r. o ogłaszaniu aktów normatywnych i niektórych innych aktów prawnych (Dz. U. z </w:t>
      </w:r>
      <w:r w:rsidR="00205837">
        <w:t>2019 r.</w:t>
      </w:r>
      <w:r w:rsidR="00706193">
        <w:t xml:space="preserve"> </w:t>
      </w:r>
      <w:r w:rsidR="00207A5B">
        <w:t xml:space="preserve">poz. </w:t>
      </w:r>
      <w:r w:rsidR="00706193">
        <w:t>1461</w:t>
      </w:r>
      <w:r w:rsidR="00207A5B">
        <w:t>). W</w:t>
      </w:r>
      <w:r w:rsidR="00706193">
        <w:t>ejście w życie rozporządzenia w</w:t>
      </w:r>
      <w:r w:rsidR="008A5581">
        <w:t xml:space="preserve"> </w:t>
      </w:r>
      <w:r w:rsidR="00207A5B">
        <w:t>dniu następującym po dniu ogłoszenia nie narusza zasad demokratycznego państwa prawnego.</w:t>
      </w:r>
    </w:p>
    <w:p w14:paraId="5CC58DFD" w14:textId="5CF6F451" w:rsidR="00D97391" w:rsidRPr="00D70282" w:rsidRDefault="00E572BF" w:rsidP="00E572BF">
      <w:pPr>
        <w:pStyle w:val="NIEARTTEKSTtekstnieartykuowanynppodstprawnarozplubpreambua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  <w:szCs w:val="24"/>
        </w:rPr>
        <w:t xml:space="preserve">III. </w:t>
      </w:r>
      <w:r w:rsidR="009A1E96" w:rsidRPr="00D70282">
        <w:rPr>
          <w:rStyle w:val="Ppogrubienie"/>
          <w:rFonts w:ascii="Times New Roman" w:hAnsi="Times New Roman" w:cs="Times New Roman"/>
          <w:szCs w:val="24"/>
        </w:rPr>
        <w:t>Pozostałe informacje</w:t>
      </w:r>
    </w:p>
    <w:p w14:paraId="21E511F5" w14:textId="77777777" w:rsidR="00D97391" w:rsidRDefault="00D97391" w:rsidP="00E572BF">
      <w:pPr>
        <w:pStyle w:val="NIEARTTEKSTtekstnieartykuowanynppodstprawnarozplubpreambua"/>
      </w:pPr>
      <w:r>
        <w:lastRenderedPageBreak/>
        <w:t>Projekt rozporządzenia jest zgodny z prawem Unii Europejskiej.</w:t>
      </w:r>
    </w:p>
    <w:p w14:paraId="6BEE9ED2" w14:textId="77777777" w:rsidR="00154A94" w:rsidRDefault="00154A94" w:rsidP="00E572BF">
      <w:pPr>
        <w:pStyle w:val="NIEARTTEKSTtekstnieartykuowanynppodstprawnarozplubpreambua"/>
      </w:pPr>
      <w:r>
        <w:t>Projektowana regulacja nie zawiera przepisów technicznych w rozumieniu rozporządzenia Rady Ministrów z dnia 23 grudnia 2002 r. w sprawie sposobu funkcjonowania krajowego systemu notyfikacji norm i aktów prawnych (Dz. U. poz. 2039 oraz z 2004 r. poz. 597) i nie podlega notyfikacji Komisji Europejskiej.</w:t>
      </w:r>
    </w:p>
    <w:p w14:paraId="3C4FCEAF" w14:textId="77777777" w:rsidR="00DA560C" w:rsidRDefault="00154A94" w:rsidP="00E572BF">
      <w:pPr>
        <w:pStyle w:val="NIEARTTEKSTtekstnieartykuowanynppodstprawnarozplubpreambua"/>
      </w:pPr>
      <w:r>
        <w:t xml:space="preserve">Projekt nie wymaga przedstawienia właściwym organom i instytucjom Unii Europejskiej, </w:t>
      </w:r>
      <w:r w:rsidR="00C90AB2">
        <w:t>w </w:t>
      </w:r>
      <w:r>
        <w:t>tym Europejskiemu Bankowi Centralnemu, w celu uzyskania opinii, dokonania powiadomienia, konsultacji albo uzgodnienia.</w:t>
      </w:r>
    </w:p>
    <w:p w14:paraId="5CB8D4BB" w14:textId="77777777" w:rsidR="00DA560C" w:rsidRDefault="006651D3" w:rsidP="00E572BF">
      <w:pPr>
        <w:pStyle w:val="NIEARTTEKSTtekstnieartykuowanynppodstprawnarozplubpreambua"/>
      </w:pPr>
      <w:r>
        <w:t xml:space="preserve">Rozporządzenie podlega zaopiniowaniu przez Prezesa Urzędu Ochrony Konkurencji </w:t>
      </w:r>
      <w:r w:rsidR="00C90AB2">
        <w:t>i </w:t>
      </w:r>
      <w:r>
        <w:t xml:space="preserve">Konsumentów w trybie art. 12 ust. 1 ustawy z dnia 30 kwietnia 2004 r. o postępowaniu </w:t>
      </w:r>
      <w:r w:rsidR="00C90AB2">
        <w:t>w </w:t>
      </w:r>
      <w:r>
        <w:t>sprawach dotycz</w:t>
      </w:r>
      <w:r w:rsidR="00C90AB2">
        <w:t>ących pomocy publicznej (</w:t>
      </w:r>
      <w:r w:rsidR="00C90AB2" w:rsidRPr="00C90AB2">
        <w:t>Dz.</w:t>
      </w:r>
      <w:r w:rsidR="00C90AB2">
        <w:t xml:space="preserve"> </w:t>
      </w:r>
      <w:r w:rsidR="00C90AB2" w:rsidRPr="00C90AB2">
        <w:t>U. z 2023 r. poz. 702)</w:t>
      </w:r>
      <w:r w:rsidR="00C90AB2">
        <w:t>.</w:t>
      </w:r>
    </w:p>
    <w:p w14:paraId="39C5FCE0" w14:textId="77777777" w:rsidR="00C90AB2" w:rsidRDefault="00DA560C" w:rsidP="00E572BF">
      <w:pPr>
        <w:pStyle w:val="NIEARTTEKSTtekstnieartykuowanynppodstprawnarozplubpreambua"/>
      </w:pPr>
      <w:r>
        <w:t>Projektowane rozporządzenie będzie mieć pozytywny wpływ na sytuację mikro, małych i średnich przedsiębiorców – z programu Fundusze Europejskie na Rozwój Cyfrowy 2021–2027 udzielane będzie wsparcie, którego beneficjentami będą przedsiębiorcy.</w:t>
      </w:r>
    </w:p>
    <w:p w14:paraId="7B82E946" w14:textId="35E10512" w:rsidR="006651D3" w:rsidRDefault="00C90AB2" w:rsidP="00E572BF">
      <w:pPr>
        <w:pStyle w:val="NIEARTTEKSTtekstnieartykuowanynppodstprawnarozplubpreambua"/>
      </w:pPr>
      <w:r>
        <w:t xml:space="preserve">Stosownie do postanowień art. 5 ustawy z dnia 7 lipca 2005 r. o działalności lobbingowej w procesie stanowienia prawa (Dz. U. z 2017 r. poz. 248), projekt został </w:t>
      </w:r>
      <w:r>
        <w:lastRenderedPageBreak/>
        <w:t>udostępniony w Biuletynie Informacji Publicznej</w:t>
      </w:r>
      <w:r w:rsidR="0015257E">
        <w:t xml:space="preserve"> na stronie podmiotowej Ministra Cyfryzacji</w:t>
      </w:r>
      <w:r>
        <w:t>. Ponadto</w:t>
      </w:r>
      <w:r w:rsidR="0015257E">
        <w:t>,</w:t>
      </w:r>
      <w:r>
        <w:t xml:space="preserve"> zgodnie z § 52 ust. 1 uchwały nr 190 Rady Ministrów z dnia 29 października 2013 r. – Regulamin pracy Rady Ministrów (M.P. z 2022 r. poz. 348), projekt został udostępniony w</w:t>
      </w:r>
      <w:r w:rsidR="0015257E">
        <w:t> </w:t>
      </w:r>
      <w:r>
        <w:t>Biuletynie Informacji Publicznej na stronie podmiotowej Rządowego Centrum Legislacji, w</w:t>
      </w:r>
      <w:r w:rsidR="0015257E">
        <w:t> </w:t>
      </w:r>
      <w:r>
        <w:t>serwisie Rządowy Proces Legislacyjny.</w:t>
      </w:r>
    </w:p>
    <w:p w14:paraId="683C22B4" w14:textId="77777777" w:rsidR="00D97391" w:rsidRPr="00D97391" w:rsidRDefault="00D97391" w:rsidP="00E572BF">
      <w:pPr>
        <w:pStyle w:val="NIEARTTEKSTtekstnieartykuowanynppodstprawnarozplubpreambua"/>
        <w:sectPr w:rsidR="00D97391" w:rsidRPr="00D97391" w:rsidSect="001A7F15"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t>Jednocześnie należy wskazać, że nie ma możliwości podjęcia alternatywnych w stosunku do</w:t>
      </w:r>
      <w:r w:rsidR="00154A94">
        <w:t xml:space="preserve"> </w:t>
      </w:r>
      <w:r>
        <w:t>projektowanej regulacji środków umożliwiających osiągnięcie zamierzonego celu.</w:t>
      </w: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42722C" w:rsidRPr="00C403F4" w14:paraId="31FFCF9C" w14:textId="77777777" w:rsidTr="00C60F22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60C5264" w14:textId="77777777" w:rsidR="0042722C" w:rsidRPr="00C403F4" w:rsidRDefault="0042722C" w:rsidP="00745F9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1" w:name="t1"/>
            <w:r w:rsidRPr="00C403F4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01C1C1F7" w14:textId="785B0D31" w:rsidR="0042722C" w:rsidRPr="00C403F4" w:rsidRDefault="0042722C" w:rsidP="003028A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Projekt </w:t>
            </w:r>
            <w:r w:rsidR="00C403F4"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rozporządzenia Ministra Cyfryzacji w sprawie udzielania pomocy publicznej i pomocy </w:t>
            </w:r>
            <w:r w:rsidR="00C403F4" w:rsidRPr="00C403F4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C403F4"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na cyfrową dostępność i ponowne wykorzystanie informacji w ramach programu Fundusze Europejskie na Rozwój Cyfrowy 2021</w:t>
            </w:r>
            <w:r w:rsidR="001B45F9">
              <w:rPr>
                <w:rFonts w:cs="Times"/>
              </w:rPr>
              <w:t>‒</w:t>
            </w:r>
            <w:r w:rsidR="00C403F4"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2027</w:t>
            </w:r>
          </w:p>
          <w:p w14:paraId="013AC8F9" w14:textId="77777777" w:rsidR="0042722C" w:rsidRPr="00C403F4" w:rsidRDefault="0042722C" w:rsidP="000C1C6D">
            <w:pPr>
              <w:widowControl/>
              <w:autoSpaceDE/>
              <w:autoSpaceDN/>
              <w:adjustRightInd/>
              <w:spacing w:before="120" w:line="276" w:lineRule="auto"/>
              <w:ind w:left="45" w:hanging="45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403F4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1"/>
          <w:p w14:paraId="473C9A54" w14:textId="77777777" w:rsidR="00C403F4" w:rsidRDefault="006F51D1" w:rsidP="000C1C6D">
            <w:pPr>
              <w:widowControl/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C403F4">
              <w:rPr>
                <w:rFonts w:eastAsia="Calibri" w:cs="Times New Roman"/>
                <w:sz w:val="22"/>
                <w:szCs w:val="22"/>
                <w:lang w:eastAsia="en-US"/>
              </w:rPr>
              <w:t xml:space="preserve">Ministerstwo </w:t>
            </w:r>
            <w:r w:rsidRPr="008562FE">
              <w:rPr>
                <w:rFonts w:eastAsia="Calibri" w:cs="Times New Roman"/>
                <w:sz w:val="22"/>
                <w:szCs w:val="22"/>
                <w:lang w:eastAsia="en-US"/>
              </w:rPr>
              <w:t>Cyfryzacji</w:t>
            </w:r>
            <w:r w:rsidR="00FF6B14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ministerstwo wiodące</w:t>
            </w:r>
          </w:p>
          <w:p w14:paraId="7AF956E2" w14:textId="77777777" w:rsidR="00FF6B14" w:rsidRPr="008562FE" w:rsidRDefault="00FF6B14" w:rsidP="000C1C6D">
            <w:pPr>
              <w:widowControl/>
              <w:autoSpaceDE/>
              <w:autoSpaceDN/>
              <w:adjustRightInd/>
              <w:spacing w:line="276" w:lineRule="auto"/>
              <w:ind w:left="34" w:hanging="34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Ministerstwo Funduszy i Polityki Regionalnej – ministerstwo współpracujące</w:t>
            </w:r>
          </w:p>
          <w:p w14:paraId="4A87090C" w14:textId="77777777" w:rsidR="0042722C" w:rsidRPr="00C403F4" w:rsidRDefault="0042722C" w:rsidP="000C1C6D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C403F4">
              <w:rPr>
                <w:rFonts w:eastAsia="Calibri" w:cs="Times New Roman"/>
                <w:b/>
                <w:sz w:val="21"/>
                <w:szCs w:val="24"/>
                <w:lang w:eastAsia="en-US"/>
              </w:rPr>
              <w:t>Osoba odpowiedzialna za projekt w randze Ministra, Sekretarza Stanu lub Podsekretarza Stanu</w:t>
            </w:r>
          </w:p>
          <w:p w14:paraId="3972EF65" w14:textId="77777777" w:rsidR="0042722C" w:rsidRPr="00C403F4" w:rsidRDefault="0042722C" w:rsidP="000C1C6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C403F4">
              <w:rPr>
                <w:rFonts w:eastAsia="Calibri" w:cs="Times New Roman"/>
                <w:sz w:val="21"/>
                <w:szCs w:val="21"/>
                <w:lang w:eastAsia="en-US"/>
              </w:rPr>
              <w:t>Sekretarz Stanu Adam Andruszkiewicz</w:t>
            </w:r>
          </w:p>
          <w:p w14:paraId="0956CDF6" w14:textId="77777777" w:rsidR="0042722C" w:rsidRDefault="0042722C" w:rsidP="000C1C6D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C403F4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622808CB" w14:textId="77777777" w:rsidR="002803A5" w:rsidRPr="002803A5" w:rsidRDefault="002803A5" w:rsidP="000C1C6D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2803A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Anna Gos, Dyrektor Departamentu Zarządzania Danymi, MC,</w:t>
            </w:r>
            <w:r w:rsidR="006E4C37">
              <w:t xml:space="preserve"> </w:t>
            </w:r>
            <w:hyperlink r:id="rId10" w:history="1">
              <w:r w:rsidR="006E4C37" w:rsidRPr="00445529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anna.gos@cyfra.gov.pl</w:t>
              </w:r>
            </w:hyperlink>
          </w:p>
          <w:p w14:paraId="34E636F4" w14:textId="77777777" w:rsidR="0042722C" w:rsidRPr="00C403F4" w:rsidRDefault="0042722C" w:rsidP="006E4C37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Dominik Sybilski, Naczelnik Wydziału Regulacji Wykorzystywania i Wymiany Danych w Departamencie Zarządzania Danymi, </w:t>
            </w:r>
            <w:r w:rsidR="006F51D1"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MC</w:t>
            </w:r>
            <w:r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="006F51D1" w:rsidRPr="00C403F4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dominik.sybilski@cyfra.gov.pl</w:t>
              </w:r>
            </w:hyperlink>
          </w:p>
          <w:p w14:paraId="7ED6F4FF" w14:textId="77777777" w:rsidR="0042722C" w:rsidRPr="00C403F4" w:rsidRDefault="0042722C" w:rsidP="000C1C6D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Mikołaj Garstka, Radca w Wydziale Regulacji Wykorzystywania i Wymiany Danych w Departamencie Zarządzania Danymi, </w:t>
            </w:r>
            <w:r w:rsidR="006F51D1"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MC</w:t>
            </w:r>
            <w:r w:rsidRPr="00C403F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hyperlink r:id="rId12" w:history="1">
              <w:r w:rsidR="006F51D1" w:rsidRPr="00C403F4">
                <w:rPr>
                  <w:rStyle w:val="Hipercze"/>
                  <w:rFonts w:eastAsia="Calibri" w:cs="Times New Roman"/>
                  <w:sz w:val="22"/>
                  <w:szCs w:val="22"/>
                  <w:lang w:eastAsia="en-US"/>
                </w:rPr>
                <w:t>mikolaj.garstka@cyfra.gov.pl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1781C9FC" w14:textId="1A49F4A7" w:rsidR="0042722C" w:rsidRPr="00C403F4" w:rsidRDefault="0042722C" w:rsidP="000C1C6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C403F4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C403F4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Pr="00755D82">
              <w:rPr>
                <w:rFonts w:eastAsia="Calibri" w:cs="Times New Roman"/>
                <w:sz w:val="21"/>
                <w:szCs w:val="21"/>
                <w:lang w:eastAsia="en-US"/>
              </w:rPr>
              <w:t>2023-</w:t>
            </w:r>
            <w:r w:rsidR="00C403F4" w:rsidRPr="00755D82">
              <w:rPr>
                <w:rFonts w:eastAsia="Calibri" w:cs="Times New Roman"/>
                <w:sz w:val="21"/>
                <w:szCs w:val="21"/>
                <w:lang w:eastAsia="en-US"/>
              </w:rPr>
              <w:t>0</w:t>
            </w:r>
            <w:r w:rsidR="001B0049">
              <w:rPr>
                <w:rFonts w:eastAsia="Calibri" w:cs="Times New Roman"/>
                <w:sz w:val="21"/>
                <w:szCs w:val="21"/>
                <w:lang w:eastAsia="en-US"/>
              </w:rPr>
              <w:t>9</w:t>
            </w:r>
            <w:r w:rsidRPr="00755D82">
              <w:rPr>
                <w:rFonts w:eastAsia="Calibri" w:cs="Times New Roman"/>
                <w:sz w:val="21"/>
                <w:szCs w:val="21"/>
                <w:lang w:eastAsia="en-US"/>
              </w:rPr>
              <w:t>-</w:t>
            </w:r>
            <w:r w:rsidR="00826D2C">
              <w:rPr>
                <w:rFonts w:eastAsia="Calibri" w:cs="Times New Roman"/>
                <w:sz w:val="21"/>
                <w:szCs w:val="21"/>
                <w:lang w:eastAsia="en-US"/>
              </w:rPr>
              <w:t>06</w:t>
            </w:r>
          </w:p>
          <w:p w14:paraId="692E7906" w14:textId="77777777" w:rsidR="0042722C" w:rsidRPr="00C403F4" w:rsidRDefault="0042722C" w:rsidP="000C1C6D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bookmarkStart w:id="2" w:name="Lista1"/>
            <w:r w:rsidRPr="00C403F4">
              <w:rPr>
                <w:rFonts w:eastAsia="Calibri" w:cs="Times New Roman"/>
                <w:b/>
                <w:sz w:val="22"/>
                <w:szCs w:val="22"/>
                <w:lang w:eastAsia="en-US"/>
              </w:rPr>
              <w:t>Źródło:</w:t>
            </w:r>
          </w:p>
          <w:bookmarkEnd w:id="2"/>
          <w:p w14:paraId="36E5C907" w14:textId="77777777" w:rsidR="00C403F4" w:rsidRDefault="00C403F4" w:rsidP="000C1C6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</w:t>
            </w:r>
            <w:r w:rsidRPr="00C403F4">
              <w:rPr>
                <w:rFonts w:eastAsia="Calibri" w:cs="Times New Roman"/>
                <w:sz w:val="22"/>
                <w:szCs w:val="22"/>
                <w:lang w:eastAsia="en-US"/>
              </w:rPr>
              <w:t>rt. 30 ust. 4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ustawy z dnia 28 kwietnia 2022 </w:t>
            </w:r>
            <w:r w:rsidRPr="00C403F4">
              <w:rPr>
                <w:rFonts w:eastAsia="Calibri" w:cs="Times New Roman"/>
                <w:sz w:val="22"/>
                <w:szCs w:val="22"/>
                <w:lang w:eastAsia="en-US"/>
              </w:rPr>
              <w:t>r. o zasadach realizacji zadań finansowanych ze środków europejskich w perspektywie finansowej 2021–2027 (Dz. U. poz. 1079)</w:t>
            </w:r>
          </w:p>
          <w:p w14:paraId="285DCFF6" w14:textId="45DB7AAA" w:rsidR="0042722C" w:rsidRPr="00C403F4" w:rsidRDefault="0042722C" w:rsidP="009F2954">
            <w:pPr>
              <w:widowControl/>
              <w:autoSpaceDE/>
              <w:autoSpaceDN/>
              <w:adjustRightInd/>
              <w:spacing w:before="120" w:line="276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CD3BA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</w:t>
            </w:r>
            <w:r w:rsidR="009F2954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214</w:t>
            </w:r>
          </w:p>
        </w:tc>
      </w:tr>
      <w:tr w:rsidR="0042722C" w:rsidRPr="00C403F4" w14:paraId="6292BA4D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DCC52D6" w14:textId="77777777" w:rsidR="0042722C" w:rsidRPr="00C403F4" w:rsidRDefault="0042722C" w:rsidP="0042722C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highlight w:val="yellow"/>
                <w:lang w:eastAsia="en-US"/>
              </w:rPr>
            </w:pPr>
            <w:r w:rsidRPr="00C403F4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42722C" w:rsidRPr="00C403F4" w14:paraId="11932EFA" w14:textId="77777777" w:rsidTr="00C60F22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1FEA8" w14:textId="77777777" w:rsidR="0042722C" w:rsidRPr="008562FE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562F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42722C" w:rsidRPr="00C403F4" w14:paraId="40A5B4D7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67DEC49" w14:textId="2D8D6425" w:rsidR="0026174E" w:rsidRPr="0026174E" w:rsidRDefault="0026174E" w:rsidP="00063A45">
            <w:pPr>
              <w:widowControl/>
              <w:autoSpaceDE/>
              <w:autoSpaceDN/>
              <w:adjustRightInd/>
              <w:spacing w:before="120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2022 r. przyjęty został p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rogram Fundusze Europejskie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na Rozwój Cyfrowy 2021</w:t>
            </w:r>
            <w:r w:rsidR="00B0397F">
              <w:rPr>
                <w:rFonts w:cs="Times"/>
              </w:rPr>
              <w:t>‒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2027 (dalej </w:t>
            </w:r>
            <w:r w:rsidR="001B004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również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jako: FERC lub program). FERC stanowi kontynuację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Programu </w:t>
            </w:r>
            <w:r w:rsidR="00AA1A8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Operacyjnego 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Polska Cyfrowa </w:t>
            </w:r>
            <w:r w:rsidR="00AA1A8E" w:rsidRPr="00AA1A8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na lata 2014–2020 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zapewnia ramy</w:t>
            </w:r>
            <w:r w:rsidR="00857E5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wsparcia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dla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kolejn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ego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etap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</w:t>
            </w:r>
            <w:r w:rsidR="00017EEB"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cyfrowej transformacji kraju.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A1A8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p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rogram</w:t>
            </w:r>
            <w:r w:rsidR="00857E5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A1A8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zaprojektowane zostało</w:t>
            </w:r>
            <w:r w:rsidR="004B49E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m.in. działanie 2.3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A1A8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Cyfrowa dostępność i</w:t>
            </w:r>
            <w:r w:rsidR="000C1C6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6174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ponowne wykorzystanie informacji (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</w:t>
            </w:r>
            <w:r w:rsidR="00AA1A8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alej jako: działanie 2.3), które przewiduje </w:t>
            </w:r>
            <w:r w:rsidR="00524F2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interwencję w 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dwóch obszarach:</w:t>
            </w:r>
          </w:p>
          <w:p w14:paraId="37DE8097" w14:textId="6E54B2E2" w:rsidR="005C6117" w:rsidRDefault="00063A45" w:rsidP="005F44DE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63A45">
              <w:rPr>
                <w:rFonts w:ascii="Times New Roman" w:hAnsi="Times New Roman"/>
                <w:color w:val="000000"/>
              </w:rPr>
              <w:t xml:space="preserve">Cyfrowa dostępność </w:t>
            </w:r>
            <w:r w:rsidR="005F773D">
              <w:rPr>
                <w:rFonts w:ascii="Times New Roman" w:hAnsi="Times New Roman"/>
                <w:color w:val="000000"/>
              </w:rPr>
              <w:t>informacji sektora publicznego</w:t>
            </w:r>
            <w:r w:rsidR="00376942">
              <w:rPr>
                <w:rFonts w:ascii="Times New Roman" w:hAnsi="Times New Roman"/>
                <w:color w:val="000000"/>
              </w:rPr>
              <w:t>.</w:t>
            </w:r>
          </w:p>
          <w:p w14:paraId="6DF7F30D" w14:textId="77777777" w:rsidR="00063A45" w:rsidRPr="00063A45" w:rsidRDefault="00752F9B" w:rsidP="005C6117">
            <w:pPr>
              <w:pStyle w:val="Akapitzlist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63A45">
              <w:rPr>
                <w:rFonts w:ascii="Times New Roman" w:hAnsi="Times New Roman"/>
                <w:color w:val="000000"/>
              </w:rPr>
              <w:t xml:space="preserve">Celem </w:t>
            </w:r>
            <w:r w:rsidR="00063A45" w:rsidRPr="00063A45">
              <w:rPr>
                <w:rFonts w:ascii="Times New Roman" w:hAnsi="Times New Roman"/>
                <w:color w:val="000000"/>
              </w:rPr>
              <w:t xml:space="preserve">jest </w:t>
            </w:r>
            <w:r w:rsidR="00ED5482" w:rsidRPr="00063A45">
              <w:rPr>
                <w:rFonts w:ascii="Times New Roman" w:hAnsi="Times New Roman"/>
                <w:color w:val="000000"/>
              </w:rPr>
              <w:t>zwiększenie ilości i jakości informacji sektora publicznego dostępnych do ponownego wykorzystania, w szczególności danych o wysokiej wartości i danych dynamicznych. Program zakłada działania zwiększające otwartość i poziom ponownego wykorzystania danych z zasobów kultury (w tym niebędących informacjami sektora publicznego</w:t>
            </w:r>
            <w:r w:rsidR="00063A45" w:rsidRPr="00063A45">
              <w:rPr>
                <w:rFonts w:ascii="Times New Roman" w:hAnsi="Times New Roman"/>
                <w:color w:val="000000"/>
              </w:rPr>
              <w:t xml:space="preserve">), nauki i administracji. </w:t>
            </w:r>
            <w:r w:rsidR="00ED5482" w:rsidRPr="00063A45">
              <w:rPr>
                <w:rFonts w:ascii="Times New Roman" w:hAnsi="Times New Roman"/>
                <w:color w:val="000000"/>
              </w:rPr>
              <w:t>Wsparcie będzie udzielane tak</w:t>
            </w:r>
            <w:r w:rsidR="005F773D">
              <w:rPr>
                <w:rFonts w:ascii="Times New Roman" w:hAnsi="Times New Roman"/>
                <w:color w:val="000000"/>
              </w:rPr>
              <w:t>że na budowę lub modernizację i </w:t>
            </w:r>
            <w:r w:rsidR="00ED5482" w:rsidRPr="00063A45">
              <w:rPr>
                <w:rFonts w:ascii="Times New Roman" w:hAnsi="Times New Roman"/>
                <w:color w:val="000000"/>
              </w:rPr>
              <w:t>udostępnianie rozwiązań informatycznych do prowadzenia zaawansowanej analityki danych z wykorzystaniem nowych technologii</w:t>
            </w:r>
            <w:r w:rsidR="00063A45" w:rsidRPr="00063A45">
              <w:rPr>
                <w:rFonts w:ascii="Times New Roman" w:hAnsi="Times New Roman"/>
                <w:color w:val="000000"/>
              </w:rPr>
              <w:t>.</w:t>
            </w:r>
          </w:p>
          <w:p w14:paraId="5C341D87" w14:textId="425F8528" w:rsidR="005C6117" w:rsidRDefault="00063A45" w:rsidP="005F44DE">
            <w:pPr>
              <w:pStyle w:val="Akapitzlist"/>
              <w:numPr>
                <w:ilvl w:val="0"/>
                <w:numId w:val="18"/>
              </w:numPr>
              <w:spacing w:before="12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63A45">
              <w:rPr>
                <w:rFonts w:ascii="Times New Roman" w:hAnsi="Times New Roman"/>
                <w:color w:val="000000"/>
              </w:rPr>
              <w:lastRenderedPageBreak/>
              <w:t>Cyfrowa dostępność i ponowne wykorzystanie inf</w:t>
            </w:r>
            <w:r w:rsidR="005F773D">
              <w:rPr>
                <w:rFonts w:ascii="Times New Roman" w:hAnsi="Times New Roman"/>
                <w:color w:val="000000"/>
              </w:rPr>
              <w:t>ormacji przez przedsiębiorstwa</w:t>
            </w:r>
            <w:r w:rsidR="00376942">
              <w:rPr>
                <w:rFonts w:ascii="Times New Roman" w:hAnsi="Times New Roman"/>
                <w:color w:val="000000"/>
              </w:rPr>
              <w:t>.</w:t>
            </w:r>
          </w:p>
          <w:p w14:paraId="565D9BC8" w14:textId="77777777" w:rsidR="00063A45" w:rsidRDefault="00063A45" w:rsidP="005C6117">
            <w:pPr>
              <w:pStyle w:val="Akapitzlist"/>
              <w:spacing w:before="12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063A45">
              <w:rPr>
                <w:rFonts w:ascii="Times New Roman" w:hAnsi="Times New Roman"/>
                <w:color w:val="000000"/>
              </w:rPr>
              <w:t xml:space="preserve">W tym przypadku </w:t>
            </w:r>
            <w:r w:rsidR="00ED5482" w:rsidRPr="00063A45">
              <w:rPr>
                <w:rFonts w:ascii="Times New Roman" w:hAnsi="Times New Roman"/>
                <w:color w:val="000000"/>
              </w:rPr>
              <w:t>przewiduje się wsparcie projektów, których celem będzie z</w:t>
            </w:r>
            <w:r w:rsidR="005F773D">
              <w:rPr>
                <w:rFonts w:ascii="Times New Roman" w:hAnsi="Times New Roman"/>
                <w:color w:val="000000"/>
              </w:rPr>
              <w:t>apewnienie dostępu do danych, w </w:t>
            </w:r>
            <w:r w:rsidR="00ED5482" w:rsidRPr="00063A45">
              <w:rPr>
                <w:rFonts w:ascii="Times New Roman" w:hAnsi="Times New Roman"/>
                <w:color w:val="000000"/>
              </w:rPr>
              <w:t>tym danych dynamicznych za pośrednictwem interfejsów programistycznych aplikacji</w:t>
            </w:r>
            <w:r w:rsidR="00AA1A8E">
              <w:rPr>
                <w:rFonts w:ascii="Times New Roman" w:hAnsi="Times New Roman"/>
                <w:color w:val="000000"/>
              </w:rPr>
              <w:t xml:space="preserve"> (API)</w:t>
            </w:r>
            <w:r w:rsidR="00ED5482" w:rsidRPr="00063A45">
              <w:rPr>
                <w:rFonts w:ascii="Times New Roman" w:hAnsi="Times New Roman"/>
                <w:color w:val="000000"/>
              </w:rPr>
              <w:t>, wykorzystywanie danych i analityki biznesowej w przedsiębiorstwach oraz wsparcie wzajemnego dzielenia się danymi przez przedsiębiorstwa, w tym opracowanie standardów współpracy w zakresi</w:t>
            </w:r>
            <w:r w:rsidR="005F773D">
              <w:rPr>
                <w:rFonts w:ascii="Times New Roman" w:hAnsi="Times New Roman"/>
                <w:color w:val="000000"/>
              </w:rPr>
              <w:t>e organizacyjnym, technicznym i </w:t>
            </w:r>
            <w:r w:rsidR="000C1C6D">
              <w:rPr>
                <w:rFonts w:ascii="Times New Roman" w:hAnsi="Times New Roman"/>
                <w:color w:val="000000"/>
              </w:rPr>
              <w:t>prawnym.</w:t>
            </w:r>
          </w:p>
          <w:p w14:paraId="602E3C65" w14:textId="6E0A01F7" w:rsidR="005F44DE" w:rsidRPr="001B7D64" w:rsidRDefault="007F3611" w:rsidP="005F44DE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</w:t>
            </w:r>
            <w:r w:rsidR="005F44DE" w:rsidRPr="001B7D64">
              <w:rPr>
                <w:color w:val="000000"/>
                <w:sz w:val="22"/>
                <w:szCs w:val="22"/>
              </w:rPr>
              <w:t>nie 2.3 przewiduje udzielanie wsparcia na realizację projektów, których celem jest szeroko rozumiane zwiększenie dostępności oraz wymiany danych w gospodarce. W tym kontekście działa</w:t>
            </w:r>
            <w:r w:rsidR="00006FB4">
              <w:rPr>
                <w:color w:val="000000"/>
                <w:sz w:val="22"/>
                <w:szCs w:val="22"/>
              </w:rPr>
              <w:t>nie odwołuje się do regulacji z</w:t>
            </w:r>
            <w:r w:rsidR="00532EA0">
              <w:rPr>
                <w:color w:val="000000"/>
                <w:sz w:val="22"/>
                <w:szCs w:val="22"/>
              </w:rPr>
              <w:t xml:space="preserve"> </w:t>
            </w:r>
            <w:r w:rsidR="005F44DE" w:rsidRPr="001B7D64">
              <w:rPr>
                <w:color w:val="000000"/>
                <w:sz w:val="22"/>
                <w:szCs w:val="22"/>
              </w:rPr>
              <w:t xml:space="preserve">obszaru otwierania </w:t>
            </w:r>
            <w:r w:rsidR="00EF7F6E" w:rsidRPr="001B7D64">
              <w:rPr>
                <w:color w:val="000000"/>
                <w:sz w:val="22"/>
                <w:szCs w:val="22"/>
              </w:rPr>
              <w:t xml:space="preserve">i ponownego wykorzystywania </w:t>
            </w:r>
            <w:r w:rsidR="005F44DE" w:rsidRPr="001B7D64">
              <w:rPr>
                <w:color w:val="000000"/>
                <w:sz w:val="22"/>
                <w:szCs w:val="22"/>
              </w:rPr>
              <w:t>danych oraz zarzadzania danymi, tj.:</w:t>
            </w:r>
          </w:p>
          <w:p w14:paraId="68CFC861" w14:textId="6AADD200" w:rsidR="00AF7938" w:rsidRDefault="006F1053" w:rsidP="00FF6B14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AF7938">
              <w:rPr>
                <w:rFonts w:ascii="Times New Roman" w:hAnsi="Times New Roman"/>
                <w:color w:val="000000"/>
              </w:rPr>
              <w:t>dyrektyw</w:t>
            </w:r>
            <w:r w:rsidR="00A03D2B">
              <w:rPr>
                <w:rFonts w:ascii="Times New Roman" w:hAnsi="Times New Roman"/>
                <w:color w:val="000000"/>
              </w:rPr>
              <w:t>y</w:t>
            </w:r>
            <w:r w:rsidRPr="00AF7938">
              <w:rPr>
                <w:rFonts w:ascii="Times New Roman" w:hAnsi="Times New Roman"/>
                <w:color w:val="000000"/>
              </w:rPr>
              <w:t xml:space="preserve"> Parlamentu Europejskiego i Rady (UE) 2019/1024 z dnia 20 czerwca 2019 r. w sprawie otwartych danych i ponownego wykorzystywania informacji sektora publicznego (Dz. Urz. U</w:t>
            </w:r>
            <w:r w:rsidR="00AF7938" w:rsidRPr="00AF7938">
              <w:rPr>
                <w:rFonts w:ascii="Times New Roman" w:hAnsi="Times New Roman"/>
                <w:color w:val="000000"/>
              </w:rPr>
              <w:t xml:space="preserve">E L 172 z 26.06.2019, str. 56) </w:t>
            </w:r>
            <w:r w:rsidR="004B49E1">
              <w:rPr>
                <w:rFonts w:ascii="Times New Roman" w:hAnsi="Times New Roman"/>
                <w:color w:val="000000"/>
              </w:rPr>
              <w:t>(</w:t>
            </w:r>
            <w:r w:rsidR="00AF7938" w:rsidRPr="00AF7938">
              <w:rPr>
                <w:rFonts w:ascii="Times New Roman" w:hAnsi="Times New Roman"/>
                <w:color w:val="000000"/>
              </w:rPr>
              <w:t xml:space="preserve">na </w:t>
            </w:r>
            <w:r w:rsidRPr="00AF7938">
              <w:rPr>
                <w:rFonts w:ascii="Times New Roman" w:hAnsi="Times New Roman"/>
                <w:color w:val="000000"/>
              </w:rPr>
              <w:t xml:space="preserve">poziomie krajowym </w:t>
            </w:r>
            <w:r w:rsidR="00AF7938" w:rsidRPr="00AF7938">
              <w:rPr>
                <w:rFonts w:ascii="Times New Roman" w:hAnsi="Times New Roman"/>
                <w:color w:val="000000"/>
              </w:rPr>
              <w:t xml:space="preserve">dyrektywę </w:t>
            </w:r>
            <w:r w:rsidRPr="00AF7938">
              <w:rPr>
                <w:rFonts w:ascii="Times New Roman" w:hAnsi="Times New Roman"/>
                <w:color w:val="000000"/>
              </w:rPr>
              <w:t>wdraża ustawa z dnia 11 sierpnia 2021 r.</w:t>
            </w:r>
            <w:r w:rsidR="00AF7938">
              <w:rPr>
                <w:rFonts w:ascii="Times New Roman" w:hAnsi="Times New Roman"/>
                <w:color w:val="000000"/>
              </w:rPr>
              <w:t xml:space="preserve"> </w:t>
            </w:r>
            <w:r w:rsidRPr="00AF7938">
              <w:rPr>
                <w:rFonts w:ascii="Times New Roman" w:hAnsi="Times New Roman"/>
                <w:color w:val="000000"/>
              </w:rPr>
              <w:t xml:space="preserve">o otwartych danych i ponownym wykorzystywaniu </w:t>
            </w:r>
            <w:r w:rsidR="002F646D">
              <w:rPr>
                <w:rFonts w:ascii="Times New Roman" w:hAnsi="Times New Roman"/>
                <w:color w:val="000000"/>
              </w:rPr>
              <w:t xml:space="preserve">informacji sektora publicznego, </w:t>
            </w:r>
            <w:r w:rsidR="00EF7F6E">
              <w:rPr>
                <w:rFonts w:ascii="Times New Roman" w:hAnsi="Times New Roman"/>
                <w:color w:val="000000"/>
              </w:rPr>
              <w:t xml:space="preserve">Dz. U. </w:t>
            </w:r>
            <w:r w:rsidR="00FF6B14">
              <w:rPr>
                <w:rFonts w:ascii="Times New Roman" w:hAnsi="Times New Roman"/>
                <w:color w:val="000000"/>
              </w:rPr>
              <w:t xml:space="preserve">z 2023 r. </w:t>
            </w:r>
            <w:r w:rsidR="00FF6B14" w:rsidRPr="00FF6B14">
              <w:rPr>
                <w:rFonts w:ascii="Times New Roman" w:hAnsi="Times New Roman"/>
                <w:color w:val="000000"/>
              </w:rPr>
              <w:t>1524</w:t>
            </w:r>
            <w:r w:rsidR="00FF6B14">
              <w:rPr>
                <w:rFonts w:ascii="Times New Roman" w:hAnsi="Times New Roman"/>
                <w:color w:val="000000"/>
              </w:rPr>
              <w:t>),</w:t>
            </w:r>
          </w:p>
          <w:p w14:paraId="06471B57" w14:textId="77777777" w:rsidR="0042722C" w:rsidRDefault="006F1053" w:rsidP="004B49E1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AF7938">
              <w:rPr>
                <w:rFonts w:ascii="Times New Roman" w:hAnsi="Times New Roman"/>
                <w:color w:val="000000"/>
              </w:rPr>
              <w:t>rozporządzeni</w:t>
            </w:r>
            <w:r w:rsidR="00A03D2B">
              <w:rPr>
                <w:rFonts w:ascii="Times New Roman" w:hAnsi="Times New Roman"/>
                <w:color w:val="000000"/>
              </w:rPr>
              <w:t xml:space="preserve">a </w:t>
            </w:r>
            <w:r w:rsidRPr="00AF7938">
              <w:rPr>
                <w:rFonts w:ascii="Times New Roman" w:hAnsi="Times New Roman"/>
                <w:color w:val="000000"/>
              </w:rPr>
              <w:t>Parlamentu Europejskiego i Rady (UE) 2022/868 z dnia 30 maja 2022 r. w sprawie europejskiego zarządzania danymi i zmieniającego rozporządzenie (UE) 2018/1724 (akt w sprawie zarządzania danymi) (Dz. Urz. UE L 152 z 03.06.2022, str. 1</w:t>
            </w:r>
            <w:r w:rsidR="004B49E1">
              <w:rPr>
                <w:rFonts w:ascii="Times New Roman" w:hAnsi="Times New Roman"/>
                <w:color w:val="000000"/>
              </w:rPr>
              <w:t xml:space="preserve"> </w:t>
            </w:r>
            <w:r w:rsidR="004B49E1" w:rsidRPr="004B49E1">
              <w:rPr>
                <w:rFonts w:ascii="Times New Roman" w:hAnsi="Times New Roman"/>
                <w:color w:val="000000"/>
              </w:rPr>
              <w:t>oraz Dz. Urz. UE L 132 z 17.05.2023, str. 89</w:t>
            </w:r>
            <w:r w:rsidRPr="00AF7938">
              <w:rPr>
                <w:rFonts w:ascii="Times New Roman" w:hAnsi="Times New Roman"/>
                <w:color w:val="000000"/>
              </w:rPr>
              <w:t>).</w:t>
            </w:r>
          </w:p>
          <w:p w14:paraId="70F093DF" w14:textId="2A3FFBE5" w:rsidR="005F44DE" w:rsidRDefault="005F44DE" w:rsidP="00AA1A8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F44DE">
              <w:rPr>
                <w:rFonts w:eastAsia="Calibri"/>
                <w:color w:val="000000"/>
                <w:sz w:val="22"/>
                <w:szCs w:val="22"/>
              </w:rPr>
              <w:t>W istotnym zakresie działanie 2.3 stanowi również kontynuację poddziałań drugiej osi priorytetowej Programu Operacyjnego Polska Cyfrowa na lata 2014</w:t>
            </w:r>
            <w:r w:rsidR="0044221D" w:rsidRPr="0044221D">
              <w:rPr>
                <w:rFonts w:eastAsia="Calibri"/>
                <w:color w:val="000000"/>
                <w:sz w:val="22"/>
                <w:szCs w:val="22"/>
              </w:rPr>
              <w:t>‒</w:t>
            </w:r>
            <w:r w:rsidRPr="005F44DE">
              <w:rPr>
                <w:rFonts w:eastAsia="Calibri"/>
                <w:color w:val="000000"/>
                <w:sz w:val="22"/>
                <w:szCs w:val="22"/>
              </w:rPr>
              <w:t>2020: 2.3.1 Cyfrowe udostępnienie informacji sektora publicznego ze źródeł administracyjnych i zasobów nauki oraz 2.3.2 Cyfrowe udostępnienie zasobów kultury.</w:t>
            </w:r>
          </w:p>
          <w:p w14:paraId="5865C5DA" w14:textId="6B0C7DBB" w:rsidR="0026174E" w:rsidRPr="00AA1A8E" w:rsidRDefault="00AA1A8E" w:rsidP="00AA1A8E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Wydatkowane w ramach programu środk</w:t>
            </w:r>
            <w:r w:rsidR="000C1C6D">
              <w:rPr>
                <w:rFonts w:eastAsia="Calibri"/>
                <w:color w:val="000000"/>
                <w:sz w:val="22"/>
                <w:szCs w:val="22"/>
              </w:rPr>
              <w:t>i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mogą stanowić pomoc publiczną lub pomoc </w:t>
            </w:r>
            <w:r w:rsidRPr="00AA1A8E">
              <w:rPr>
                <w:rFonts w:eastAsia="Calibri"/>
                <w:i/>
                <w:color w:val="000000"/>
                <w:sz w:val="22"/>
                <w:szCs w:val="22"/>
              </w:rPr>
              <w:t>de minimis</w:t>
            </w:r>
            <w:r>
              <w:rPr>
                <w:rFonts w:eastAsia="Calibri"/>
                <w:i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Zgodnie z art.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30 ust. 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ustawy z dnia 28 kwietnia 2022 r. o zasadach realizacji zadań finansowanych ze środków europejskich w perspektywie finansowej 2021–2027 (Dz. U. poz. 1079)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zakresie, w</w:t>
            </w:r>
            <w:r w:rsidR="0044221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jakim w ramach programów </w:t>
            </w:r>
            <w:r w:rsid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(np. </w:t>
            </w:r>
            <w:r w:rsidR="00957B6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ramach FERC</w:t>
            </w:r>
            <w:r w:rsid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jest udzielana pomoc publiczna w rozumieniu art. 107 ust. 1 Traktatu o funkcjonowaniu Unii Europejskiej </w:t>
            </w:r>
            <w:r w:rsidR="00CA575F" w:rsidRP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(Dz. Urz. UE</w:t>
            </w:r>
            <w:r w:rsidR="00957B6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C 326 z </w:t>
            </w:r>
            <w:r w:rsidR="00CA575F" w:rsidRP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26.10.2012, str. 47)</w:t>
            </w:r>
            <w:r w:rsid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lub pomoc </w:t>
            </w:r>
            <w:r w:rsidR="00C524B4" w:rsidRPr="008B1597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zastosowanie mają szczegółowe warunki i tryb udzielania </w:t>
            </w:r>
            <w:r w:rsidR="00C01EE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takiej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pomocy.</w:t>
            </w:r>
            <w:r w:rsidR="00957B6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W </w:t>
            </w:r>
            <w:r w:rsidR="000C1C6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art. 30 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ust. 4 wskazane</w:t>
            </w:r>
            <w:r w:rsidR="000C1C6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j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C1C6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ustawy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zawarto upoważnienie do wydania </w:t>
            </w:r>
            <w:r w:rsid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przez w</w:t>
            </w:r>
            <w:r w:rsidR="00CA575F" w:rsidRP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łaściw</w:t>
            </w:r>
            <w:r w:rsidR="00CA575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ego ministra </w:t>
            </w:r>
            <w:r w:rsidR="00C524B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przepisów wykonawczych określających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szcze</w:t>
            </w:r>
            <w:r w:rsidR="00C01EE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gółowe przeznaczenie, warunki i</w:t>
            </w:r>
            <w:r w:rsidR="00006F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tryb udzielania </w:t>
            </w:r>
            <w:r w:rsidR="008A53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takiej pomocy, a</w:t>
            </w:r>
            <w:r w:rsidR="00006F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także p</w:t>
            </w:r>
            <w:r w:rsidR="008A53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odmioty udzielające</w:t>
            </w:r>
            <w:r w:rsidR="000C1C6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pomocy</w:t>
            </w:r>
            <w:r w:rsidR="00C01EE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przy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uwzględni</w:t>
            </w:r>
            <w:r w:rsidR="00C01EE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eniu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kon</w:t>
            </w:r>
            <w:r w:rsidR="008A53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iecznoś</w:t>
            </w:r>
            <w:r w:rsidR="00C01EE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ci</w:t>
            </w:r>
            <w:r w:rsidR="008A53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zapewnienia zgodności </w:t>
            </w:r>
            <w:r w:rsidR="001B7D64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pomocy z</w:t>
            </w:r>
            <w:r w:rsidR="0044221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ryn</w:t>
            </w:r>
            <w:r w:rsidR="00C01EE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kiem wewnętrznym, efektywnego i 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skutecznego jej wykorzystania ora</w:t>
            </w:r>
            <w:r w:rsidR="008A53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przejrzystości jej udzielania</w:t>
            </w:r>
            <w:r w:rsidR="00C524B4" w:rsidRPr="008B159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53640F24" w14:textId="2C6FC1C6" w:rsidR="00C403F4" w:rsidRPr="004450CD" w:rsidRDefault="0026174E" w:rsidP="00524F20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957B6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 odniesieniu do działania 2.3 brak jest obecnie przepisów wykonawczych regulujących szczegółowe p</w:t>
            </w:r>
            <w:r w:rsidR="000C1C6D" w:rsidRPr="00957B6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rzeznaczenie, warunki oraz tryb</w:t>
            </w:r>
            <w:r w:rsidRPr="00957B6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udzielania pomocy publicznej i pomocy </w:t>
            </w:r>
            <w:r w:rsidRPr="00957B6E">
              <w:rPr>
                <w:rFonts w:eastAsia="Calibri" w:cs="Times New Roman"/>
                <w:b/>
                <w:i/>
                <w:color w:val="000000"/>
                <w:sz w:val="22"/>
                <w:szCs w:val="22"/>
                <w:lang w:eastAsia="en-US"/>
              </w:rPr>
              <w:t>de minimis</w:t>
            </w:r>
            <w:r w:rsidRPr="00957B6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w ramach środków wydatko</w:t>
            </w:r>
            <w:r w:rsidR="001B7D64" w:rsidRPr="00957B6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wanych w obszarze działania 2.3</w:t>
            </w:r>
            <w:r w:rsidRPr="00957B6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. Konieczne jest w związku z tym wydanie odpowiedniego aktu normatywnego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2722C" w:rsidRPr="00C403F4" w14:paraId="0E56DF20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177100" w14:textId="77777777" w:rsidR="0042722C" w:rsidRPr="008562FE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562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Rekomendowane rozwiązanie, w tym planowane narzędzia interwencji, i oczekiwany efekt</w:t>
            </w:r>
          </w:p>
        </w:tc>
      </w:tr>
      <w:tr w:rsidR="0042722C" w:rsidRPr="00C403F4" w14:paraId="41D5E477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5BA8519" w14:textId="51D8BC7A" w:rsidR="003532D9" w:rsidRDefault="0026174E" w:rsidP="0033317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Rekomendowanym rozwiązaniem jest wydanie rozporzą</w:t>
            </w:r>
            <w:r w:rsidR="002B7559">
              <w:rPr>
                <w:rFonts w:eastAsia="Calibri"/>
                <w:color w:val="000000"/>
                <w:sz w:val="22"/>
                <w:szCs w:val="22"/>
              </w:rPr>
              <w:t xml:space="preserve">dzenia, na podstawie art. 30 ust. 4 </w:t>
            </w:r>
            <w:r w:rsidR="00376942">
              <w:rPr>
                <w:rFonts w:eastAsia="Calibri"/>
                <w:color w:val="000000"/>
                <w:sz w:val="22"/>
                <w:szCs w:val="22"/>
              </w:rPr>
              <w:t>ustawy z dnia 28 kwietnia 2022 </w:t>
            </w:r>
            <w:r w:rsidR="002B7559" w:rsidRPr="002B7559">
              <w:rPr>
                <w:rFonts w:eastAsia="Calibri"/>
                <w:color w:val="000000"/>
                <w:sz w:val="22"/>
                <w:szCs w:val="22"/>
              </w:rPr>
              <w:t>r. o zasadach realizacji zadań finansowanych ze środków europejskich w perspektywie finansowej 2021–2027</w:t>
            </w:r>
            <w:r w:rsidR="002B7559">
              <w:rPr>
                <w:rFonts w:eastAsia="Calibri"/>
                <w:color w:val="000000"/>
                <w:sz w:val="22"/>
                <w:szCs w:val="22"/>
              </w:rPr>
              <w:t xml:space="preserve">, w którym zawarte zostaną przepisy regulujące </w:t>
            </w:r>
            <w:r w:rsidR="002B7559" w:rsidRPr="002B7559">
              <w:rPr>
                <w:rFonts w:eastAsia="Calibri"/>
                <w:color w:val="000000"/>
                <w:sz w:val="22"/>
                <w:szCs w:val="22"/>
              </w:rPr>
              <w:t xml:space="preserve">szczegółowe przeznaczenie, warunki oraz tryb udzielania przez Centrum Projektów Polska Cyfrowa pomocy publicznej i pomocy </w:t>
            </w:r>
            <w:r w:rsidR="002B7559" w:rsidRPr="002B7559">
              <w:rPr>
                <w:rFonts w:eastAsia="Calibri"/>
                <w:i/>
                <w:color w:val="000000"/>
                <w:sz w:val="22"/>
                <w:szCs w:val="22"/>
              </w:rPr>
              <w:t>de minimis</w:t>
            </w:r>
            <w:r w:rsidR="002B7559" w:rsidRPr="002B7559">
              <w:rPr>
                <w:rFonts w:eastAsia="Calibri"/>
                <w:color w:val="000000"/>
                <w:sz w:val="22"/>
                <w:szCs w:val="22"/>
              </w:rPr>
              <w:t xml:space="preserve"> w ramach działania 2.3</w:t>
            </w:r>
            <w:r w:rsidR="002B7559">
              <w:rPr>
                <w:rFonts w:eastAsia="Calibri"/>
                <w:color w:val="000000"/>
                <w:sz w:val="22"/>
                <w:szCs w:val="22"/>
              </w:rPr>
              <w:t>. Przepisy te</w:t>
            </w:r>
            <w:r w:rsidR="00376942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2B7559" w:rsidRPr="002B755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kontekście art. 107 i 108 Traktatu o funkcjonowaniu Unii Europejskiej, </w:t>
            </w:r>
            <w:r w:rsidR="0037694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są niezbędne do legalizacji </w:t>
            </w:r>
            <w:r w:rsidR="002B7559" w:rsidRPr="002B755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środków wydatkowanych </w:t>
            </w:r>
            <w:r w:rsidR="00DD1B3C" w:rsidRPr="00DD1B3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w </w:t>
            </w:r>
            <w:r w:rsidR="00DD1B3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ramach tego działania</w:t>
            </w:r>
            <w:r w:rsidR="002B7559" w:rsidRPr="002B755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14:paraId="4F90EBF2" w14:textId="39C52C24" w:rsidR="00113211" w:rsidRPr="00113211" w:rsidRDefault="00070E7F" w:rsidP="00333172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</w:t>
            </w:r>
            <w:r w:rsidRPr="00070E7F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rojektowane rozporządzenie jest spójne z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aktami praw</w:t>
            </w:r>
            <w:r w:rsidR="00957B6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UE dotyczącymi </w:t>
            </w:r>
            <w:r w:rsidR="0033317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pomocy publicznej, tj.</w:t>
            </w:r>
            <w:r w:rsidR="00113211" w:rsidRPr="0011321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:</w:t>
            </w:r>
          </w:p>
          <w:p w14:paraId="05B870EB" w14:textId="4B3E39DA" w:rsidR="00333172" w:rsidRPr="00C70F47" w:rsidRDefault="00C70F47" w:rsidP="00C70F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376942" w:rsidRPr="00C70F47">
              <w:rPr>
                <w:color w:val="000000"/>
              </w:rPr>
              <w:t>r</w:t>
            </w:r>
            <w:r w:rsidR="00113211" w:rsidRPr="00C70F47">
              <w:rPr>
                <w:color w:val="000000"/>
              </w:rPr>
              <w:t>ozporządzeni</w:t>
            </w:r>
            <w:r w:rsidR="00333172" w:rsidRPr="00C70F47">
              <w:rPr>
                <w:color w:val="000000"/>
              </w:rPr>
              <w:t>e</w:t>
            </w:r>
            <w:r w:rsidR="00376942" w:rsidRPr="00C70F47">
              <w:rPr>
                <w:color w:val="000000"/>
              </w:rPr>
              <w:t>m</w:t>
            </w:r>
            <w:r w:rsidR="00113211" w:rsidRPr="00C70F47">
              <w:rPr>
                <w:color w:val="000000"/>
              </w:rPr>
              <w:t xml:space="preserve"> </w:t>
            </w:r>
            <w:r w:rsidR="00333172" w:rsidRPr="00C70F47">
              <w:rPr>
                <w:color w:val="000000"/>
              </w:rPr>
              <w:t xml:space="preserve">Komisji (UE) nr 1407/2013 z dnia 18 grudnia 2013 r. w sprawie stosowania art. 107 i 108 Traktatu o funkcjonowaniu Unii Europejskiej do pomocy </w:t>
            </w:r>
            <w:r w:rsidR="00333172" w:rsidRPr="00C70F47">
              <w:rPr>
                <w:rStyle w:val="Kkursywa"/>
              </w:rPr>
              <w:t>de minimis</w:t>
            </w:r>
            <w:r w:rsidR="00333172" w:rsidRPr="00C70F47">
              <w:rPr>
                <w:color w:val="000000"/>
              </w:rPr>
              <w:t xml:space="preserve"> (Dz. Urz. UE L 352 z 2</w:t>
            </w:r>
            <w:r w:rsidR="00376942" w:rsidRPr="00C70F47">
              <w:rPr>
                <w:color w:val="000000"/>
              </w:rPr>
              <w:t>4.12.2013, str. 1, z późn. zm.);</w:t>
            </w:r>
          </w:p>
          <w:p w14:paraId="0FD09E39" w14:textId="24BA4D7A" w:rsidR="00333172" w:rsidRPr="00C70F47" w:rsidRDefault="00C70F47" w:rsidP="00C70F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376942" w:rsidRPr="00C70F47">
              <w:rPr>
                <w:color w:val="000000"/>
              </w:rPr>
              <w:t>r</w:t>
            </w:r>
            <w:r w:rsidR="00333172" w:rsidRPr="00C70F47">
              <w:rPr>
                <w:color w:val="000000"/>
              </w:rPr>
              <w:t>ozporządzenie</w:t>
            </w:r>
            <w:r w:rsidR="00376942" w:rsidRPr="00C70F47">
              <w:rPr>
                <w:color w:val="000000"/>
              </w:rPr>
              <w:t>m</w:t>
            </w:r>
            <w:r w:rsidR="00333172" w:rsidRPr="00C70F47">
              <w:rPr>
                <w:color w:val="000000"/>
              </w:rPr>
              <w:t xml:space="preserve"> Komisji (UE) nr 651/2014 z dnia 17 czerwca 2014 r. uznające niektóre rodzaje pomocy za zgodne z rynkiem wewnętrznym w zastosowaniu art. 107 i 108 Traktatu (Dz. Urz. UE L 187 z 26.06.2014, str. 1, z późn. zm.)</w:t>
            </w:r>
            <w:r w:rsidR="00006F9A" w:rsidRPr="00C70F47">
              <w:rPr>
                <w:color w:val="000000"/>
              </w:rPr>
              <w:t>.</w:t>
            </w:r>
          </w:p>
          <w:p w14:paraId="5152A2AF" w14:textId="77777777" w:rsidR="0042722C" w:rsidRDefault="00006F9A" w:rsidP="004B2B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Punktem odniesienia dla projektowanych rozwiązań były również</w:t>
            </w:r>
            <w:r w:rsidR="003532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przepisy </w:t>
            </w:r>
            <w:r w:rsidRPr="00006F9A">
              <w:rPr>
                <w:color w:val="000000"/>
                <w:sz w:val="22"/>
                <w:szCs w:val="22"/>
              </w:rPr>
              <w:t>rozporządzenia Ministra A</w:t>
            </w:r>
            <w:r w:rsidR="003532D9">
              <w:rPr>
                <w:color w:val="000000"/>
                <w:sz w:val="22"/>
                <w:szCs w:val="22"/>
              </w:rPr>
              <w:t>dministracji i </w:t>
            </w:r>
            <w:r w:rsidRPr="00006F9A">
              <w:rPr>
                <w:color w:val="000000"/>
                <w:sz w:val="22"/>
                <w:szCs w:val="22"/>
              </w:rPr>
              <w:t xml:space="preserve">Cyfryzacji z dnia 21 sierpnia 2015 r. sprawie udzielania pomocy publicznej i pomocy </w:t>
            </w:r>
            <w:r w:rsidRPr="00006F9A">
              <w:rPr>
                <w:i/>
                <w:color w:val="000000"/>
                <w:sz w:val="22"/>
                <w:szCs w:val="22"/>
              </w:rPr>
              <w:t>de minimis</w:t>
            </w:r>
            <w:r w:rsidRPr="00006F9A">
              <w:rPr>
                <w:color w:val="000000"/>
                <w:sz w:val="22"/>
                <w:szCs w:val="22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 (Dz. U. poz. 1237)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F7EE2F6" w14:textId="3084A899" w:rsidR="00DD1B3C" w:rsidRPr="00957B6E" w:rsidRDefault="00DD1B3C" w:rsidP="00524F2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7B6E">
              <w:rPr>
                <w:b/>
                <w:color w:val="000000"/>
                <w:sz w:val="22"/>
                <w:szCs w:val="22"/>
              </w:rPr>
              <w:t xml:space="preserve">Wydanie projektowanych przepisów wykonawczych umożliwi wydatkowanie środków przewidzianych w ramach działania 2.3 w zgodzie z przepisami o pomocy publicznej i pomocy </w:t>
            </w:r>
            <w:r w:rsidRPr="00957B6E">
              <w:rPr>
                <w:b/>
                <w:i/>
                <w:color w:val="000000"/>
                <w:sz w:val="22"/>
                <w:szCs w:val="22"/>
              </w:rPr>
              <w:t>de minimis</w:t>
            </w:r>
            <w:r w:rsidRPr="00957B6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42722C" w:rsidRPr="00C403F4" w14:paraId="36653E63" w14:textId="77777777" w:rsidTr="00C60F22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AA6EB0" w14:textId="77777777" w:rsidR="0042722C" w:rsidRPr="008562FE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562F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8562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8562FE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722C" w:rsidRPr="00C403F4" w14:paraId="47A8A3CD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5173DBF" w14:textId="77777777" w:rsidR="009C6126" w:rsidRPr="00C403F4" w:rsidRDefault="009C6126" w:rsidP="000F1AF4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highlight w:val="yellow"/>
                <w:lang w:eastAsia="en-US"/>
              </w:rPr>
            </w:pPr>
            <w:r w:rsidRPr="009C61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  <w:r w:rsidR="007958D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Projektowane rozporządzenie stanowi wykonanie przepisów prawa krajowego.</w:t>
            </w:r>
          </w:p>
        </w:tc>
      </w:tr>
      <w:tr w:rsidR="0042722C" w:rsidRPr="00C403F4" w14:paraId="500D6E1E" w14:textId="77777777" w:rsidTr="00C60F22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A0BA07" w14:textId="77777777" w:rsidR="0042722C" w:rsidRPr="008562FE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562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42722C" w:rsidRPr="00C403F4" w14:paraId="541E91B3" w14:textId="77777777" w:rsidTr="00C60F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E464AFE" w14:textId="77777777" w:rsidR="0042722C" w:rsidRPr="00C337F4" w:rsidRDefault="0042722C" w:rsidP="0042722C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C337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9B7C0CC" w14:textId="77777777" w:rsidR="0042722C" w:rsidRPr="009C6126" w:rsidRDefault="0042722C" w:rsidP="0042722C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C61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6C39BB" w14:textId="77777777" w:rsidR="0042722C" w:rsidRPr="009C6126" w:rsidRDefault="0042722C" w:rsidP="0042722C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C61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9C6126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7EFC327" w14:textId="77777777" w:rsidR="0042722C" w:rsidRPr="009C6126" w:rsidRDefault="0042722C" w:rsidP="0042722C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C612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42722C" w:rsidRPr="00C403F4" w14:paraId="3D911B5C" w14:textId="77777777" w:rsidTr="00C60F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C85466" w14:textId="1DEC178A" w:rsidR="00C337F4" w:rsidRPr="000F1AF4" w:rsidRDefault="000B3BD5" w:rsidP="00C337F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Beneficjenci pomocy publicznej i </w:t>
            </w:r>
            <w:r w:rsidRPr="000F1AF4">
              <w:rPr>
                <w:rStyle w:val="Kkursywa"/>
                <w:sz w:val="22"/>
                <w:szCs w:val="22"/>
              </w:rPr>
              <w:t xml:space="preserve">pomocy de </w:t>
            </w:r>
            <w:r w:rsidRPr="000F1AF4">
              <w:rPr>
                <w:rStyle w:val="Kkursywa"/>
                <w:sz w:val="22"/>
                <w:szCs w:val="22"/>
              </w:rPr>
              <w:lastRenderedPageBreak/>
              <w:t xml:space="preserve">minimis, tj. </w:t>
            </w:r>
            <w:r w:rsidR="00070F22" w:rsidRPr="000F1AF4">
              <w:rPr>
                <w:rStyle w:val="Kkursywa"/>
                <w:sz w:val="22"/>
                <w:szCs w:val="22"/>
              </w:rPr>
              <w:t>„</w:t>
            </w:r>
            <w:r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 w:rsidR="00C337F4"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rzedsiębiorstwa</w:t>
            </w:r>
            <w:r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”</w:t>
            </w:r>
            <w:r w:rsidRPr="000F1AF4">
              <w:rPr>
                <w:rStyle w:val="Odwoanieprzypisudolnego"/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F1AF4">
              <w:rPr>
                <w:rStyle w:val="Odwoanieprzypisudolnego"/>
                <w:rFonts w:eastAsia="Calibri"/>
                <w:color w:val="000000"/>
                <w:spacing w:val="-2"/>
                <w:sz w:val="22"/>
                <w:szCs w:val="22"/>
                <w:lang w:eastAsia="en-US"/>
              </w:rPr>
              <w:footnoteReference w:id="4"/>
            </w:r>
            <w:r w:rsidRPr="000F1AF4">
              <w:rPr>
                <w:rStyle w:val="IGindeksgrny"/>
                <w:sz w:val="22"/>
                <w:szCs w:val="22"/>
              </w:rPr>
              <w:t>)</w:t>
            </w:r>
            <w:r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uzyskując</w:t>
            </w:r>
            <w:r w:rsidR="0069567A"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Pr="000F1AF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1345C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wsparcie w ramach działania 2.3</w:t>
            </w:r>
          </w:p>
          <w:p w14:paraId="275A94C3" w14:textId="77777777" w:rsidR="00C337F4" w:rsidRPr="00C337F4" w:rsidRDefault="00C337F4" w:rsidP="000B3BD5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909D029" w14:textId="77777777" w:rsidR="0042722C" w:rsidRPr="00C403F4" w:rsidRDefault="000B3BD5" w:rsidP="000F1AF4">
            <w:pPr>
              <w:spacing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0B3BD5">
              <w:rPr>
                <w:rFonts w:eastAsia="Times New Roman" w:cs="Times New Roman"/>
                <w:sz w:val="22"/>
                <w:szCs w:val="22"/>
              </w:rPr>
              <w:lastRenderedPageBreak/>
              <w:t>Trudna do oszacowania</w:t>
            </w:r>
            <w:r w:rsidR="0069567A">
              <w:rPr>
                <w:rStyle w:val="Odwoanieprzypisudolnego"/>
                <w:rFonts w:eastAsia="Times New Roman"/>
                <w:sz w:val="22"/>
                <w:szCs w:val="22"/>
              </w:rPr>
              <w:footnoteReference w:id="5"/>
            </w:r>
            <w:r w:rsidR="0069567A" w:rsidRPr="0069567A">
              <w:rPr>
                <w:rFonts w:eastAsia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8838E22" w14:textId="536BC863" w:rsidR="0042722C" w:rsidRPr="00C403F4" w:rsidRDefault="001345C0" w:rsidP="000F1AF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Zawiadomienie Komisji w </w:t>
            </w:r>
            <w:r w:rsidR="007958D9" w:rsidRPr="007958D9">
              <w:rPr>
                <w:rFonts w:eastAsia="Calibri" w:cs="Times New Roman"/>
                <w:sz w:val="22"/>
                <w:szCs w:val="22"/>
                <w:lang w:eastAsia="en-US"/>
              </w:rPr>
              <w:t xml:space="preserve">sprawie pojęcia pomocy państwa w </w:t>
            </w:r>
            <w:r w:rsidR="007958D9" w:rsidRPr="007958D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 xml:space="preserve">rozumieniu art. 107 ust. 1 Traktatu o funkcjonowaniu </w:t>
            </w:r>
            <w:r w:rsidR="007958D9">
              <w:rPr>
                <w:rFonts w:eastAsia="Calibri" w:cs="Times New Roman"/>
                <w:sz w:val="22"/>
                <w:szCs w:val="22"/>
                <w:lang w:eastAsia="en-US"/>
              </w:rPr>
              <w:t>Unii Europejskiej (C/2016/2946)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9F09502" w14:textId="783F4EFA" w:rsidR="0042722C" w:rsidRPr="0069567A" w:rsidRDefault="0069567A" w:rsidP="00524F2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2"/>
                <w:szCs w:val="22"/>
                <w:highlight w:val="yellow"/>
              </w:rPr>
            </w:pPr>
            <w:r w:rsidRPr="0069567A">
              <w:rPr>
                <w:rFonts w:eastAsia="Times New Roman" w:cs="Times New Roman"/>
                <w:sz w:val="22"/>
                <w:szCs w:val="22"/>
              </w:rPr>
              <w:lastRenderedPageBreak/>
              <w:t>Możliwość uzyskania w</w:t>
            </w:r>
            <w:r w:rsidR="00524F20">
              <w:rPr>
                <w:rFonts w:eastAsia="Times New Roman" w:cs="Times New Roman"/>
                <w:sz w:val="22"/>
                <w:szCs w:val="22"/>
              </w:rPr>
              <w:t>sparcia w ramach działania 2.3</w:t>
            </w:r>
            <w:r w:rsidRPr="0069567A">
              <w:rPr>
                <w:rFonts w:eastAsia="Times New Roman" w:cs="Times New Roman"/>
                <w:sz w:val="22"/>
                <w:szCs w:val="22"/>
              </w:rPr>
              <w:t xml:space="preserve"> zgodn</w:t>
            </w:r>
            <w:r w:rsidR="000C1C6D">
              <w:rPr>
                <w:rFonts w:eastAsia="Times New Roman" w:cs="Times New Roman"/>
                <w:sz w:val="22"/>
                <w:szCs w:val="22"/>
              </w:rPr>
              <w:t>i</w:t>
            </w:r>
            <w:r w:rsidR="0057292C">
              <w:rPr>
                <w:rFonts w:eastAsia="Times New Roman" w:cs="Times New Roman"/>
                <w:sz w:val="22"/>
                <w:szCs w:val="22"/>
              </w:rPr>
              <w:t xml:space="preserve">e z </w:t>
            </w:r>
            <w:r w:rsidR="0057292C">
              <w:rPr>
                <w:rFonts w:eastAsia="Times New Roman" w:cs="Times New Roman"/>
                <w:sz w:val="22"/>
                <w:szCs w:val="22"/>
              </w:rPr>
              <w:lastRenderedPageBreak/>
              <w:t>przepisami o </w:t>
            </w:r>
            <w:r w:rsidRPr="0069567A">
              <w:rPr>
                <w:rFonts w:eastAsia="Times New Roman" w:cs="Times New Roman"/>
                <w:sz w:val="22"/>
                <w:szCs w:val="22"/>
              </w:rPr>
              <w:t xml:space="preserve">pomocy publicznej i pomocy </w:t>
            </w:r>
            <w:r w:rsidRPr="0069567A">
              <w:rPr>
                <w:rStyle w:val="Kkursywa"/>
                <w:sz w:val="22"/>
                <w:szCs w:val="22"/>
              </w:rPr>
              <w:t>de minimis</w:t>
            </w:r>
          </w:p>
        </w:tc>
      </w:tr>
      <w:tr w:rsidR="00DA560C" w:rsidRPr="00C403F4" w14:paraId="36F2780D" w14:textId="77777777" w:rsidTr="00C60F22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2D363A7" w14:textId="77777777" w:rsidR="00DA560C" w:rsidRPr="00DA560C" w:rsidRDefault="00DA560C" w:rsidP="00DA560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A560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Centrum Projektów</w:t>
            </w:r>
          </w:p>
          <w:p w14:paraId="02A2BF3C" w14:textId="77777777" w:rsidR="00DA560C" w:rsidRPr="000F1AF4" w:rsidRDefault="00DA560C" w:rsidP="00DA560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DA560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Cyfrowa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88F11CE" w14:textId="77777777" w:rsidR="00DA560C" w:rsidRPr="000B3BD5" w:rsidRDefault="00DA560C" w:rsidP="00DA560C">
            <w:pPr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AACE5E" w14:textId="77777777" w:rsidR="00DA560C" w:rsidRPr="007958D9" w:rsidRDefault="00DA560C" w:rsidP="00A14B0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ABBC9BC" w14:textId="77777777" w:rsidR="00DA560C" w:rsidRPr="00DA560C" w:rsidRDefault="00DA560C" w:rsidP="00DA560C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A560C">
              <w:rPr>
                <w:rFonts w:eastAsia="Times New Roman" w:cs="Times New Roman"/>
                <w:sz w:val="22"/>
                <w:szCs w:val="22"/>
              </w:rPr>
              <w:t>Określenie warunków</w:t>
            </w:r>
          </w:p>
          <w:p w14:paraId="0137061F" w14:textId="3B21559F" w:rsidR="00DA560C" w:rsidRPr="0069567A" w:rsidRDefault="00DA560C" w:rsidP="00524F20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2"/>
                <w:szCs w:val="22"/>
              </w:rPr>
            </w:pPr>
            <w:r w:rsidRPr="00DA560C">
              <w:rPr>
                <w:rFonts w:eastAsia="Times New Roman" w:cs="Times New Roman"/>
                <w:sz w:val="22"/>
                <w:szCs w:val="22"/>
              </w:rPr>
              <w:t>i trybu udzielania</w:t>
            </w:r>
            <w:r>
              <w:t xml:space="preserve"> </w:t>
            </w:r>
            <w:r w:rsidRPr="00DA560C">
              <w:rPr>
                <w:rFonts w:eastAsia="Times New Roman" w:cs="Times New Roman"/>
                <w:sz w:val="22"/>
                <w:szCs w:val="22"/>
              </w:rPr>
              <w:t xml:space="preserve">pomocy publicznej i pomocy </w:t>
            </w:r>
            <w:r w:rsidRPr="00DA560C">
              <w:rPr>
                <w:rFonts w:eastAsia="Times New Roman" w:cs="Times New Roman"/>
                <w:i/>
                <w:sz w:val="22"/>
                <w:szCs w:val="22"/>
              </w:rPr>
              <w:t>de minimis</w:t>
            </w:r>
            <w:r w:rsidRPr="00DA560C">
              <w:rPr>
                <w:rFonts w:eastAsia="Times New Roman" w:cs="Times New Roman"/>
                <w:sz w:val="22"/>
                <w:szCs w:val="22"/>
              </w:rPr>
              <w:t xml:space="preserve"> w ramach działania 2.3</w:t>
            </w:r>
          </w:p>
        </w:tc>
      </w:tr>
      <w:tr w:rsidR="0042722C" w:rsidRPr="00C403F4" w14:paraId="51D3D929" w14:textId="77777777" w:rsidTr="00C60F22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F46BAF" w14:textId="77777777" w:rsidR="0042722C" w:rsidRPr="008562FE" w:rsidRDefault="007958D9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562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42722C" w:rsidRPr="00C403F4" w14:paraId="51AC1441" w14:textId="77777777" w:rsidTr="00C60F22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39ABEF2" w14:textId="4FEC5692" w:rsidR="00AD0899" w:rsidRDefault="00DC35D8" w:rsidP="0001661A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65CB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skierowan</w:t>
            </w:r>
            <w:r w:rsidR="00957B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y do konsultacji publicznych, w tym </w:t>
            </w:r>
            <w:r w:rsidRPr="00765CB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 podmiotów wskazanych w przepisach o związkach zawodowych, organizacjach pracodawców oraz o Radzie Dialogu Społecznego i innych inst</w:t>
            </w:r>
            <w:r w:rsidR="006D2B6E" w:rsidRPr="00765CB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ytucjach dialogu społecznego</w:t>
            </w:r>
            <w:r w:rsidR="0001661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6D2B6E" w:rsidRPr="00765CB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01661A" w:rsidRPr="0001661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Wyniki konsultacji publicznych zostaną omówione po ich zakończeniu</w:t>
            </w:r>
            <w:r w:rsidR="007929D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B75E4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B75E44" w:rsidRPr="00B75E4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 konsultacji publicznych zostanie przygotowany raport.</w:t>
            </w:r>
          </w:p>
          <w:p w14:paraId="6D7985A7" w14:textId="3546D4D5" w:rsidR="0015257E" w:rsidRDefault="0015257E" w:rsidP="0001661A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otrzymają:</w:t>
            </w:r>
          </w:p>
          <w:p w14:paraId="0E51630E" w14:textId="07292721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Federacja Związków Zawodowych Pracowników Kultury i Sztuki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351B865" w14:textId="38D826B3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Fundacja Centrum Cyfrowe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11BF041" w14:textId="35210135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Fundacja im. Stefana Batorego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7DCC73A" w14:textId="5A7F1653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Fundacja Instrat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BD3DF34" w14:textId="1A30FFA4" w:rsidR="00356955" w:rsidRPr="00356955" w:rsidRDefault="006E5422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Fundacja Moje Państwo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A268D47" w14:textId="7DCE09C3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Fundacja OpenStax Poland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406D042" w14:textId="1A905693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Krajowa Izba Gospodarcza Elektroniki i Telekomunikacji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704A5F" w14:textId="77C0ACA0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Krajowa Izba Producentów Audiowizualnych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EBCEC01" w14:textId="42EBEFB4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Polska Izba Informatyki i Telekomunikacji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0B69F5C" w14:textId="1494B088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lastRenderedPageBreak/>
              <w:t>Polska Izba Komunikacji Elektronicznej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90C3A5A" w14:textId="54ADDDF9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Polskie Towarzystwo Informatyczne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52775CC" w14:textId="65AF84EC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Sieć Obywatelska Watchdog Polska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5DEF617" w14:textId="515C97C3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Stowarzyszenie Autorów i Wydawców COPYRIGHT POLSKA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593A82C" w14:textId="5061A73A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Stowarzyszenie autorów ZAiKS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CA77554" w14:textId="27F52CB7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Stowarzyszenie Bibliotekarzy Polskich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F4CED15" w14:textId="03ECC601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Stowarzyszenie Kreatywna Polska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530291A" w14:textId="63771941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Stowarzyszenie Muzealników Polskich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33A5A88E" w14:textId="3083CF45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Stowarzyszenie OpenStreetMap Polska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5402ED1" w14:textId="7B8013CA" w:rsidR="00356955" w:rsidRP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Związek Importerów i Producentów Sprzętu Elektrycznego i Elektronicznego – ZIPSEE Cyfrowa Polska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26BAD7C" w14:textId="311DDAE6" w:rsidR="00356955" w:rsidRDefault="00356955" w:rsidP="00356955">
            <w:pPr>
              <w:pStyle w:val="Akapitzlist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6955">
              <w:rPr>
                <w:rFonts w:ascii="Times New Roman" w:hAnsi="Times New Roman"/>
                <w:color w:val="000000"/>
                <w:spacing w:val="-2"/>
              </w:rPr>
              <w:t>Związek Pracodawców Branży Internetowej Interactive Advertising Bureau Polska</w:t>
            </w:r>
            <w:r w:rsidR="002F759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0E238DC" w14:textId="12E77885" w:rsidR="00B75E44" w:rsidRPr="00B75E44" w:rsidRDefault="00B75E44" w:rsidP="00B75E44">
            <w:pPr>
              <w:jc w:val="both"/>
              <w:rPr>
                <w:color w:val="000000"/>
                <w:spacing w:val="-2"/>
              </w:rPr>
            </w:pPr>
            <w:r w:rsidRPr="00B75E44">
              <w:rPr>
                <w:color w:val="000000"/>
                <w:spacing w:val="-2"/>
              </w:rPr>
              <w:t xml:space="preserve">Projekt został zamieszczony w Biuletynie Informacji Publicznej na stronie podmiotowej Ministra Cyfryzacji </w:t>
            </w:r>
            <w:hyperlink r:id="rId13" w:history="1">
              <w:r w:rsidRPr="0095306D">
                <w:rPr>
                  <w:rStyle w:val="Hipercze"/>
                  <w:spacing w:val="-2"/>
                </w:rPr>
                <w:t>www.gov.pl/web/cyfryzacja</w:t>
              </w:r>
            </w:hyperlink>
            <w:r>
              <w:rPr>
                <w:color w:val="000000"/>
                <w:spacing w:val="-2"/>
              </w:rPr>
              <w:t xml:space="preserve">, </w:t>
            </w:r>
            <w:r w:rsidRPr="00B75E44">
              <w:rPr>
                <w:color w:val="000000"/>
                <w:spacing w:val="-2"/>
              </w:rPr>
              <w:t>a także na stronie Rządowego Centrum Legislacji w zakładce Rządowy Proces Legislacyjny.</w:t>
            </w:r>
          </w:p>
        </w:tc>
      </w:tr>
      <w:tr w:rsidR="0042722C" w:rsidRPr="00C403F4" w14:paraId="6762975B" w14:textId="77777777" w:rsidTr="00C60F22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91F4A1" w14:textId="77777777" w:rsidR="0042722C" w:rsidRPr="002D0F89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2D0F89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Wpływ na sektor finansów publicznych</w:t>
            </w:r>
          </w:p>
        </w:tc>
      </w:tr>
      <w:tr w:rsidR="0042722C" w:rsidRPr="00C403F4" w14:paraId="234ED063" w14:textId="77777777" w:rsidTr="00C60F22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C557A37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63E6900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42722C" w:rsidRPr="00C403F4" w14:paraId="6094550D" w14:textId="77777777" w:rsidTr="00C60F22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219D1FF6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3DFEA79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32F015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314473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1BBC0F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A3B7A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098A1B8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A80E6FC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2A34E6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3C5636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43CCA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85D1627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627D147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42722C" w:rsidRPr="00C403F4" w14:paraId="33D948F7" w14:textId="77777777" w:rsidTr="00C60F2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58FBFC5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BCBF8E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DA65D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B440B0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E226000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C9C574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A8CAE1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7C0E7A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443803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58ED4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E51648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C94BBFE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0FCF894" w14:textId="77777777" w:rsidR="0042722C" w:rsidRPr="002D0F89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273D294C" w14:textId="77777777" w:rsidTr="00C60F22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D107A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20001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B04B7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4B2D2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0F273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60A68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E237D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849A3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1D979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4D1A4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F5E5E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813C6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DF7672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1966521C" w14:textId="77777777" w:rsidTr="00C60F2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661230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D4A38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1BDF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31A3B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628E6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FDE6F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92CB5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8F2C6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A86CC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1C89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59087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2A6C59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2F76EE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0533FBC7" w14:textId="77777777" w:rsidTr="00C60F22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68CD0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8E124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60295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1F295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8147D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AEED0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C74C0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BB99E0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0B2C9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B9C32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81123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A4169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A03F75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0E7D846C" w14:textId="77777777" w:rsidTr="00C60F2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4EC5D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091DC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C73BA0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719A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B0F6A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F3920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136E2D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A98EC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D72A2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790D6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04368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ADD56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DFC460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4D3F7D32" w14:textId="77777777" w:rsidTr="00C60F22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4DEC2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68F0C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ACC80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B4458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DC562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E14D7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6686E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524B9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2AF3D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D94EF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B7BEC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1F096C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7B95D5C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2227C6EB" w14:textId="77777777" w:rsidTr="00C60F2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B2BAC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B47FC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967EBC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88C7C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6573E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1BADB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E3702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51CCD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2B99E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BB6E2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7CF1E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5A20A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A3CE2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6F1F636F" w14:textId="77777777" w:rsidTr="00C60F22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B06F3A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BEE03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AC191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4C286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B7D4F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71A26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703CB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D6C0A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AA988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AA00D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EEAF0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BDED5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F482E2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4F4A3D9E" w14:textId="77777777" w:rsidTr="00C60F2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368E4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FD753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85972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041EB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1B15C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1EDE6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46622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30DC2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7B419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8F8A1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B10DC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C69CC4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CEA2D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7BED2D45" w14:textId="77777777" w:rsidTr="00C60F22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2AA79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56D54B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57646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B42D6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3F45E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697546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C4EDC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E29B9E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F7902B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6B271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C75EB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088952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2CDCAE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11DB244F" w14:textId="77777777" w:rsidTr="00C60F2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EEAE5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A3CC1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D8C7C7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74CCB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DEAE3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E927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D54C7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CE4949B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825CA6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D3F325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239EB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8CCF3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BF71B3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2F4B11" w:rsidRPr="00C403F4" w14:paraId="4F036E31" w14:textId="77777777" w:rsidTr="00C60F22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A7B1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8A059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057F5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F2443A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30644C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EF6F6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84A1EF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D451E13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9F86FC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0A4159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79B7F8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936742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ED115D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F0BF3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BFF414" w14:textId="77777777" w:rsidR="002F4B11" w:rsidRPr="002D0F89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42722C" w:rsidRPr="00C403F4" w14:paraId="2F52989F" w14:textId="77777777" w:rsidTr="00C60F22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1A74037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Źródła finansowania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85765D5" w14:textId="77777777" w:rsidR="008E6C37" w:rsidRPr="002D0F89" w:rsidRDefault="008E6C37" w:rsidP="007B7966">
            <w:pPr>
              <w:widowControl/>
              <w:autoSpaceDE/>
              <w:autoSpaceDN/>
              <w:adjustRightInd/>
              <w:spacing w:line="240" w:lineRule="auto"/>
              <w:contextualSpacing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</w:p>
          <w:p w14:paraId="6BEA6CC6" w14:textId="77777777" w:rsidR="005A0312" w:rsidRPr="002F4B11" w:rsidRDefault="002F4B11" w:rsidP="0042722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4B11">
              <w:rPr>
                <w:sz w:val="22"/>
                <w:szCs w:val="22"/>
              </w:rPr>
              <w:t>Nie dotyczy.</w:t>
            </w:r>
          </w:p>
          <w:p w14:paraId="1B5BE450" w14:textId="77777777" w:rsidR="003B2F10" w:rsidRPr="002D0F89" w:rsidRDefault="003B2F10" w:rsidP="003B2F10">
            <w:pPr>
              <w:spacing w:line="240" w:lineRule="auto"/>
              <w:jc w:val="both"/>
              <w:rPr>
                <w:rFonts w:eastAsia="Times New Roman"/>
                <w:sz w:val="21"/>
                <w:szCs w:val="21"/>
              </w:rPr>
            </w:pPr>
          </w:p>
        </w:tc>
      </w:tr>
      <w:tr w:rsidR="0042722C" w:rsidRPr="00C403F4" w14:paraId="63F798A3" w14:textId="77777777" w:rsidTr="002D0F89">
        <w:trPr>
          <w:gridAfter w:val="1"/>
          <w:wAfter w:w="10" w:type="dxa"/>
          <w:trHeight w:val="1261"/>
        </w:trPr>
        <w:tc>
          <w:tcPr>
            <w:tcW w:w="2243" w:type="dxa"/>
            <w:gridSpan w:val="2"/>
            <w:shd w:val="clear" w:color="auto" w:fill="FFFFFF"/>
          </w:tcPr>
          <w:p w14:paraId="0EB5D126" w14:textId="77777777" w:rsidR="0042722C" w:rsidRPr="002D0F89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D0F8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02559EC" w14:textId="77777777" w:rsidR="0042722C" w:rsidRPr="002D0F89" w:rsidRDefault="002F4B11" w:rsidP="0001661A">
            <w:pPr>
              <w:contextualSpacing/>
              <w:jc w:val="both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2F4B11">
              <w:rPr>
                <w:rFonts w:eastAsia="Calibri" w:cs="Times New Roman"/>
                <w:sz w:val="21"/>
                <w:szCs w:val="21"/>
                <w:lang w:eastAsia="en-US"/>
              </w:rPr>
              <w:t>Projektowane rozporządzenie samoistnie nie rodzi skutków</w:t>
            </w:r>
            <w:r>
              <w:rPr>
                <w:rFonts w:eastAsia="Calibri" w:cs="Times New Roman"/>
                <w:sz w:val="21"/>
                <w:szCs w:val="21"/>
                <w:lang w:eastAsia="en-US"/>
              </w:rPr>
              <w:t xml:space="preserve"> </w:t>
            </w:r>
            <w:r w:rsidRPr="002F4B11">
              <w:rPr>
                <w:rFonts w:eastAsia="Calibri" w:cs="Times New Roman"/>
                <w:sz w:val="21"/>
                <w:szCs w:val="21"/>
                <w:lang w:eastAsia="en-US"/>
              </w:rPr>
              <w:t>finansowych dla sektora finansów publicznych.</w:t>
            </w:r>
            <w:r>
              <w:rPr>
                <w:rFonts w:eastAsia="Calibri" w:cs="Times New Roman"/>
                <w:sz w:val="21"/>
                <w:szCs w:val="21"/>
                <w:lang w:eastAsia="en-US"/>
              </w:rPr>
              <w:t xml:space="preserve"> </w:t>
            </w:r>
            <w:r w:rsidR="002D0F89" w:rsidRPr="002D0F89">
              <w:rPr>
                <w:rFonts w:eastAsia="Calibri" w:cs="Times New Roman"/>
                <w:sz w:val="21"/>
                <w:szCs w:val="21"/>
                <w:lang w:eastAsia="en-US"/>
              </w:rPr>
              <w:t xml:space="preserve">Środki przewidziane na wsparcie </w:t>
            </w:r>
            <w:r w:rsidR="001A3850">
              <w:rPr>
                <w:rFonts w:eastAsia="Calibri" w:cs="Times New Roman"/>
                <w:sz w:val="21"/>
                <w:szCs w:val="21"/>
                <w:lang w:eastAsia="en-US"/>
              </w:rPr>
              <w:t xml:space="preserve">w ramach pomocy publicznej i pomocy </w:t>
            </w:r>
            <w:r w:rsidR="001A3850" w:rsidRPr="001A3850">
              <w:rPr>
                <w:rFonts w:eastAsia="Calibri" w:cs="Times New Roman"/>
                <w:i/>
                <w:sz w:val="21"/>
                <w:szCs w:val="21"/>
                <w:lang w:eastAsia="en-US"/>
              </w:rPr>
              <w:t>de minimis</w:t>
            </w:r>
            <w:r w:rsidR="0001661A">
              <w:rPr>
                <w:rFonts w:eastAsia="Calibri" w:cs="Times New Roman"/>
                <w:sz w:val="21"/>
                <w:szCs w:val="21"/>
                <w:lang w:eastAsia="en-US"/>
              </w:rPr>
              <w:t xml:space="preserve"> opisane w </w:t>
            </w:r>
            <w:r w:rsidR="002D0F89" w:rsidRPr="002D0F89">
              <w:rPr>
                <w:rFonts w:eastAsia="Calibri" w:cs="Times New Roman"/>
                <w:sz w:val="21"/>
                <w:szCs w:val="21"/>
                <w:lang w:eastAsia="en-US"/>
              </w:rPr>
              <w:t xml:space="preserve">projektowanym rozporządzeniu zostały określone </w:t>
            </w:r>
            <w:r w:rsidR="0001661A">
              <w:rPr>
                <w:rFonts w:eastAsia="Calibri" w:cs="Times New Roman"/>
                <w:sz w:val="21"/>
                <w:szCs w:val="21"/>
                <w:lang w:eastAsia="en-US"/>
              </w:rPr>
              <w:t xml:space="preserve">w </w:t>
            </w:r>
            <w:r w:rsidR="002D0F89" w:rsidRPr="002D0F89">
              <w:rPr>
                <w:rFonts w:eastAsia="Calibri" w:cs="Times New Roman"/>
                <w:sz w:val="21"/>
                <w:szCs w:val="21"/>
                <w:lang w:eastAsia="en-US"/>
              </w:rPr>
              <w:t xml:space="preserve">ramach </w:t>
            </w:r>
            <w:r w:rsidR="0001661A">
              <w:rPr>
                <w:rFonts w:eastAsia="Calibri" w:cs="Times New Roman"/>
                <w:sz w:val="21"/>
                <w:szCs w:val="21"/>
                <w:lang w:eastAsia="en-US"/>
              </w:rPr>
              <w:t>FERC</w:t>
            </w:r>
            <w:r>
              <w:rPr>
                <w:rFonts w:eastAsia="Calibri" w:cs="Times New Roman"/>
                <w:sz w:val="21"/>
                <w:szCs w:val="21"/>
                <w:lang w:eastAsia="en-US"/>
              </w:rPr>
              <w:t>.</w:t>
            </w:r>
          </w:p>
        </w:tc>
      </w:tr>
      <w:tr w:rsidR="0042722C" w:rsidRPr="00C403F4" w14:paraId="30F00BB1" w14:textId="77777777" w:rsidTr="00C60F22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CA78041" w14:textId="77777777" w:rsidR="0042722C" w:rsidRPr="008562FE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562F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 w:rsidRPr="008562F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konkurencyjność gospodarki i przedsiębiorczość, w tym funkcjonowanie przedsiębiorców oraz na rodzinę, obywateli i gospodarstwa domowe</w:t>
            </w:r>
          </w:p>
        </w:tc>
      </w:tr>
      <w:tr w:rsidR="0042722C" w:rsidRPr="00C403F4" w14:paraId="2604AA1F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FD431F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42722C" w:rsidRPr="00C403F4" w14:paraId="753A744D" w14:textId="77777777" w:rsidTr="00C60F22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FF2109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A30B78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AFBD315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9DDBA53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A41D8FF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B2E761F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7641AE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3C26F74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8E3716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8E3716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2F4B11" w:rsidRPr="00C403F4" w14:paraId="0211FBDC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E8CB2E5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56B7DE05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66CD560F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E6B5B08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903D17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846682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5D6A2E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FBF6890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1B2DD6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6BA3633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0BDF2A2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F4B11" w:rsidRPr="00C403F4" w14:paraId="7F348B4B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6F7D395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C7CB87F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BEC7E8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AA4DD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D07C980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CA1282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934EB5A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35CBB6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D4F429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14A7AA14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F4B11" w:rsidRPr="00C403F4" w14:paraId="2684136A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DD0A7C5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C0FD37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domowe, osoby starsze i niepełnosprawne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BF2037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AA4DD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43B3C7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548BF1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8994AA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018F7C0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8E57137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45353D79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2F4B11" w:rsidRPr="00C403F4" w14:paraId="3E5B5D15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3E995C9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24166A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E3716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A7CA48B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AA4DD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AC13FA3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2B33392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CE3C55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ED6FFB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0EDC7A1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0D101DFE" w14:textId="77777777" w:rsidR="002F4B11" w:rsidRPr="008E3716" w:rsidRDefault="002F4B11" w:rsidP="002F4B11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937F7F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42722C" w:rsidRPr="00C403F4" w14:paraId="61B69DE3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20ED73A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E63BBCA" w14:textId="77777777" w:rsidR="0042722C" w:rsidRPr="008E3716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E371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28078D" w14:textId="77777777" w:rsidR="0042722C" w:rsidRPr="008E3716" w:rsidRDefault="002F4B11" w:rsidP="0042722C">
            <w:pPr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42722C" w:rsidRPr="00C403F4" w14:paraId="0251C570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5D3FC6F" w14:textId="77777777" w:rsidR="0042722C" w:rsidRPr="00C403F4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088088A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mikro-, małe i średnice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DBC6449" w14:textId="77777777" w:rsidR="0042722C" w:rsidRPr="006D663D" w:rsidRDefault="0042722C" w:rsidP="0042722C">
            <w:pPr>
              <w:spacing w:line="240" w:lineRule="auto"/>
              <w:jc w:val="both"/>
              <w:rPr>
                <w:rFonts w:eastAsia="Times New Roman"/>
                <w:sz w:val="21"/>
                <w:szCs w:val="21"/>
              </w:rPr>
            </w:pPr>
          </w:p>
          <w:p w14:paraId="5F60094D" w14:textId="77777777" w:rsidR="0042722C" w:rsidRPr="00F83BC8" w:rsidRDefault="002F4B11" w:rsidP="0042722C">
            <w:pPr>
              <w:spacing w:before="120" w:line="240" w:lineRule="auto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42722C" w:rsidRPr="00C403F4" w14:paraId="495EA7C4" w14:textId="77777777" w:rsidTr="00C60F22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61013D6" w14:textId="77777777" w:rsidR="0042722C" w:rsidRPr="00C403F4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D5AA6D" w14:textId="77777777" w:rsidR="0042722C" w:rsidRPr="00F83BC8" w:rsidRDefault="0042722C" w:rsidP="0042722C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F83BC8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="00084AFD" w:rsidRPr="00F83BC8">
              <w:rPr>
                <w:rFonts w:eastAsia="Calibri" w:cs="Times New Roman"/>
                <w:sz w:val="21"/>
                <w:szCs w:val="21"/>
                <w:lang w:eastAsia="en-US"/>
              </w:rPr>
              <w:t>, osoby starsze i niepełnosprawne</w:t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CF7CC1E" w14:textId="77777777" w:rsidR="0042722C" w:rsidRPr="00F83BC8" w:rsidRDefault="002F4B11" w:rsidP="0042722C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42722C" w:rsidRPr="00C403F4" w14:paraId="4F3710BC" w14:textId="77777777" w:rsidTr="00C60F22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4F56E757" w14:textId="77777777" w:rsidR="0042722C" w:rsidRPr="00C403F4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F5C5FA" w14:textId="77777777" w:rsidR="0042722C" w:rsidRPr="00F83BC8" w:rsidRDefault="0042722C" w:rsidP="0042722C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76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gospodarka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6B8EBB4" w14:textId="77777777" w:rsidR="0042722C" w:rsidRPr="00F83BC8" w:rsidRDefault="002F4B11" w:rsidP="0042722C">
            <w:pPr>
              <w:spacing w:before="120" w:line="240" w:lineRule="auto"/>
              <w:jc w:val="both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-</w:t>
            </w:r>
          </w:p>
        </w:tc>
      </w:tr>
      <w:tr w:rsidR="0042722C" w:rsidRPr="00C403F4" w14:paraId="5BA1FFEC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E89ECEB" w14:textId="77777777" w:rsidR="0042722C" w:rsidRPr="00C403F4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C52A712" w14:textId="77777777" w:rsidR="0042722C" w:rsidRPr="00F83BC8" w:rsidRDefault="002F4B11" w:rsidP="00D64F9A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9E0441D" w14:textId="77777777" w:rsidR="0042722C" w:rsidRPr="00F83BC8" w:rsidRDefault="002F4B11" w:rsidP="00765CBD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42722C" w:rsidRPr="00C403F4" w14:paraId="6376A3B7" w14:textId="77777777" w:rsidTr="00C60F22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E3F672" w14:textId="77777777" w:rsidR="0042722C" w:rsidRPr="00C403F4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4725AF6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21890C4" w14:textId="77777777" w:rsidR="0042722C" w:rsidRPr="00F83BC8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42722C" w:rsidRPr="00C403F4" w14:paraId="70BF08FF" w14:textId="77777777" w:rsidTr="00C60F22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9738EA0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1338696" w14:textId="77777777" w:rsidR="0042722C" w:rsidRPr="00F83BC8" w:rsidRDefault="002F4B11" w:rsidP="002F4B11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2F4B11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Projektowane rozporządzenie samoistnie nie rodzi skutków w sferze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01661A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konkurencyjności gospodarki i </w:t>
            </w:r>
            <w:r w:rsidRPr="002F4B11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przedsiębiorczości, ani nie oddziałuje na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F4B11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kondycję ekonomiczną przedsiębiorców oraz rodzin, obywateli i gospodarstw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2F4B11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domowych.</w:t>
            </w:r>
          </w:p>
        </w:tc>
      </w:tr>
      <w:tr w:rsidR="0042722C" w:rsidRPr="00C403F4" w14:paraId="1D6BF2F5" w14:textId="77777777" w:rsidTr="00C60F22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C91D0A" w14:textId="77777777" w:rsidR="0042722C" w:rsidRPr="00F83BC8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42722C" w:rsidRPr="00C403F4" w14:paraId="2F8992B2" w14:textId="77777777" w:rsidTr="00C60F22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1547140" w14:textId="77777777" w:rsidR="0042722C" w:rsidRPr="00F83BC8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22C"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42722C" w:rsidRPr="00C403F4" w14:paraId="28BA7392" w14:textId="77777777" w:rsidTr="00C60F22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BCD8676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6AC47DE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3A4DD1D0" w14:textId="77777777" w:rsidR="0042722C" w:rsidRPr="00F83BC8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42722C"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676DAF3" w14:textId="77777777" w:rsidR="0042722C" w:rsidRPr="00F83BC8" w:rsidRDefault="0001661A" w:rsidP="0042722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22C"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42722C" w:rsidRPr="00C403F4" w14:paraId="6E3A64EE" w14:textId="77777777" w:rsidTr="00C60F22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3F072F8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dokumentów</w:t>
            </w:r>
          </w:p>
          <w:p w14:paraId="0A776026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20B0534B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277834A5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8873F5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12D56BED" w14:textId="77777777" w:rsidR="0042722C" w:rsidRPr="00F83BC8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42722C"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22C"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209A287C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550FD82A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5BE4A929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42722C" w:rsidRPr="00C403F4" w14:paraId="5D72E8B3" w14:textId="77777777" w:rsidTr="00C60F22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13EF2E6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Wprowadzane obciążenia są przystosowane do ich elektronizacji.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6F945E1" w14:textId="77777777" w:rsidR="0042722C" w:rsidRPr="00F83BC8" w:rsidRDefault="002F4B11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22C"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tak</w:t>
            </w:r>
          </w:p>
          <w:p w14:paraId="53FAD142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83AA904" w14:textId="77777777" w:rsidR="0042722C" w:rsidRPr="00F83BC8" w:rsidRDefault="0001661A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22C"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42722C" w:rsidRPr="00C403F4" w14:paraId="2BE154D1" w14:textId="77777777" w:rsidTr="00C60F22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C560A99" w14:textId="77777777" w:rsidR="0042722C" w:rsidRPr="00F83BC8" w:rsidRDefault="0042722C" w:rsidP="002F4B11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  <w:r w:rsidR="002F4B11">
              <w:t xml:space="preserve"> </w:t>
            </w:r>
            <w:r w:rsidR="002F4B11" w:rsidRPr="002F4B1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projektowane rozporządzenie jest neutralne w kontekście otoczenia</w:t>
            </w:r>
            <w:r w:rsidR="002F4B1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F4B11" w:rsidRPr="002F4B1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regulacyjnego funkcjonowania rynku </w:t>
            </w:r>
            <w:r w:rsidR="002F4B1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danych.</w:t>
            </w:r>
          </w:p>
        </w:tc>
      </w:tr>
      <w:tr w:rsidR="0042722C" w:rsidRPr="00C403F4" w14:paraId="02954EBE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7FA978" w14:textId="77777777" w:rsidR="0042722C" w:rsidRPr="00F83BC8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rynek pracy</w:t>
            </w:r>
          </w:p>
        </w:tc>
      </w:tr>
      <w:tr w:rsidR="0042722C" w:rsidRPr="00C403F4" w14:paraId="09843925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4FA8319" w14:textId="77777777" w:rsidR="0042722C" w:rsidRPr="00F83BC8" w:rsidRDefault="00DA560C" w:rsidP="00765CBD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Nie dotyczy.</w:t>
            </w:r>
            <w:r w:rsidR="007D6990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42722C" w:rsidRPr="00C403F4" w14:paraId="425AC205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90E981" w14:textId="77777777" w:rsidR="0042722C" w:rsidRPr="00F83BC8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42722C" w:rsidRPr="00C403F4" w14:paraId="3B8DA993" w14:textId="77777777" w:rsidTr="00C60F22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ED21096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BD30B01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7A5A0E42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6BE20591" w14:textId="77777777" w:rsidR="0042722C" w:rsidRPr="00F83BC8" w:rsidRDefault="004E0605" w:rsidP="007A7698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2722C" w:rsidRPr="00F83BC8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8FC74CD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6819B051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3C8DF715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  <w:p w14:paraId="2D4CAA6F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1333AF0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5569087D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397794A1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2D659A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F83BC8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42722C" w:rsidRPr="00C403F4" w14:paraId="7A4CCB12" w14:textId="77777777" w:rsidTr="00C60F22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4AF3203" w14:textId="77777777" w:rsidR="0042722C" w:rsidRPr="00F83BC8" w:rsidRDefault="0042722C" w:rsidP="0042722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01E6D1E" w14:textId="18F676EB" w:rsidR="0042722C" w:rsidRPr="00F83BC8" w:rsidRDefault="00871E17" w:rsidP="00316C8B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71E1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Projektowane przepisy umożliwią wydatkowanie środków przewidzianych w ramach działania 2.3 w zgodzie z przepisami o pomocy publicznej i pomocy </w:t>
            </w:r>
            <w:r w:rsidRPr="00871E17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de minimis</w:t>
            </w:r>
            <w:r w:rsidR="00C2307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Działan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ie to </w:t>
            </w:r>
            <w:r w:rsidR="00CD5B3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stanowi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interwencję w obszarze informatyzacj</w:t>
            </w:r>
            <w:r w:rsidR="007D699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i, bowiem dotyczy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cyfrow</w:t>
            </w:r>
            <w:r w:rsidR="007D699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ej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dostępnoś</w:t>
            </w:r>
            <w:r w:rsidR="007D699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ci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informacji sektora publicznego oraz c</w:t>
            </w:r>
            <w:r w:rsidRPr="00871E1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yfrow</w:t>
            </w:r>
            <w:r w:rsidR="007D699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ej </w:t>
            </w:r>
            <w:r w:rsidRPr="00871E1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dostępnoś</w:t>
            </w:r>
            <w:r w:rsidR="007D699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ci</w:t>
            </w:r>
            <w:r w:rsidRPr="00871E1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 ponowne</w:t>
            </w:r>
            <w:r w:rsidR="007D699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go</w:t>
            </w:r>
            <w:r w:rsidRPr="00871E1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wykorzystani</w:t>
            </w:r>
            <w:r w:rsidR="00350A5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</w:t>
            </w:r>
            <w:r w:rsidRPr="00871E1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informacji przez przedsiębiorstwa</w:t>
            </w:r>
            <w:r w:rsidR="00316C8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42722C" w:rsidRPr="00C403F4" w14:paraId="71CC73D5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177410" w14:textId="77777777" w:rsidR="0042722C" w:rsidRPr="00F83BC8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42722C" w:rsidRPr="00C403F4" w14:paraId="3CE64E53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B84B37B" w14:textId="15ECF07D" w:rsidR="0042722C" w:rsidRPr="00F83BC8" w:rsidRDefault="004E0605" w:rsidP="00765CBD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4E0605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Rozporządzenie </w:t>
            </w:r>
            <w:r w:rsidR="00156A7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jest aktem wykonawczym</w:t>
            </w:r>
            <w:r w:rsidR="00B75E4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, realizacja postanowień </w:t>
            </w:r>
            <w:r w:rsidR="00B75E44" w:rsidRPr="00B75E44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rozporządzenia nastąpi z dniem jego wejścia w życie.</w:t>
            </w:r>
          </w:p>
        </w:tc>
      </w:tr>
      <w:tr w:rsidR="0042722C" w:rsidRPr="00C403F4" w14:paraId="3DF24CD6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A579B6B" w14:textId="77777777" w:rsidR="0042722C" w:rsidRPr="00F83BC8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83BC8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42722C" w:rsidRPr="00C403F4" w14:paraId="5C0CAF31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7A75FA" w14:textId="77777777" w:rsidR="0042722C" w:rsidRPr="00F83BC8" w:rsidRDefault="00835475" w:rsidP="00765CBD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Nie przewiduje się ewaluacji. </w:t>
            </w:r>
          </w:p>
        </w:tc>
      </w:tr>
      <w:tr w:rsidR="0042722C" w:rsidRPr="00C403F4" w14:paraId="263FA9DD" w14:textId="77777777" w:rsidTr="00C60F22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A9CD8E" w14:textId="77777777" w:rsidR="0042722C" w:rsidRPr="00F83BC8" w:rsidRDefault="0042722C" w:rsidP="007E15F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F83BC8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F83BC8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F83BC8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</w:p>
        </w:tc>
      </w:tr>
      <w:tr w:rsidR="0042722C" w:rsidRPr="0042722C" w14:paraId="67C65ACD" w14:textId="77777777" w:rsidTr="00F54972">
        <w:trPr>
          <w:gridAfter w:val="1"/>
          <w:wAfter w:w="10" w:type="dxa"/>
          <w:trHeight w:val="67"/>
        </w:trPr>
        <w:tc>
          <w:tcPr>
            <w:tcW w:w="10937" w:type="dxa"/>
            <w:gridSpan w:val="29"/>
            <w:shd w:val="clear" w:color="auto" w:fill="FFFFFF"/>
          </w:tcPr>
          <w:p w14:paraId="73643EB3" w14:textId="77777777" w:rsidR="0042722C" w:rsidRPr="00F54972" w:rsidRDefault="00F54972" w:rsidP="00F54972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5497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załączników.</w:t>
            </w:r>
          </w:p>
        </w:tc>
      </w:tr>
    </w:tbl>
    <w:p w14:paraId="3F965B64" w14:textId="77777777" w:rsidR="00261A16" w:rsidRPr="00B2523F" w:rsidRDefault="00261A16" w:rsidP="00B2523F">
      <w:pPr>
        <w:keepNext/>
        <w:widowControl/>
        <w:autoSpaceDE/>
        <w:autoSpaceDN/>
        <w:adjustRightInd/>
        <w:spacing w:before="240" w:after="60" w:line="240" w:lineRule="auto"/>
        <w:ind w:right="414"/>
        <w:outlineLvl w:val="0"/>
        <w:rPr>
          <w:rFonts w:eastAsia="Times New Roman"/>
          <w:b/>
          <w:bCs/>
          <w:kern w:val="32"/>
          <w:sz w:val="20"/>
        </w:rPr>
      </w:pPr>
    </w:p>
    <w:sectPr w:rsidR="00261A16" w:rsidRPr="00B2523F" w:rsidSect="00C60F22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0F23" w14:textId="77777777" w:rsidR="002D659A" w:rsidRDefault="002D659A">
      <w:r>
        <w:separator/>
      </w:r>
    </w:p>
  </w:endnote>
  <w:endnote w:type="continuationSeparator" w:id="0">
    <w:p w14:paraId="14555D3B" w14:textId="77777777" w:rsidR="002D659A" w:rsidRDefault="002D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D2EB" w14:textId="77777777" w:rsidR="002D659A" w:rsidRDefault="002D659A">
      <w:r>
        <w:separator/>
      </w:r>
    </w:p>
  </w:footnote>
  <w:footnote w:type="continuationSeparator" w:id="0">
    <w:p w14:paraId="334A79C9" w14:textId="77777777" w:rsidR="002D659A" w:rsidRDefault="002D659A">
      <w:r>
        <w:continuationSeparator/>
      </w:r>
    </w:p>
  </w:footnote>
  <w:footnote w:id="1">
    <w:p w14:paraId="10F270D4" w14:textId="77777777" w:rsidR="00D84E69" w:rsidRPr="00A25596" w:rsidRDefault="00D84E69" w:rsidP="006067A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244A1">
        <w:t xml:space="preserve">Minister </w:t>
      </w:r>
      <w:r>
        <w:t>C</w:t>
      </w:r>
      <w:r w:rsidRPr="008244A1">
        <w:t>yfryzacji kieruje działem administracji rządowej – informatyzacja, na podstawie § 1 ust. 2 rozporządzenia Prezesa Rady Ministrów z dnia 26 kwietnia 2023 r. w sprawie szczegółowego zakresu działania Ministra Cyfryzacji (Dz. U. poz. 792).</w:t>
      </w:r>
    </w:p>
  </w:footnote>
  <w:footnote w:id="2">
    <w:p w14:paraId="3FDF3A1A" w14:textId="236E782E" w:rsidR="00D84E69" w:rsidRPr="001C4884" w:rsidRDefault="00D84E69" w:rsidP="00FD3B6A">
      <w:pPr>
        <w:pStyle w:val="ODNONIKtreodnonika"/>
        <w:rPr>
          <w:rStyle w:val="IGindeksgrny"/>
          <w:vertAlign w:val="baseline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Program </w:t>
      </w:r>
      <w:r w:rsidRPr="006F379A">
        <w:t>Fundusze Europejskie na Rozwój Cyfrowy 2021-2027</w:t>
      </w:r>
      <w:r>
        <w:t xml:space="preserve"> został zatwierdzony</w:t>
      </w:r>
      <w:r w:rsidRPr="00FD3B6A">
        <w:t xml:space="preserve"> decyzją wykonawczą Komisji z dnia 18 listopada 2022 r.</w:t>
      </w:r>
      <w:r>
        <w:t xml:space="preserve"> zatwierdzającą</w:t>
      </w:r>
      <w:r w:rsidRPr="00FD3B6A">
        <w:t xml:space="preserve"> program „Fundusze Europejskie na Rozwój Cyfrowy 2021</w:t>
      </w:r>
      <w:r>
        <w:t>–</w:t>
      </w:r>
      <w:r w:rsidRPr="00FD3B6A">
        <w:t>2027” do wsparcia z Europejskiego Funduszu Rozwoju Regionalnego w ramach celu „Inwestycje na rzecz zatrudnienia i wzrostu” w Polsce</w:t>
      </w:r>
      <w:r>
        <w:t xml:space="preserve">, </w:t>
      </w:r>
      <w:r w:rsidRPr="00FD3B6A">
        <w:t>CCI 2021PL16RFPR002</w:t>
      </w:r>
      <w:r>
        <w:t xml:space="preserve">, </w:t>
      </w:r>
      <w:r w:rsidRPr="00FD3B6A">
        <w:t>C(2022) 8210 final</w:t>
      </w:r>
      <w:r>
        <w:t>.</w:t>
      </w:r>
    </w:p>
  </w:footnote>
  <w:footnote w:id="3">
    <w:p w14:paraId="71C4BD0D" w14:textId="4426B8DF" w:rsidR="00D84E69" w:rsidRPr="001C4884" w:rsidRDefault="00D84E69" w:rsidP="001C4884">
      <w:pPr>
        <w:pStyle w:val="ODNONIKtreodnonika"/>
      </w:pPr>
      <w:r>
        <w:rPr>
          <w:rStyle w:val="Odwoanieprzypisudolnego"/>
        </w:rPr>
        <w:footnoteRef/>
      </w:r>
      <w:r w:rsidRPr="001C4884">
        <w:rPr>
          <w:rStyle w:val="IGindeksgrny"/>
        </w:rPr>
        <w:t>)</w:t>
      </w:r>
      <w:r>
        <w:t xml:space="preserve"> </w:t>
      </w:r>
      <w:r>
        <w:tab/>
      </w:r>
      <w:r w:rsidRPr="001C4884">
        <w:t xml:space="preserve">Zmiany wymienionego rozporządzenia zostały ogłoszone w </w:t>
      </w:r>
      <w:r w:rsidRPr="0095127B">
        <w:t>Dz. Urz. UE L 329 z 15.12.2015, str. 28, Dz. Urz. UE L 149 z 07.06.2016, str. 10, Dz. Urz. UE L 156 z 20.06.2017, str. 1, Dz. Urz. UE L 236 z 14.09.2017, str.</w:t>
      </w:r>
      <w:r w:rsidRPr="000C1846">
        <w:t xml:space="preserve"> </w:t>
      </w:r>
      <w:r w:rsidRPr="0095127B">
        <w:t>28, Dz. Urz. UE L 26 z 31.01.2018, str. 53, Dz. Urz. UE L 215 z 07.07.2</w:t>
      </w:r>
      <w:r>
        <w:t>020, str. 3, Dz. Urz. UE L 89 z </w:t>
      </w:r>
      <w:r w:rsidRPr="0095127B">
        <w:t>16.03.2021, str. 1, Dz. Urz. UE L 270 z 29.07.2021, str. 39 oraz Dz. Urz. UE L 119 z 05.05.2023, str. 159</w:t>
      </w:r>
      <w:r>
        <w:t xml:space="preserve"> oraz </w:t>
      </w:r>
      <w:r w:rsidRPr="00C00487">
        <w:t>Dz. Urz. UE L 167 z 30.06.2023, str. 1</w:t>
      </w:r>
      <w:r w:rsidRPr="0095127B">
        <w:t>.</w:t>
      </w:r>
    </w:p>
  </w:footnote>
  <w:footnote w:id="4">
    <w:p w14:paraId="2395921D" w14:textId="2434A149" w:rsidR="00D84E69" w:rsidRPr="00D469A7" w:rsidRDefault="00D84E69" w:rsidP="00D469A7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469A7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469A7">
        <w:rPr>
          <w:rStyle w:val="IGindeksgrny"/>
          <w:rFonts w:ascii="Times New Roman" w:hAnsi="Times New Roman"/>
          <w:sz w:val="20"/>
          <w:szCs w:val="20"/>
        </w:rPr>
        <w:t xml:space="preserve">) </w:t>
      </w:r>
      <w:r w:rsidRPr="00D469A7">
        <w:rPr>
          <w:rStyle w:val="IGindeksgrny"/>
          <w:rFonts w:ascii="Times New Roman" w:hAnsi="Times New Roman"/>
          <w:sz w:val="20"/>
          <w:szCs w:val="20"/>
          <w:vertAlign w:val="baseline"/>
        </w:rPr>
        <w:t>„Przedsiębiorstwo” w rozumieniu Zawiadomienia Komisji w sprawie pojęcia pomocy państwa w rozumieniu art. 107 ust. 1 Traktatu o funkcjonowaniu Unii Europejskiej (</w:t>
      </w:r>
      <w:hyperlink r:id="rId1" w:anchor="ntc5-C_2016262PL.01000101-E0005" w:history="1">
        <w:r w:rsidRPr="00D469A7">
          <w:rPr>
            <w:rStyle w:val="Hipercze"/>
            <w:rFonts w:ascii="Times New Roman" w:hAnsi="Times New Roman"/>
            <w:sz w:val="20"/>
            <w:szCs w:val="20"/>
          </w:rPr>
          <w:t>C/2016/2946</w:t>
        </w:r>
      </w:hyperlink>
      <w:r w:rsidRPr="00D469A7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) </w:t>
      </w:r>
      <w:r w:rsidRPr="006E5422">
        <w:rPr>
          <w:rStyle w:val="IGindeksgrny"/>
          <w:rFonts w:ascii="Times New Roman" w:hAnsi="Times New Roman"/>
          <w:sz w:val="20"/>
          <w:szCs w:val="20"/>
          <w:vertAlign w:val="baseline"/>
        </w:rPr>
        <w:t>–</w:t>
      </w:r>
      <w:r w:rsidRPr="00D469A7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 podmiot prowadzący działalność gospodarczą, bez względu na jego status prawny i sposób jego finansowania.</w:t>
      </w:r>
    </w:p>
  </w:footnote>
  <w:footnote w:id="5">
    <w:p w14:paraId="3C1315B6" w14:textId="2C23B97D" w:rsidR="00D84E69" w:rsidRPr="007958D9" w:rsidRDefault="00D84E69" w:rsidP="00D469A7">
      <w:pPr>
        <w:pStyle w:val="Tekstprzypisudolnego"/>
        <w:spacing w:line="240" w:lineRule="auto"/>
        <w:jc w:val="both"/>
        <w:rPr>
          <w:sz w:val="20"/>
          <w:szCs w:val="20"/>
        </w:rPr>
      </w:pPr>
      <w:r w:rsidRPr="00D469A7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469A7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D469A7">
        <w:rPr>
          <w:rFonts w:ascii="Times New Roman" w:hAnsi="Times New Roman"/>
          <w:sz w:val="20"/>
          <w:szCs w:val="20"/>
        </w:rPr>
        <w:t>Wskazanie liczby jest niemożliwe ponieważ zakwalifikowanie określonego podmiotu jako „przedsiębiorstwa” zależy całkowicie od charakteru jego działalności. Ta ogólna zasa</w:t>
      </w:r>
      <w:r>
        <w:rPr>
          <w:rFonts w:ascii="Times New Roman" w:hAnsi="Times New Roman"/>
          <w:sz w:val="20"/>
          <w:szCs w:val="20"/>
        </w:rPr>
        <w:t xml:space="preserve">da ma trzy ważne konsekwencje. </w:t>
      </w:r>
      <w:r w:rsidRPr="00D469A7">
        <w:rPr>
          <w:rFonts w:ascii="Times New Roman" w:hAnsi="Times New Roman"/>
          <w:sz w:val="20"/>
          <w:szCs w:val="20"/>
        </w:rPr>
        <w:t>Po pierwsze, status podmiotu na podstawie prawa krajowego nie jest decydujący. Na przykład podmiot zaklasyfikowany zgodnie z prawem krajowym jako stowarzyszenie lub klub sportowy może jednak zostać uznany za przedsiębiorstwo w rozumieniu art. 107 ust. 1 Traktatu. Ta sama zasada ma zastosowanie do podmiotu, który formalnie jest częścią administracji publicznej. Jedynym istotnym kryterium jest fakt, czy podmiot ten prowadzi działalność gospodarczą. Po drugie, o stosowaniu zasad pomocy państwa nie decyduje to, czy dany podmiot utworzono po to, aby przynosił zyski. Podmioty nienastawione na zysk również mogą oferować na rynku towary i usługi. Po trzecie, klasyfikacja podmiotu jako przedsiębiorstwa zawsze odnosi się do konkretnej działalności. Podmiot prowadzący jednocześnie działalność gospodarczą i działalność o charakterze niegospodarczym powinien być traktowany jako przedsiębiorstwo jedynie w odniesieniu do działalności gospodarczej (Zawiadomienie Komisji w sprawie pojęcia pomocy państwa w rozumieniu art. 107 ust</w:t>
      </w:r>
      <w:r>
        <w:rPr>
          <w:rFonts w:ascii="Times New Roman" w:hAnsi="Times New Roman"/>
          <w:sz w:val="20"/>
          <w:szCs w:val="20"/>
        </w:rPr>
        <w:t>. 1 Traktatu o </w:t>
      </w:r>
      <w:r w:rsidRPr="00D469A7"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unkcjonowaniu Unii Europejskiej, </w:t>
      </w:r>
      <w:hyperlink r:id="rId2" w:anchor="ntc5-C_2016262PL.01000101-E0005" w:history="1">
        <w:r w:rsidRPr="00D469A7">
          <w:rPr>
            <w:rStyle w:val="Hipercze"/>
            <w:rFonts w:ascii="Times New Roman" w:hAnsi="Times New Roman"/>
            <w:sz w:val="20"/>
            <w:szCs w:val="20"/>
          </w:rPr>
          <w:t>C/2016/2946</w:t>
        </w:r>
      </w:hyperlink>
      <w:r>
        <w:rPr>
          <w:rFonts w:ascii="Times New Roman" w:hAnsi="Times New Roman"/>
          <w:sz w:val="20"/>
          <w:szCs w:val="20"/>
        </w:rPr>
        <w:t>)</w:t>
      </w:r>
      <w:r w:rsidRPr="00D469A7">
        <w:rPr>
          <w:rFonts w:ascii="Times New Roman" w:hAnsi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98BD" w14:textId="4332FCE9" w:rsidR="00D84E69" w:rsidRPr="00B371CC" w:rsidRDefault="00D84E6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639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8634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7761"/>
    <w:multiLevelType w:val="hybridMultilevel"/>
    <w:tmpl w:val="AEA230B6"/>
    <w:lvl w:ilvl="0" w:tplc="163C57B8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7364"/>
    <w:multiLevelType w:val="hybridMultilevel"/>
    <w:tmpl w:val="07CC9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1822"/>
    <w:multiLevelType w:val="hybridMultilevel"/>
    <w:tmpl w:val="14429A04"/>
    <w:lvl w:ilvl="0" w:tplc="22FC9E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B67F54"/>
    <w:multiLevelType w:val="hybridMultilevel"/>
    <w:tmpl w:val="3FB2D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45B4"/>
    <w:multiLevelType w:val="hybridMultilevel"/>
    <w:tmpl w:val="827C7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6F33"/>
    <w:multiLevelType w:val="hybridMultilevel"/>
    <w:tmpl w:val="A0AE9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B5460"/>
    <w:multiLevelType w:val="hybridMultilevel"/>
    <w:tmpl w:val="DE30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6AC6"/>
    <w:multiLevelType w:val="hybridMultilevel"/>
    <w:tmpl w:val="EFB4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3F95"/>
    <w:multiLevelType w:val="hybridMultilevel"/>
    <w:tmpl w:val="E2F8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815405A2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56C36"/>
    <w:multiLevelType w:val="hybridMultilevel"/>
    <w:tmpl w:val="50228B5C"/>
    <w:lvl w:ilvl="0" w:tplc="22FC9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F74"/>
    <w:multiLevelType w:val="hybridMultilevel"/>
    <w:tmpl w:val="CAC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F70EE"/>
    <w:multiLevelType w:val="hybridMultilevel"/>
    <w:tmpl w:val="5972D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1B95"/>
    <w:multiLevelType w:val="hybridMultilevel"/>
    <w:tmpl w:val="9B0478C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862657E"/>
    <w:multiLevelType w:val="hybridMultilevel"/>
    <w:tmpl w:val="DE30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B497D"/>
    <w:multiLevelType w:val="hybridMultilevel"/>
    <w:tmpl w:val="44362476"/>
    <w:lvl w:ilvl="0" w:tplc="C2F6F8FA">
      <w:start w:val="1"/>
      <w:numFmt w:val="decimal"/>
      <w:lvlText w:val="%1)"/>
      <w:lvlJc w:val="left"/>
      <w:pPr>
        <w:ind w:left="380" w:hanging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A0549"/>
    <w:multiLevelType w:val="hybridMultilevel"/>
    <w:tmpl w:val="D0B8A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8D4"/>
    <w:multiLevelType w:val="hybridMultilevel"/>
    <w:tmpl w:val="CAC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467B"/>
    <w:multiLevelType w:val="hybridMultilevel"/>
    <w:tmpl w:val="4FCA5FA4"/>
    <w:lvl w:ilvl="0" w:tplc="04150013">
      <w:start w:val="1"/>
      <w:numFmt w:val="upperRoman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22C5FEF"/>
    <w:multiLevelType w:val="hybridMultilevel"/>
    <w:tmpl w:val="5954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24EB5"/>
    <w:multiLevelType w:val="hybridMultilevel"/>
    <w:tmpl w:val="0E26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B5047"/>
    <w:multiLevelType w:val="hybridMultilevel"/>
    <w:tmpl w:val="CFEAF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2"/>
  </w:num>
  <w:num w:numId="8">
    <w:abstractNumId w:val="14"/>
  </w:num>
  <w:num w:numId="9">
    <w:abstractNumId w:val="5"/>
  </w:num>
  <w:num w:numId="10">
    <w:abstractNumId w:val="15"/>
  </w:num>
  <w:num w:numId="11">
    <w:abstractNumId w:val="18"/>
  </w:num>
  <w:num w:numId="12">
    <w:abstractNumId w:val="11"/>
  </w:num>
  <w:num w:numId="13">
    <w:abstractNumId w:val="8"/>
  </w:num>
  <w:num w:numId="14">
    <w:abstractNumId w:val="9"/>
  </w:num>
  <w:num w:numId="15">
    <w:abstractNumId w:val="21"/>
  </w:num>
  <w:num w:numId="16">
    <w:abstractNumId w:val="3"/>
  </w:num>
  <w:num w:numId="17">
    <w:abstractNumId w:val="20"/>
  </w:num>
  <w:num w:numId="18">
    <w:abstractNumId w:val="7"/>
  </w:num>
  <w:num w:numId="19">
    <w:abstractNumId w:val="12"/>
  </w:num>
  <w:num w:numId="20">
    <w:abstractNumId w:val="13"/>
  </w:num>
  <w:num w:numId="21">
    <w:abstractNumId w:val="16"/>
  </w:num>
  <w:num w:numId="22">
    <w:abstractNumId w:val="1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37"/>
    <w:rsid w:val="000012DA"/>
    <w:rsid w:val="00001D7E"/>
    <w:rsid w:val="00001E0A"/>
    <w:rsid w:val="00001EBE"/>
    <w:rsid w:val="0000246E"/>
    <w:rsid w:val="00003862"/>
    <w:rsid w:val="00003FA2"/>
    <w:rsid w:val="0000662E"/>
    <w:rsid w:val="00006F9A"/>
    <w:rsid w:val="00006FB4"/>
    <w:rsid w:val="000115E9"/>
    <w:rsid w:val="00011669"/>
    <w:rsid w:val="00012A35"/>
    <w:rsid w:val="00016099"/>
    <w:rsid w:val="0001637F"/>
    <w:rsid w:val="0001661A"/>
    <w:rsid w:val="000171ED"/>
    <w:rsid w:val="00017DC2"/>
    <w:rsid w:val="00017EEB"/>
    <w:rsid w:val="00021522"/>
    <w:rsid w:val="00023471"/>
    <w:rsid w:val="00023F13"/>
    <w:rsid w:val="00024726"/>
    <w:rsid w:val="00027747"/>
    <w:rsid w:val="000301BF"/>
    <w:rsid w:val="00030634"/>
    <w:rsid w:val="000319C1"/>
    <w:rsid w:val="00031A8B"/>
    <w:rsid w:val="00031BCA"/>
    <w:rsid w:val="000330FA"/>
    <w:rsid w:val="00033605"/>
    <w:rsid w:val="0003362F"/>
    <w:rsid w:val="0003692F"/>
    <w:rsid w:val="00036B63"/>
    <w:rsid w:val="00037E1A"/>
    <w:rsid w:val="00040B3E"/>
    <w:rsid w:val="0004108F"/>
    <w:rsid w:val="00041B39"/>
    <w:rsid w:val="00043495"/>
    <w:rsid w:val="00043A20"/>
    <w:rsid w:val="00046A75"/>
    <w:rsid w:val="00046E52"/>
    <w:rsid w:val="00047312"/>
    <w:rsid w:val="00047CFA"/>
    <w:rsid w:val="000508BD"/>
    <w:rsid w:val="000508ED"/>
    <w:rsid w:val="00050FB2"/>
    <w:rsid w:val="000510A3"/>
    <w:rsid w:val="000517AB"/>
    <w:rsid w:val="0005339C"/>
    <w:rsid w:val="000540CD"/>
    <w:rsid w:val="0005571B"/>
    <w:rsid w:val="00055C0C"/>
    <w:rsid w:val="00057AB3"/>
    <w:rsid w:val="00060076"/>
    <w:rsid w:val="000600F8"/>
    <w:rsid w:val="00060432"/>
    <w:rsid w:val="00060752"/>
    <w:rsid w:val="00060D87"/>
    <w:rsid w:val="000615A5"/>
    <w:rsid w:val="00062C14"/>
    <w:rsid w:val="00063A45"/>
    <w:rsid w:val="00064E4C"/>
    <w:rsid w:val="00065A21"/>
    <w:rsid w:val="00066508"/>
    <w:rsid w:val="00066901"/>
    <w:rsid w:val="000672BE"/>
    <w:rsid w:val="00070E7F"/>
    <w:rsid w:val="00070F22"/>
    <w:rsid w:val="00071BEE"/>
    <w:rsid w:val="000735A7"/>
    <w:rsid w:val="000736CD"/>
    <w:rsid w:val="0007533B"/>
    <w:rsid w:val="0007545D"/>
    <w:rsid w:val="000760BF"/>
    <w:rsid w:val="0007613E"/>
    <w:rsid w:val="00076BFC"/>
    <w:rsid w:val="00076CE7"/>
    <w:rsid w:val="000800D6"/>
    <w:rsid w:val="000814A7"/>
    <w:rsid w:val="00084AFD"/>
    <w:rsid w:val="00084D6D"/>
    <w:rsid w:val="0008557B"/>
    <w:rsid w:val="00085A19"/>
    <w:rsid w:val="00085CE7"/>
    <w:rsid w:val="0008616B"/>
    <w:rsid w:val="000861D0"/>
    <w:rsid w:val="000866AC"/>
    <w:rsid w:val="000868BB"/>
    <w:rsid w:val="00087B77"/>
    <w:rsid w:val="000906EE"/>
    <w:rsid w:val="000910AA"/>
    <w:rsid w:val="00091BA2"/>
    <w:rsid w:val="0009258D"/>
    <w:rsid w:val="000944EF"/>
    <w:rsid w:val="000969FC"/>
    <w:rsid w:val="0009732D"/>
    <w:rsid w:val="000973F0"/>
    <w:rsid w:val="000A0C79"/>
    <w:rsid w:val="000A1296"/>
    <w:rsid w:val="000A1C27"/>
    <w:rsid w:val="000A1DAD"/>
    <w:rsid w:val="000A2649"/>
    <w:rsid w:val="000A2F1C"/>
    <w:rsid w:val="000A323B"/>
    <w:rsid w:val="000A3627"/>
    <w:rsid w:val="000A3BC7"/>
    <w:rsid w:val="000A6D3B"/>
    <w:rsid w:val="000B07B4"/>
    <w:rsid w:val="000B1C2F"/>
    <w:rsid w:val="000B298D"/>
    <w:rsid w:val="000B3BD5"/>
    <w:rsid w:val="000B5B2D"/>
    <w:rsid w:val="000B5DCE"/>
    <w:rsid w:val="000B70E0"/>
    <w:rsid w:val="000C05BA"/>
    <w:rsid w:val="000C0E8F"/>
    <w:rsid w:val="000C1846"/>
    <w:rsid w:val="000C1C6D"/>
    <w:rsid w:val="000C278B"/>
    <w:rsid w:val="000C40AC"/>
    <w:rsid w:val="000C4BC4"/>
    <w:rsid w:val="000C78A2"/>
    <w:rsid w:val="000D0110"/>
    <w:rsid w:val="000D16A3"/>
    <w:rsid w:val="000D1C3B"/>
    <w:rsid w:val="000D1F1E"/>
    <w:rsid w:val="000D2468"/>
    <w:rsid w:val="000D318A"/>
    <w:rsid w:val="000D3252"/>
    <w:rsid w:val="000D45EE"/>
    <w:rsid w:val="000D6173"/>
    <w:rsid w:val="000D6F83"/>
    <w:rsid w:val="000D7B6A"/>
    <w:rsid w:val="000E25CC"/>
    <w:rsid w:val="000E286F"/>
    <w:rsid w:val="000E3694"/>
    <w:rsid w:val="000E490F"/>
    <w:rsid w:val="000E4AFE"/>
    <w:rsid w:val="000E6241"/>
    <w:rsid w:val="000E77CC"/>
    <w:rsid w:val="000F1AF4"/>
    <w:rsid w:val="000F2BE3"/>
    <w:rsid w:val="000F3D0D"/>
    <w:rsid w:val="000F5A88"/>
    <w:rsid w:val="000F6E1D"/>
    <w:rsid w:val="000F6ED4"/>
    <w:rsid w:val="000F7A6E"/>
    <w:rsid w:val="001007F4"/>
    <w:rsid w:val="00103D1F"/>
    <w:rsid w:val="001042BA"/>
    <w:rsid w:val="00106281"/>
    <w:rsid w:val="00106D03"/>
    <w:rsid w:val="00110465"/>
    <w:rsid w:val="00110628"/>
    <w:rsid w:val="00111F83"/>
    <w:rsid w:val="0011245A"/>
    <w:rsid w:val="00113211"/>
    <w:rsid w:val="0011493E"/>
    <w:rsid w:val="00114CE5"/>
    <w:rsid w:val="00115B72"/>
    <w:rsid w:val="001176FB"/>
    <w:rsid w:val="001200AD"/>
    <w:rsid w:val="001209EC"/>
    <w:rsid w:val="00120A9E"/>
    <w:rsid w:val="00122443"/>
    <w:rsid w:val="00122BFC"/>
    <w:rsid w:val="001236E5"/>
    <w:rsid w:val="00123736"/>
    <w:rsid w:val="001257F2"/>
    <w:rsid w:val="00125A9C"/>
    <w:rsid w:val="001270A2"/>
    <w:rsid w:val="00131237"/>
    <w:rsid w:val="001329AC"/>
    <w:rsid w:val="00132C54"/>
    <w:rsid w:val="001345C0"/>
    <w:rsid w:val="001347DE"/>
    <w:rsid w:val="00134CA0"/>
    <w:rsid w:val="0014026F"/>
    <w:rsid w:val="0014191F"/>
    <w:rsid w:val="0014438D"/>
    <w:rsid w:val="00146F61"/>
    <w:rsid w:val="00147A47"/>
    <w:rsid w:val="00147AA1"/>
    <w:rsid w:val="001520CF"/>
    <w:rsid w:val="0015257E"/>
    <w:rsid w:val="00154A94"/>
    <w:rsid w:val="001561C9"/>
    <w:rsid w:val="0015667C"/>
    <w:rsid w:val="00156A72"/>
    <w:rsid w:val="00157110"/>
    <w:rsid w:val="0015742A"/>
    <w:rsid w:val="00157816"/>
    <w:rsid w:val="00157DA1"/>
    <w:rsid w:val="00160BE1"/>
    <w:rsid w:val="0016262A"/>
    <w:rsid w:val="00163147"/>
    <w:rsid w:val="00164970"/>
    <w:rsid w:val="00164C57"/>
    <w:rsid w:val="00164C9D"/>
    <w:rsid w:val="00166851"/>
    <w:rsid w:val="00172F7A"/>
    <w:rsid w:val="00173150"/>
    <w:rsid w:val="00173390"/>
    <w:rsid w:val="001736F0"/>
    <w:rsid w:val="00173BB3"/>
    <w:rsid w:val="001740D0"/>
    <w:rsid w:val="00174F2C"/>
    <w:rsid w:val="0017728F"/>
    <w:rsid w:val="00177F38"/>
    <w:rsid w:val="00180150"/>
    <w:rsid w:val="00180897"/>
    <w:rsid w:val="00180F2A"/>
    <w:rsid w:val="00182548"/>
    <w:rsid w:val="00184AB1"/>
    <w:rsid w:val="00184B91"/>
    <w:rsid w:val="00184D4A"/>
    <w:rsid w:val="00186EC1"/>
    <w:rsid w:val="00186EF9"/>
    <w:rsid w:val="00191E1F"/>
    <w:rsid w:val="0019473B"/>
    <w:rsid w:val="001952B1"/>
    <w:rsid w:val="00196782"/>
    <w:rsid w:val="00196E39"/>
    <w:rsid w:val="00197649"/>
    <w:rsid w:val="001A01FB"/>
    <w:rsid w:val="001A10E9"/>
    <w:rsid w:val="001A12D1"/>
    <w:rsid w:val="001A183D"/>
    <w:rsid w:val="001A2B65"/>
    <w:rsid w:val="001A3850"/>
    <w:rsid w:val="001A3CD3"/>
    <w:rsid w:val="001A46F7"/>
    <w:rsid w:val="001A5BEF"/>
    <w:rsid w:val="001A7F15"/>
    <w:rsid w:val="001B0049"/>
    <w:rsid w:val="001B3073"/>
    <w:rsid w:val="001B342E"/>
    <w:rsid w:val="001B3DB5"/>
    <w:rsid w:val="001B45F9"/>
    <w:rsid w:val="001B5305"/>
    <w:rsid w:val="001B7D64"/>
    <w:rsid w:val="001C1832"/>
    <w:rsid w:val="001C188C"/>
    <w:rsid w:val="001C4884"/>
    <w:rsid w:val="001C4FBE"/>
    <w:rsid w:val="001D1783"/>
    <w:rsid w:val="001D301C"/>
    <w:rsid w:val="001D53CD"/>
    <w:rsid w:val="001D55A3"/>
    <w:rsid w:val="001D5AF5"/>
    <w:rsid w:val="001D6548"/>
    <w:rsid w:val="001D6D07"/>
    <w:rsid w:val="001E0779"/>
    <w:rsid w:val="001E1E73"/>
    <w:rsid w:val="001E4E0C"/>
    <w:rsid w:val="001E526D"/>
    <w:rsid w:val="001E5655"/>
    <w:rsid w:val="001E5D6A"/>
    <w:rsid w:val="001E62E8"/>
    <w:rsid w:val="001F1832"/>
    <w:rsid w:val="001F220F"/>
    <w:rsid w:val="001F25B3"/>
    <w:rsid w:val="001F29F6"/>
    <w:rsid w:val="001F4368"/>
    <w:rsid w:val="001F5043"/>
    <w:rsid w:val="001F5462"/>
    <w:rsid w:val="001F6616"/>
    <w:rsid w:val="00202BD4"/>
    <w:rsid w:val="002049EE"/>
    <w:rsid w:val="00204A97"/>
    <w:rsid w:val="00205837"/>
    <w:rsid w:val="00205CBF"/>
    <w:rsid w:val="00207A5B"/>
    <w:rsid w:val="00210192"/>
    <w:rsid w:val="002114EF"/>
    <w:rsid w:val="00212535"/>
    <w:rsid w:val="00213208"/>
    <w:rsid w:val="00213A67"/>
    <w:rsid w:val="00214719"/>
    <w:rsid w:val="00215443"/>
    <w:rsid w:val="002166AD"/>
    <w:rsid w:val="00217871"/>
    <w:rsid w:val="00217991"/>
    <w:rsid w:val="002213B1"/>
    <w:rsid w:val="00221ED8"/>
    <w:rsid w:val="002231EA"/>
    <w:rsid w:val="00223FDF"/>
    <w:rsid w:val="0022494A"/>
    <w:rsid w:val="00224E62"/>
    <w:rsid w:val="002279C0"/>
    <w:rsid w:val="00232DA5"/>
    <w:rsid w:val="0023727E"/>
    <w:rsid w:val="00242081"/>
    <w:rsid w:val="00242856"/>
    <w:rsid w:val="0024352A"/>
    <w:rsid w:val="00243777"/>
    <w:rsid w:val="002441CD"/>
    <w:rsid w:val="00244D32"/>
    <w:rsid w:val="00245054"/>
    <w:rsid w:val="002451C7"/>
    <w:rsid w:val="00245361"/>
    <w:rsid w:val="00245A02"/>
    <w:rsid w:val="002501A3"/>
    <w:rsid w:val="00251439"/>
    <w:rsid w:val="0025166C"/>
    <w:rsid w:val="00253138"/>
    <w:rsid w:val="002550E9"/>
    <w:rsid w:val="002555D4"/>
    <w:rsid w:val="00255E95"/>
    <w:rsid w:val="0025667B"/>
    <w:rsid w:val="002610E6"/>
    <w:rsid w:val="0026120F"/>
    <w:rsid w:val="0026174E"/>
    <w:rsid w:val="00261A16"/>
    <w:rsid w:val="00262954"/>
    <w:rsid w:val="00263522"/>
    <w:rsid w:val="00263FEB"/>
    <w:rsid w:val="00264EC6"/>
    <w:rsid w:val="00265011"/>
    <w:rsid w:val="002653E3"/>
    <w:rsid w:val="00266B6D"/>
    <w:rsid w:val="00267687"/>
    <w:rsid w:val="00271013"/>
    <w:rsid w:val="0027126C"/>
    <w:rsid w:val="00273A67"/>
    <w:rsid w:val="00273FE4"/>
    <w:rsid w:val="002765B4"/>
    <w:rsid w:val="00276A94"/>
    <w:rsid w:val="002803A5"/>
    <w:rsid w:val="002803CF"/>
    <w:rsid w:val="00282200"/>
    <w:rsid w:val="00283607"/>
    <w:rsid w:val="00287E65"/>
    <w:rsid w:val="00291E9D"/>
    <w:rsid w:val="0029405D"/>
    <w:rsid w:val="00294FA6"/>
    <w:rsid w:val="00295A6F"/>
    <w:rsid w:val="002960A3"/>
    <w:rsid w:val="00297C4A"/>
    <w:rsid w:val="002A162B"/>
    <w:rsid w:val="002A20C4"/>
    <w:rsid w:val="002A549D"/>
    <w:rsid w:val="002A570F"/>
    <w:rsid w:val="002A7292"/>
    <w:rsid w:val="002A7358"/>
    <w:rsid w:val="002A7874"/>
    <w:rsid w:val="002A7902"/>
    <w:rsid w:val="002B0F6B"/>
    <w:rsid w:val="002B23B8"/>
    <w:rsid w:val="002B4429"/>
    <w:rsid w:val="002B485A"/>
    <w:rsid w:val="002B65BB"/>
    <w:rsid w:val="002B68A6"/>
    <w:rsid w:val="002B7559"/>
    <w:rsid w:val="002B770F"/>
    <w:rsid w:val="002B7FAF"/>
    <w:rsid w:val="002C0C0F"/>
    <w:rsid w:val="002C2080"/>
    <w:rsid w:val="002C37FD"/>
    <w:rsid w:val="002C6047"/>
    <w:rsid w:val="002C7140"/>
    <w:rsid w:val="002D0C4F"/>
    <w:rsid w:val="002D0F89"/>
    <w:rsid w:val="002D1364"/>
    <w:rsid w:val="002D4237"/>
    <w:rsid w:val="002D4825"/>
    <w:rsid w:val="002D4D30"/>
    <w:rsid w:val="002D5000"/>
    <w:rsid w:val="002D598D"/>
    <w:rsid w:val="002D659A"/>
    <w:rsid w:val="002D7079"/>
    <w:rsid w:val="002D7188"/>
    <w:rsid w:val="002E1DE3"/>
    <w:rsid w:val="002E2AB6"/>
    <w:rsid w:val="002E2E7A"/>
    <w:rsid w:val="002E3F34"/>
    <w:rsid w:val="002E566F"/>
    <w:rsid w:val="002E5AA8"/>
    <w:rsid w:val="002E5F79"/>
    <w:rsid w:val="002E64FA"/>
    <w:rsid w:val="002E722F"/>
    <w:rsid w:val="002F0A00"/>
    <w:rsid w:val="002F0B33"/>
    <w:rsid w:val="002F0CFA"/>
    <w:rsid w:val="002F0F20"/>
    <w:rsid w:val="002F15EF"/>
    <w:rsid w:val="002F19EA"/>
    <w:rsid w:val="002F3D78"/>
    <w:rsid w:val="002F4B11"/>
    <w:rsid w:val="002F557C"/>
    <w:rsid w:val="002F5C0D"/>
    <w:rsid w:val="002F646D"/>
    <w:rsid w:val="002F669F"/>
    <w:rsid w:val="002F7595"/>
    <w:rsid w:val="00301C97"/>
    <w:rsid w:val="003028A6"/>
    <w:rsid w:val="00302ABA"/>
    <w:rsid w:val="003067F3"/>
    <w:rsid w:val="0030783B"/>
    <w:rsid w:val="0031004C"/>
    <w:rsid w:val="003105F6"/>
    <w:rsid w:val="00311297"/>
    <w:rsid w:val="003113BE"/>
    <w:rsid w:val="003122CA"/>
    <w:rsid w:val="00313720"/>
    <w:rsid w:val="003148FD"/>
    <w:rsid w:val="003149CB"/>
    <w:rsid w:val="00314B2C"/>
    <w:rsid w:val="003151FF"/>
    <w:rsid w:val="0031550D"/>
    <w:rsid w:val="00315CA5"/>
    <w:rsid w:val="00316C8B"/>
    <w:rsid w:val="00317F4D"/>
    <w:rsid w:val="003203A8"/>
    <w:rsid w:val="00321080"/>
    <w:rsid w:val="00321208"/>
    <w:rsid w:val="00322D45"/>
    <w:rsid w:val="0032569A"/>
    <w:rsid w:val="00325A1F"/>
    <w:rsid w:val="003268F9"/>
    <w:rsid w:val="00326A1E"/>
    <w:rsid w:val="00330BAF"/>
    <w:rsid w:val="00331C54"/>
    <w:rsid w:val="00332701"/>
    <w:rsid w:val="00333172"/>
    <w:rsid w:val="00334E3A"/>
    <w:rsid w:val="003361DD"/>
    <w:rsid w:val="003379A7"/>
    <w:rsid w:val="00340925"/>
    <w:rsid w:val="003412FF"/>
    <w:rsid w:val="00341A6A"/>
    <w:rsid w:val="00341DE6"/>
    <w:rsid w:val="00345B9C"/>
    <w:rsid w:val="003462C5"/>
    <w:rsid w:val="0035004C"/>
    <w:rsid w:val="00350A50"/>
    <w:rsid w:val="00352DAE"/>
    <w:rsid w:val="003532D9"/>
    <w:rsid w:val="00354EB9"/>
    <w:rsid w:val="00355CD1"/>
    <w:rsid w:val="0035610E"/>
    <w:rsid w:val="00356955"/>
    <w:rsid w:val="003579A0"/>
    <w:rsid w:val="003602AE"/>
    <w:rsid w:val="0036044B"/>
    <w:rsid w:val="00360929"/>
    <w:rsid w:val="003641FA"/>
    <w:rsid w:val="003647D5"/>
    <w:rsid w:val="0036729A"/>
    <w:rsid w:val="00367361"/>
    <w:rsid w:val="003674B0"/>
    <w:rsid w:val="0036766D"/>
    <w:rsid w:val="003710CD"/>
    <w:rsid w:val="0037145C"/>
    <w:rsid w:val="003726F4"/>
    <w:rsid w:val="00372EE8"/>
    <w:rsid w:val="0037374D"/>
    <w:rsid w:val="003739F7"/>
    <w:rsid w:val="00376942"/>
    <w:rsid w:val="0037727C"/>
    <w:rsid w:val="00377E70"/>
    <w:rsid w:val="003806A8"/>
    <w:rsid w:val="00380904"/>
    <w:rsid w:val="003823EE"/>
    <w:rsid w:val="00382960"/>
    <w:rsid w:val="00383561"/>
    <w:rsid w:val="00383581"/>
    <w:rsid w:val="00384373"/>
    <w:rsid w:val="003846F7"/>
    <w:rsid w:val="003851ED"/>
    <w:rsid w:val="003855F2"/>
    <w:rsid w:val="00385905"/>
    <w:rsid w:val="00385B39"/>
    <w:rsid w:val="00386785"/>
    <w:rsid w:val="0039034E"/>
    <w:rsid w:val="00390E89"/>
    <w:rsid w:val="003913FE"/>
    <w:rsid w:val="00391B1A"/>
    <w:rsid w:val="00393FB0"/>
    <w:rsid w:val="00394423"/>
    <w:rsid w:val="00396942"/>
    <w:rsid w:val="00396B49"/>
    <w:rsid w:val="00396E3E"/>
    <w:rsid w:val="003A04E1"/>
    <w:rsid w:val="003A306E"/>
    <w:rsid w:val="003A60DC"/>
    <w:rsid w:val="003A6A46"/>
    <w:rsid w:val="003A6A69"/>
    <w:rsid w:val="003A7A63"/>
    <w:rsid w:val="003B000C"/>
    <w:rsid w:val="003B0F1D"/>
    <w:rsid w:val="003B2D6F"/>
    <w:rsid w:val="003B2F10"/>
    <w:rsid w:val="003B4A57"/>
    <w:rsid w:val="003B7462"/>
    <w:rsid w:val="003C0AD9"/>
    <w:rsid w:val="003C0ED0"/>
    <w:rsid w:val="003C1D49"/>
    <w:rsid w:val="003C35C4"/>
    <w:rsid w:val="003C36C3"/>
    <w:rsid w:val="003C4F59"/>
    <w:rsid w:val="003C5721"/>
    <w:rsid w:val="003C6EA9"/>
    <w:rsid w:val="003D12C2"/>
    <w:rsid w:val="003D1367"/>
    <w:rsid w:val="003D31B9"/>
    <w:rsid w:val="003D3867"/>
    <w:rsid w:val="003D6E3C"/>
    <w:rsid w:val="003D7665"/>
    <w:rsid w:val="003E0D1A"/>
    <w:rsid w:val="003E1FC8"/>
    <w:rsid w:val="003E2DA3"/>
    <w:rsid w:val="003E2E5C"/>
    <w:rsid w:val="003E47DA"/>
    <w:rsid w:val="003F020D"/>
    <w:rsid w:val="003F03D9"/>
    <w:rsid w:val="003F161D"/>
    <w:rsid w:val="003F2FBE"/>
    <w:rsid w:val="003F318D"/>
    <w:rsid w:val="003F3DE6"/>
    <w:rsid w:val="003F5BAE"/>
    <w:rsid w:val="003F5CA1"/>
    <w:rsid w:val="003F6ED7"/>
    <w:rsid w:val="00401C84"/>
    <w:rsid w:val="00403210"/>
    <w:rsid w:val="004035BB"/>
    <w:rsid w:val="004035EB"/>
    <w:rsid w:val="00406C9B"/>
    <w:rsid w:val="00406F03"/>
    <w:rsid w:val="00407332"/>
    <w:rsid w:val="00407828"/>
    <w:rsid w:val="00407DBB"/>
    <w:rsid w:val="00410000"/>
    <w:rsid w:val="00410F3F"/>
    <w:rsid w:val="00412077"/>
    <w:rsid w:val="00413D8E"/>
    <w:rsid w:val="004140F2"/>
    <w:rsid w:val="00416BC7"/>
    <w:rsid w:val="00417B22"/>
    <w:rsid w:val="00421085"/>
    <w:rsid w:val="00421931"/>
    <w:rsid w:val="00421E4D"/>
    <w:rsid w:val="004245F3"/>
    <w:rsid w:val="0042465E"/>
    <w:rsid w:val="00424DF7"/>
    <w:rsid w:val="00425595"/>
    <w:rsid w:val="004258BD"/>
    <w:rsid w:val="0042722C"/>
    <w:rsid w:val="004310CD"/>
    <w:rsid w:val="00432B76"/>
    <w:rsid w:val="00433079"/>
    <w:rsid w:val="00434D01"/>
    <w:rsid w:val="00434E36"/>
    <w:rsid w:val="00435D26"/>
    <w:rsid w:val="00440C99"/>
    <w:rsid w:val="0044165B"/>
    <w:rsid w:val="0044175C"/>
    <w:rsid w:val="004419BF"/>
    <w:rsid w:val="00441B41"/>
    <w:rsid w:val="0044213A"/>
    <w:rsid w:val="0044221D"/>
    <w:rsid w:val="00443315"/>
    <w:rsid w:val="0044352F"/>
    <w:rsid w:val="004450CD"/>
    <w:rsid w:val="00445F4D"/>
    <w:rsid w:val="00446BFF"/>
    <w:rsid w:val="0045019C"/>
    <w:rsid w:val="004504C0"/>
    <w:rsid w:val="00451CD1"/>
    <w:rsid w:val="004545EA"/>
    <w:rsid w:val="004550FB"/>
    <w:rsid w:val="00456B81"/>
    <w:rsid w:val="00460A1D"/>
    <w:rsid w:val="00460B25"/>
    <w:rsid w:val="00461112"/>
    <w:rsid w:val="0046111A"/>
    <w:rsid w:val="00462946"/>
    <w:rsid w:val="00462F1F"/>
    <w:rsid w:val="00463F43"/>
    <w:rsid w:val="00464B94"/>
    <w:rsid w:val="004653A8"/>
    <w:rsid w:val="00465A0B"/>
    <w:rsid w:val="00470761"/>
    <w:rsid w:val="0047077C"/>
    <w:rsid w:val="00470B05"/>
    <w:rsid w:val="0047207C"/>
    <w:rsid w:val="004729DA"/>
    <w:rsid w:val="00472CD6"/>
    <w:rsid w:val="0047478B"/>
    <w:rsid w:val="00474E3C"/>
    <w:rsid w:val="00475F07"/>
    <w:rsid w:val="00480A58"/>
    <w:rsid w:val="004813D7"/>
    <w:rsid w:val="00481FB6"/>
    <w:rsid w:val="00482151"/>
    <w:rsid w:val="00482677"/>
    <w:rsid w:val="00485360"/>
    <w:rsid w:val="00485FAD"/>
    <w:rsid w:val="00486978"/>
    <w:rsid w:val="00487AED"/>
    <w:rsid w:val="00491EDF"/>
    <w:rsid w:val="00492A3F"/>
    <w:rsid w:val="00493D33"/>
    <w:rsid w:val="00494F25"/>
    <w:rsid w:val="00494F62"/>
    <w:rsid w:val="004976F9"/>
    <w:rsid w:val="004A2001"/>
    <w:rsid w:val="004A3590"/>
    <w:rsid w:val="004A6DEC"/>
    <w:rsid w:val="004A6F91"/>
    <w:rsid w:val="004A7632"/>
    <w:rsid w:val="004B00A7"/>
    <w:rsid w:val="004B1202"/>
    <w:rsid w:val="004B1D15"/>
    <w:rsid w:val="004B2269"/>
    <w:rsid w:val="004B25E2"/>
    <w:rsid w:val="004B2B0E"/>
    <w:rsid w:val="004B34D7"/>
    <w:rsid w:val="004B3A25"/>
    <w:rsid w:val="004B49E1"/>
    <w:rsid w:val="004B5037"/>
    <w:rsid w:val="004B5B2F"/>
    <w:rsid w:val="004B626A"/>
    <w:rsid w:val="004B660E"/>
    <w:rsid w:val="004C05BD"/>
    <w:rsid w:val="004C3B06"/>
    <w:rsid w:val="004C3F97"/>
    <w:rsid w:val="004C4F82"/>
    <w:rsid w:val="004C5C07"/>
    <w:rsid w:val="004C5FE6"/>
    <w:rsid w:val="004C7D88"/>
    <w:rsid w:val="004C7EE7"/>
    <w:rsid w:val="004D0A8A"/>
    <w:rsid w:val="004D0B5C"/>
    <w:rsid w:val="004D1D6F"/>
    <w:rsid w:val="004D2DEE"/>
    <w:rsid w:val="004D2E1F"/>
    <w:rsid w:val="004D7131"/>
    <w:rsid w:val="004D7E83"/>
    <w:rsid w:val="004D7FD9"/>
    <w:rsid w:val="004E0605"/>
    <w:rsid w:val="004E1324"/>
    <w:rsid w:val="004E19A5"/>
    <w:rsid w:val="004E25EB"/>
    <w:rsid w:val="004E37E5"/>
    <w:rsid w:val="004E3FDB"/>
    <w:rsid w:val="004F1F4A"/>
    <w:rsid w:val="004F296D"/>
    <w:rsid w:val="004F508B"/>
    <w:rsid w:val="004F5382"/>
    <w:rsid w:val="004F695F"/>
    <w:rsid w:val="004F6CA4"/>
    <w:rsid w:val="00500752"/>
    <w:rsid w:val="00501443"/>
    <w:rsid w:val="00501A50"/>
    <w:rsid w:val="0050222D"/>
    <w:rsid w:val="00503377"/>
    <w:rsid w:val="00503AF3"/>
    <w:rsid w:val="0050696D"/>
    <w:rsid w:val="0051094B"/>
    <w:rsid w:val="005110D7"/>
    <w:rsid w:val="00511D99"/>
    <w:rsid w:val="00512184"/>
    <w:rsid w:val="005128D3"/>
    <w:rsid w:val="005147E8"/>
    <w:rsid w:val="005158F2"/>
    <w:rsid w:val="00517801"/>
    <w:rsid w:val="00517D29"/>
    <w:rsid w:val="00523003"/>
    <w:rsid w:val="00523F3A"/>
    <w:rsid w:val="00524C54"/>
    <w:rsid w:val="00524F20"/>
    <w:rsid w:val="0052580D"/>
    <w:rsid w:val="00526DFC"/>
    <w:rsid w:val="00526F43"/>
    <w:rsid w:val="00527651"/>
    <w:rsid w:val="00531C3F"/>
    <w:rsid w:val="00532EA0"/>
    <w:rsid w:val="005363AB"/>
    <w:rsid w:val="0054070B"/>
    <w:rsid w:val="00540F6F"/>
    <w:rsid w:val="00543CAA"/>
    <w:rsid w:val="00544542"/>
    <w:rsid w:val="00544EF4"/>
    <w:rsid w:val="00545E53"/>
    <w:rsid w:val="005479D9"/>
    <w:rsid w:val="005515F5"/>
    <w:rsid w:val="00551BD8"/>
    <w:rsid w:val="0055371D"/>
    <w:rsid w:val="005539CC"/>
    <w:rsid w:val="005554A6"/>
    <w:rsid w:val="005563C8"/>
    <w:rsid w:val="005572BD"/>
    <w:rsid w:val="00557A12"/>
    <w:rsid w:val="00560AC7"/>
    <w:rsid w:val="00561AFB"/>
    <w:rsid w:val="00561FA8"/>
    <w:rsid w:val="005629DF"/>
    <w:rsid w:val="00562E0E"/>
    <w:rsid w:val="005635ED"/>
    <w:rsid w:val="00565253"/>
    <w:rsid w:val="00570037"/>
    <w:rsid w:val="00570191"/>
    <w:rsid w:val="00570570"/>
    <w:rsid w:val="00572512"/>
    <w:rsid w:val="0057292C"/>
    <w:rsid w:val="00573EE6"/>
    <w:rsid w:val="0057547F"/>
    <w:rsid w:val="005754EE"/>
    <w:rsid w:val="00575979"/>
    <w:rsid w:val="00575DE5"/>
    <w:rsid w:val="0057617E"/>
    <w:rsid w:val="00576497"/>
    <w:rsid w:val="005835E7"/>
    <w:rsid w:val="0058397F"/>
    <w:rsid w:val="00583BF8"/>
    <w:rsid w:val="00585F33"/>
    <w:rsid w:val="00590CBD"/>
    <w:rsid w:val="00591124"/>
    <w:rsid w:val="005944CB"/>
    <w:rsid w:val="00597024"/>
    <w:rsid w:val="00597318"/>
    <w:rsid w:val="00597D60"/>
    <w:rsid w:val="005A0274"/>
    <w:rsid w:val="005A0312"/>
    <w:rsid w:val="005A0714"/>
    <w:rsid w:val="005A095C"/>
    <w:rsid w:val="005A35E9"/>
    <w:rsid w:val="005A4812"/>
    <w:rsid w:val="005A669D"/>
    <w:rsid w:val="005A75D8"/>
    <w:rsid w:val="005B033C"/>
    <w:rsid w:val="005B1A8F"/>
    <w:rsid w:val="005B4F1B"/>
    <w:rsid w:val="005B5F34"/>
    <w:rsid w:val="005B653A"/>
    <w:rsid w:val="005B713E"/>
    <w:rsid w:val="005B796C"/>
    <w:rsid w:val="005C03B6"/>
    <w:rsid w:val="005C29EB"/>
    <w:rsid w:val="005C348E"/>
    <w:rsid w:val="005C3992"/>
    <w:rsid w:val="005C6117"/>
    <w:rsid w:val="005C68E1"/>
    <w:rsid w:val="005D0C6E"/>
    <w:rsid w:val="005D3763"/>
    <w:rsid w:val="005D3A3D"/>
    <w:rsid w:val="005D55E1"/>
    <w:rsid w:val="005E0E7C"/>
    <w:rsid w:val="005E19F7"/>
    <w:rsid w:val="005E26EA"/>
    <w:rsid w:val="005E430D"/>
    <w:rsid w:val="005E4F04"/>
    <w:rsid w:val="005E62C2"/>
    <w:rsid w:val="005E6C71"/>
    <w:rsid w:val="005F0963"/>
    <w:rsid w:val="005F2824"/>
    <w:rsid w:val="005F2EBA"/>
    <w:rsid w:val="005F2F1C"/>
    <w:rsid w:val="005F35ED"/>
    <w:rsid w:val="005F43FA"/>
    <w:rsid w:val="005F44DE"/>
    <w:rsid w:val="005F773D"/>
    <w:rsid w:val="005F7812"/>
    <w:rsid w:val="005F7960"/>
    <w:rsid w:val="005F7A88"/>
    <w:rsid w:val="00601B59"/>
    <w:rsid w:val="00603A1A"/>
    <w:rsid w:val="0060435B"/>
    <w:rsid w:val="006046D5"/>
    <w:rsid w:val="006067A7"/>
    <w:rsid w:val="00607A93"/>
    <w:rsid w:val="00610C08"/>
    <w:rsid w:val="00611F74"/>
    <w:rsid w:val="00614AD1"/>
    <w:rsid w:val="00615772"/>
    <w:rsid w:val="00617639"/>
    <w:rsid w:val="00621256"/>
    <w:rsid w:val="00621FCC"/>
    <w:rsid w:val="00622E4B"/>
    <w:rsid w:val="00632F75"/>
    <w:rsid w:val="006333DA"/>
    <w:rsid w:val="00635134"/>
    <w:rsid w:val="006354E1"/>
    <w:rsid w:val="006356E2"/>
    <w:rsid w:val="0063587F"/>
    <w:rsid w:val="00636355"/>
    <w:rsid w:val="00636859"/>
    <w:rsid w:val="006376E2"/>
    <w:rsid w:val="00641A5C"/>
    <w:rsid w:val="00641D13"/>
    <w:rsid w:val="00642A65"/>
    <w:rsid w:val="0064488E"/>
    <w:rsid w:val="00645955"/>
    <w:rsid w:val="00645DCE"/>
    <w:rsid w:val="0064615D"/>
    <w:rsid w:val="006465AC"/>
    <w:rsid w:val="006465BF"/>
    <w:rsid w:val="00650826"/>
    <w:rsid w:val="0065109D"/>
    <w:rsid w:val="00653B22"/>
    <w:rsid w:val="006543D8"/>
    <w:rsid w:val="00657BF4"/>
    <w:rsid w:val="006603FB"/>
    <w:rsid w:val="006608DF"/>
    <w:rsid w:val="00661FA9"/>
    <w:rsid w:val="006623AC"/>
    <w:rsid w:val="00664FBA"/>
    <w:rsid w:val="006651D3"/>
    <w:rsid w:val="006675FB"/>
    <w:rsid w:val="006678AF"/>
    <w:rsid w:val="006701EF"/>
    <w:rsid w:val="0067354F"/>
    <w:rsid w:val="00673BA5"/>
    <w:rsid w:val="00674921"/>
    <w:rsid w:val="00674D1E"/>
    <w:rsid w:val="0067591D"/>
    <w:rsid w:val="0067739E"/>
    <w:rsid w:val="00680058"/>
    <w:rsid w:val="0068141C"/>
    <w:rsid w:val="00681F9F"/>
    <w:rsid w:val="006837B0"/>
    <w:rsid w:val="006840EA"/>
    <w:rsid w:val="006844E2"/>
    <w:rsid w:val="00685267"/>
    <w:rsid w:val="006855B8"/>
    <w:rsid w:val="00685AC1"/>
    <w:rsid w:val="006872AE"/>
    <w:rsid w:val="00690082"/>
    <w:rsid w:val="00690252"/>
    <w:rsid w:val="006942BF"/>
    <w:rsid w:val="00694553"/>
    <w:rsid w:val="006946BB"/>
    <w:rsid w:val="0069567A"/>
    <w:rsid w:val="0069640F"/>
    <w:rsid w:val="006969FA"/>
    <w:rsid w:val="00696B39"/>
    <w:rsid w:val="00696E8F"/>
    <w:rsid w:val="006A0B93"/>
    <w:rsid w:val="006A0EA5"/>
    <w:rsid w:val="006A192D"/>
    <w:rsid w:val="006A35D5"/>
    <w:rsid w:val="006A6503"/>
    <w:rsid w:val="006A6954"/>
    <w:rsid w:val="006A748A"/>
    <w:rsid w:val="006B1E66"/>
    <w:rsid w:val="006B30B3"/>
    <w:rsid w:val="006C3FA4"/>
    <w:rsid w:val="006C419E"/>
    <w:rsid w:val="006C4A31"/>
    <w:rsid w:val="006C5504"/>
    <w:rsid w:val="006C5AC2"/>
    <w:rsid w:val="006C65AA"/>
    <w:rsid w:val="006C6AFB"/>
    <w:rsid w:val="006D2735"/>
    <w:rsid w:val="006D2B6E"/>
    <w:rsid w:val="006D372F"/>
    <w:rsid w:val="006D3E2C"/>
    <w:rsid w:val="006D45B2"/>
    <w:rsid w:val="006D597A"/>
    <w:rsid w:val="006D663D"/>
    <w:rsid w:val="006D6B93"/>
    <w:rsid w:val="006D74F3"/>
    <w:rsid w:val="006E0FCC"/>
    <w:rsid w:val="006E1200"/>
    <w:rsid w:val="006E1E96"/>
    <w:rsid w:val="006E2917"/>
    <w:rsid w:val="006E41C1"/>
    <w:rsid w:val="006E4C37"/>
    <w:rsid w:val="006E5422"/>
    <w:rsid w:val="006E5CCB"/>
    <w:rsid w:val="006E5E21"/>
    <w:rsid w:val="006F0C71"/>
    <w:rsid w:val="006F1053"/>
    <w:rsid w:val="006F184E"/>
    <w:rsid w:val="006F2648"/>
    <w:rsid w:val="006F2F10"/>
    <w:rsid w:val="006F379A"/>
    <w:rsid w:val="006F482B"/>
    <w:rsid w:val="006F51D1"/>
    <w:rsid w:val="006F5DB8"/>
    <w:rsid w:val="006F6311"/>
    <w:rsid w:val="00700A10"/>
    <w:rsid w:val="00700E71"/>
    <w:rsid w:val="00700EE9"/>
    <w:rsid w:val="00701952"/>
    <w:rsid w:val="00702556"/>
    <w:rsid w:val="0070277E"/>
    <w:rsid w:val="00703C00"/>
    <w:rsid w:val="00704156"/>
    <w:rsid w:val="007051DF"/>
    <w:rsid w:val="00706193"/>
    <w:rsid w:val="00706324"/>
    <w:rsid w:val="007069FC"/>
    <w:rsid w:val="007070B0"/>
    <w:rsid w:val="00707FA5"/>
    <w:rsid w:val="00711221"/>
    <w:rsid w:val="00711739"/>
    <w:rsid w:val="00711BDA"/>
    <w:rsid w:val="00711FD1"/>
    <w:rsid w:val="00712675"/>
    <w:rsid w:val="00713808"/>
    <w:rsid w:val="00714825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6C5"/>
    <w:rsid w:val="00725406"/>
    <w:rsid w:val="0072621B"/>
    <w:rsid w:val="00730555"/>
    <w:rsid w:val="00730BA5"/>
    <w:rsid w:val="007312CC"/>
    <w:rsid w:val="00731D3F"/>
    <w:rsid w:val="007335C9"/>
    <w:rsid w:val="00733816"/>
    <w:rsid w:val="0073466C"/>
    <w:rsid w:val="00736A64"/>
    <w:rsid w:val="00737F6A"/>
    <w:rsid w:val="00740406"/>
    <w:rsid w:val="007410B6"/>
    <w:rsid w:val="00744C6F"/>
    <w:rsid w:val="007457F6"/>
    <w:rsid w:val="00745ABB"/>
    <w:rsid w:val="00745F99"/>
    <w:rsid w:val="00746E38"/>
    <w:rsid w:val="00747CD5"/>
    <w:rsid w:val="0075215B"/>
    <w:rsid w:val="00752F8A"/>
    <w:rsid w:val="00752F9B"/>
    <w:rsid w:val="00753B51"/>
    <w:rsid w:val="00754782"/>
    <w:rsid w:val="00755D82"/>
    <w:rsid w:val="00756629"/>
    <w:rsid w:val="007575D2"/>
    <w:rsid w:val="00757B4F"/>
    <w:rsid w:val="00757B6A"/>
    <w:rsid w:val="00760019"/>
    <w:rsid w:val="007610E0"/>
    <w:rsid w:val="007621AA"/>
    <w:rsid w:val="007625DB"/>
    <w:rsid w:val="0076260A"/>
    <w:rsid w:val="00763AE1"/>
    <w:rsid w:val="00764A67"/>
    <w:rsid w:val="00765514"/>
    <w:rsid w:val="00765CBD"/>
    <w:rsid w:val="00766516"/>
    <w:rsid w:val="00767804"/>
    <w:rsid w:val="00770CE3"/>
    <w:rsid w:val="00770F6B"/>
    <w:rsid w:val="00771883"/>
    <w:rsid w:val="0077359D"/>
    <w:rsid w:val="00773D4B"/>
    <w:rsid w:val="00776DC2"/>
    <w:rsid w:val="00777B44"/>
    <w:rsid w:val="00780122"/>
    <w:rsid w:val="0078214B"/>
    <w:rsid w:val="00783A85"/>
    <w:rsid w:val="0078498A"/>
    <w:rsid w:val="007860AB"/>
    <w:rsid w:val="00786DDA"/>
    <w:rsid w:val="007878FE"/>
    <w:rsid w:val="00791023"/>
    <w:rsid w:val="007913FF"/>
    <w:rsid w:val="00792207"/>
    <w:rsid w:val="007925F9"/>
    <w:rsid w:val="007929DA"/>
    <w:rsid w:val="00792B64"/>
    <w:rsid w:val="00792E29"/>
    <w:rsid w:val="0079379A"/>
    <w:rsid w:val="00794953"/>
    <w:rsid w:val="007958D9"/>
    <w:rsid w:val="007A1F2F"/>
    <w:rsid w:val="007A2A5C"/>
    <w:rsid w:val="007A30C1"/>
    <w:rsid w:val="007A4970"/>
    <w:rsid w:val="007A5048"/>
    <w:rsid w:val="007A5150"/>
    <w:rsid w:val="007A5373"/>
    <w:rsid w:val="007A7698"/>
    <w:rsid w:val="007A789F"/>
    <w:rsid w:val="007B2FC8"/>
    <w:rsid w:val="007B5B86"/>
    <w:rsid w:val="007B75BC"/>
    <w:rsid w:val="007B7966"/>
    <w:rsid w:val="007B7CED"/>
    <w:rsid w:val="007C0BD6"/>
    <w:rsid w:val="007C1FFA"/>
    <w:rsid w:val="007C2776"/>
    <w:rsid w:val="007C3806"/>
    <w:rsid w:val="007C5B11"/>
    <w:rsid w:val="007C5BB7"/>
    <w:rsid w:val="007C64C8"/>
    <w:rsid w:val="007D047A"/>
    <w:rsid w:val="007D07D5"/>
    <w:rsid w:val="007D1C64"/>
    <w:rsid w:val="007D2365"/>
    <w:rsid w:val="007D32DD"/>
    <w:rsid w:val="007D6990"/>
    <w:rsid w:val="007D6DCE"/>
    <w:rsid w:val="007D72C4"/>
    <w:rsid w:val="007E15F8"/>
    <w:rsid w:val="007E2CB6"/>
    <w:rsid w:val="007E2CFE"/>
    <w:rsid w:val="007E47FB"/>
    <w:rsid w:val="007E4A3A"/>
    <w:rsid w:val="007E59C9"/>
    <w:rsid w:val="007E5F2D"/>
    <w:rsid w:val="007F0072"/>
    <w:rsid w:val="007F148E"/>
    <w:rsid w:val="007F1694"/>
    <w:rsid w:val="007F1C85"/>
    <w:rsid w:val="007F2EB6"/>
    <w:rsid w:val="007F3611"/>
    <w:rsid w:val="007F3F1D"/>
    <w:rsid w:val="007F54C3"/>
    <w:rsid w:val="007F6FA2"/>
    <w:rsid w:val="00802949"/>
    <w:rsid w:val="0080301E"/>
    <w:rsid w:val="0080365F"/>
    <w:rsid w:val="0080418E"/>
    <w:rsid w:val="00805989"/>
    <w:rsid w:val="00806997"/>
    <w:rsid w:val="008069EB"/>
    <w:rsid w:val="00806B3B"/>
    <w:rsid w:val="00812BE5"/>
    <w:rsid w:val="00813EBC"/>
    <w:rsid w:val="00814EF7"/>
    <w:rsid w:val="00815EB4"/>
    <w:rsid w:val="00817429"/>
    <w:rsid w:val="008174F1"/>
    <w:rsid w:val="00821514"/>
    <w:rsid w:val="00821E35"/>
    <w:rsid w:val="00822EAB"/>
    <w:rsid w:val="008244A1"/>
    <w:rsid w:val="00824591"/>
    <w:rsid w:val="00824AED"/>
    <w:rsid w:val="00825EB1"/>
    <w:rsid w:val="00826D2C"/>
    <w:rsid w:val="00826F05"/>
    <w:rsid w:val="0082749B"/>
    <w:rsid w:val="00827820"/>
    <w:rsid w:val="00831B8B"/>
    <w:rsid w:val="0083405D"/>
    <w:rsid w:val="008352D4"/>
    <w:rsid w:val="00835475"/>
    <w:rsid w:val="00836DB9"/>
    <w:rsid w:val="00837510"/>
    <w:rsid w:val="00837C67"/>
    <w:rsid w:val="008415B0"/>
    <w:rsid w:val="008417C0"/>
    <w:rsid w:val="00842028"/>
    <w:rsid w:val="008436B8"/>
    <w:rsid w:val="00843F8D"/>
    <w:rsid w:val="008450C8"/>
    <w:rsid w:val="00845505"/>
    <w:rsid w:val="00845BD9"/>
    <w:rsid w:val="008460B6"/>
    <w:rsid w:val="00846140"/>
    <w:rsid w:val="008478C3"/>
    <w:rsid w:val="00850C9D"/>
    <w:rsid w:val="00852B59"/>
    <w:rsid w:val="00852F77"/>
    <w:rsid w:val="00855AFB"/>
    <w:rsid w:val="00855D4B"/>
    <w:rsid w:val="00856272"/>
    <w:rsid w:val="008562FE"/>
    <w:rsid w:val="008563FF"/>
    <w:rsid w:val="00857E5B"/>
    <w:rsid w:val="0086018B"/>
    <w:rsid w:val="008611DD"/>
    <w:rsid w:val="00861984"/>
    <w:rsid w:val="00861A80"/>
    <w:rsid w:val="008620DE"/>
    <w:rsid w:val="00863BCE"/>
    <w:rsid w:val="00864678"/>
    <w:rsid w:val="00865DB7"/>
    <w:rsid w:val="00866670"/>
    <w:rsid w:val="00866867"/>
    <w:rsid w:val="00866A05"/>
    <w:rsid w:val="008711F2"/>
    <w:rsid w:val="00871612"/>
    <w:rsid w:val="00871E17"/>
    <w:rsid w:val="00872257"/>
    <w:rsid w:val="00873504"/>
    <w:rsid w:val="0087444B"/>
    <w:rsid w:val="008753E6"/>
    <w:rsid w:val="0087738C"/>
    <w:rsid w:val="008802AF"/>
    <w:rsid w:val="0088079D"/>
    <w:rsid w:val="0088097B"/>
    <w:rsid w:val="0088135E"/>
    <w:rsid w:val="00881926"/>
    <w:rsid w:val="00881B04"/>
    <w:rsid w:val="0088318F"/>
    <w:rsid w:val="0088331D"/>
    <w:rsid w:val="0088352E"/>
    <w:rsid w:val="008852B0"/>
    <w:rsid w:val="00885696"/>
    <w:rsid w:val="00885AE7"/>
    <w:rsid w:val="0088665B"/>
    <w:rsid w:val="00886B60"/>
    <w:rsid w:val="00887889"/>
    <w:rsid w:val="00890F05"/>
    <w:rsid w:val="008920FF"/>
    <w:rsid w:val="008926E8"/>
    <w:rsid w:val="00893B11"/>
    <w:rsid w:val="00894F19"/>
    <w:rsid w:val="00895134"/>
    <w:rsid w:val="008968A3"/>
    <w:rsid w:val="00896A10"/>
    <w:rsid w:val="008971B5"/>
    <w:rsid w:val="008973D2"/>
    <w:rsid w:val="00897F5E"/>
    <w:rsid w:val="008A1700"/>
    <w:rsid w:val="008A2602"/>
    <w:rsid w:val="008A448F"/>
    <w:rsid w:val="008A53A7"/>
    <w:rsid w:val="008A5581"/>
    <w:rsid w:val="008A5D26"/>
    <w:rsid w:val="008A6B13"/>
    <w:rsid w:val="008A6ECB"/>
    <w:rsid w:val="008B078B"/>
    <w:rsid w:val="008B0BF9"/>
    <w:rsid w:val="008B1597"/>
    <w:rsid w:val="008B2734"/>
    <w:rsid w:val="008B2866"/>
    <w:rsid w:val="008B3859"/>
    <w:rsid w:val="008B436D"/>
    <w:rsid w:val="008B4E49"/>
    <w:rsid w:val="008B5516"/>
    <w:rsid w:val="008B7712"/>
    <w:rsid w:val="008B7B26"/>
    <w:rsid w:val="008C0E63"/>
    <w:rsid w:val="008C3524"/>
    <w:rsid w:val="008C4061"/>
    <w:rsid w:val="008C4229"/>
    <w:rsid w:val="008C5BE0"/>
    <w:rsid w:val="008C7233"/>
    <w:rsid w:val="008D0F0D"/>
    <w:rsid w:val="008D2434"/>
    <w:rsid w:val="008D2C95"/>
    <w:rsid w:val="008D368A"/>
    <w:rsid w:val="008E171D"/>
    <w:rsid w:val="008E2785"/>
    <w:rsid w:val="008E296A"/>
    <w:rsid w:val="008E3490"/>
    <w:rsid w:val="008E3716"/>
    <w:rsid w:val="008E504D"/>
    <w:rsid w:val="008E56CD"/>
    <w:rsid w:val="008E6C37"/>
    <w:rsid w:val="008E750F"/>
    <w:rsid w:val="008E78A3"/>
    <w:rsid w:val="008E7A60"/>
    <w:rsid w:val="008F05CB"/>
    <w:rsid w:val="008F0654"/>
    <w:rsid w:val="008F06CB"/>
    <w:rsid w:val="008F2250"/>
    <w:rsid w:val="008F2E83"/>
    <w:rsid w:val="008F3768"/>
    <w:rsid w:val="008F612A"/>
    <w:rsid w:val="008F64B3"/>
    <w:rsid w:val="009014E5"/>
    <w:rsid w:val="0090293D"/>
    <w:rsid w:val="009034DE"/>
    <w:rsid w:val="00905396"/>
    <w:rsid w:val="0090604C"/>
    <w:rsid w:val="0090605D"/>
    <w:rsid w:val="00906419"/>
    <w:rsid w:val="009066B6"/>
    <w:rsid w:val="00911DEA"/>
    <w:rsid w:val="00912889"/>
    <w:rsid w:val="00913A42"/>
    <w:rsid w:val="00914167"/>
    <w:rsid w:val="009143DB"/>
    <w:rsid w:val="00915065"/>
    <w:rsid w:val="00917CE5"/>
    <w:rsid w:val="009217C0"/>
    <w:rsid w:val="009223B8"/>
    <w:rsid w:val="009225FD"/>
    <w:rsid w:val="009229E4"/>
    <w:rsid w:val="00925241"/>
    <w:rsid w:val="00925CEC"/>
    <w:rsid w:val="00925F2F"/>
    <w:rsid w:val="00926A3F"/>
    <w:rsid w:val="00927587"/>
    <w:rsid w:val="0092794E"/>
    <w:rsid w:val="00930D30"/>
    <w:rsid w:val="00930F71"/>
    <w:rsid w:val="0093211E"/>
    <w:rsid w:val="009332A2"/>
    <w:rsid w:val="009338B1"/>
    <w:rsid w:val="009345AF"/>
    <w:rsid w:val="00935265"/>
    <w:rsid w:val="009354BE"/>
    <w:rsid w:val="00937598"/>
    <w:rsid w:val="0093790B"/>
    <w:rsid w:val="00940B93"/>
    <w:rsid w:val="0094266F"/>
    <w:rsid w:val="00942A93"/>
    <w:rsid w:val="00943751"/>
    <w:rsid w:val="009446F6"/>
    <w:rsid w:val="00944ADC"/>
    <w:rsid w:val="00945514"/>
    <w:rsid w:val="00945E71"/>
    <w:rsid w:val="00946DD0"/>
    <w:rsid w:val="009509E6"/>
    <w:rsid w:val="0095127B"/>
    <w:rsid w:val="009516B3"/>
    <w:rsid w:val="00952018"/>
    <w:rsid w:val="00952800"/>
    <w:rsid w:val="0095300D"/>
    <w:rsid w:val="00956812"/>
    <w:rsid w:val="00956FFA"/>
    <w:rsid w:val="0095719A"/>
    <w:rsid w:val="00957B6E"/>
    <w:rsid w:val="0096059A"/>
    <w:rsid w:val="009623E9"/>
    <w:rsid w:val="00963EEB"/>
    <w:rsid w:val="009642F6"/>
    <w:rsid w:val="009648BC"/>
    <w:rsid w:val="00964C2F"/>
    <w:rsid w:val="00965F88"/>
    <w:rsid w:val="00972AAA"/>
    <w:rsid w:val="009760E4"/>
    <w:rsid w:val="009764AB"/>
    <w:rsid w:val="00980F1C"/>
    <w:rsid w:val="009824CE"/>
    <w:rsid w:val="00984E03"/>
    <w:rsid w:val="00984F42"/>
    <w:rsid w:val="00987E85"/>
    <w:rsid w:val="009905FF"/>
    <w:rsid w:val="00993C47"/>
    <w:rsid w:val="00994B5C"/>
    <w:rsid w:val="00996199"/>
    <w:rsid w:val="009A0D12"/>
    <w:rsid w:val="009A1987"/>
    <w:rsid w:val="009A1E96"/>
    <w:rsid w:val="009A2BEE"/>
    <w:rsid w:val="009A363B"/>
    <w:rsid w:val="009A4D93"/>
    <w:rsid w:val="009A5289"/>
    <w:rsid w:val="009A6803"/>
    <w:rsid w:val="009A702B"/>
    <w:rsid w:val="009A7A53"/>
    <w:rsid w:val="009B0402"/>
    <w:rsid w:val="009B0B75"/>
    <w:rsid w:val="009B16DF"/>
    <w:rsid w:val="009B4CB2"/>
    <w:rsid w:val="009B6179"/>
    <w:rsid w:val="009B6701"/>
    <w:rsid w:val="009B6EF7"/>
    <w:rsid w:val="009B7000"/>
    <w:rsid w:val="009B739C"/>
    <w:rsid w:val="009C04EC"/>
    <w:rsid w:val="009C1878"/>
    <w:rsid w:val="009C328C"/>
    <w:rsid w:val="009C4444"/>
    <w:rsid w:val="009C6126"/>
    <w:rsid w:val="009C6BC8"/>
    <w:rsid w:val="009C79AD"/>
    <w:rsid w:val="009C7CA6"/>
    <w:rsid w:val="009C7DA2"/>
    <w:rsid w:val="009D3316"/>
    <w:rsid w:val="009D55AA"/>
    <w:rsid w:val="009E3E77"/>
    <w:rsid w:val="009E3FAB"/>
    <w:rsid w:val="009E45AA"/>
    <w:rsid w:val="009E5B3F"/>
    <w:rsid w:val="009E7D90"/>
    <w:rsid w:val="009F1AB0"/>
    <w:rsid w:val="009F2954"/>
    <w:rsid w:val="009F29F0"/>
    <w:rsid w:val="009F34C1"/>
    <w:rsid w:val="009F501D"/>
    <w:rsid w:val="009F700E"/>
    <w:rsid w:val="00A00A8B"/>
    <w:rsid w:val="00A02949"/>
    <w:rsid w:val="00A039D5"/>
    <w:rsid w:val="00A03D2B"/>
    <w:rsid w:val="00A040DB"/>
    <w:rsid w:val="00A046AD"/>
    <w:rsid w:val="00A05EAC"/>
    <w:rsid w:val="00A079C1"/>
    <w:rsid w:val="00A1099C"/>
    <w:rsid w:val="00A11F2F"/>
    <w:rsid w:val="00A12520"/>
    <w:rsid w:val="00A130FD"/>
    <w:rsid w:val="00A13D6D"/>
    <w:rsid w:val="00A14769"/>
    <w:rsid w:val="00A14B01"/>
    <w:rsid w:val="00A16151"/>
    <w:rsid w:val="00A16EC6"/>
    <w:rsid w:val="00A17C06"/>
    <w:rsid w:val="00A17CF6"/>
    <w:rsid w:val="00A2126E"/>
    <w:rsid w:val="00A21706"/>
    <w:rsid w:val="00A23FD8"/>
    <w:rsid w:val="00A24FCC"/>
    <w:rsid w:val="00A26A90"/>
    <w:rsid w:val="00A26B27"/>
    <w:rsid w:val="00A2753F"/>
    <w:rsid w:val="00A2764F"/>
    <w:rsid w:val="00A30E4F"/>
    <w:rsid w:val="00A3199B"/>
    <w:rsid w:val="00A32253"/>
    <w:rsid w:val="00A32E80"/>
    <w:rsid w:val="00A3310E"/>
    <w:rsid w:val="00A333A0"/>
    <w:rsid w:val="00A35922"/>
    <w:rsid w:val="00A35F89"/>
    <w:rsid w:val="00A37E70"/>
    <w:rsid w:val="00A4030D"/>
    <w:rsid w:val="00A423B1"/>
    <w:rsid w:val="00A437E1"/>
    <w:rsid w:val="00A46306"/>
    <w:rsid w:val="00A4685E"/>
    <w:rsid w:val="00A50CD4"/>
    <w:rsid w:val="00A51191"/>
    <w:rsid w:val="00A53A8E"/>
    <w:rsid w:val="00A54F64"/>
    <w:rsid w:val="00A54F99"/>
    <w:rsid w:val="00A563F8"/>
    <w:rsid w:val="00A56D62"/>
    <w:rsid w:val="00A56F07"/>
    <w:rsid w:val="00A5762C"/>
    <w:rsid w:val="00A600FC"/>
    <w:rsid w:val="00A60BCA"/>
    <w:rsid w:val="00A6250E"/>
    <w:rsid w:val="00A638DA"/>
    <w:rsid w:val="00A65B41"/>
    <w:rsid w:val="00A65E00"/>
    <w:rsid w:val="00A66A78"/>
    <w:rsid w:val="00A67E7A"/>
    <w:rsid w:val="00A71110"/>
    <w:rsid w:val="00A7349B"/>
    <w:rsid w:val="00A7436E"/>
    <w:rsid w:val="00A74E96"/>
    <w:rsid w:val="00A750F0"/>
    <w:rsid w:val="00A7561D"/>
    <w:rsid w:val="00A75A8E"/>
    <w:rsid w:val="00A7732B"/>
    <w:rsid w:val="00A824DD"/>
    <w:rsid w:val="00A83676"/>
    <w:rsid w:val="00A83B7B"/>
    <w:rsid w:val="00A84274"/>
    <w:rsid w:val="00A850F3"/>
    <w:rsid w:val="00A851DC"/>
    <w:rsid w:val="00A864E3"/>
    <w:rsid w:val="00A86880"/>
    <w:rsid w:val="00A87B3A"/>
    <w:rsid w:val="00A92FAC"/>
    <w:rsid w:val="00A94574"/>
    <w:rsid w:val="00A95936"/>
    <w:rsid w:val="00A96265"/>
    <w:rsid w:val="00A963C2"/>
    <w:rsid w:val="00A9659A"/>
    <w:rsid w:val="00A97084"/>
    <w:rsid w:val="00A97BBB"/>
    <w:rsid w:val="00AA1A8E"/>
    <w:rsid w:val="00AA1C2C"/>
    <w:rsid w:val="00AA272E"/>
    <w:rsid w:val="00AA2AA2"/>
    <w:rsid w:val="00AA35F6"/>
    <w:rsid w:val="00AA5805"/>
    <w:rsid w:val="00AA665E"/>
    <w:rsid w:val="00AA667C"/>
    <w:rsid w:val="00AA6978"/>
    <w:rsid w:val="00AA6E91"/>
    <w:rsid w:val="00AA7439"/>
    <w:rsid w:val="00AB047E"/>
    <w:rsid w:val="00AB0B0A"/>
    <w:rsid w:val="00AB0BB7"/>
    <w:rsid w:val="00AB1111"/>
    <w:rsid w:val="00AB18C4"/>
    <w:rsid w:val="00AB22C6"/>
    <w:rsid w:val="00AB2AD0"/>
    <w:rsid w:val="00AB49DF"/>
    <w:rsid w:val="00AB660C"/>
    <w:rsid w:val="00AB67FC"/>
    <w:rsid w:val="00AC00F2"/>
    <w:rsid w:val="00AC0B1E"/>
    <w:rsid w:val="00AC13F5"/>
    <w:rsid w:val="00AC216E"/>
    <w:rsid w:val="00AC313C"/>
    <w:rsid w:val="00AC31B5"/>
    <w:rsid w:val="00AC4EA1"/>
    <w:rsid w:val="00AC5381"/>
    <w:rsid w:val="00AC5431"/>
    <w:rsid w:val="00AC5920"/>
    <w:rsid w:val="00AD0899"/>
    <w:rsid w:val="00AD0E65"/>
    <w:rsid w:val="00AD2BF2"/>
    <w:rsid w:val="00AD4E90"/>
    <w:rsid w:val="00AD5422"/>
    <w:rsid w:val="00AE01BB"/>
    <w:rsid w:val="00AE4179"/>
    <w:rsid w:val="00AE4425"/>
    <w:rsid w:val="00AE4FBE"/>
    <w:rsid w:val="00AE5154"/>
    <w:rsid w:val="00AE650F"/>
    <w:rsid w:val="00AE6555"/>
    <w:rsid w:val="00AE7D16"/>
    <w:rsid w:val="00AE7F46"/>
    <w:rsid w:val="00AF4CAA"/>
    <w:rsid w:val="00AF571A"/>
    <w:rsid w:val="00AF5B41"/>
    <w:rsid w:val="00AF60A0"/>
    <w:rsid w:val="00AF61BD"/>
    <w:rsid w:val="00AF67FC"/>
    <w:rsid w:val="00AF7938"/>
    <w:rsid w:val="00AF7DF5"/>
    <w:rsid w:val="00B00130"/>
    <w:rsid w:val="00B006E5"/>
    <w:rsid w:val="00B024C2"/>
    <w:rsid w:val="00B0397F"/>
    <w:rsid w:val="00B07700"/>
    <w:rsid w:val="00B10567"/>
    <w:rsid w:val="00B11889"/>
    <w:rsid w:val="00B13921"/>
    <w:rsid w:val="00B1528C"/>
    <w:rsid w:val="00B16ACD"/>
    <w:rsid w:val="00B21487"/>
    <w:rsid w:val="00B232D1"/>
    <w:rsid w:val="00B2339E"/>
    <w:rsid w:val="00B23A1A"/>
    <w:rsid w:val="00B2463A"/>
    <w:rsid w:val="00B24DB5"/>
    <w:rsid w:val="00B2523F"/>
    <w:rsid w:val="00B306BF"/>
    <w:rsid w:val="00B31F9E"/>
    <w:rsid w:val="00B3268F"/>
    <w:rsid w:val="00B32C2C"/>
    <w:rsid w:val="00B33A1A"/>
    <w:rsid w:val="00B33E6C"/>
    <w:rsid w:val="00B3600E"/>
    <w:rsid w:val="00B371CC"/>
    <w:rsid w:val="00B37DBE"/>
    <w:rsid w:val="00B41CD9"/>
    <w:rsid w:val="00B427E6"/>
    <w:rsid w:val="00B428A6"/>
    <w:rsid w:val="00B435DC"/>
    <w:rsid w:val="00B43E1F"/>
    <w:rsid w:val="00B45FBC"/>
    <w:rsid w:val="00B50A50"/>
    <w:rsid w:val="00B50D04"/>
    <w:rsid w:val="00B51A7D"/>
    <w:rsid w:val="00B535C2"/>
    <w:rsid w:val="00B55544"/>
    <w:rsid w:val="00B562C5"/>
    <w:rsid w:val="00B6105A"/>
    <w:rsid w:val="00B642FC"/>
    <w:rsid w:val="00B6438B"/>
    <w:rsid w:val="00B64D26"/>
    <w:rsid w:val="00B64FBB"/>
    <w:rsid w:val="00B672F0"/>
    <w:rsid w:val="00B67544"/>
    <w:rsid w:val="00B707AA"/>
    <w:rsid w:val="00B70E22"/>
    <w:rsid w:val="00B71006"/>
    <w:rsid w:val="00B73682"/>
    <w:rsid w:val="00B73FE3"/>
    <w:rsid w:val="00B74ED7"/>
    <w:rsid w:val="00B75A39"/>
    <w:rsid w:val="00B75E44"/>
    <w:rsid w:val="00B76A44"/>
    <w:rsid w:val="00B774CB"/>
    <w:rsid w:val="00B80402"/>
    <w:rsid w:val="00B80B9A"/>
    <w:rsid w:val="00B830B7"/>
    <w:rsid w:val="00B83BAA"/>
    <w:rsid w:val="00B83E62"/>
    <w:rsid w:val="00B841E7"/>
    <w:rsid w:val="00B848EA"/>
    <w:rsid w:val="00B84B2B"/>
    <w:rsid w:val="00B85371"/>
    <w:rsid w:val="00B85A3D"/>
    <w:rsid w:val="00B87122"/>
    <w:rsid w:val="00B90500"/>
    <w:rsid w:val="00B9158A"/>
    <w:rsid w:val="00B9176C"/>
    <w:rsid w:val="00B935A4"/>
    <w:rsid w:val="00B93B8D"/>
    <w:rsid w:val="00B93E36"/>
    <w:rsid w:val="00B956E7"/>
    <w:rsid w:val="00BA044C"/>
    <w:rsid w:val="00BA44E7"/>
    <w:rsid w:val="00BA561A"/>
    <w:rsid w:val="00BA652A"/>
    <w:rsid w:val="00BB0DC6"/>
    <w:rsid w:val="00BB15E4"/>
    <w:rsid w:val="00BB17FE"/>
    <w:rsid w:val="00BB1E19"/>
    <w:rsid w:val="00BB21D1"/>
    <w:rsid w:val="00BB2476"/>
    <w:rsid w:val="00BB32F2"/>
    <w:rsid w:val="00BB4338"/>
    <w:rsid w:val="00BB653D"/>
    <w:rsid w:val="00BB6C0E"/>
    <w:rsid w:val="00BB7B38"/>
    <w:rsid w:val="00BC11E5"/>
    <w:rsid w:val="00BC417B"/>
    <w:rsid w:val="00BC43B0"/>
    <w:rsid w:val="00BC4A36"/>
    <w:rsid w:val="00BC4BC6"/>
    <w:rsid w:val="00BC5237"/>
    <w:rsid w:val="00BC52FD"/>
    <w:rsid w:val="00BC639B"/>
    <w:rsid w:val="00BC6E62"/>
    <w:rsid w:val="00BC7443"/>
    <w:rsid w:val="00BC7589"/>
    <w:rsid w:val="00BD0648"/>
    <w:rsid w:val="00BD1040"/>
    <w:rsid w:val="00BD34AA"/>
    <w:rsid w:val="00BD5FAF"/>
    <w:rsid w:val="00BE0C44"/>
    <w:rsid w:val="00BE12C7"/>
    <w:rsid w:val="00BE1AAD"/>
    <w:rsid w:val="00BE1B8B"/>
    <w:rsid w:val="00BE21DB"/>
    <w:rsid w:val="00BE2A18"/>
    <w:rsid w:val="00BE2C01"/>
    <w:rsid w:val="00BE2DCA"/>
    <w:rsid w:val="00BE308C"/>
    <w:rsid w:val="00BE41EC"/>
    <w:rsid w:val="00BE47E5"/>
    <w:rsid w:val="00BE56FB"/>
    <w:rsid w:val="00BF3DDE"/>
    <w:rsid w:val="00BF6589"/>
    <w:rsid w:val="00BF6F7F"/>
    <w:rsid w:val="00C00487"/>
    <w:rsid w:val="00C00647"/>
    <w:rsid w:val="00C01EE5"/>
    <w:rsid w:val="00C02764"/>
    <w:rsid w:val="00C02844"/>
    <w:rsid w:val="00C04745"/>
    <w:rsid w:val="00C04A59"/>
    <w:rsid w:val="00C04CEF"/>
    <w:rsid w:val="00C0662F"/>
    <w:rsid w:val="00C10017"/>
    <w:rsid w:val="00C10A85"/>
    <w:rsid w:val="00C11943"/>
    <w:rsid w:val="00C11ADB"/>
    <w:rsid w:val="00C1247D"/>
    <w:rsid w:val="00C12E96"/>
    <w:rsid w:val="00C13BB1"/>
    <w:rsid w:val="00C14763"/>
    <w:rsid w:val="00C16141"/>
    <w:rsid w:val="00C1616D"/>
    <w:rsid w:val="00C227B2"/>
    <w:rsid w:val="00C23076"/>
    <w:rsid w:val="00C230A6"/>
    <w:rsid w:val="00C2363F"/>
    <w:rsid w:val="00C236C8"/>
    <w:rsid w:val="00C260B1"/>
    <w:rsid w:val="00C26E56"/>
    <w:rsid w:val="00C31406"/>
    <w:rsid w:val="00C33391"/>
    <w:rsid w:val="00C33475"/>
    <w:rsid w:val="00C337F4"/>
    <w:rsid w:val="00C37194"/>
    <w:rsid w:val="00C403F4"/>
    <w:rsid w:val="00C40637"/>
    <w:rsid w:val="00C40F6C"/>
    <w:rsid w:val="00C4119B"/>
    <w:rsid w:val="00C42941"/>
    <w:rsid w:val="00C44426"/>
    <w:rsid w:val="00C445F3"/>
    <w:rsid w:val="00C451F4"/>
    <w:rsid w:val="00C453AF"/>
    <w:rsid w:val="00C45EB1"/>
    <w:rsid w:val="00C466CD"/>
    <w:rsid w:val="00C468E6"/>
    <w:rsid w:val="00C51C3E"/>
    <w:rsid w:val="00C524B4"/>
    <w:rsid w:val="00C543C6"/>
    <w:rsid w:val="00C545C6"/>
    <w:rsid w:val="00C54A3A"/>
    <w:rsid w:val="00C55566"/>
    <w:rsid w:val="00C56448"/>
    <w:rsid w:val="00C574F9"/>
    <w:rsid w:val="00C604A7"/>
    <w:rsid w:val="00C60956"/>
    <w:rsid w:val="00C60F22"/>
    <w:rsid w:val="00C61917"/>
    <w:rsid w:val="00C61F32"/>
    <w:rsid w:val="00C62C82"/>
    <w:rsid w:val="00C667BE"/>
    <w:rsid w:val="00C66E4C"/>
    <w:rsid w:val="00C6766B"/>
    <w:rsid w:val="00C70F47"/>
    <w:rsid w:val="00C715E5"/>
    <w:rsid w:val="00C72223"/>
    <w:rsid w:val="00C72E98"/>
    <w:rsid w:val="00C730B1"/>
    <w:rsid w:val="00C76417"/>
    <w:rsid w:val="00C76F50"/>
    <w:rsid w:val="00C7702C"/>
    <w:rsid w:val="00C7726F"/>
    <w:rsid w:val="00C814FB"/>
    <w:rsid w:val="00C81B56"/>
    <w:rsid w:val="00C823DA"/>
    <w:rsid w:val="00C8259F"/>
    <w:rsid w:val="00C82746"/>
    <w:rsid w:val="00C8312F"/>
    <w:rsid w:val="00C84C47"/>
    <w:rsid w:val="00C858A4"/>
    <w:rsid w:val="00C86AFA"/>
    <w:rsid w:val="00C8704B"/>
    <w:rsid w:val="00C90AB2"/>
    <w:rsid w:val="00C91019"/>
    <w:rsid w:val="00C923A3"/>
    <w:rsid w:val="00C928F2"/>
    <w:rsid w:val="00C943B7"/>
    <w:rsid w:val="00C94713"/>
    <w:rsid w:val="00C95698"/>
    <w:rsid w:val="00C96252"/>
    <w:rsid w:val="00C9635D"/>
    <w:rsid w:val="00C96441"/>
    <w:rsid w:val="00CA2A99"/>
    <w:rsid w:val="00CA30EA"/>
    <w:rsid w:val="00CA575F"/>
    <w:rsid w:val="00CA74CA"/>
    <w:rsid w:val="00CB09D5"/>
    <w:rsid w:val="00CB18D0"/>
    <w:rsid w:val="00CB1C8A"/>
    <w:rsid w:val="00CB24F5"/>
    <w:rsid w:val="00CB2663"/>
    <w:rsid w:val="00CB3BBE"/>
    <w:rsid w:val="00CB5611"/>
    <w:rsid w:val="00CB59E9"/>
    <w:rsid w:val="00CB5EE8"/>
    <w:rsid w:val="00CB77ED"/>
    <w:rsid w:val="00CC0647"/>
    <w:rsid w:val="00CC0D6A"/>
    <w:rsid w:val="00CC12CE"/>
    <w:rsid w:val="00CC30AC"/>
    <w:rsid w:val="00CC364D"/>
    <w:rsid w:val="00CC3831"/>
    <w:rsid w:val="00CC3E3D"/>
    <w:rsid w:val="00CC519B"/>
    <w:rsid w:val="00CC7EDC"/>
    <w:rsid w:val="00CD0EB4"/>
    <w:rsid w:val="00CD12C1"/>
    <w:rsid w:val="00CD214E"/>
    <w:rsid w:val="00CD2BF4"/>
    <w:rsid w:val="00CD3BAB"/>
    <w:rsid w:val="00CD4117"/>
    <w:rsid w:val="00CD46FA"/>
    <w:rsid w:val="00CD5973"/>
    <w:rsid w:val="00CD5B36"/>
    <w:rsid w:val="00CD5C77"/>
    <w:rsid w:val="00CD71D0"/>
    <w:rsid w:val="00CD7B27"/>
    <w:rsid w:val="00CD7B8C"/>
    <w:rsid w:val="00CE1EAA"/>
    <w:rsid w:val="00CE2D1C"/>
    <w:rsid w:val="00CE31A6"/>
    <w:rsid w:val="00CE7796"/>
    <w:rsid w:val="00CF09AA"/>
    <w:rsid w:val="00CF4164"/>
    <w:rsid w:val="00CF47B8"/>
    <w:rsid w:val="00CF4813"/>
    <w:rsid w:val="00CF5233"/>
    <w:rsid w:val="00CF669D"/>
    <w:rsid w:val="00D0265A"/>
    <w:rsid w:val="00D029B8"/>
    <w:rsid w:val="00D02F60"/>
    <w:rsid w:val="00D0464E"/>
    <w:rsid w:val="00D04A96"/>
    <w:rsid w:val="00D05AD4"/>
    <w:rsid w:val="00D074E5"/>
    <w:rsid w:val="00D07624"/>
    <w:rsid w:val="00D078BF"/>
    <w:rsid w:val="00D07A7B"/>
    <w:rsid w:val="00D10E06"/>
    <w:rsid w:val="00D1447C"/>
    <w:rsid w:val="00D14CD1"/>
    <w:rsid w:val="00D15197"/>
    <w:rsid w:val="00D16820"/>
    <w:rsid w:val="00D169C8"/>
    <w:rsid w:val="00D17173"/>
    <w:rsid w:val="00D1793F"/>
    <w:rsid w:val="00D209B4"/>
    <w:rsid w:val="00D21782"/>
    <w:rsid w:val="00D22AF5"/>
    <w:rsid w:val="00D235EA"/>
    <w:rsid w:val="00D247A9"/>
    <w:rsid w:val="00D260A8"/>
    <w:rsid w:val="00D27EA1"/>
    <w:rsid w:val="00D30B78"/>
    <w:rsid w:val="00D30C0A"/>
    <w:rsid w:val="00D32721"/>
    <w:rsid w:val="00D328DC"/>
    <w:rsid w:val="00D33387"/>
    <w:rsid w:val="00D34960"/>
    <w:rsid w:val="00D402FB"/>
    <w:rsid w:val="00D4055E"/>
    <w:rsid w:val="00D421BA"/>
    <w:rsid w:val="00D45E36"/>
    <w:rsid w:val="00D469A7"/>
    <w:rsid w:val="00D4745B"/>
    <w:rsid w:val="00D47D7A"/>
    <w:rsid w:val="00D50ABD"/>
    <w:rsid w:val="00D51ECB"/>
    <w:rsid w:val="00D52A86"/>
    <w:rsid w:val="00D5434A"/>
    <w:rsid w:val="00D55290"/>
    <w:rsid w:val="00D56319"/>
    <w:rsid w:val="00D57791"/>
    <w:rsid w:val="00D6046A"/>
    <w:rsid w:val="00D61EA2"/>
    <w:rsid w:val="00D62870"/>
    <w:rsid w:val="00D64068"/>
    <w:rsid w:val="00D64F9A"/>
    <w:rsid w:val="00D655D9"/>
    <w:rsid w:val="00D65833"/>
    <w:rsid w:val="00D65872"/>
    <w:rsid w:val="00D676F3"/>
    <w:rsid w:val="00D67D3F"/>
    <w:rsid w:val="00D70282"/>
    <w:rsid w:val="00D706E6"/>
    <w:rsid w:val="00D70EF5"/>
    <w:rsid w:val="00D71024"/>
    <w:rsid w:val="00D71A25"/>
    <w:rsid w:val="00D71FCF"/>
    <w:rsid w:val="00D72A54"/>
    <w:rsid w:val="00D72B66"/>
    <w:rsid w:val="00D72CC1"/>
    <w:rsid w:val="00D76EC9"/>
    <w:rsid w:val="00D777AE"/>
    <w:rsid w:val="00D77D00"/>
    <w:rsid w:val="00D80E7D"/>
    <w:rsid w:val="00D81397"/>
    <w:rsid w:val="00D848B9"/>
    <w:rsid w:val="00D84E69"/>
    <w:rsid w:val="00D877F4"/>
    <w:rsid w:val="00D901A7"/>
    <w:rsid w:val="00D90E69"/>
    <w:rsid w:val="00D91368"/>
    <w:rsid w:val="00D93106"/>
    <w:rsid w:val="00D933E9"/>
    <w:rsid w:val="00D94904"/>
    <w:rsid w:val="00D9505D"/>
    <w:rsid w:val="00D953D0"/>
    <w:rsid w:val="00D959F5"/>
    <w:rsid w:val="00D96884"/>
    <w:rsid w:val="00D97391"/>
    <w:rsid w:val="00DA0FC0"/>
    <w:rsid w:val="00DA25A2"/>
    <w:rsid w:val="00DA2F39"/>
    <w:rsid w:val="00DA3FDD"/>
    <w:rsid w:val="00DA53B1"/>
    <w:rsid w:val="00DA560C"/>
    <w:rsid w:val="00DA64A2"/>
    <w:rsid w:val="00DA6AE2"/>
    <w:rsid w:val="00DA7017"/>
    <w:rsid w:val="00DA7028"/>
    <w:rsid w:val="00DB01A4"/>
    <w:rsid w:val="00DB0AD1"/>
    <w:rsid w:val="00DB1AD2"/>
    <w:rsid w:val="00DB2B58"/>
    <w:rsid w:val="00DB362C"/>
    <w:rsid w:val="00DB4E28"/>
    <w:rsid w:val="00DB5206"/>
    <w:rsid w:val="00DB6276"/>
    <w:rsid w:val="00DB63F5"/>
    <w:rsid w:val="00DC1C6B"/>
    <w:rsid w:val="00DC2C2E"/>
    <w:rsid w:val="00DC35D8"/>
    <w:rsid w:val="00DC4AF0"/>
    <w:rsid w:val="00DC687B"/>
    <w:rsid w:val="00DC7886"/>
    <w:rsid w:val="00DD02B3"/>
    <w:rsid w:val="00DD0CF2"/>
    <w:rsid w:val="00DD11AB"/>
    <w:rsid w:val="00DD1B3C"/>
    <w:rsid w:val="00DD284F"/>
    <w:rsid w:val="00DD4B2B"/>
    <w:rsid w:val="00DD4D51"/>
    <w:rsid w:val="00DD531D"/>
    <w:rsid w:val="00DE1018"/>
    <w:rsid w:val="00DE1554"/>
    <w:rsid w:val="00DE2901"/>
    <w:rsid w:val="00DE590F"/>
    <w:rsid w:val="00DE65FE"/>
    <w:rsid w:val="00DE7DC1"/>
    <w:rsid w:val="00DF0A12"/>
    <w:rsid w:val="00DF3F7E"/>
    <w:rsid w:val="00DF679C"/>
    <w:rsid w:val="00DF7648"/>
    <w:rsid w:val="00E009C0"/>
    <w:rsid w:val="00E00E29"/>
    <w:rsid w:val="00E01A76"/>
    <w:rsid w:val="00E02427"/>
    <w:rsid w:val="00E02BAB"/>
    <w:rsid w:val="00E03921"/>
    <w:rsid w:val="00E04CEB"/>
    <w:rsid w:val="00E05C6B"/>
    <w:rsid w:val="00E060BC"/>
    <w:rsid w:val="00E11420"/>
    <w:rsid w:val="00E12562"/>
    <w:rsid w:val="00E1316A"/>
    <w:rsid w:val="00E132FB"/>
    <w:rsid w:val="00E13D43"/>
    <w:rsid w:val="00E1447B"/>
    <w:rsid w:val="00E15605"/>
    <w:rsid w:val="00E170B7"/>
    <w:rsid w:val="00E177DD"/>
    <w:rsid w:val="00E20900"/>
    <w:rsid w:val="00E20C7F"/>
    <w:rsid w:val="00E2396E"/>
    <w:rsid w:val="00E24284"/>
    <w:rsid w:val="00E24483"/>
    <w:rsid w:val="00E24728"/>
    <w:rsid w:val="00E276AC"/>
    <w:rsid w:val="00E314B3"/>
    <w:rsid w:val="00E32591"/>
    <w:rsid w:val="00E33ED1"/>
    <w:rsid w:val="00E34A35"/>
    <w:rsid w:val="00E37C2F"/>
    <w:rsid w:val="00E41C28"/>
    <w:rsid w:val="00E423CB"/>
    <w:rsid w:val="00E42941"/>
    <w:rsid w:val="00E4546E"/>
    <w:rsid w:val="00E46308"/>
    <w:rsid w:val="00E51E17"/>
    <w:rsid w:val="00E52DAB"/>
    <w:rsid w:val="00E539B0"/>
    <w:rsid w:val="00E53A98"/>
    <w:rsid w:val="00E55994"/>
    <w:rsid w:val="00E572BF"/>
    <w:rsid w:val="00E57B4D"/>
    <w:rsid w:val="00E57CE2"/>
    <w:rsid w:val="00E60606"/>
    <w:rsid w:val="00E60C66"/>
    <w:rsid w:val="00E6164D"/>
    <w:rsid w:val="00E618C9"/>
    <w:rsid w:val="00E62774"/>
    <w:rsid w:val="00E62A77"/>
    <w:rsid w:val="00E6307C"/>
    <w:rsid w:val="00E636FA"/>
    <w:rsid w:val="00E66C50"/>
    <w:rsid w:val="00E679D3"/>
    <w:rsid w:val="00E67CC8"/>
    <w:rsid w:val="00E702FF"/>
    <w:rsid w:val="00E711B3"/>
    <w:rsid w:val="00E71208"/>
    <w:rsid w:val="00E71444"/>
    <w:rsid w:val="00E71C91"/>
    <w:rsid w:val="00E720A1"/>
    <w:rsid w:val="00E74C2F"/>
    <w:rsid w:val="00E74DEB"/>
    <w:rsid w:val="00E75DDA"/>
    <w:rsid w:val="00E773E8"/>
    <w:rsid w:val="00E83ADD"/>
    <w:rsid w:val="00E84AF9"/>
    <w:rsid w:val="00E84F38"/>
    <w:rsid w:val="00E85623"/>
    <w:rsid w:val="00E87328"/>
    <w:rsid w:val="00E87441"/>
    <w:rsid w:val="00E91FAE"/>
    <w:rsid w:val="00E959CD"/>
    <w:rsid w:val="00E9617F"/>
    <w:rsid w:val="00E96E3F"/>
    <w:rsid w:val="00E976CE"/>
    <w:rsid w:val="00EA12F0"/>
    <w:rsid w:val="00EA270C"/>
    <w:rsid w:val="00EA4974"/>
    <w:rsid w:val="00EA532E"/>
    <w:rsid w:val="00EA5B47"/>
    <w:rsid w:val="00EA7E84"/>
    <w:rsid w:val="00EB06D9"/>
    <w:rsid w:val="00EB192B"/>
    <w:rsid w:val="00EB19ED"/>
    <w:rsid w:val="00EB1CAB"/>
    <w:rsid w:val="00EB6C2C"/>
    <w:rsid w:val="00EB6DAC"/>
    <w:rsid w:val="00EC0F5A"/>
    <w:rsid w:val="00EC4265"/>
    <w:rsid w:val="00EC4CEB"/>
    <w:rsid w:val="00EC5611"/>
    <w:rsid w:val="00EC5954"/>
    <w:rsid w:val="00EC5BDD"/>
    <w:rsid w:val="00EC5D49"/>
    <w:rsid w:val="00EC5D7D"/>
    <w:rsid w:val="00EC659E"/>
    <w:rsid w:val="00EC7BB9"/>
    <w:rsid w:val="00EC7F04"/>
    <w:rsid w:val="00ED2072"/>
    <w:rsid w:val="00ED2AE0"/>
    <w:rsid w:val="00ED457D"/>
    <w:rsid w:val="00ED5482"/>
    <w:rsid w:val="00ED5553"/>
    <w:rsid w:val="00ED5E36"/>
    <w:rsid w:val="00ED6456"/>
    <w:rsid w:val="00ED6961"/>
    <w:rsid w:val="00ED73EF"/>
    <w:rsid w:val="00EE3897"/>
    <w:rsid w:val="00EF0B96"/>
    <w:rsid w:val="00EF2EB2"/>
    <w:rsid w:val="00EF3486"/>
    <w:rsid w:val="00EF47AF"/>
    <w:rsid w:val="00EF4974"/>
    <w:rsid w:val="00EF5089"/>
    <w:rsid w:val="00EF53B6"/>
    <w:rsid w:val="00EF5A2F"/>
    <w:rsid w:val="00EF6C76"/>
    <w:rsid w:val="00EF7F6E"/>
    <w:rsid w:val="00F00B73"/>
    <w:rsid w:val="00F00B8A"/>
    <w:rsid w:val="00F02DE2"/>
    <w:rsid w:val="00F037C4"/>
    <w:rsid w:val="00F070C3"/>
    <w:rsid w:val="00F10A94"/>
    <w:rsid w:val="00F115CA"/>
    <w:rsid w:val="00F11979"/>
    <w:rsid w:val="00F14817"/>
    <w:rsid w:val="00F14A7B"/>
    <w:rsid w:val="00F14EBA"/>
    <w:rsid w:val="00F1510F"/>
    <w:rsid w:val="00F1533A"/>
    <w:rsid w:val="00F15E5A"/>
    <w:rsid w:val="00F1749F"/>
    <w:rsid w:val="00F176D4"/>
    <w:rsid w:val="00F17F0A"/>
    <w:rsid w:val="00F2013F"/>
    <w:rsid w:val="00F221D3"/>
    <w:rsid w:val="00F229CD"/>
    <w:rsid w:val="00F2668F"/>
    <w:rsid w:val="00F2742F"/>
    <w:rsid w:val="00F2753B"/>
    <w:rsid w:val="00F316AA"/>
    <w:rsid w:val="00F33E71"/>
    <w:rsid w:val="00F33F8B"/>
    <w:rsid w:val="00F340B2"/>
    <w:rsid w:val="00F345C0"/>
    <w:rsid w:val="00F356B9"/>
    <w:rsid w:val="00F36134"/>
    <w:rsid w:val="00F413C8"/>
    <w:rsid w:val="00F42D53"/>
    <w:rsid w:val="00F43390"/>
    <w:rsid w:val="00F433F9"/>
    <w:rsid w:val="00F443B2"/>
    <w:rsid w:val="00F458D8"/>
    <w:rsid w:val="00F501EC"/>
    <w:rsid w:val="00F50237"/>
    <w:rsid w:val="00F53596"/>
    <w:rsid w:val="00F54972"/>
    <w:rsid w:val="00F55BA8"/>
    <w:rsid w:val="00F55DB1"/>
    <w:rsid w:val="00F56ACA"/>
    <w:rsid w:val="00F600FE"/>
    <w:rsid w:val="00F60243"/>
    <w:rsid w:val="00F619CE"/>
    <w:rsid w:val="00F62E4D"/>
    <w:rsid w:val="00F642D4"/>
    <w:rsid w:val="00F66B34"/>
    <w:rsid w:val="00F675B9"/>
    <w:rsid w:val="00F711C9"/>
    <w:rsid w:val="00F7137A"/>
    <w:rsid w:val="00F71A6F"/>
    <w:rsid w:val="00F72DF5"/>
    <w:rsid w:val="00F7480F"/>
    <w:rsid w:val="00F74C59"/>
    <w:rsid w:val="00F75C3A"/>
    <w:rsid w:val="00F800B9"/>
    <w:rsid w:val="00F82848"/>
    <w:rsid w:val="00F82E30"/>
    <w:rsid w:val="00F831CB"/>
    <w:rsid w:val="00F83BC8"/>
    <w:rsid w:val="00F83C5A"/>
    <w:rsid w:val="00F84320"/>
    <w:rsid w:val="00F845FA"/>
    <w:rsid w:val="00F848A3"/>
    <w:rsid w:val="00F84ACF"/>
    <w:rsid w:val="00F85742"/>
    <w:rsid w:val="00F85BF8"/>
    <w:rsid w:val="00F871CE"/>
    <w:rsid w:val="00F87802"/>
    <w:rsid w:val="00F920F7"/>
    <w:rsid w:val="00F92415"/>
    <w:rsid w:val="00F92B3A"/>
    <w:rsid w:val="00F92C0A"/>
    <w:rsid w:val="00F9415B"/>
    <w:rsid w:val="00F94165"/>
    <w:rsid w:val="00F96F76"/>
    <w:rsid w:val="00F97715"/>
    <w:rsid w:val="00FA00CB"/>
    <w:rsid w:val="00FA13C2"/>
    <w:rsid w:val="00FA3BB5"/>
    <w:rsid w:val="00FA4960"/>
    <w:rsid w:val="00FA4E26"/>
    <w:rsid w:val="00FA569E"/>
    <w:rsid w:val="00FA7043"/>
    <w:rsid w:val="00FA7F91"/>
    <w:rsid w:val="00FB121C"/>
    <w:rsid w:val="00FB1CDD"/>
    <w:rsid w:val="00FB1FBF"/>
    <w:rsid w:val="00FB2C2F"/>
    <w:rsid w:val="00FB305C"/>
    <w:rsid w:val="00FB5D11"/>
    <w:rsid w:val="00FB68B3"/>
    <w:rsid w:val="00FC2D51"/>
    <w:rsid w:val="00FC2E3D"/>
    <w:rsid w:val="00FC3BDE"/>
    <w:rsid w:val="00FC4BC3"/>
    <w:rsid w:val="00FC4C66"/>
    <w:rsid w:val="00FD1503"/>
    <w:rsid w:val="00FD1DBE"/>
    <w:rsid w:val="00FD25A7"/>
    <w:rsid w:val="00FD27B6"/>
    <w:rsid w:val="00FD3448"/>
    <w:rsid w:val="00FD3689"/>
    <w:rsid w:val="00FD3B6A"/>
    <w:rsid w:val="00FD42A3"/>
    <w:rsid w:val="00FD43F6"/>
    <w:rsid w:val="00FD44A3"/>
    <w:rsid w:val="00FD59C4"/>
    <w:rsid w:val="00FD7468"/>
    <w:rsid w:val="00FD7CE0"/>
    <w:rsid w:val="00FD7D92"/>
    <w:rsid w:val="00FE093F"/>
    <w:rsid w:val="00FE0B3B"/>
    <w:rsid w:val="00FE1BE2"/>
    <w:rsid w:val="00FE3CB8"/>
    <w:rsid w:val="00FE475C"/>
    <w:rsid w:val="00FE730A"/>
    <w:rsid w:val="00FF1DD7"/>
    <w:rsid w:val="00FF43B9"/>
    <w:rsid w:val="00FF4453"/>
    <w:rsid w:val="00FF45D8"/>
    <w:rsid w:val="00FF4F38"/>
    <w:rsid w:val="00FF6B14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06C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E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D42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D4237"/>
    <w:pPr>
      <w:keepNext/>
      <w:widowControl/>
      <w:autoSpaceDE/>
      <w:autoSpaceDN/>
      <w:adjustRightInd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722C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3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D4237"/>
    <w:rPr>
      <w:rFonts w:ascii="Arial" w:hAnsi="Arial" w:cs="Arial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2D42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237"/>
    <w:pPr>
      <w:widowControl/>
      <w:autoSpaceDE/>
      <w:autoSpaceDN/>
      <w:adjustRightInd/>
      <w:spacing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237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2D423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D4237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2D423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D4237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D4237"/>
    <w:pPr>
      <w:widowControl/>
      <w:autoSpaceDE/>
      <w:autoSpaceDN/>
      <w:adjustRightInd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D42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D42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4237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42722C"/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2722C"/>
    <w:pPr>
      <w:autoSpaceDE w:val="0"/>
      <w:autoSpaceDN w:val="0"/>
      <w:adjustRightInd w:val="0"/>
      <w:spacing w:line="240" w:lineRule="auto"/>
    </w:pPr>
    <w:rPr>
      <w:rFonts w:ascii="EUAlbertina" w:eastAsia="Calibri" w:hAnsi="EUAlbertina" w:cs="EUAlbertina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42722C"/>
  </w:style>
  <w:style w:type="table" w:customStyle="1" w:styleId="Tabela-Siatka1">
    <w:name w:val="Tabela - Siatka1"/>
    <w:basedOn w:val="Standardowy"/>
    <w:next w:val="Tabela-Siatka"/>
    <w:uiPriority w:val="39"/>
    <w:rsid w:val="0042722C"/>
    <w:pPr>
      <w:spacing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C43B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pl/web/cyfryzacj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ikolaj.garstka@cyfr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minik.sybilski@cyfr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nna.gos@cyfra.gov.pl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?uri=CELEX%3A52016XC0719%2805%29" TargetMode="External"/><Relationship Id="rId1" Type="http://schemas.openxmlformats.org/officeDocument/2006/relationships/hyperlink" Target="https://eur-lex.europa.eu/legal-content/PL/TXT/?uri=CELEX%3A52016XC0719%2805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D44EC6-A828-4F94-B271-83B77327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5491</Words>
  <Characters>32952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2023-09-08T10:50:00Z</dcterms:created>
  <dcterms:modified xsi:type="dcterms:W3CDTF">2023-09-08T10:50:00Z</dcterms:modified>
  <cp:category/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