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A0" w:firstRow="1" w:lastRow="0" w:firstColumn="1" w:lastColumn="0" w:noHBand="0" w:noVBand="0"/>
      </w:tblPr>
      <w:tblGrid>
        <w:gridCol w:w="1079"/>
        <w:gridCol w:w="255"/>
        <w:gridCol w:w="182"/>
        <w:gridCol w:w="73"/>
        <w:gridCol w:w="890"/>
        <w:gridCol w:w="394"/>
        <w:gridCol w:w="387"/>
        <w:gridCol w:w="289"/>
        <w:gridCol w:w="496"/>
        <w:gridCol w:w="402"/>
        <w:gridCol w:w="383"/>
        <w:gridCol w:w="266"/>
        <w:gridCol w:w="260"/>
        <w:gridCol w:w="255"/>
        <w:gridCol w:w="408"/>
        <w:gridCol w:w="381"/>
        <w:gridCol w:w="266"/>
        <w:gridCol w:w="266"/>
        <w:gridCol w:w="253"/>
        <w:gridCol w:w="199"/>
        <w:gridCol w:w="197"/>
        <w:gridCol w:w="197"/>
        <w:gridCol w:w="188"/>
        <w:gridCol w:w="369"/>
        <w:gridCol w:w="419"/>
        <w:gridCol w:w="794"/>
        <w:gridCol w:w="98"/>
        <w:gridCol w:w="823"/>
      </w:tblGrid>
      <w:tr w:rsidR="000F1B94" w:rsidRPr="008B4FE6" w14:paraId="448926EF" w14:textId="77777777" w:rsidTr="00E625E7">
        <w:trPr>
          <w:trHeight w:val="1611"/>
        </w:trPr>
        <w:tc>
          <w:tcPr>
            <w:tcW w:w="3184" w:type="pct"/>
            <w:gridSpan w:val="17"/>
          </w:tcPr>
          <w:p w14:paraId="1A43A36A" w14:textId="77777777" w:rsidR="006A701A" w:rsidRPr="008B4FE6" w:rsidRDefault="006A701A" w:rsidP="00616511">
            <w:pPr>
              <w:spacing w:before="120"/>
              <w:ind w:hanging="45"/>
              <w:rPr>
                <w:color w:val="000000"/>
              </w:rPr>
            </w:pPr>
            <w:bookmarkStart w:id="0" w:name="t1"/>
            <w:r w:rsidRPr="008B4FE6">
              <w:rPr>
                <w:b/>
                <w:color w:val="000000"/>
              </w:rPr>
              <w:t xml:space="preserve">Nazwa </w:t>
            </w:r>
            <w:r w:rsidR="001B75D8">
              <w:rPr>
                <w:b/>
                <w:color w:val="000000"/>
              </w:rPr>
              <w:t>projektu</w:t>
            </w:r>
          </w:p>
          <w:p w14:paraId="2FE0D574" w14:textId="17D13E4D" w:rsidR="006A701A" w:rsidRPr="008B4FE6" w:rsidRDefault="00FC78C7" w:rsidP="00A52ADB">
            <w:pPr>
              <w:ind w:hanging="34"/>
              <w:rPr>
                <w:color w:val="000000"/>
              </w:rPr>
            </w:pPr>
            <w:r>
              <w:rPr>
                <w:color w:val="000000"/>
              </w:rPr>
              <w:t>U</w:t>
            </w:r>
            <w:r w:rsidR="00861467">
              <w:rPr>
                <w:color w:val="000000"/>
              </w:rPr>
              <w:t>staw</w:t>
            </w:r>
            <w:r>
              <w:rPr>
                <w:color w:val="000000"/>
              </w:rPr>
              <w:t>a</w:t>
            </w:r>
            <w:r w:rsidR="00861467">
              <w:rPr>
                <w:color w:val="000000"/>
              </w:rPr>
              <w:t xml:space="preserve"> o zmianie ustawy o krajowym systemie </w:t>
            </w:r>
            <w:proofErr w:type="spellStart"/>
            <w:r w:rsidR="00861467">
              <w:rPr>
                <w:color w:val="000000"/>
              </w:rPr>
              <w:t>cyberbezpieczeństwa</w:t>
            </w:r>
            <w:proofErr w:type="spellEnd"/>
            <w:r w:rsidR="00861467">
              <w:rPr>
                <w:color w:val="000000"/>
              </w:rPr>
              <w:t xml:space="preserve"> oraz niektórych innych ustaw</w:t>
            </w:r>
          </w:p>
          <w:p w14:paraId="5F69829A" w14:textId="2F6E87C4" w:rsidR="006A701A" w:rsidRPr="008B4FE6" w:rsidRDefault="006A701A" w:rsidP="00616511">
            <w:pPr>
              <w:spacing w:before="120"/>
              <w:ind w:hanging="45"/>
              <w:rPr>
                <w:b/>
                <w:color w:val="000000"/>
              </w:rPr>
            </w:pPr>
            <w:r w:rsidRPr="008B4FE6">
              <w:rPr>
                <w:b/>
                <w:color w:val="000000"/>
              </w:rPr>
              <w:t>Ministerstwo wiodące</w:t>
            </w:r>
            <w:r w:rsidR="00E32125">
              <w:rPr>
                <w:b/>
                <w:color w:val="000000"/>
              </w:rPr>
              <w:t xml:space="preserve"> i </w:t>
            </w:r>
            <w:r w:rsidRPr="008B4FE6">
              <w:rPr>
                <w:b/>
                <w:color w:val="000000"/>
              </w:rPr>
              <w:t>ministerstwa współpracujące</w:t>
            </w:r>
          </w:p>
          <w:bookmarkEnd w:id="0"/>
          <w:p w14:paraId="6DC44860" w14:textId="3E5B2A6B" w:rsidR="006A701A" w:rsidRDefault="00861467" w:rsidP="00A52ADB">
            <w:pPr>
              <w:ind w:hanging="34"/>
              <w:rPr>
                <w:color w:val="000000"/>
              </w:rPr>
            </w:pPr>
            <w:r>
              <w:rPr>
                <w:color w:val="000000"/>
              </w:rPr>
              <w:t>Ministerstwo Cyfryzacji</w:t>
            </w:r>
          </w:p>
          <w:p w14:paraId="1E198370" w14:textId="4A7717E6" w:rsidR="001B3460" w:rsidRPr="00DF5E95" w:rsidRDefault="001B3460" w:rsidP="001B3460">
            <w:pPr>
              <w:rPr>
                <w:b/>
              </w:rPr>
            </w:pPr>
            <w:r w:rsidRPr="00DF5E95">
              <w:rPr>
                <w:b/>
              </w:rPr>
              <w:t>Osoba odpowiedzialna za projekt</w:t>
            </w:r>
            <w:r w:rsidR="00E32125" w:rsidRPr="00DF5E95">
              <w:rPr>
                <w:b/>
              </w:rPr>
              <w:t xml:space="preserve"> w </w:t>
            </w:r>
            <w:r w:rsidRPr="00DF5E95">
              <w:rPr>
                <w:b/>
              </w:rPr>
              <w:t xml:space="preserve">randze Ministra, Sekretarza Stanu lub Podsekretarza Stanu </w:t>
            </w:r>
          </w:p>
          <w:p w14:paraId="53D41D34" w14:textId="55DCA1E7" w:rsidR="001B3460" w:rsidRPr="00875DBE" w:rsidRDefault="00861467" w:rsidP="001B3460">
            <w:r w:rsidRPr="00875DBE">
              <w:t>Paweł Olszewski</w:t>
            </w:r>
          </w:p>
          <w:p w14:paraId="1A0B67C3" w14:textId="0C3C0279" w:rsidR="00861467" w:rsidRPr="00875DBE" w:rsidRDefault="00861467" w:rsidP="001B3460">
            <w:r w:rsidRPr="00875DBE">
              <w:t>Sekretarz Stanu</w:t>
            </w:r>
            <w:r w:rsidR="00E32125" w:rsidRPr="00875DBE">
              <w:t xml:space="preserve"> w </w:t>
            </w:r>
            <w:r w:rsidRPr="00875DBE">
              <w:t>Ministerstwie Cyfryzacji</w:t>
            </w:r>
          </w:p>
          <w:p w14:paraId="0B71329B" w14:textId="77777777" w:rsidR="006A701A" w:rsidRPr="008B4FE6" w:rsidRDefault="006A701A" w:rsidP="00616511">
            <w:pPr>
              <w:spacing w:before="120"/>
              <w:ind w:hanging="45"/>
              <w:rPr>
                <w:b/>
                <w:color w:val="000000"/>
              </w:rPr>
            </w:pPr>
            <w:r w:rsidRPr="008B4FE6">
              <w:rPr>
                <w:b/>
                <w:color w:val="000000"/>
              </w:rPr>
              <w:t>Kontakt do opiekuna merytorycznego projektu</w:t>
            </w:r>
          </w:p>
          <w:p w14:paraId="3185C361" w14:textId="7537907B" w:rsidR="006A701A" w:rsidRDefault="00861467" w:rsidP="00A17CB2">
            <w:pPr>
              <w:ind w:hanging="34"/>
              <w:rPr>
                <w:color w:val="000000"/>
              </w:rPr>
            </w:pPr>
            <w:r>
              <w:rPr>
                <w:color w:val="000000"/>
              </w:rPr>
              <w:t>Łukasz Wojewoda, Dyrektor</w:t>
            </w:r>
          </w:p>
          <w:p w14:paraId="60D7A6DF" w14:textId="547E4350" w:rsidR="00861467" w:rsidRDefault="00861467" w:rsidP="00A17CB2">
            <w:pPr>
              <w:ind w:hanging="34"/>
              <w:rPr>
                <w:color w:val="000000"/>
              </w:rPr>
            </w:pPr>
            <w:r>
              <w:rPr>
                <w:color w:val="000000"/>
              </w:rPr>
              <w:t>Marcin Wysocki, Zastępca Dyrektora</w:t>
            </w:r>
          </w:p>
          <w:p w14:paraId="5A76FF6F" w14:textId="77777777" w:rsidR="00861467" w:rsidRDefault="00861467" w:rsidP="00A17CB2">
            <w:pPr>
              <w:ind w:hanging="34"/>
              <w:rPr>
                <w:color w:val="000000"/>
              </w:rPr>
            </w:pPr>
            <w:r>
              <w:rPr>
                <w:color w:val="000000"/>
              </w:rPr>
              <w:t xml:space="preserve">Departament </w:t>
            </w:r>
            <w:proofErr w:type="spellStart"/>
            <w:r>
              <w:rPr>
                <w:color w:val="000000"/>
              </w:rPr>
              <w:t>Cyberbezpieczeństwa</w:t>
            </w:r>
            <w:proofErr w:type="spellEnd"/>
            <w:r>
              <w:rPr>
                <w:color w:val="000000"/>
              </w:rPr>
              <w:t xml:space="preserve"> Ministerstwa Cyfryzacji</w:t>
            </w:r>
          </w:p>
          <w:p w14:paraId="3D7F7D9B" w14:textId="087C5FE3" w:rsidR="00861467" w:rsidRPr="00672C73" w:rsidRDefault="00101F25" w:rsidP="00A17CB2">
            <w:pPr>
              <w:ind w:hanging="34"/>
              <w:rPr>
                <w:color w:val="000000"/>
                <w:lang w:val="en-GB"/>
              </w:rPr>
            </w:pPr>
            <w:r w:rsidRPr="00672C73">
              <w:rPr>
                <w:color w:val="000000"/>
                <w:lang w:val="en-GB"/>
              </w:rPr>
              <w:t xml:space="preserve">email: </w:t>
            </w:r>
            <w:hyperlink r:id="rId8" w:history="1">
              <w:r w:rsidRPr="00672C73">
                <w:rPr>
                  <w:rStyle w:val="Hipercze"/>
                  <w:lang w:val="en-GB"/>
                </w:rPr>
                <w:t>Sekretariat.DC@cyfra.gov.pl</w:t>
              </w:r>
            </w:hyperlink>
          </w:p>
          <w:p w14:paraId="10AF0834" w14:textId="63D0635F" w:rsidR="000803A8" w:rsidRPr="008B4FE6" w:rsidRDefault="004D7B35" w:rsidP="00A17CB2">
            <w:pPr>
              <w:ind w:hanging="34"/>
              <w:rPr>
                <w:color w:val="000000"/>
              </w:rPr>
            </w:pPr>
            <w:r>
              <w:rPr>
                <w:color w:val="000000"/>
              </w:rPr>
              <w:t>t</w:t>
            </w:r>
            <w:r w:rsidR="000803A8">
              <w:rPr>
                <w:color w:val="000000"/>
              </w:rPr>
              <w:t xml:space="preserve">el. </w:t>
            </w:r>
            <w:r w:rsidR="000803A8" w:rsidRPr="000803A8">
              <w:rPr>
                <w:color w:val="000000"/>
              </w:rPr>
              <w:t>+ 48 22 245 59 22</w:t>
            </w:r>
          </w:p>
        </w:tc>
        <w:tc>
          <w:tcPr>
            <w:tcW w:w="1816" w:type="pct"/>
            <w:gridSpan w:val="11"/>
            <w:shd w:val="clear" w:color="auto" w:fill="FFFFFF" w:themeFill="background1"/>
          </w:tcPr>
          <w:p w14:paraId="25DA6698" w14:textId="7AB78253" w:rsidR="001B3460" w:rsidRPr="00642825" w:rsidRDefault="001B3460" w:rsidP="005F603F">
            <w:pPr>
              <w:jc w:val="left"/>
              <w:rPr>
                <w:b/>
                <w:sz w:val="21"/>
                <w:szCs w:val="21"/>
              </w:rPr>
            </w:pPr>
            <w:r w:rsidRPr="00642825">
              <w:rPr>
                <w:b/>
                <w:sz w:val="21"/>
                <w:szCs w:val="21"/>
              </w:rPr>
              <w:t>Data sporządzenia</w:t>
            </w:r>
            <w:r w:rsidRPr="00642825">
              <w:rPr>
                <w:b/>
                <w:sz w:val="21"/>
                <w:szCs w:val="21"/>
              </w:rPr>
              <w:br/>
            </w:r>
            <w:sdt>
              <w:sdtPr>
                <w:id w:val="364174518"/>
                <w:placeholder>
                  <w:docPart w:val="DefaultPlaceholder_-1854013437"/>
                </w:placeholder>
                <w:date w:fullDate="2024-04-23T00:00:00Z">
                  <w:dateFormat w:val="dd.MM.yyyy"/>
                  <w:lid w:val="pl-PL"/>
                  <w:storeMappedDataAs w:val="dateTime"/>
                  <w:calendar w:val="gregorian"/>
                </w:date>
              </w:sdtPr>
              <w:sdtEndPr/>
              <w:sdtContent>
                <w:r w:rsidR="00D54FC8">
                  <w:t>23.04.2024</w:t>
                </w:r>
              </w:sdtContent>
            </w:sdt>
          </w:p>
          <w:p w14:paraId="469E956F" w14:textId="77777777" w:rsidR="00F76884" w:rsidRDefault="00F76884" w:rsidP="00F76884">
            <w:pPr>
              <w:rPr>
                <w:b/>
              </w:rPr>
            </w:pPr>
          </w:p>
          <w:p w14:paraId="4CD7905A" w14:textId="77777777" w:rsidR="00F76884" w:rsidRPr="0065019F" w:rsidRDefault="00F76884" w:rsidP="00F76884">
            <w:pPr>
              <w:rPr>
                <w:b/>
              </w:rPr>
            </w:pPr>
            <w:r w:rsidRPr="0065019F">
              <w:rPr>
                <w:b/>
              </w:rPr>
              <w:t xml:space="preserve">Źródło: </w:t>
            </w:r>
            <w:bookmarkStart w:id="1" w:name="Lista1"/>
          </w:p>
          <w:bookmarkEnd w:id="1"/>
          <w:p w14:paraId="223F2E45" w14:textId="66CE37AB" w:rsidR="00EE6083" w:rsidRDefault="00EE6083" w:rsidP="00BB6D3E">
            <w:pPr>
              <w:ind w:right="118"/>
            </w:pPr>
            <w:r>
              <w:t>D</w:t>
            </w:r>
            <w:r w:rsidRPr="00EE6083">
              <w:t>yrektyw</w:t>
            </w:r>
            <w:r>
              <w:t>a</w:t>
            </w:r>
            <w:r w:rsidRPr="00EE6083">
              <w:t xml:space="preserve"> Parlamentu Europejskiego</w:t>
            </w:r>
            <w:r w:rsidR="00E32125">
              <w:t xml:space="preserve"> i </w:t>
            </w:r>
            <w:r w:rsidRPr="00EE6083">
              <w:t>Rady (UE) 2022/2555</w:t>
            </w:r>
            <w:r w:rsidR="00E32125">
              <w:t xml:space="preserve"> z </w:t>
            </w:r>
            <w:r w:rsidRPr="00EE6083">
              <w:t>dnia 14 grudnia 2022 r.</w:t>
            </w:r>
            <w:r w:rsidR="00E32125">
              <w:t xml:space="preserve"> w </w:t>
            </w:r>
            <w:r w:rsidRPr="00EE6083">
              <w:t xml:space="preserve">sprawie środków na rzecz wysokiego wspólnego poziomu </w:t>
            </w:r>
            <w:proofErr w:type="spellStart"/>
            <w:r w:rsidRPr="00EE6083">
              <w:t>cyberbezpieczeństwa</w:t>
            </w:r>
            <w:proofErr w:type="spellEnd"/>
            <w:r w:rsidRPr="00EE6083">
              <w:t xml:space="preserve"> na terytorium Unii, zmieniająca rozporządzenie (UE) nr 910/2014</w:t>
            </w:r>
            <w:r w:rsidR="00E32125">
              <w:t xml:space="preserve"> i </w:t>
            </w:r>
            <w:r w:rsidRPr="00EE6083">
              <w:t>dyrektywę (UE) 2018/1972 oraz uchylająca dyrektywę (UE) 2016/1148 (dyrektywa NIS 2) (Dz. Urz. UE L 333</w:t>
            </w:r>
            <w:r w:rsidR="00E32125">
              <w:t xml:space="preserve"> z </w:t>
            </w:r>
            <w:r w:rsidRPr="00EE6083">
              <w:t>27.12.2022</w:t>
            </w:r>
            <w:r w:rsidR="00E058C4">
              <w:t>,</w:t>
            </w:r>
            <w:r w:rsidRPr="00EE6083">
              <w:t xml:space="preserve"> s</w:t>
            </w:r>
            <w:r w:rsidR="00E058C4">
              <w:t>tr</w:t>
            </w:r>
            <w:r w:rsidR="00672C73">
              <w:t>.</w:t>
            </w:r>
            <w:r w:rsidRPr="00EE6083">
              <w:t xml:space="preserve"> 80)</w:t>
            </w:r>
          </w:p>
          <w:p w14:paraId="43D7FC4C" w14:textId="52E8EE30" w:rsidR="00D425F9" w:rsidRPr="0065019F" w:rsidRDefault="00D425F9" w:rsidP="00BB6D3E">
            <w:pPr>
              <w:ind w:right="118"/>
            </w:pPr>
            <w:r>
              <w:t xml:space="preserve">Strategia </w:t>
            </w:r>
            <w:proofErr w:type="spellStart"/>
            <w:r>
              <w:t>Cyberbezpieczeństwa</w:t>
            </w:r>
            <w:proofErr w:type="spellEnd"/>
            <w:r>
              <w:t xml:space="preserve"> Rzeczypospolitej Polskiej na lata </w:t>
            </w:r>
            <w:r w:rsidR="00672C73">
              <w:br/>
            </w:r>
            <w:r>
              <w:t>2019–2024</w:t>
            </w:r>
          </w:p>
          <w:p w14:paraId="4574398C" w14:textId="76C89CFC" w:rsidR="00F76884" w:rsidRDefault="000248E8" w:rsidP="00BB6D3E">
            <w:pPr>
              <w:ind w:right="118"/>
            </w:pPr>
            <w:r>
              <w:t>K</w:t>
            </w:r>
            <w:r w:rsidRPr="000248E8">
              <w:t>amień milowy reformy C3.1. Krajowego Planu Odbudowy i</w:t>
            </w:r>
            <w:r w:rsidR="00E64E87">
              <w:t> </w:t>
            </w:r>
            <w:r w:rsidRPr="000248E8">
              <w:t>Zwiększania Odporności</w:t>
            </w:r>
          </w:p>
          <w:p w14:paraId="115EBA3C" w14:textId="26452CB4" w:rsidR="00734CF1" w:rsidRPr="0065019F" w:rsidRDefault="00734CF1" w:rsidP="00BB6D3E">
            <w:pPr>
              <w:ind w:right="118"/>
            </w:pPr>
            <w:r w:rsidRPr="00734CF1">
              <w:t xml:space="preserve">Inwestycja C3.1.1. </w:t>
            </w:r>
            <w:proofErr w:type="spellStart"/>
            <w:r w:rsidRPr="00734CF1">
              <w:t>Cyberbezpieczeństwo</w:t>
            </w:r>
            <w:proofErr w:type="spellEnd"/>
            <w:r w:rsidRPr="00734CF1">
              <w:t xml:space="preserve"> – </w:t>
            </w:r>
            <w:proofErr w:type="spellStart"/>
            <w:r w:rsidRPr="00734CF1">
              <w:t>CyberPL</w:t>
            </w:r>
            <w:proofErr w:type="spellEnd"/>
            <w:r w:rsidRPr="00734CF1">
              <w:t>, infrastruktura przetwarzania danych oraz optymalizacja infrastruktury służb państwowych odpowiedzialnych za bezpieczeństwo</w:t>
            </w:r>
          </w:p>
          <w:p w14:paraId="16D08AC0" w14:textId="6D0F9D04" w:rsidR="006A701A" w:rsidRPr="008B4FE6" w:rsidRDefault="006A701A" w:rsidP="007943E2">
            <w:pPr>
              <w:spacing w:before="120"/>
              <w:rPr>
                <w:b/>
                <w:color w:val="000000"/>
              </w:rPr>
            </w:pPr>
            <w:r w:rsidRPr="008B4FE6">
              <w:rPr>
                <w:b/>
                <w:color w:val="000000"/>
              </w:rPr>
              <w:t>Nr</w:t>
            </w:r>
            <w:r w:rsidR="00E32125">
              <w:rPr>
                <w:b/>
                <w:color w:val="000000"/>
              </w:rPr>
              <w:t xml:space="preserve"> w </w:t>
            </w:r>
            <w:r w:rsidRPr="008B4FE6">
              <w:rPr>
                <w:b/>
                <w:color w:val="000000"/>
              </w:rPr>
              <w:t>wykaz</w:t>
            </w:r>
            <w:r w:rsidR="0057668E">
              <w:rPr>
                <w:b/>
                <w:color w:val="000000"/>
              </w:rPr>
              <w:t>ie</w:t>
            </w:r>
            <w:r w:rsidRPr="008B4FE6">
              <w:rPr>
                <w:b/>
                <w:color w:val="000000"/>
              </w:rPr>
              <w:t xml:space="preserve"> prac </w:t>
            </w:r>
          </w:p>
          <w:p w14:paraId="5967A7E3" w14:textId="42C70501" w:rsidR="006A701A" w:rsidRPr="008B4FE6" w:rsidRDefault="00E91B32" w:rsidP="007943E2">
            <w:pPr>
              <w:rPr>
                <w:color w:val="000000"/>
              </w:rPr>
            </w:pPr>
            <w:r>
              <w:rPr>
                <w:color w:val="000000"/>
              </w:rPr>
              <w:t>UC32</w:t>
            </w:r>
          </w:p>
          <w:p w14:paraId="78A09BE2" w14:textId="77777777" w:rsidR="006A701A" w:rsidRPr="008B4FE6" w:rsidRDefault="006A701A" w:rsidP="00A17CB2">
            <w:pPr>
              <w:rPr>
                <w:color w:val="000000"/>
                <w:sz w:val="28"/>
                <w:szCs w:val="28"/>
              </w:rPr>
            </w:pPr>
          </w:p>
        </w:tc>
      </w:tr>
      <w:tr w:rsidR="006A701A" w:rsidRPr="0022687A" w14:paraId="21D24C27" w14:textId="77777777" w:rsidTr="006148BE">
        <w:trPr>
          <w:trHeight w:val="142"/>
        </w:trPr>
        <w:tc>
          <w:tcPr>
            <w:tcW w:w="5000" w:type="pct"/>
            <w:gridSpan w:val="28"/>
            <w:shd w:val="clear" w:color="auto" w:fill="99CCFF"/>
          </w:tcPr>
          <w:p w14:paraId="5CA78626" w14:textId="77777777" w:rsidR="006A701A" w:rsidRPr="00627221" w:rsidRDefault="006A701A" w:rsidP="001B4CA1">
            <w:pPr>
              <w:ind w:left="57"/>
              <w:jc w:val="center"/>
              <w:rPr>
                <w:b/>
                <w:color w:val="FFFFFF"/>
                <w:sz w:val="32"/>
                <w:szCs w:val="32"/>
              </w:rPr>
            </w:pPr>
            <w:r w:rsidRPr="00627221">
              <w:rPr>
                <w:b/>
                <w:color w:val="FFFFFF"/>
                <w:sz w:val="32"/>
                <w:szCs w:val="32"/>
              </w:rPr>
              <w:t>OCENA SKUTKÓW REGULACJI</w:t>
            </w:r>
          </w:p>
        </w:tc>
      </w:tr>
      <w:tr w:rsidR="006A701A" w:rsidRPr="008B4FE6" w14:paraId="397DCB6B" w14:textId="77777777" w:rsidTr="006148BE">
        <w:trPr>
          <w:trHeight w:val="333"/>
        </w:trPr>
        <w:tc>
          <w:tcPr>
            <w:tcW w:w="5000" w:type="pct"/>
            <w:gridSpan w:val="28"/>
            <w:shd w:val="clear" w:color="auto" w:fill="99CCFF"/>
            <w:vAlign w:val="center"/>
          </w:tcPr>
          <w:p w14:paraId="1BC040AC" w14:textId="77777777" w:rsidR="006A701A" w:rsidRPr="008B4FE6" w:rsidRDefault="003D12F6" w:rsidP="006A701A">
            <w:pPr>
              <w:numPr>
                <w:ilvl w:val="0"/>
                <w:numId w:val="3"/>
              </w:numPr>
              <w:spacing w:before="60" w:after="60"/>
              <w:ind w:left="318" w:hanging="284"/>
              <w:rPr>
                <w:b/>
                <w:color w:val="000000"/>
              </w:rPr>
            </w:pPr>
            <w:r w:rsidRPr="001812C7">
              <w:rPr>
                <w:b/>
              </w:rPr>
              <w:t xml:space="preserve">Jaki problem jest </w:t>
            </w:r>
            <w:r w:rsidR="00CC6305" w:rsidRPr="001812C7">
              <w:rPr>
                <w:b/>
              </w:rPr>
              <w:t>rozwiązywany</w:t>
            </w:r>
            <w:r w:rsidR="00CC6305">
              <w:rPr>
                <w:b/>
              </w:rPr>
              <w:t>?</w:t>
            </w:r>
            <w:bookmarkStart w:id="2" w:name="Wybór1"/>
            <w:bookmarkEnd w:id="2"/>
          </w:p>
        </w:tc>
      </w:tr>
      <w:tr w:rsidR="006A701A" w:rsidRPr="00875DBE" w14:paraId="0FEA9B8B" w14:textId="77777777" w:rsidTr="006148BE">
        <w:trPr>
          <w:trHeight w:val="142"/>
        </w:trPr>
        <w:tc>
          <w:tcPr>
            <w:tcW w:w="5000" w:type="pct"/>
            <w:gridSpan w:val="28"/>
            <w:shd w:val="clear" w:color="auto" w:fill="FFFFFF" w:themeFill="background1"/>
          </w:tcPr>
          <w:p w14:paraId="3A241D91" w14:textId="0B078DD4" w:rsidR="00E05B7B" w:rsidRPr="00875DBE" w:rsidRDefault="00D66600" w:rsidP="00BB6D3E">
            <w:pPr>
              <w:ind w:right="118"/>
            </w:pPr>
            <w:r w:rsidRPr="00875DBE">
              <w:t xml:space="preserve">Projektowana </w:t>
            </w:r>
            <w:r w:rsidR="00E05B7B" w:rsidRPr="00875DBE">
              <w:t xml:space="preserve">ustawa </w:t>
            </w:r>
            <w:r w:rsidR="008A65E7" w:rsidRPr="00875DBE">
              <w:t>ma na celu</w:t>
            </w:r>
            <w:r w:rsidR="00E05B7B" w:rsidRPr="00875DBE">
              <w:t xml:space="preserve"> wdr</w:t>
            </w:r>
            <w:r w:rsidR="008A65E7" w:rsidRPr="00875DBE">
              <w:t>ożenie</w:t>
            </w:r>
            <w:r w:rsidR="00E05B7B" w:rsidRPr="00875DBE">
              <w:t xml:space="preserve"> dyrektyw</w:t>
            </w:r>
            <w:r w:rsidR="008A65E7" w:rsidRPr="00875DBE">
              <w:t>y</w:t>
            </w:r>
            <w:r w:rsidR="00E05B7B" w:rsidRPr="00875DBE">
              <w:t xml:space="preserve"> Parlamentu Europejskiego</w:t>
            </w:r>
            <w:r w:rsidR="00E32125" w:rsidRPr="00875DBE">
              <w:t xml:space="preserve"> i </w:t>
            </w:r>
            <w:r w:rsidR="00E05B7B" w:rsidRPr="00875DBE">
              <w:t>Rady (UE) 2022/2555</w:t>
            </w:r>
            <w:r w:rsidR="00E32125" w:rsidRPr="00875DBE">
              <w:t xml:space="preserve"> z </w:t>
            </w:r>
            <w:r w:rsidR="00E05B7B" w:rsidRPr="00875DBE">
              <w:t>dnia 14 grudnia 2022 r.</w:t>
            </w:r>
            <w:r w:rsidR="00E32125" w:rsidRPr="00875DBE">
              <w:t xml:space="preserve"> w </w:t>
            </w:r>
            <w:r w:rsidR="00E05B7B" w:rsidRPr="00875DBE">
              <w:t xml:space="preserve">sprawie środków na rzecz wysokiego wspólnego poziomu </w:t>
            </w:r>
            <w:proofErr w:type="spellStart"/>
            <w:r w:rsidR="00E05B7B" w:rsidRPr="00875DBE">
              <w:t>cyberbezpieczeństwa</w:t>
            </w:r>
            <w:proofErr w:type="spellEnd"/>
            <w:r w:rsidR="00E05B7B" w:rsidRPr="00875DBE">
              <w:t xml:space="preserve"> na terytorium Unii, zmieniająca rozporządzenie (UE) nr 910/2014</w:t>
            </w:r>
            <w:r w:rsidR="00E32125" w:rsidRPr="00875DBE">
              <w:t xml:space="preserve"> i </w:t>
            </w:r>
            <w:r w:rsidR="00E05B7B" w:rsidRPr="00875DBE">
              <w:t xml:space="preserve">dyrektywę (UE) 2018/1972 oraz uchylająca dyrektywę (UE) 2016/1148 (dyrektywa NIS 2) </w:t>
            </w:r>
            <w:r w:rsidR="0096486F" w:rsidRPr="00875DBE">
              <w:t>(</w:t>
            </w:r>
            <w:r w:rsidR="00E05B7B" w:rsidRPr="00875DBE">
              <w:t>Dz. Urz. UE L 333</w:t>
            </w:r>
            <w:r w:rsidR="00E32125" w:rsidRPr="00875DBE">
              <w:t xml:space="preserve"> z </w:t>
            </w:r>
            <w:r w:rsidR="00E05B7B" w:rsidRPr="00875DBE">
              <w:t>27.12.2022 s</w:t>
            </w:r>
            <w:r w:rsidR="00672C73" w:rsidRPr="00875DBE">
              <w:t>tr</w:t>
            </w:r>
            <w:r w:rsidR="00E05B7B" w:rsidRPr="00875DBE">
              <w:t>. 80</w:t>
            </w:r>
            <w:r w:rsidR="0096486F" w:rsidRPr="00875DBE">
              <w:t>)</w:t>
            </w:r>
            <w:r w:rsidR="00D61ABE" w:rsidRPr="00875DBE">
              <w:t>, zwan</w:t>
            </w:r>
            <w:r w:rsidR="00EC7DCB">
              <w:t>ej</w:t>
            </w:r>
            <w:r w:rsidR="00D61ABE" w:rsidRPr="00875DBE">
              <w:t xml:space="preserve"> dalej „dyrektyw</w:t>
            </w:r>
            <w:r w:rsidR="003C7001" w:rsidRPr="00875DBE">
              <w:t>ą NIS 2”.</w:t>
            </w:r>
          </w:p>
          <w:p w14:paraId="46A00152" w14:textId="3BD8BCBB" w:rsidR="00F52EB0" w:rsidRPr="00875DBE" w:rsidRDefault="00F52EB0" w:rsidP="00BB6D3E">
            <w:pPr>
              <w:ind w:right="118"/>
              <w:rPr>
                <w:bCs/>
              </w:rPr>
            </w:pPr>
            <w:r w:rsidRPr="00875DBE">
              <w:t xml:space="preserve">Pojawianie się nowych </w:t>
            </w:r>
            <w:proofErr w:type="spellStart"/>
            <w:r w:rsidRPr="00875DBE">
              <w:t>cyberzagroże</w:t>
            </w:r>
            <w:r w:rsidR="0075208B" w:rsidRPr="00875DBE">
              <w:t>ń</w:t>
            </w:r>
            <w:proofErr w:type="spellEnd"/>
            <w:r w:rsidRPr="00875DBE">
              <w:t xml:space="preserve">, jak również szybki wzrost katalogu usług publicznych dostępnych online, powodują, że instytucje publiczne </w:t>
            </w:r>
            <w:r w:rsidR="00F05AEF" w:rsidRPr="00875DBE">
              <w:t>jak</w:t>
            </w:r>
            <w:r w:rsidR="00E32125" w:rsidRPr="00875DBE">
              <w:t xml:space="preserve"> i </w:t>
            </w:r>
            <w:r w:rsidR="00F05AEF" w:rsidRPr="00875DBE">
              <w:t xml:space="preserve">podmioty prywatne </w:t>
            </w:r>
            <w:r w:rsidRPr="00875DBE">
              <w:t xml:space="preserve">odpowiedzialne za </w:t>
            </w:r>
            <w:proofErr w:type="spellStart"/>
            <w:r w:rsidRPr="00875DBE">
              <w:t>cyberbezpieczeństwo</w:t>
            </w:r>
            <w:proofErr w:type="spellEnd"/>
            <w:r w:rsidRPr="00875DBE">
              <w:t xml:space="preserve"> będą zmusz</w:t>
            </w:r>
            <w:r w:rsidR="0075208B" w:rsidRPr="00875DBE">
              <w:t>o</w:t>
            </w:r>
            <w:r w:rsidRPr="00875DBE">
              <w:t xml:space="preserve">ne poświęcać coraz więcej środków na zapewnienie </w:t>
            </w:r>
            <w:proofErr w:type="spellStart"/>
            <w:r w:rsidRPr="00875DBE">
              <w:t>cyberbezpieczeństwa</w:t>
            </w:r>
            <w:proofErr w:type="spellEnd"/>
            <w:r w:rsidRPr="00875DBE">
              <w:t xml:space="preserve">. Zmieniająca się sytuacja międzynarodowa oraz konieczność dostarczenia usług dużej grupie nowych klientów sprawia, że niezbędne jest dalsze wzmacnianie podmiotów krajowego systemu </w:t>
            </w:r>
            <w:proofErr w:type="spellStart"/>
            <w:r w:rsidRPr="00875DBE">
              <w:t>cyberbezpieczeństwa</w:t>
            </w:r>
            <w:proofErr w:type="spellEnd"/>
            <w:r w:rsidRPr="00875DBE">
              <w:t xml:space="preserve">. </w:t>
            </w:r>
            <w:r w:rsidR="007226E6" w:rsidRPr="00875DBE">
              <w:rPr>
                <w:rStyle w:val="ui-provider"/>
              </w:rPr>
              <w:t>Tą sytuację uwidaczniają statystyki zespołu CSIRT NASK. W</w:t>
            </w:r>
            <w:r w:rsidR="00BB6D3E">
              <w:rPr>
                <w:rStyle w:val="ui-provider"/>
              </w:rPr>
              <w:t> </w:t>
            </w:r>
            <w:r w:rsidR="007226E6" w:rsidRPr="00875DBE">
              <w:rPr>
                <w:rStyle w:val="ui-provider"/>
              </w:rPr>
              <w:t xml:space="preserve">2022 r. do zespołu CSIRT NASK zgłoszono ponad 39 000 incydentów </w:t>
            </w:r>
            <w:proofErr w:type="spellStart"/>
            <w:r w:rsidR="007226E6" w:rsidRPr="00875DBE">
              <w:rPr>
                <w:rStyle w:val="ui-provider"/>
              </w:rPr>
              <w:t>cyberbezpieczeństwa</w:t>
            </w:r>
            <w:proofErr w:type="spellEnd"/>
            <w:r w:rsidR="007226E6" w:rsidRPr="00875DBE">
              <w:rPr>
                <w:rStyle w:val="ui-provider"/>
              </w:rPr>
              <w:t>, a w 2023 r. ponad 75 00</w:t>
            </w:r>
            <w:r w:rsidR="00093383" w:rsidRPr="00875DBE">
              <w:rPr>
                <w:rStyle w:val="ui-provider"/>
              </w:rPr>
              <w:t>0</w:t>
            </w:r>
            <w:r w:rsidR="007226E6" w:rsidRPr="00875DBE">
              <w:rPr>
                <w:rStyle w:val="ui-provider"/>
              </w:rPr>
              <w:t xml:space="preserve"> incydentów </w:t>
            </w:r>
            <w:proofErr w:type="spellStart"/>
            <w:r w:rsidR="007226E6" w:rsidRPr="00875DBE">
              <w:rPr>
                <w:rStyle w:val="ui-provider"/>
              </w:rPr>
              <w:t>cyberbezpieczeństwa</w:t>
            </w:r>
            <w:proofErr w:type="spellEnd"/>
            <w:r w:rsidR="007226E6" w:rsidRPr="00875DBE">
              <w:rPr>
                <w:rStyle w:val="ui-provider"/>
              </w:rPr>
              <w:t>. Dyrektywa NIS 2 i przepisy ją implementujące są odpowiedzią na dynamicznie zmieniającą się sytuację w cyberprzestrzeni.</w:t>
            </w:r>
          </w:p>
          <w:p w14:paraId="45E90B59" w14:textId="4E45FA67" w:rsidR="00D97B07" w:rsidRPr="00875DBE" w:rsidRDefault="003C7001" w:rsidP="00BB6D3E">
            <w:pPr>
              <w:ind w:right="118"/>
            </w:pPr>
            <w:r w:rsidRPr="00875DBE">
              <w:t xml:space="preserve">Dyrektywa NIS 2 </w:t>
            </w:r>
            <w:r w:rsidR="00147BEF" w:rsidRPr="00875DBE">
              <w:t>zast</w:t>
            </w:r>
            <w:r w:rsidR="006B393C" w:rsidRPr="00875DBE">
              <w:t xml:space="preserve">ąpiła dotychczasowy </w:t>
            </w:r>
            <w:r w:rsidR="00667EE9" w:rsidRPr="00875DBE">
              <w:t xml:space="preserve">podział na </w:t>
            </w:r>
            <w:r w:rsidR="00661800" w:rsidRPr="00875DBE">
              <w:t xml:space="preserve">operatorów usług </w:t>
            </w:r>
            <w:r w:rsidR="009C42E8" w:rsidRPr="00875DBE">
              <w:t>kluczowych</w:t>
            </w:r>
            <w:r w:rsidR="00353B44" w:rsidRPr="00875DBE">
              <w:t xml:space="preserve"> i</w:t>
            </w:r>
            <w:r w:rsidR="009C42E8" w:rsidRPr="00875DBE">
              <w:t xml:space="preserve"> </w:t>
            </w:r>
            <w:r w:rsidR="00353B44" w:rsidRPr="00875DBE">
              <w:t>dostawców</w:t>
            </w:r>
            <w:r w:rsidR="009C42E8" w:rsidRPr="00875DBE">
              <w:t xml:space="preserve"> usług </w:t>
            </w:r>
            <w:r w:rsidR="00661800" w:rsidRPr="00875DBE">
              <w:t>cyfrowych</w:t>
            </w:r>
            <w:r w:rsidR="009C42E8" w:rsidRPr="00875DBE">
              <w:t xml:space="preserve"> </w:t>
            </w:r>
            <w:r w:rsidR="002B651A" w:rsidRPr="00875DBE">
              <w:t>określony</w:t>
            </w:r>
            <w:r w:rsidR="00E32125" w:rsidRPr="00875DBE">
              <w:t xml:space="preserve"> w </w:t>
            </w:r>
            <w:r w:rsidR="002B651A" w:rsidRPr="00875DBE">
              <w:t>dyrektywie Parlamentu Europejskiego</w:t>
            </w:r>
            <w:r w:rsidR="00E32125" w:rsidRPr="00875DBE">
              <w:t xml:space="preserve"> i </w:t>
            </w:r>
            <w:r w:rsidR="002B651A" w:rsidRPr="00875DBE">
              <w:t>Rady (UE) 2016/1148</w:t>
            </w:r>
            <w:r w:rsidR="00E32125" w:rsidRPr="00875DBE">
              <w:t xml:space="preserve"> z </w:t>
            </w:r>
            <w:r w:rsidR="002B651A" w:rsidRPr="00875DBE">
              <w:t>dnia 6 lipca 2016 r.</w:t>
            </w:r>
            <w:r w:rsidR="00E32125" w:rsidRPr="00875DBE">
              <w:t xml:space="preserve"> w </w:t>
            </w:r>
            <w:r w:rsidR="002B651A" w:rsidRPr="00875DBE">
              <w:t>sprawie środków na rzecz wysokiego wspólnego poziomu bezpieczeństwa sieci</w:t>
            </w:r>
            <w:r w:rsidR="00E32125" w:rsidRPr="00875DBE">
              <w:t xml:space="preserve"> i </w:t>
            </w:r>
            <w:r w:rsidR="002B651A" w:rsidRPr="00875DBE">
              <w:t>systemów informatycznych na terytorium Unii (Dz.</w:t>
            </w:r>
            <w:r w:rsidR="00BB6D3E">
              <w:t> </w:t>
            </w:r>
            <w:r w:rsidR="002B651A" w:rsidRPr="00875DBE">
              <w:t>Urz. UE L 194</w:t>
            </w:r>
            <w:r w:rsidR="00E32125" w:rsidRPr="00875DBE">
              <w:t xml:space="preserve"> z </w:t>
            </w:r>
            <w:r w:rsidR="002B651A" w:rsidRPr="00875DBE">
              <w:t>19.07.2016, str. 1)</w:t>
            </w:r>
            <w:r w:rsidR="005C3BE6" w:rsidRPr="00875DBE">
              <w:t>, zwan</w:t>
            </w:r>
            <w:r w:rsidR="00EC7DCB">
              <w:t>ej</w:t>
            </w:r>
            <w:r w:rsidR="005C3BE6" w:rsidRPr="00875DBE">
              <w:t xml:space="preserve"> dalej „dyrektywą NIS</w:t>
            </w:r>
            <w:r w:rsidR="001F6A11" w:rsidRPr="00875DBE">
              <w:t xml:space="preserve"> </w:t>
            </w:r>
            <w:r w:rsidR="005C3BE6" w:rsidRPr="00875DBE">
              <w:t>1”</w:t>
            </w:r>
            <w:r w:rsidR="001F6A11" w:rsidRPr="00875DBE">
              <w:t>,</w:t>
            </w:r>
            <w:r w:rsidR="009A3954" w:rsidRPr="00875DBE">
              <w:t xml:space="preserve"> na podmioty </w:t>
            </w:r>
            <w:r w:rsidR="009D183E" w:rsidRPr="00875DBE">
              <w:t>kluczowe</w:t>
            </w:r>
            <w:r w:rsidR="00E32125" w:rsidRPr="00875DBE">
              <w:t xml:space="preserve"> i </w:t>
            </w:r>
            <w:r w:rsidR="001F6A11" w:rsidRPr="00875DBE">
              <w:t xml:space="preserve">podmioty </w:t>
            </w:r>
            <w:r w:rsidR="009D183E" w:rsidRPr="00875DBE">
              <w:t>ważne</w:t>
            </w:r>
            <w:r w:rsidR="0075208B" w:rsidRPr="00875DBE">
              <w:t>.</w:t>
            </w:r>
            <w:r w:rsidR="009D183E" w:rsidRPr="00875DBE">
              <w:t xml:space="preserve"> </w:t>
            </w:r>
            <w:r w:rsidR="00BE4D67" w:rsidRPr="00875DBE">
              <w:t xml:space="preserve">Ponadto </w:t>
            </w:r>
            <w:r w:rsidR="00D97B07" w:rsidRPr="00875DBE">
              <w:t>rozszerzeniu</w:t>
            </w:r>
            <w:r w:rsidR="00BE4D67" w:rsidRPr="00875DBE">
              <w:t xml:space="preserve"> uległ katalog </w:t>
            </w:r>
            <w:r w:rsidR="00D97B07" w:rsidRPr="00875DBE">
              <w:t>sektorów</w:t>
            </w:r>
            <w:r w:rsidR="00A43B91" w:rsidRPr="00875DBE">
              <w:t xml:space="preserve"> ob</w:t>
            </w:r>
            <w:r w:rsidR="00D97B07" w:rsidRPr="00875DBE">
              <w:t>jętych dyrektywą.</w:t>
            </w:r>
            <w:r w:rsidR="00724398">
              <w:t xml:space="preserve"> </w:t>
            </w:r>
            <w:r w:rsidR="004D0DF9" w:rsidRPr="00875DBE">
              <w:t xml:space="preserve">Dyrektywa NIS 2 </w:t>
            </w:r>
            <w:r w:rsidR="00E058C4" w:rsidRPr="00875DBE">
              <w:t xml:space="preserve">nakłada </w:t>
            </w:r>
            <w:r w:rsidR="004C33A5" w:rsidRPr="00875DBE">
              <w:t>również</w:t>
            </w:r>
            <w:r w:rsidR="007522FF" w:rsidRPr="00875DBE">
              <w:t xml:space="preserve"> </w:t>
            </w:r>
            <w:r w:rsidR="00475C78" w:rsidRPr="00875DBE">
              <w:t xml:space="preserve">szereg obowiązków </w:t>
            </w:r>
            <w:r w:rsidR="00A61868" w:rsidRPr="00875DBE">
              <w:t>na podmioty kluczowe</w:t>
            </w:r>
            <w:r w:rsidR="00E32125" w:rsidRPr="00875DBE">
              <w:t xml:space="preserve"> i </w:t>
            </w:r>
            <w:r w:rsidR="001F6A11" w:rsidRPr="00875DBE">
              <w:t xml:space="preserve">podmioty </w:t>
            </w:r>
            <w:r w:rsidR="00A61868" w:rsidRPr="00875DBE">
              <w:t xml:space="preserve">ważne. </w:t>
            </w:r>
            <w:r w:rsidR="00D12BDC" w:rsidRPr="00875DBE">
              <w:t xml:space="preserve">Jako podstawowy </w:t>
            </w:r>
            <w:r w:rsidR="009C46E1" w:rsidRPr="00875DBE">
              <w:t xml:space="preserve">obowiązek należy wskazać </w:t>
            </w:r>
            <w:r w:rsidR="00AC5E52" w:rsidRPr="00875DBE">
              <w:t>stosowani</w:t>
            </w:r>
            <w:r w:rsidR="00E86AF4" w:rsidRPr="00875DBE">
              <w:t>e</w:t>
            </w:r>
            <w:r w:rsidR="001F734C" w:rsidRPr="00875DBE">
              <w:t xml:space="preserve"> </w:t>
            </w:r>
            <w:r w:rsidR="0007240A" w:rsidRPr="00875DBE">
              <w:t>odpo</w:t>
            </w:r>
            <w:r w:rsidR="00222FF0" w:rsidRPr="00875DBE">
              <w:t>wiedni</w:t>
            </w:r>
            <w:r w:rsidR="00103DAC" w:rsidRPr="00875DBE">
              <w:t>ch</w:t>
            </w:r>
            <w:r w:rsidR="00E32125" w:rsidRPr="00875DBE">
              <w:t xml:space="preserve"> i </w:t>
            </w:r>
            <w:r w:rsidR="00BC101B" w:rsidRPr="00875DBE">
              <w:t>proporcjonaln</w:t>
            </w:r>
            <w:r w:rsidR="00103DAC" w:rsidRPr="00875DBE">
              <w:t>ych</w:t>
            </w:r>
            <w:r w:rsidR="00BC101B" w:rsidRPr="00875DBE">
              <w:t xml:space="preserve"> </w:t>
            </w:r>
            <w:r w:rsidR="00B452CA" w:rsidRPr="00875DBE">
              <w:t>środk</w:t>
            </w:r>
            <w:r w:rsidR="00103DAC" w:rsidRPr="00875DBE">
              <w:t>ów</w:t>
            </w:r>
            <w:r w:rsidR="00B452CA" w:rsidRPr="00875DBE">
              <w:t xml:space="preserve"> techniczn</w:t>
            </w:r>
            <w:r w:rsidR="00D800CB" w:rsidRPr="00875DBE">
              <w:t>ych</w:t>
            </w:r>
            <w:r w:rsidR="00337C90" w:rsidRPr="00875DBE">
              <w:t>, operacyjn</w:t>
            </w:r>
            <w:r w:rsidR="00D800CB" w:rsidRPr="00875DBE">
              <w:t>ych</w:t>
            </w:r>
            <w:r w:rsidR="00E32125" w:rsidRPr="00875DBE">
              <w:t xml:space="preserve"> i </w:t>
            </w:r>
            <w:r w:rsidR="00B7235D" w:rsidRPr="00875DBE">
              <w:t>organizacyjn</w:t>
            </w:r>
            <w:r w:rsidR="00D800CB" w:rsidRPr="00875DBE">
              <w:t>ych</w:t>
            </w:r>
            <w:r w:rsidR="00B7235D" w:rsidRPr="00875DBE">
              <w:t xml:space="preserve"> </w:t>
            </w:r>
            <w:r w:rsidR="0075208B" w:rsidRPr="00875DBE">
              <w:rPr>
                <w:color w:val="333333"/>
                <w:shd w:val="clear" w:color="auto" w:fill="FFFFFF"/>
              </w:rPr>
              <w:t>w</w:t>
            </w:r>
            <w:r w:rsidR="00E32125" w:rsidRPr="00875DBE">
              <w:rPr>
                <w:color w:val="333333"/>
                <w:shd w:val="clear" w:color="auto" w:fill="FFFFFF"/>
              </w:rPr>
              <w:t> </w:t>
            </w:r>
            <w:r w:rsidR="00014DE8" w:rsidRPr="00875DBE">
              <w:t>celu zarządzania ryzykiem dla bezpieczeństwa sieci</w:t>
            </w:r>
            <w:r w:rsidR="00E32125" w:rsidRPr="00875DBE">
              <w:t xml:space="preserve"> i </w:t>
            </w:r>
            <w:r w:rsidR="00014DE8" w:rsidRPr="00875DBE">
              <w:t>systemów informatycznych wykorzystywanych przez te podmioty do prowadzenia działalności lub świadczenia usług oraz</w:t>
            </w:r>
            <w:r w:rsidR="00E32125" w:rsidRPr="00875DBE">
              <w:t xml:space="preserve"> w </w:t>
            </w:r>
            <w:r w:rsidR="00014DE8" w:rsidRPr="00875DBE">
              <w:t>celu zapobiegania wpływowi incydentów na odbiorców ich usług lub na inne usługi bądź minimalizowania takiego wpływu.</w:t>
            </w:r>
          </w:p>
          <w:p w14:paraId="43778246" w14:textId="6DA42179" w:rsidR="00BF26FE" w:rsidRPr="00875DBE" w:rsidRDefault="00BF26FE" w:rsidP="00BB6D3E">
            <w:pPr>
              <w:ind w:right="118"/>
            </w:pPr>
            <w:r w:rsidRPr="00875DBE">
              <w:lastRenderedPageBreak/>
              <w:t xml:space="preserve">Zauważono również, że uprawnienia Pełnomocnika Rządu do </w:t>
            </w:r>
            <w:r w:rsidR="00277013" w:rsidRPr="00875DBE">
              <w:t>S</w:t>
            </w:r>
            <w:r w:rsidRPr="00875DBE">
              <w:t xml:space="preserve">praw </w:t>
            </w:r>
            <w:proofErr w:type="spellStart"/>
            <w:r w:rsidRPr="00875DBE">
              <w:t>Cyberbezpieczeństwa</w:t>
            </w:r>
            <w:proofErr w:type="spellEnd"/>
            <w:r w:rsidRPr="00875DBE">
              <w:t xml:space="preserve"> są niewystarczające</w:t>
            </w:r>
            <w:r w:rsidR="00E32125" w:rsidRPr="00875DBE">
              <w:t xml:space="preserve"> w </w:t>
            </w:r>
            <w:r w:rsidRPr="00875DBE">
              <w:t xml:space="preserve">stosunku do zadań, które </w:t>
            </w:r>
            <w:r w:rsidR="00724398">
              <w:t xml:space="preserve">organ ten </w:t>
            </w:r>
            <w:r w:rsidRPr="00875DBE">
              <w:t xml:space="preserve">musi wypełniać. </w:t>
            </w:r>
            <w:r w:rsidR="00A53C47" w:rsidRPr="00875DBE">
              <w:t xml:space="preserve">Pełnomocnikowi </w:t>
            </w:r>
            <w:r w:rsidR="00724398" w:rsidRPr="00724398">
              <w:t xml:space="preserve">Rządu do Spraw </w:t>
            </w:r>
            <w:proofErr w:type="spellStart"/>
            <w:r w:rsidR="00724398" w:rsidRPr="00724398">
              <w:t>Cyberbezpieczeństwa</w:t>
            </w:r>
            <w:proofErr w:type="spellEnd"/>
            <w:r w:rsidR="00724398" w:rsidRPr="00724398">
              <w:t xml:space="preserve"> </w:t>
            </w:r>
            <w:r w:rsidR="00A53C47" w:rsidRPr="00875DBE">
              <w:t>b</w:t>
            </w:r>
            <w:r w:rsidRPr="00875DBE">
              <w:t xml:space="preserve">rakuje skutecznych środków oddziaływania na podmioty krajowego systemu </w:t>
            </w:r>
            <w:proofErr w:type="spellStart"/>
            <w:r w:rsidRPr="00875DBE">
              <w:t>cyberbezpieczeństwa</w:t>
            </w:r>
            <w:proofErr w:type="spellEnd"/>
            <w:r w:rsidR="00FA363E" w:rsidRPr="00875DBE">
              <w:t>. W</w:t>
            </w:r>
            <w:r w:rsidR="00BB6D3E">
              <w:t> </w:t>
            </w:r>
            <w:r w:rsidR="00FA363E" w:rsidRPr="00875DBE">
              <w:t xml:space="preserve">przeciwieństwie do innych </w:t>
            </w:r>
            <w:r w:rsidR="00724398">
              <w:t>P</w:t>
            </w:r>
            <w:r w:rsidR="00FA363E" w:rsidRPr="00875DBE">
              <w:t xml:space="preserve">ełnomocników </w:t>
            </w:r>
            <w:r w:rsidR="00724398">
              <w:t>R</w:t>
            </w:r>
            <w:r w:rsidR="00FA363E" w:rsidRPr="00875DBE">
              <w:t xml:space="preserve">ządu nie ma on uprawnień do żądania </w:t>
            </w:r>
            <w:r w:rsidR="002D4DC6" w:rsidRPr="00875DBE">
              <w:t xml:space="preserve">niezbędnych </w:t>
            </w:r>
            <w:r w:rsidR="00FA363E" w:rsidRPr="00875DBE">
              <w:t>informacji od organów administracji rządowej</w:t>
            </w:r>
            <w:r w:rsidR="002D4DC6" w:rsidRPr="00875DBE">
              <w:t>, możliwości powoływania zespołów problemowych</w:t>
            </w:r>
            <w:r w:rsidR="00C5735C" w:rsidRPr="00875DBE">
              <w:t>,</w:t>
            </w:r>
            <w:r w:rsidR="002D4DC6" w:rsidRPr="00875DBE">
              <w:t xml:space="preserve"> czy zlecania badań.</w:t>
            </w:r>
            <w:r w:rsidR="00724398">
              <w:t xml:space="preserve"> Pełnomocnikowi b</w:t>
            </w:r>
            <w:r w:rsidRPr="00875DBE">
              <w:t xml:space="preserve">rakuje również środka prawnego, który umożliwiłby wydawanie rekomendacji o charakterze technicznym (w tym zakresie </w:t>
            </w:r>
            <w:r w:rsidR="00277013" w:rsidRPr="00875DBE">
              <w:t xml:space="preserve">– </w:t>
            </w:r>
            <w:r w:rsidRPr="00875DBE">
              <w:t xml:space="preserve">Narodowych Standardów </w:t>
            </w:r>
            <w:proofErr w:type="spellStart"/>
            <w:r w:rsidRPr="00875DBE">
              <w:t>Cyberbezpieczeństwa</w:t>
            </w:r>
            <w:proofErr w:type="spellEnd"/>
            <w:r w:rsidRPr="00875DBE">
              <w:t>, o których mowa</w:t>
            </w:r>
            <w:r w:rsidR="00E32125" w:rsidRPr="00875DBE">
              <w:t xml:space="preserve"> w </w:t>
            </w:r>
            <w:r w:rsidRPr="00875DBE">
              <w:t xml:space="preserve">Strategii </w:t>
            </w:r>
            <w:proofErr w:type="spellStart"/>
            <w:r w:rsidRPr="00875DBE">
              <w:t>Cyberbezpieczeństwa</w:t>
            </w:r>
            <w:proofErr w:type="spellEnd"/>
            <w:r w:rsidRPr="00875DBE">
              <w:t xml:space="preserve"> RP na lata 2019</w:t>
            </w:r>
            <w:r w:rsidR="00277013" w:rsidRPr="00875DBE">
              <w:t>–</w:t>
            </w:r>
            <w:r w:rsidRPr="00875DBE">
              <w:t>2024)</w:t>
            </w:r>
            <w:r w:rsidR="00E32125" w:rsidRPr="00875DBE">
              <w:t xml:space="preserve"> i </w:t>
            </w:r>
            <w:r w:rsidRPr="00875DBE">
              <w:t xml:space="preserve">jednocześnie obowiązku uwzględnienia tych rekomendacji przez podmioty krajowego systemu </w:t>
            </w:r>
            <w:proofErr w:type="spellStart"/>
            <w:r w:rsidRPr="00875DBE">
              <w:t>cyberbezpieczeństwa</w:t>
            </w:r>
            <w:proofErr w:type="spellEnd"/>
            <w:r w:rsidR="00724398">
              <w:t>,</w:t>
            </w:r>
            <w:r w:rsidR="00E32125" w:rsidRPr="00875DBE">
              <w:t xml:space="preserve"> w </w:t>
            </w:r>
            <w:r w:rsidRPr="00875DBE">
              <w:t>trakcie procesu zarządzania ryzykiem</w:t>
            </w:r>
            <w:r w:rsidR="0075208B" w:rsidRPr="00875DBE">
              <w:t>.</w:t>
            </w:r>
          </w:p>
          <w:p w14:paraId="53BDABEC" w14:textId="4CA519EA" w:rsidR="00E9517E" w:rsidRPr="00875DBE" w:rsidRDefault="00E9517E" w:rsidP="00BB6D3E">
            <w:pPr>
              <w:ind w:right="118"/>
            </w:pPr>
            <w:r w:rsidRPr="00875DBE">
              <w:t xml:space="preserve">Do tej pory zostały utworzone </w:t>
            </w:r>
            <w:r w:rsidR="00C5735C" w:rsidRPr="00875DBE">
              <w:t xml:space="preserve">tylko </w:t>
            </w:r>
            <w:r w:rsidR="009D6F11" w:rsidRPr="00875DBE">
              <w:t>dwa</w:t>
            </w:r>
            <w:r w:rsidRPr="00875DBE">
              <w:t xml:space="preserve"> sektorowe zespoły </w:t>
            </w:r>
            <w:proofErr w:type="spellStart"/>
            <w:r w:rsidRPr="00875DBE">
              <w:t>cyberbezpieczeństwa</w:t>
            </w:r>
            <w:proofErr w:type="spellEnd"/>
            <w:r w:rsidRPr="00875DBE">
              <w:t xml:space="preserve"> – CSIRT KNF i </w:t>
            </w:r>
            <w:r w:rsidR="009D6F11" w:rsidRPr="00875DBE">
              <w:t>CSIRT Ce</w:t>
            </w:r>
            <w:r w:rsidRPr="00875DBE">
              <w:t xml:space="preserve">ntrum e-Zdrowie. </w:t>
            </w:r>
            <w:r w:rsidR="00710312" w:rsidRPr="00875DBE">
              <w:t>W</w:t>
            </w:r>
            <w:r w:rsidR="002D4DC6" w:rsidRPr="00875DBE">
              <w:t> </w:t>
            </w:r>
            <w:r w:rsidR="00710312" w:rsidRPr="00875DBE">
              <w:t>pozostałych sektorach gospodarki brakuje zespołów wspierających przedsiębiorców w reagowaniu na incydenty</w:t>
            </w:r>
            <w:r w:rsidR="00B0658D" w:rsidRPr="00875DBE">
              <w:t>. Utwor</w:t>
            </w:r>
            <w:r w:rsidR="00CF3AD1" w:rsidRPr="00875DBE">
              <w:t xml:space="preserve">zenie tych zespołów przewiduje </w:t>
            </w:r>
            <w:r w:rsidR="003171D8">
              <w:t>I</w:t>
            </w:r>
            <w:r w:rsidR="00CF3AD1" w:rsidRPr="00875DBE">
              <w:t>nwestycja C3.1.1 KPO</w:t>
            </w:r>
            <w:r w:rsidR="003171D8">
              <w:t xml:space="preserve"> </w:t>
            </w:r>
            <w:proofErr w:type="spellStart"/>
            <w:r w:rsidR="003171D8" w:rsidRPr="00E105A7">
              <w:rPr>
                <w:i/>
                <w:iCs/>
              </w:rPr>
              <w:t>Cyberbezpieczeństwo</w:t>
            </w:r>
            <w:proofErr w:type="spellEnd"/>
            <w:r w:rsidR="003171D8">
              <w:rPr>
                <w:i/>
                <w:iCs/>
              </w:rPr>
              <w:t xml:space="preserve"> </w:t>
            </w:r>
            <w:r w:rsidR="003171D8" w:rsidRPr="00E105A7">
              <w:rPr>
                <w:i/>
                <w:iCs/>
              </w:rPr>
              <w:t xml:space="preserve">– </w:t>
            </w:r>
            <w:proofErr w:type="spellStart"/>
            <w:r w:rsidR="003171D8" w:rsidRPr="00E105A7">
              <w:rPr>
                <w:i/>
                <w:iCs/>
              </w:rPr>
              <w:t>CyberPL</w:t>
            </w:r>
            <w:proofErr w:type="spellEnd"/>
            <w:r w:rsidR="003171D8" w:rsidRPr="00E105A7">
              <w:rPr>
                <w:i/>
                <w:iCs/>
              </w:rPr>
              <w:t>, infrastruktura przetwarzania danych oraz optymalizacja infrastruktury służb państwowych odpowiedzialnych za bezpieczeństwo</w:t>
            </w:r>
            <w:r w:rsidR="00927089" w:rsidRPr="00875DBE">
              <w:t>.</w:t>
            </w:r>
            <w:r w:rsidR="00CF3AD1" w:rsidRPr="00875DBE">
              <w:t xml:space="preserve"> </w:t>
            </w:r>
            <w:r w:rsidR="00927089" w:rsidRPr="00875DBE">
              <w:t>P</w:t>
            </w:r>
            <w:r w:rsidR="00CF3AD1" w:rsidRPr="00875DBE">
              <w:t>lanowana jest realizacja projektu p</w:t>
            </w:r>
            <w:r w:rsidR="00927089" w:rsidRPr="00875DBE">
              <w:t xml:space="preserve">od </w:t>
            </w:r>
            <w:r w:rsidR="00CF3AD1" w:rsidRPr="00875DBE">
              <w:t>n</w:t>
            </w:r>
            <w:r w:rsidR="00927089" w:rsidRPr="00875DBE">
              <w:t>azwą</w:t>
            </w:r>
            <w:r w:rsidR="00CF3AD1" w:rsidRPr="00875DBE">
              <w:t xml:space="preserve"> „utworzenie lub rozwój przynajmniej 5 sektorowych Zespołów Reagowania na Incydenty Bezpieczeństwa Komputerowego (CSIRT)”.</w:t>
            </w:r>
          </w:p>
          <w:p w14:paraId="31F7C4B3" w14:textId="1649FA02" w:rsidR="00E87C7D" w:rsidRDefault="00E87C7D" w:rsidP="00BB6D3E">
            <w:pPr>
              <w:spacing w:after="60"/>
              <w:ind w:right="118"/>
            </w:pPr>
            <w:r w:rsidRPr="00875DBE">
              <w:t>Komisja Europejska wielokrotnie m.in.</w:t>
            </w:r>
            <w:r w:rsidR="00E32125" w:rsidRPr="00875DBE">
              <w:t xml:space="preserve"> w </w:t>
            </w:r>
            <w:r w:rsidRPr="00875DBE">
              <w:t>opublikowanych</w:t>
            </w:r>
            <w:r w:rsidR="00E32125" w:rsidRPr="00875DBE">
              <w:t xml:space="preserve"> w </w:t>
            </w:r>
            <w:r w:rsidRPr="00875DBE">
              <w:t xml:space="preserve">marcu 2019 r. zaleceniach dot. </w:t>
            </w:r>
            <w:proofErr w:type="spellStart"/>
            <w:r w:rsidRPr="00875DBE">
              <w:t>cyberbezpieczeństwa</w:t>
            </w:r>
            <w:proofErr w:type="spellEnd"/>
            <w:r w:rsidRPr="00875DBE">
              <w:t xml:space="preserve"> sieci 5G, podkreślała, że kwestia zapewnienia bezpieczeństwa wdrażanej technologii 5G jest priorytetem. Potwierdzenie tego znajduje swój wymiar</w:t>
            </w:r>
            <w:r w:rsidR="00E32125" w:rsidRPr="00875DBE">
              <w:t xml:space="preserve"> w </w:t>
            </w:r>
            <w:r w:rsidRPr="00875DBE">
              <w:t>opublikowanym</w:t>
            </w:r>
            <w:r w:rsidR="00E32125" w:rsidRPr="00875DBE">
              <w:t xml:space="preserve"> w </w:t>
            </w:r>
            <w:r w:rsidRPr="00875DBE">
              <w:t>styczniu 2020 r. zestawie środków dot. minimalnej harmonizacji</w:t>
            </w:r>
            <w:r w:rsidR="00E32125" w:rsidRPr="00875DBE">
              <w:t xml:space="preserve"> i </w:t>
            </w:r>
            <w:r w:rsidRPr="00875DBE">
              <w:t xml:space="preserve">standaryzacji na poziomie UE rozwiązań </w:t>
            </w:r>
            <w:proofErr w:type="spellStart"/>
            <w:r w:rsidRPr="00875DBE">
              <w:t>cyberbezpieczeństwa</w:t>
            </w:r>
            <w:proofErr w:type="spellEnd"/>
            <w:r w:rsidRPr="00875DBE">
              <w:t xml:space="preserve"> sieci 5G, określanego jako 5G </w:t>
            </w:r>
            <w:proofErr w:type="spellStart"/>
            <w:r w:rsidRPr="00875DBE">
              <w:t>Toolbox</w:t>
            </w:r>
            <w:proofErr w:type="spellEnd"/>
            <w:r w:rsidRPr="00875DBE">
              <w:rPr>
                <w:rStyle w:val="Odwoanieprzypisudolnego"/>
              </w:rPr>
              <w:footnoteReference w:id="2"/>
            </w:r>
            <w:r w:rsidRPr="00875DBE">
              <w:rPr>
                <w:vertAlign w:val="superscript"/>
              </w:rPr>
              <w:t>)</w:t>
            </w:r>
            <w:r w:rsidRPr="00875DBE">
              <w:t>. Zestaw obejmuje zarówno narzędzia o charakterze strategicznym</w:t>
            </w:r>
            <w:r w:rsidR="00E32125" w:rsidRPr="00875DBE">
              <w:t xml:space="preserve"> i </w:t>
            </w:r>
            <w:r w:rsidRPr="00875DBE">
              <w:t>technicznym, jak</w:t>
            </w:r>
            <w:r w:rsidR="00E32125" w:rsidRPr="00875DBE">
              <w:t xml:space="preserve"> i </w:t>
            </w:r>
            <w:r w:rsidRPr="00875DBE">
              <w:t>te o charakterze wspierającym. Cele są dwa:</w:t>
            </w:r>
            <w:r w:rsidR="00562E35">
              <w:t xml:space="preserve"> </w:t>
            </w:r>
            <w:r w:rsidRPr="00875DBE">
              <w:t xml:space="preserve">po pierwsze bezpieczeństwo sieci 5G, a po drugie </w:t>
            </w:r>
            <w:proofErr w:type="spellStart"/>
            <w:r w:rsidRPr="00875DBE">
              <w:t>uspójnienie</w:t>
            </w:r>
            <w:proofErr w:type="spellEnd"/>
            <w:r w:rsidRPr="00875DBE">
              <w:t xml:space="preserve"> polityk państw członkowskich</w:t>
            </w:r>
            <w:r w:rsidR="00E32125" w:rsidRPr="00875DBE">
              <w:t xml:space="preserve"> w </w:t>
            </w:r>
            <w:r w:rsidRPr="00875DBE">
              <w:t xml:space="preserve">obszarze bezpieczeństwa technologii 5G. 5G </w:t>
            </w:r>
            <w:proofErr w:type="spellStart"/>
            <w:r w:rsidRPr="00875DBE">
              <w:t>Toolbox</w:t>
            </w:r>
            <w:proofErr w:type="spellEnd"/>
            <w:r w:rsidRPr="00875DBE">
              <w:t xml:space="preserve"> zawiera także definicje zestawu środków zabezpieczających na poziomie strategicznym</w:t>
            </w:r>
            <w:r w:rsidR="00E32125" w:rsidRPr="00875DBE">
              <w:t xml:space="preserve"> i </w:t>
            </w:r>
            <w:r w:rsidRPr="00875DBE">
              <w:t xml:space="preserve">technicznym oraz wskazuje działania wspierające stosowanie tych środków dla ograniczenia </w:t>
            </w:r>
            <w:proofErr w:type="spellStart"/>
            <w:r w:rsidRPr="00875DBE">
              <w:t>ryzyk</w:t>
            </w:r>
            <w:proofErr w:type="spellEnd"/>
            <w:r w:rsidRPr="00875DBE">
              <w:t xml:space="preserve"> </w:t>
            </w:r>
            <w:proofErr w:type="spellStart"/>
            <w:r w:rsidRPr="00875DBE">
              <w:t>cyberbezpieczeństwa</w:t>
            </w:r>
            <w:proofErr w:type="spellEnd"/>
            <w:r w:rsidR="00E32125" w:rsidRPr="00875DBE">
              <w:t xml:space="preserve"> w </w:t>
            </w:r>
            <w:r w:rsidRPr="00875DBE">
              <w:t xml:space="preserve">sieciach 5G, które będą kręgosłupem Jednolitego Rynku Cyfrowego </w:t>
            </w:r>
            <w:r w:rsidR="00277013" w:rsidRPr="00875DBE">
              <w:t xml:space="preserve">(JRC) </w:t>
            </w:r>
            <w:r w:rsidRPr="00875DBE">
              <w:t>UE. Wyróżnione są</w:t>
            </w:r>
            <w:r w:rsidR="00BB7F2F" w:rsidRPr="00875DBE">
              <w:t xml:space="preserve"> m.in.</w:t>
            </w:r>
            <w:r w:rsidRPr="00875DBE">
              <w:t xml:space="preserve"> środki o charakterze:</w:t>
            </w:r>
          </w:p>
          <w:p w14:paraId="0941D076" w14:textId="7A559326" w:rsidR="00E87C7D" w:rsidRDefault="00DD2EFB" w:rsidP="00BB6D3E">
            <w:pPr>
              <w:pStyle w:val="Akapitzlist"/>
              <w:numPr>
                <w:ilvl w:val="0"/>
                <w:numId w:val="40"/>
              </w:numPr>
              <w:spacing w:after="60"/>
              <w:ind w:right="118"/>
            </w:pPr>
            <w:r w:rsidRPr="00875DBE">
              <w:t>s</w:t>
            </w:r>
            <w:r w:rsidR="00E87C7D" w:rsidRPr="00875DBE">
              <w:t>trategicznym – m.in. większe uprawnienia dla organów właściwych,</w:t>
            </w:r>
            <w:r w:rsidR="00E32125" w:rsidRPr="00875DBE">
              <w:t xml:space="preserve"> w </w:t>
            </w:r>
            <w:r w:rsidR="00E87C7D" w:rsidRPr="00875DBE">
              <w:t>tym ocena ryzyka dostawców sprzętu lub oprogramowania</w:t>
            </w:r>
            <w:r w:rsidR="002841E1" w:rsidRPr="00875DBE">
              <w:t xml:space="preserve"> (środek strategiczny SM03)</w:t>
            </w:r>
            <w:r w:rsidRPr="00875DBE">
              <w:t>;</w:t>
            </w:r>
          </w:p>
          <w:p w14:paraId="3CE6F2A5" w14:textId="2F08CCBC" w:rsidR="00E87C7D" w:rsidRDefault="00DD2EFB" w:rsidP="00BB6D3E">
            <w:pPr>
              <w:pStyle w:val="Akapitzlist"/>
              <w:numPr>
                <w:ilvl w:val="0"/>
                <w:numId w:val="40"/>
              </w:numPr>
              <w:spacing w:after="60"/>
              <w:ind w:right="118"/>
            </w:pPr>
            <w:r w:rsidRPr="00875DBE">
              <w:t>t</w:t>
            </w:r>
            <w:r w:rsidR="00E87C7D" w:rsidRPr="00875DBE">
              <w:t>echnicznym – m.in. badanie bezpieczeństwa oprogramowania</w:t>
            </w:r>
            <w:r w:rsidR="00E32125" w:rsidRPr="00875DBE">
              <w:t xml:space="preserve"> i </w:t>
            </w:r>
            <w:r w:rsidR="00E87C7D" w:rsidRPr="00875DBE">
              <w:t xml:space="preserve">urządzeń – uprawnienia Pełnomocnika Rządu ds. </w:t>
            </w:r>
            <w:proofErr w:type="spellStart"/>
            <w:r w:rsidR="00E87C7D" w:rsidRPr="00875DBE">
              <w:t>Cyberbezpieczeństwa</w:t>
            </w:r>
            <w:proofErr w:type="spellEnd"/>
            <w:r w:rsidR="00E87C7D" w:rsidRPr="00875DBE">
              <w:t xml:space="preserve"> oraz zespołów CSIRT poziomu krajowego: CSIRT </w:t>
            </w:r>
            <w:r w:rsidR="00A62347" w:rsidRPr="00875DBE">
              <w:t>MON</w:t>
            </w:r>
            <w:r w:rsidR="00E87C7D" w:rsidRPr="00875DBE">
              <w:t xml:space="preserve">, CSIRT </w:t>
            </w:r>
            <w:r w:rsidR="00A62347" w:rsidRPr="00875DBE">
              <w:t xml:space="preserve">NASK, </w:t>
            </w:r>
            <w:r w:rsidR="00E87C7D" w:rsidRPr="00875DBE">
              <w:t xml:space="preserve">CSIRT </w:t>
            </w:r>
            <w:r w:rsidR="00A62347" w:rsidRPr="00875DBE">
              <w:t>GOV</w:t>
            </w:r>
            <w:r w:rsidR="00E87C7D" w:rsidRPr="00875DBE">
              <w:t xml:space="preserve"> – wynikające</w:t>
            </w:r>
            <w:r w:rsidR="00E32125" w:rsidRPr="00875DBE">
              <w:t xml:space="preserve"> z </w:t>
            </w:r>
            <w:r w:rsidR="00E87C7D" w:rsidRPr="00875DBE">
              <w:t>art. 33 ustawy</w:t>
            </w:r>
            <w:r w:rsidR="00724398">
              <w:t xml:space="preserve"> z dnia 5 lipca 2018 r. o krajowym systemie </w:t>
            </w:r>
            <w:proofErr w:type="spellStart"/>
            <w:r w:rsidR="00724398">
              <w:t>cyberbezpieczeństwa</w:t>
            </w:r>
            <w:proofErr w:type="spellEnd"/>
            <w:r w:rsidR="00724398">
              <w:t xml:space="preserve"> (Dz. U. z 2023 r. poz. 913 i 1703), zwan</w:t>
            </w:r>
            <w:r w:rsidR="00EC7DCB">
              <w:t>ej</w:t>
            </w:r>
            <w:r w:rsidR="00724398">
              <w:t xml:space="preserve"> dalej „</w:t>
            </w:r>
            <w:r w:rsidR="00E87C7D" w:rsidRPr="00875DBE">
              <w:t>KSC</w:t>
            </w:r>
            <w:r w:rsidR="00724398">
              <w:t>”</w:t>
            </w:r>
            <w:r w:rsidRPr="00875DBE">
              <w:t>;</w:t>
            </w:r>
          </w:p>
          <w:p w14:paraId="0E571F57" w14:textId="0ECD6026" w:rsidR="00724398" w:rsidRPr="00875DBE" w:rsidRDefault="00DD2EFB" w:rsidP="00BB6D3E">
            <w:pPr>
              <w:pStyle w:val="Akapitzlist"/>
              <w:numPr>
                <w:ilvl w:val="0"/>
                <w:numId w:val="40"/>
              </w:numPr>
              <w:spacing w:after="60"/>
              <w:ind w:right="118"/>
            </w:pPr>
            <w:r w:rsidRPr="00875DBE">
              <w:t>w</w:t>
            </w:r>
            <w:r w:rsidR="00E87C7D" w:rsidRPr="00875DBE">
              <w:t>spierającym – m.in. dotyczące prac nad europejskim programem standaryzacji</w:t>
            </w:r>
            <w:r w:rsidR="00E32125" w:rsidRPr="00875DBE">
              <w:t xml:space="preserve"> i </w:t>
            </w:r>
            <w:r w:rsidR="00E87C7D" w:rsidRPr="00875DBE">
              <w:t xml:space="preserve">certyfikacji </w:t>
            </w:r>
            <w:proofErr w:type="spellStart"/>
            <w:r w:rsidR="00E87C7D" w:rsidRPr="00875DBE">
              <w:t>cyberbezpieczeństwa</w:t>
            </w:r>
            <w:proofErr w:type="spellEnd"/>
            <w:r w:rsidR="00971EC7" w:rsidRPr="00875DBE">
              <w:t>.</w:t>
            </w:r>
          </w:p>
          <w:p w14:paraId="4553B989" w14:textId="2E8D6713" w:rsidR="0040288B" w:rsidRPr="00875DBE" w:rsidRDefault="0040288B" w:rsidP="00BB6D3E">
            <w:pPr>
              <w:autoSpaceDN w:val="0"/>
              <w:spacing w:after="60"/>
              <w:ind w:right="118"/>
            </w:pPr>
            <w:r w:rsidRPr="00875DBE">
              <w:t xml:space="preserve">Obecnie brakuje </w:t>
            </w:r>
            <w:r w:rsidR="00724398">
              <w:t xml:space="preserve">także </w:t>
            </w:r>
            <w:r w:rsidR="00B104DE" w:rsidRPr="00875DBE">
              <w:t xml:space="preserve">podstawy </w:t>
            </w:r>
            <w:r w:rsidR="0065176E" w:rsidRPr="00875DBE">
              <w:t>prawnej do przeprowadzenia identyfikacji dostawców sprzętu lub oprogramowania</w:t>
            </w:r>
            <w:r w:rsidR="002841E1" w:rsidRPr="00875DBE">
              <w:t xml:space="preserve">, którzy stwarzają zagrożenie dla bezpieczeństwa narodowego, tym samym nie jest wdrożony środek SM03 z </w:t>
            </w:r>
            <w:proofErr w:type="spellStart"/>
            <w:r w:rsidR="002841E1" w:rsidRPr="00875DBE">
              <w:t>Toolboxa</w:t>
            </w:r>
            <w:proofErr w:type="spellEnd"/>
            <w:r w:rsidR="002841E1" w:rsidRPr="00875DBE">
              <w:t xml:space="preserve"> 5G.</w:t>
            </w:r>
          </w:p>
          <w:p w14:paraId="1AE2F556" w14:textId="5E77C00E" w:rsidR="005739FF" w:rsidRPr="00875DBE" w:rsidRDefault="005739FF" w:rsidP="00BB6D3E">
            <w:pPr>
              <w:autoSpaceDN w:val="0"/>
              <w:spacing w:after="60"/>
              <w:ind w:right="118"/>
            </w:pPr>
            <w:r w:rsidRPr="00875DBE">
              <w:t xml:space="preserve">Podsumowując konieczne jest więc wprowadzenie zmian </w:t>
            </w:r>
            <w:r w:rsidR="00FB2D8B" w:rsidRPr="00875DBE">
              <w:t>na poziomie ustawowym, aby wdrożyć dyrektywę NIS</w:t>
            </w:r>
            <w:r w:rsidR="00B104DE" w:rsidRPr="00875DBE">
              <w:t xml:space="preserve"> </w:t>
            </w:r>
            <w:r w:rsidR="00FB2D8B" w:rsidRPr="00875DBE">
              <w:t xml:space="preserve">2 oraz postanowienia </w:t>
            </w:r>
            <w:proofErr w:type="spellStart"/>
            <w:r w:rsidR="00FB2D8B" w:rsidRPr="00875DBE">
              <w:t>Toolboxa</w:t>
            </w:r>
            <w:proofErr w:type="spellEnd"/>
            <w:r w:rsidR="00FB2D8B" w:rsidRPr="00875DBE">
              <w:t xml:space="preserve"> 5G.</w:t>
            </w:r>
          </w:p>
        </w:tc>
      </w:tr>
      <w:tr w:rsidR="006A701A" w:rsidRPr="00875DBE" w14:paraId="49579CC4" w14:textId="77777777" w:rsidTr="006148BE">
        <w:trPr>
          <w:trHeight w:val="142"/>
        </w:trPr>
        <w:tc>
          <w:tcPr>
            <w:tcW w:w="5000" w:type="pct"/>
            <w:gridSpan w:val="28"/>
            <w:shd w:val="clear" w:color="auto" w:fill="99CCFF"/>
            <w:vAlign w:val="center"/>
          </w:tcPr>
          <w:p w14:paraId="365DD8EC" w14:textId="4C9A3552" w:rsidR="006A701A" w:rsidRPr="00875DBE" w:rsidRDefault="0013216E" w:rsidP="00C53F26">
            <w:pPr>
              <w:numPr>
                <w:ilvl w:val="0"/>
                <w:numId w:val="3"/>
              </w:numPr>
              <w:spacing w:before="60" w:after="60"/>
              <w:ind w:left="318" w:hanging="284"/>
              <w:rPr>
                <w:b/>
                <w:color w:val="000000"/>
              </w:rPr>
            </w:pPr>
            <w:r w:rsidRPr="00875DBE">
              <w:rPr>
                <w:b/>
                <w:color w:val="000000"/>
                <w:spacing w:val="-2"/>
              </w:rPr>
              <w:lastRenderedPageBreak/>
              <w:t>Rekomendowane rozwiązanie,</w:t>
            </w:r>
            <w:r w:rsidR="00E32125" w:rsidRPr="00875DBE">
              <w:rPr>
                <w:b/>
                <w:color w:val="000000"/>
                <w:spacing w:val="-2"/>
              </w:rPr>
              <w:t xml:space="preserve"> w </w:t>
            </w:r>
            <w:r w:rsidRPr="00875DBE">
              <w:rPr>
                <w:b/>
                <w:color w:val="000000"/>
                <w:spacing w:val="-2"/>
              </w:rPr>
              <w:t>tym planowane narzędzia interwencji,</w:t>
            </w:r>
            <w:r w:rsidR="00E32125" w:rsidRPr="00875DBE">
              <w:rPr>
                <w:b/>
                <w:color w:val="000000"/>
                <w:spacing w:val="-2"/>
              </w:rPr>
              <w:t xml:space="preserve"> i </w:t>
            </w:r>
            <w:r w:rsidRPr="00875DBE">
              <w:rPr>
                <w:b/>
                <w:color w:val="000000"/>
                <w:spacing w:val="-2"/>
              </w:rPr>
              <w:t>oczekiwany efekt</w:t>
            </w:r>
          </w:p>
        </w:tc>
      </w:tr>
      <w:tr w:rsidR="006A701A" w:rsidRPr="00875DBE" w14:paraId="7E59E89D" w14:textId="77777777" w:rsidTr="006148BE">
        <w:trPr>
          <w:trHeight w:val="142"/>
        </w:trPr>
        <w:tc>
          <w:tcPr>
            <w:tcW w:w="5000" w:type="pct"/>
            <w:gridSpan w:val="28"/>
            <w:shd w:val="clear" w:color="auto" w:fill="auto"/>
          </w:tcPr>
          <w:p w14:paraId="1D75BFA9" w14:textId="1B9C9A38" w:rsidR="00437284" w:rsidRPr="00875DBE" w:rsidRDefault="00437284" w:rsidP="00BB6D3E">
            <w:pPr>
              <w:ind w:right="118"/>
            </w:pPr>
            <w:r w:rsidRPr="00875DBE">
              <w:t xml:space="preserve">Zmiany wprowadzone przez dyrektywę NIS 2 oraz pojawiające się nowe </w:t>
            </w:r>
            <w:proofErr w:type="spellStart"/>
            <w:r w:rsidRPr="00875DBE">
              <w:t>cyberzagrożenia</w:t>
            </w:r>
            <w:proofErr w:type="spellEnd"/>
            <w:r w:rsidRPr="00875DBE">
              <w:t xml:space="preserve"> powodują konieczność wprowadzenia stosownych zmian w</w:t>
            </w:r>
            <w:r w:rsidR="00724398">
              <w:t xml:space="preserve"> KSC</w:t>
            </w:r>
            <w:r w:rsidRPr="00875DBE">
              <w:t xml:space="preserve">. </w:t>
            </w:r>
            <w:r w:rsidR="007F5CAA" w:rsidRPr="00875DBE">
              <w:t xml:space="preserve">Jest to podstawowy akt dotyczący </w:t>
            </w:r>
            <w:proofErr w:type="spellStart"/>
            <w:r w:rsidR="007F5CAA" w:rsidRPr="00875DBE">
              <w:t>cyberbezpieczeństwa</w:t>
            </w:r>
            <w:proofErr w:type="spellEnd"/>
            <w:r w:rsidR="007F5CAA" w:rsidRPr="00875DBE">
              <w:t xml:space="preserve"> w Polsce</w:t>
            </w:r>
            <w:r w:rsidR="00724398">
              <w:t>, który</w:t>
            </w:r>
            <w:r w:rsidR="007F5CAA" w:rsidRPr="00875DBE">
              <w:t xml:space="preserve"> </w:t>
            </w:r>
            <w:r w:rsidR="00724398">
              <w:t>poprzednio</w:t>
            </w:r>
            <w:r w:rsidR="007F5CAA" w:rsidRPr="00875DBE">
              <w:t xml:space="preserve"> wdrożył dyrektywę </w:t>
            </w:r>
            <w:r w:rsidR="00CC3454" w:rsidRPr="00875DBE">
              <w:t>NIS</w:t>
            </w:r>
            <w:r w:rsidR="00477380" w:rsidRPr="00875DBE">
              <w:t xml:space="preserve"> </w:t>
            </w:r>
            <w:r w:rsidR="00CC3454" w:rsidRPr="00875DBE">
              <w:t>1</w:t>
            </w:r>
            <w:r w:rsidR="00477380" w:rsidRPr="00875DBE">
              <w:t>.</w:t>
            </w:r>
            <w:r w:rsidR="007F5CAA" w:rsidRPr="00875DBE">
              <w:t xml:space="preserve"> </w:t>
            </w:r>
            <w:r w:rsidRPr="00875DBE">
              <w:t xml:space="preserve">Istotne jest </w:t>
            </w:r>
            <w:proofErr w:type="spellStart"/>
            <w:r w:rsidRPr="00875DBE">
              <w:t>uspójnienie</w:t>
            </w:r>
            <w:proofErr w:type="spellEnd"/>
            <w:r w:rsidRPr="00875DBE">
              <w:t xml:space="preserve"> krajowego systemu </w:t>
            </w:r>
            <w:proofErr w:type="spellStart"/>
            <w:r w:rsidRPr="00875DBE">
              <w:t>cyberbezpieczeństwa</w:t>
            </w:r>
            <w:proofErr w:type="spellEnd"/>
            <w:r w:rsidRPr="00875DBE">
              <w:t xml:space="preserve"> z rozwiązaniami europejskimi.</w:t>
            </w:r>
            <w:r w:rsidR="00FE7B86" w:rsidRPr="00875DBE">
              <w:t xml:space="preserve"> Poprzez zmianę KSC </w:t>
            </w:r>
            <w:r w:rsidR="000F1D06" w:rsidRPr="00875DBE">
              <w:t xml:space="preserve">wdrożone zostaną także postanowienia </w:t>
            </w:r>
            <w:proofErr w:type="spellStart"/>
            <w:r w:rsidR="000F1D06" w:rsidRPr="00875DBE">
              <w:t>Toolboxa</w:t>
            </w:r>
            <w:proofErr w:type="spellEnd"/>
            <w:r w:rsidR="00A31953" w:rsidRPr="00875DBE">
              <w:t xml:space="preserve"> 5G</w:t>
            </w:r>
            <w:r w:rsidR="00CC05DC" w:rsidRPr="00875DBE">
              <w:t>.</w:t>
            </w:r>
          </w:p>
          <w:p w14:paraId="2572A4C4" w14:textId="593F6E4B" w:rsidR="005E26B3" w:rsidRDefault="00603DED" w:rsidP="00093383">
            <w:pPr>
              <w:spacing w:after="0"/>
              <w:rPr>
                <w:rFonts w:eastAsia="Times New Roman"/>
                <w:lang w:eastAsia="pl-PL"/>
              </w:rPr>
            </w:pPr>
            <w:r w:rsidRPr="00875DBE">
              <w:rPr>
                <w:rFonts w:eastAsia="Times New Roman"/>
                <w:lang w:eastAsia="pl-PL"/>
              </w:rPr>
              <w:t xml:space="preserve">Nowelizacja </w:t>
            </w:r>
            <w:r w:rsidR="005E26B3" w:rsidRPr="00875DBE">
              <w:rPr>
                <w:rFonts w:eastAsia="Times New Roman"/>
                <w:lang w:eastAsia="pl-PL"/>
              </w:rPr>
              <w:t>ustaw</w:t>
            </w:r>
            <w:r w:rsidRPr="00875DBE">
              <w:rPr>
                <w:rFonts w:eastAsia="Times New Roman"/>
                <w:lang w:eastAsia="pl-PL"/>
              </w:rPr>
              <w:t>y</w:t>
            </w:r>
            <w:r w:rsidR="005E26B3" w:rsidRPr="00875DBE">
              <w:rPr>
                <w:rFonts w:eastAsia="Times New Roman"/>
                <w:lang w:eastAsia="pl-PL"/>
              </w:rPr>
              <w:t xml:space="preserve"> o KSC</w:t>
            </w:r>
            <w:r w:rsidRPr="00875DBE">
              <w:rPr>
                <w:rFonts w:eastAsia="Times New Roman"/>
                <w:lang w:eastAsia="pl-PL"/>
              </w:rPr>
              <w:t xml:space="preserve"> </w:t>
            </w:r>
            <w:r w:rsidR="00562E35">
              <w:rPr>
                <w:rFonts w:eastAsia="Times New Roman"/>
                <w:lang w:eastAsia="pl-PL"/>
              </w:rPr>
              <w:t>polega w szczególności na:</w:t>
            </w:r>
          </w:p>
          <w:p w14:paraId="3A27B152" w14:textId="18E78E01" w:rsidR="005E26B3" w:rsidRDefault="00562E35" w:rsidP="00093383">
            <w:pPr>
              <w:pStyle w:val="Akapitzlist"/>
              <w:numPr>
                <w:ilvl w:val="0"/>
                <w:numId w:val="41"/>
              </w:numPr>
              <w:spacing w:after="0"/>
              <w:rPr>
                <w:rFonts w:eastAsia="Times New Roman"/>
                <w:lang w:eastAsia="pl-PL"/>
              </w:rPr>
            </w:pPr>
            <w:r>
              <w:rPr>
                <w:rFonts w:eastAsia="Times New Roman"/>
                <w:lang w:eastAsia="pl-PL"/>
              </w:rPr>
              <w:t xml:space="preserve">rozszerzeniu katalogu </w:t>
            </w:r>
            <w:r w:rsidR="005E26B3" w:rsidRPr="00562E35">
              <w:rPr>
                <w:rFonts w:eastAsia="Times New Roman"/>
                <w:lang w:eastAsia="pl-PL"/>
              </w:rPr>
              <w:t xml:space="preserve">podmiotów krajowego systemu </w:t>
            </w:r>
            <w:proofErr w:type="spellStart"/>
            <w:r w:rsidR="005E26B3" w:rsidRPr="00562E35">
              <w:rPr>
                <w:rFonts w:eastAsia="Times New Roman"/>
                <w:lang w:eastAsia="pl-PL"/>
              </w:rPr>
              <w:t>cyberbezpieczeństwa</w:t>
            </w:r>
            <w:proofErr w:type="spellEnd"/>
            <w:r w:rsidR="005E26B3" w:rsidRPr="00562E35">
              <w:rPr>
                <w:rFonts w:eastAsia="Times New Roman"/>
                <w:lang w:eastAsia="pl-PL"/>
              </w:rPr>
              <w:t xml:space="preserve"> o nowe sektory gospodarki</w:t>
            </w:r>
            <w:r w:rsidR="003365B6">
              <w:rPr>
                <w:rFonts w:eastAsia="Times New Roman"/>
                <w:lang w:eastAsia="pl-PL"/>
              </w:rPr>
              <w:t xml:space="preserve"> (</w:t>
            </w:r>
            <w:r w:rsidR="003365B6" w:rsidRPr="003365B6">
              <w:rPr>
                <w:rFonts w:eastAsia="Times New Roman"/>
                <w:lang w:eastAsia="pl-PL"/>
              </w:rPr>
              <w:t>ścieki, zarządzanie ICT, przestrzeń kosmiczna, poczta, produkcja, produkcja i dystrybucja chemikaliów, produkcja i</w:t>
            </w:r>
            <w:r w:rsidR="00E64E87">
              <w:rPr>
                <w:rFonts w:eastAsia="Times New Roman"/>
                <w:lang w:eastAsia="pl-PL"/>
              </w:rPr>
              <w:t> </w:t>
            </w:r>
            <w:r w:rsidR="003365B6" w:rsidRPr="003365B6">
              <w:rPr>
                <w:rFonts w:eastAsia="Times New Roman"/>
                <w:lang w:eastAsia="pl-PL"/>
              </w:rPr>
              <w:t>dystrybucja żywności</w:t>
            </w:r>
            <w:r w:rsidR="003365B6">
              <w:rPr>
                <w:rFonts w:eastAsia="Times New Roman"/>
                <w:lang w:eastAsia="pl-PL"/>
              </w:rPr>
              <w:t>)</w:t>
            </w:r>
            <w:r w:rsidR="005E26B3" w:rsidRPr="00562E35">
              <w:rPr>
                <w:rFonts w:eastAsia="Times New Roman"/>
                <w:lang w:eastAsia="pl-PL"/>
              </w:rPr>
              <w:t>;</w:t>
            </w:r>
          </w:p>
          <w:p w14:paraId="32F195C0" w14:textId="7FA31000" w:rsidR="00562E35" w:rsidRDefault="00562E35" w:rsidP="00BB6D3E">
            <w:pPr>
              <w:pStyle w:val="Akapitzlist"/>
              <w:numPr>
                <w:ilvl w:val="0"/>
                <w:numId w:val="41"/>
              </w:numPr>
              <w:ind w:right="118"/>
              <w:rPr>
                <w:rFonts w:eastAsia="Times New Roman"/>
                <w:lang w:eastAsia="pl-PL"/>
              </w:rPr>
            </w:pPr>
            <w:r>
              <w:rPr>
                <w:rFonts w:eastAsia="Times New Roman"/>
                <w:lang w:eastAsia="pl-PL"/>
              </w:rPr>
              <w:t xml:space="preserve">nałożeniu obowiązków </w:t>
            </w:r>
            <w:r w:rsidRPr="00562E35">
              <w:rPr>
                <w:rFonts w:eastAsia="Times New Roman"/>
                <w:lang w:eastAsia="pl-PL"/>
              </w:rPr>
              <w:t>z zakresu środków zarządzania ryzykiem</w:t>
            </w:r>
            <w:r>
              <w:rPr>
                <w:rFonts w:eastAsia="Times New Roman"/>
                <w:lang w:eastAsia="pl-PL"/>
              </w:rPr>
              <w:t xml:space="preserve"> </w:t>
            </w:r>
            <w:r w:rsidRPr="00562E35">
              <w:rPr>
                <w:rFonts w:eastAsia="Times New Roman"/>
                <w:lang w:eastAsia="pl-PL"/>
              </w:rPr>
              <w:t>na podmioty kluczowe i podmioty ważne w</w:t>
            </w:r>
            <w:r>
              <w:rPr>
                <w:rFonts w:eastAsia="Times New Roman"/>
                <w:lang w:eastAsia="pl-PL"/>
              </w:rPr>
              <w:t> </w:t>
            </w:r>
            <w:proofErr w:type="spellStart"/>
            <w:r w:rsidRPr="00562E35">
              <w:rPr>
                <w:rFonts w:eastAsia="Times New Roman"/>
                <w:lang w:eastAsia="pl-PL"/>
              </w:rPr>
              <w:t>cyberbezpieczeństwie</w:t>
            </w:r>
            <w:proofErr w:type="spellEnd"/>
            <w:r>
              <w:rPr>
                <w:rFonts w:eastAsia="Times New Roman"/>
                <w:lang w:eastAsia="pl-PL"/>
              </w:rPr>
              <w:t>,</w:t>
            </w:r>
            <w:r w:rsidR="003365B6" w:rsidRPr="003365B6">
              <w:rPr>
                <w:rFonts w:asciiTheme="minorHAnsi" w:eastAsia="Times New Roman" w:hAnsiTheme="minorHAnsi" w:cstheme="minorBidi"/>
                <w:lang w:eastAsia="pl-PL"/>
              </w:rPr>
              <w:t xml:space="preserve"> </w:t>
            </w:r>
            <w:r w:rsidR="003365B6" w:rsidRPr="003365B6">
              <w:rPr>
                <w:rFonts w:eastAsia="Times New Roman"/>
                <w:lang w:eastAsia="pl-PL"/>
              </w:rPr>
              <w:t xml:space="preserve">dotyczące w szczególności stosowania odpowiednich i proporcjonalnych środków technicznych, operacyjnych i organizacyjnych w celu zarządzania ryzykiem dla bezpieczeństwa sieci i systemów informatycznych, </w:t>
            </w:r>
            <w:r w:rsidRPr="00562E35">
              <w:rPr>
                <w:rFonts w:eastAsia="Times New Roman"/>
                <w:lang w:eastAsia="pl-PL"/>
              </w:rPr>
              <w:t>zgodne z dyrektywą NIS 2; </w:t>
            </w:r>
          </w:p>
          <w:p w14:paraId="558692DD" w14:textId="4D4A5EE7" w:rsidR="003365B6" w:rsidRPr="003365B6" w:rsidRDefault="003365B6" w:rsidP="003365B6">
            <w:pPr>
              <w:pStyle w:val="Akapitzlist"/>
              <w:numPr>
                <w:ilvl w:val="0"/>
                <w:numId w:val="41"/>
              </w:numPr>
              <w:ind w:right="118"/>
              <w:rPr>
                <w:rFonts w:eastAsia="Times New Roman"/>
                <w:lang w:eastAsia="pl-PL"/>
              </w:rPr>
            </w:pPr>
            <w:r w:rsidRPr="003365B6">
              <w:rPr>
                <w:rFonts w:eastAsia="Times New Roman"/>
                <w:lang w:eastAsia="pl-PL"/>
              </w:rPr>
              <w:t>wprowadzeniu odpowiedzialności kierownika podmiotu kluczowego lub podmiotu ważnego za realizację zadań z</w:t>
            </w:r>
            <w:r w:rsidR="00E64E87">
              <w:rPr>
                <w:rFonts w:eastAsia="Times New Roman"/>
                <w:lang w:eastAsia="pl-PL"/>
              </w:rPr>
              <w:t> </w:t>
            </w:r>
            <w:r w:rsidRPr="003365B6">
              <w:rPr>
                <w:rFonts w:eastAsia="Times New Roman"/>
                <w:lang w:eastAsia="pl-PL"/>
              </w:rPr>
              <w:t xml:space="preserve">zakresu </w:t>
            </w:r>
            <w:proofErr w:type="spellStart"/>
            <w:r w:rsidRPr="003365B6">
              <w:rPr>
                <w:rFonts w:eastAsia="Times New Roman"/>
                <w:lang w:eastAsia="pl-PL"/>
              </w:rPr>
              <w:t>cyberbezpieczeństwa</w:t>
            </w:r>
            <w:proofErr w:type="spellEnd"/>
            <w:r w:rsidRPr="003365B6">
              <w:rPr>
                <w:rFonts w:eastAsia="Times New Roman"/>
                <w:lang w:eastAsia="pl-PL"/>
              </w:rPr>
              <w:t xml:space="preserve"> – kierownik takiego podmiotu będzie odpowiedzialny za realizację tych zadań </w:t>
            </w:r>
            <w:r w:rsidRPr="003365B6">
              <w:rPr>
                <w:rFonts w:eastAsia="Times New Roman"/>
                <w:lang w:eastAsia="pl-PL"/>
              </w:rPr>
              <w:lastRenderedPageBreak/>
              <w:t xml:space="preserve">przez dany podmiot; w przypadku niewywiązania się z tych zadań na kierownika będą mogły być nałożone kary; kierownik będzie obowiązany również do przejścia stosownego szkolenia z zakresu </w:t>
            </w:r>
            <w:proofErr w:type="spellStart"/>
            <w:r w:rsidRPr="003365B6">
              <w:rPr>
                <w:rFonts w:eastAsia="Times New Roman"/>
                <w:lang w:eastAsia="pl-PL"/>
              </w:rPr>
              <w:t>cyberbezpieczeństwa</w:t>
            </w:r>
            <w:proofErr w:type="spellEnd"/>
            <w:r w:rsidRPr="003365B6">
              <w:rPr>
                <w:rFonts w:eastAsia="Times New Roman"/>
                <w:lang w:eastAsia="pl-PL"/>
              </w:rPr>
              <w:t>;</w:t>
            </w:r>
          </w:p>
          <w:p w14:paraId="26BD05A6" w14:textId="77777777" w:rsidR="003365B6" w:rsidRPr="003365B6" w:rsidRDefault="003365B6" w:rsidP="003365B6">
            <w:pPr>
              <w:pStyle w:val="Akapitzlist"/>
              <w:numPr>
                <w:ilvl w:val="0"/>
                <w:numId w:val="41"/>
              </w:numPr>
              <w:ind w:right="118"/>
              <w:rPr>
                <w:rFonts w:eastAsia="Times New Roman"/>
                <w:lang w:eastAsia="pl-PL"/>
              </w:rPr>
            </w:pPr>
            <w:r w:rsidRPr="003365B6">
              <w:rPr>
                <w:rFonts w:eastAsia="Times New Roman"/>
                <w:lang w:eastAsia="pl-PL"/>
              </w:rPr>
              <w:t>wprowadzeniu możliwości zgłaszania incydentów przez podmioty kluczowe i podmioty ważne, za pomocą systemu teleinformatycznego ministra właściwego do spraw informatyzacji, zwanego dalej „ministrem”, do właściwych zespołów CSIRT sektorowych i CSIRT poziomu krajowego;</w:t>
            </w:r>
          </w:p>
          <w:p w14:paraId="3C8E7138" w14:textId="77777777" w:rsidR="003365B6" w:rsidRPr="003365B6" w:rsidRDefault="003365B6" w:rsidP="003365B6">
            <w:pPr>
              <w:pStyle w:val="Akapitzlist"/>
              <w:numPr>
                <w:ilvl w:val="0"/>
                <w:numId w:val="41"/>
              </w:numPr>
              <w:ind w:right="118"/>
              <w:rPr>
                <w:rFonts w:eastAsia="Times New Roman"/>
                <w:lang w:eastAsia="pl-PL"/>
              </w:rPr>
            </w:pPr>
            <w:r w:rsidRPr="003365B6">
              <w:rPr>
                <w:rFonts w:eastAsia="Times New Roman"/>
                <w:lang w:eastAsia="pl-PL"/>
              </w:rPr>
              <w:t xml:space="preserve">utworzeniu zespołów CSIRT sektorowych w poszczególnych sektorach gospodarki, które będą wspierać podmioty kluczowe i podmioty ważne w obsłudze incydentów </w:t>
            </w:r>
            <w:proofErr w:type="spellStart"/>
            <w:r w:rsidRPr="003365B6">
              <w:rPr>
                <w:rFonts w:eastAsia="Times New Roman"/>
                <w:lang w:eastAsia="pl-PL"/>
              </w:rPr>
              <w:t>cyberbezpieczeństwa</w:t>
            </w:r>
            <w:proofErr w:type="spellEnd"/>
            <w:r w:rsidRPr="003365B6">
              <w:rPr>
                <w:rFonts w:eastAsia="Times New Roman"/>
                <w:lang w:eastAsia="pl-PL"/>
              </w:rPr>
              <w:t>;</w:t>
            </w:r>
          </w:p>
          <w:p w14:paraId="3F9A48DC" w14:textId="77777777" w:rsidR="003365B6" w:rsidRPr="003365B6" w:rsidRDefault="003365B6" w:rsidP="003365B6">
            <w:pPr>
              <w:pStyle w:val="Akapitzlist"/>
              <w:numPr>
                <w:ilvl w:val="0"/>
                <w:numId w:val="41"/>
              </w:numPr>
              <w:ind w:right="118"/>
              <w:rPr>
                <w:rFonts w:eastAsia="Times New Roman"/>
                <w:lang w:eastAsia="pl-PL"/>
              </w:rPr>
            </w:pPr>
            <w:r w:rsidRPr="003365B6">
              <w:rPr>
                <w:rFonts w:eastAsia="Times New Roman"/>
                <w:lang w:eastAsia="pl-PL"/>
              </w:rPr>
              <w:t xml:space="preserve">wzmocnieniu kompetencji nadzorczych organów właściwych do spraw </w:t>
            </w:r>
            <w:proofErr w:type="spellStart"/>
            <w:r w:rsidRPr="003365B6">
              <w:rPr>
                <w:rFonts w:eastAsia="Times New Roman"/>
                <w:lang w:eastAsia="pl-PL"/>
              </w:rPr>
              <w:t>cyberbezpieczeństwa</w:t>
            </w:r>
            <w:proofErr w:type="spellEnd"/>
            <w:r w:rsidRPr="003365B6">
              <w:rPr>
                <w:rFonts w:eastAsia="Times New Roman"/>
                <w:lang w:eastAsia="pl-PL"/>
              </w:rPr>
              <w:t>, polegających na możliwości wydawania ostrzeżeń, wyznaczania urzędnika monitorującego wykonywanie obowiązków przez dany podmiot kluczowy albo podmiot ważny, nakazywanie przeprowadzenia oceny bezpieczeństwa systemu informacyjnego, nakazywanie przeprowadzenia audytu bezpieczeństwa;</w:t>
            </w:r>
          </w:p>
          <w:p w14:paraId="1CE9FFC2" w14:textId="49A07477" w:rsidR="003365B6" w:rsidRPr="003365B6" w:rsidRDefault="003365B6" w:rsidP="003365B6">
            <w:pPr>
              <w:pStyle w:val="Akapitzlist"/>
              <w:numPr>
                <w:ilvl w:val="0"/>
                <w:numId w:val="41"/>
              </w:numPr>
              <w:ind w:right="118"/>
              <w:rPr>
                <w:rFonts w:eastAsia="Times New Roman"/>
                <w:lang w:eastAsia="pl-PL"/>
              </w:rPr>
            </w:pPr>
            <w:r w:rsidRPr="003365B6">
              <w:rPr>
                <w:rFonts w:eastAsia="Times New Roman"/>
                <w:lang w:eastAsia="pl-PL"/>
              </w:rPr>
              <w:t>wprowadzeniu nowych kar pieniężnych za niewykonanie obowiązków ustawowych przez podmioty kluczowe i</w:t>
            </w:r>
            <w:r w:rsidR="00E64E87">
              <w:rPr>
                <w:rFonts w:eastAsia="Times New Roman"/>
                <w:lang w:eastAsia="pl-PL"/>
              </w:rPr>
              <w:t> </w:t>
            </w:r>
            <w:r w:rsidRPr="003365B6">
              <w:rPr>
                <w:rFonts w:eastAsia="Times New Roman"/>
                <w:lang w:eastAsia="pl-PL"/>
              </w:rPr>
              <w:t>podmioty ważne, m. in. za nie wdrożenie systemu zarządzania bezpieczeństwem informacji czy nie zarejestrowanie się w wykazie podmiotów kluczowych i podmiotów ważnych;</w:t>
            </w:r>
          </w:p>
          <w:p w14:paraId="5805752A" w14:textId="515007EC" w:rsidR="003365B6" w:rsidRPr="003365B6" w:rsidRDefault="003365B6" w:rsidP="003365B6">
            <w:pPr>
              <w:pStyle w:val="Akapitzlist"/>
              <w:numPr>
                <w:ilvl w:val="0"/>
                <w:numId w:val="41"/>
              </w:numPr>
              <w:ind w:right="118"/>
              <w:rPr>
                <w:rFonts w:eastAsia="Times New Roman"/>
                <w:lang w:eastAsia="pl-PL"/>
              </w:rPr>
            </w:pPr>
            <w:r w:rsidRPr="003365B6">
              <w:rPr>
                <w:rFonts w:eastAsia="Times New Roman"/>
                <w:lang w:eastAsia="pl-PL"/>
              </w:rPr>
              <w:t xml:space="preserve">wprowadzeniu Krajowego </w:t>
            </w:r>
            <w:r w:rsidR="00E64E87">
              <w:rPr>
                <w:rFonts w:eastAsia="Times New Roman"/>
                <w:lang w:eastAsia="pl-PL"/>
              </w:rPr>
              <w:t>P</w:t>
            </w:r>
            <w:r w:rsidRPr="003365B6">
              <w:rPr>
                <w:rFonts w:eastAsia="Times New Roman"/>
                <w:lang w:eastAsia="pl-PL"/>
              </w:rPr>
              <w:t xml:space="preserve">lanu reagowania na incydenty i sytuacje kryzysowe w </w:t>
            </w:r>
            <w:proofErr w:type="spellStart"/>
            <w:r w:rsidRPr="003365B6">
              <w:rPr>
                <w:rFonts w:eastAsia="Times New Roman"/>
                <w:lang w:eastAsia="pl-PL"/>
              </w:rPr>
              <w:t>cyberbezpieczeństwie</w:t>
            </w:r>
            <w:proofErr w:type="spellEnd"/>
            <w:r w:rsidRPr="003365B6">
              <w:rPr>
                <w:rFonts w:eastAsia="Times New Roman"/>
                <w:lang w:eastAsia="pl-PL"/>
              </w:rPr>
              <w:t xml:space="preserve"> na dużą skalę;</w:t>
            </w:r>
          </w:p>
          <w:p w14:paraId="646CB53B" w14:textId="77777777" w:rsidR="003365B6" w:rsidRPr="003365B6" w:rsidRDefault="003365B6" w:rsidP="003365B6">
            <w:pPr>
              <w:pStyle w:val="Akapitzlist"/>
              <w:numPr>
                <w:ilvl w:val="0"/>
                <w:numId w:val="41"/>
              </w:numPr>
              <w:ind w:right="118"/>
              <w:rPr>
                <w:rFonts w:eastAsia="Times New Roman"/>
                <w:lang w:eastAsia="pl-PL"/>
              </w:rPr>
            </w:pPr>
            <w:r w:rsidRPr="003365B6">
              <w:rPr>
                <w:rFonts w:eastAsia="Times New Roman"/>
                <w:lang w:eastAsia="pl-PL"/>
              </w:rPr>
              <w:t>rozszerzeniu kompetencji ministra (organ ten będzie mógł dokonać, w drodze decyzji, prawnej identyfikacji dostawcy wysokiego ryzyka, będzie mógł też wydać polecenie zabezpieczające ze wskazaniem zachowania, które ograniczy skutki trwającego incydentu krytycznego);</w:t>
            </w:r>
          </w:p>
          <w:p w14:paraId="397184A1" w14:textId="77777777" w:rsidR="003365B6" w:rsidRPr="003365B6" w:rsidRDefault="003365B6" w:rsidP="003365B6">
            <w:pPr>
              <w:pStyle w:val="Akapitzlist"/>
              <w:numPr>
                <w:ilvl w:val="0"/>
                <w:numId w:val="41"/>
              </w:numPr>
              <w:ind w:right="118"/>
              <w:rPr>
                <w:rFonts w:eastAsia="Times New Roman"/>
                <w:lang w:eastAsia="pl-PL"/>
              </w:rPr>
            </w:pPr>
            <w:r w:rsidRPr="003365B6">
              <w:rPr>
                <w:rFonts w:eastAsia="Times New Roman"/>
                <w:lang w:eastAsia="pl-PL"/>
              </w:rPr>
              <w:t xml:space="preserve">wzmocnieniu pozycji Pełnomocnika Rządu do Spraw </w:t>
            </w:r>
            <w:proofErr w:type="spellStart"/>
            <w:r w:rsidRPr="003365B6">
              <w:rPr>
                <w:rFonts w:eastAsia="Times New Roman"/>
                <w:lang w:eastAsia="pl-PL"/>
              </w:rPr>
              <w:t>Cyberbezpieczeństwa</w:t>
            </w:r>
            <w:proofErr w:type="spellEnd"/>
            <w:r w:rsidRPr="003365B6">
              <w:rPr>
                <w:rFonts w:eastAsia="Times New Roman"/>
                <w:lang w:eastAsia="pl-PL"/>
              </w:rPr>
              <w:t xml:space="preserve"> poprzez wyposażenie go w konkretne uprawnienia w zakresie wydawania rekomendacji mających na celu wzmocnienie poziomu </w:t>
            </w:r>
            <w:proofErr w:type="spellStart"/>
            <w:r w:rsidRPr="003365B6">
              <w:rPr>
                <w:rFonts w:eastAsia="Times New Roman"/>
                <w:lang w:eastAsia="pl-PL"/>
              </w:rPr>
              <w:t>cyberbezpieczeństwa</w:t>
            </w:r>
            <w:proofErr w:type="spellEnd"/>
            <w:r w:rsidRPr="003365B6">
              <w:rPr>
                <w:rFonts w:eastAsia="Times New Roman"/>
                <w:lang w:eastAsia="pl-PL"/>
              </w:rPr>
              <w:t xml:space="preserve"> systemów informacyjnych podmiotów krajowego systemu </w:t>
            </w:r>
            <w:proofErr w:type="spellStart"/>
            <w:r w:rsidRPr="003365B6">
              <w:rPr>
                <w:rFonts w:eastAsia="Times New Roman"/>
                <w:lang w:eastAsia="pl-PL"/>
              </w:rPr>
              <w:t>cyberbezpieczeństwa</w:t>
            </w:r>
            <w:proofErr w:type="spellEnd"/>
            <w:r w:rsidRPr="003365B6">
              <w:rPr>
                <w:rFonts w:eastAsia="Times New Roman"/>
                <w:lang w:eastAsia="pl-PL"/>
              </w:rPr>
              <w:t xml:space="preserve">; Pełnomocnik Rządu do Spraw </w:t>
            </w:r>
            <w:proofErr w:type="spellStart"/>
            <w:r w:rsidRPr="003365B6">
              <w:rPr>
                <w:rFonts w:eastAsia="Times New Roman"/>
                <w:lang w:eastAsia="pl-PL"/>
              </w:rPr>
              <w:t>Cyberbezpieczeństwa</w:t>
            </w:r>
            <w:proofErr w:type="spellEnd"/>
            <w:r w:rsidRPr="003365B6">
              <w:rPr>
                <w:rFonts w:eastAsia="Times New Roman"/>
                <w:lang w:eastAsia="pl-PL"/>
              </w:rPr>
              <w:t xml:space="preserve"> będzie mógł także żądać informacji niezbędnych do wykonywania jego zadań od organów administracji rządowej oraz zlecać wykonanie badań niezbędnych do realizacji jego zadań; Pełnomocnikowi umożliwi się także zakupy oprogramowania z zakresu </w:t>
            </w:r>
            <w:proofErr w:type="spellStart"/>
            <w:r w:rsidRPr="003365B6">
              <w:rPr>
                <w:rFonts w:eastAsia="Times New Roman"/>
                <w:lang w:eastAsia="pl-PL"/>
              </w:rPr>
              <w:t>cyberbezpieczeństwa</w:t>
            </w:r>
            <w:proofErr w:type="spellEnd"/>
            <w:r w:rsidRPr="003365B6">
              <w:rPr>
                <w:rFonts w:eastAsia="Times New Roman"/>
                <w:lang w:eastAsia="pl-PL"/>
              </w:rPr>
              <w:t xml:space="preserve"> dla podmiotów publicznych;</w:t>
            </w:r>
          </w:p>
          <w:p w14:paraId="52F9F96A" w14:textId="48DFDDF0" w:rsidR="003365B6" w:rsidRPr="003365B6" w:rsidRDefault="003365B6" w:rsidP="003365B6">
            <w:pPr>
              <w:pStyle w:val="Akapitzlist"/>
              <w:numPr>
                <w:ilvl w:val="0"/>
                <w:numId w:val="41"/>
              </w:numPr>
              <w:ind w:right="118"/>
              <w:rPr>
                <w:rFonts w:eastAsia="Times New Roman"/>
                <w:lang w:eastAsia="pl-PL"/>
              </w:rPr>
            </w:pPr>
            <w:r w:rsidRPr="003365B6">
              <w:rPr>
                <w:rFonts w:eastAsia="Times New Roman"/>
                <w:lang w:eastAsia="pl-PL"/>
              </w:rPr>
              <w:t>rozszerzeniu kompetencji zespołów CSIRT poziomu krajowego, w tym CSIRT NASK, co jest związane ze zwiększoną liczbą podmiotów kluczowych i ważnych, którym CSIRT NASK będzie udzielał wsparcia w</w:t>
            </w:r>
            <w:r w:rsidR="00E64E87">
              <w:rPr>
                <w:rFonts w:eastAsia="Times New Roman"/>
                <w:lang w:eastAsia="pl-PL"/>
              </w:rPr>
              <w:t> </w:t>
            </w:r>
            <w:r w:rsidRPr="003365B6">
              <w:rPr>
                <w:rFonts w:eastAsia="Times New Roman"/>
                <w:lang w:eastAsia="pl-PL"/>
              </w:rPr>
              <w:t>reagowaniu na incydenty;</w:t>
            </w:r>
          </w:p>
          <w:p w14:paraId="5AE24B0C" w14:textId="77777777" w:rsidR="003365B6" w:rsidRPr="003365B6" w:rsidRDefault="003365B6" w:rsidP="003365B6">
            <w:pPr>
              <w:pStyle w:val="Akapitzlist"/>
              <w:numPr>
                <w:ilvl w:val="0"/>
                <w:numId w:val="41"/>
              </w:numPr>
              <w:ind w:right="118"/>
              <w:rPr>
                <w:rFonts w:eastAsia="Times New Roman"/>
                <w:lang w:eastAsia="pl-PL"/>
              </w:rPr>
            </w:pPr>
            <w:r w:rsidRPr="003365B6">
              <w:rPr>
                <w:rFonts w:eastAsia="Times New Roman"/>
                <w:lang w:eastAsia="pl-PL"/>
              </w:rPr>
              <w:t xml:space="preserve">rozwijaniu kompetencji ministra w zakresie edukacji </w:t>
            </w:r>
            <w:proofErr w:type="spellStart"/>
            <w:r w:rsidRPr="003365B6">
              <w:rPr>
                <w:rFonts w:eastAsia="Times New Roman"/>
                <w:lang w:eastAsia="pl-PL"/>
              </w:rPr>
              <w:t>cyberbezpieczeństwa</w:t>
            </w:r>
            <w:proofErr w:type="spellEnd"/>
            <w:r w:rsidRPr="003365B6">
              <w:rPr>
                <w:rFonts w:eastAsia="Times New Roman"/>
                <w:lang w:eastAsia="pl-PL"/>
              </w:rPr>
              <w:t xml:space="preserve"> – przewiduje się środki na prowadzenie kampanii edukacyjnych i programów z zakresu </w:t>
            </w:r>
            <w:proofErr w:type="spellStart"/>
            <w:r w:rsidRPr="003365B6">
              <w:rPr>
                <w:rFonts w:eastAsia="Times New Roman"/>
                <w:lang w:eastAsia="pl-PL"/>
              </w:rPr>
              <w:t>cyberbezpieczeństwa</w:t>
            </w:r>
            <w:proofErr w:type="spellEnd"/>
            <w:r w:rsidRPr="003365B6">
              <w:rPr>
                <w:rFonts w:eastAsia="Times New Roman"/>
                <w:lang w:eastAsia="pl-PL"/>
              </w:rPr>
              <w:t>.</w:t>
            </w:r>
          </w:p>
          <w:p w14:paraId="667D83AE" w14:textId="77777777" w:rsidR="003365B6" w:rsidRDefault="003365B6" w:rsidP="00E625E7">
            <w:pPr>
              <w:pStyle w:val="Akapitzlist"/>
              <w:ind w:left="360" w:right="118"/>
              <w:rPr>
                <w:rFonts w:eastAsia="Times New Roman"/>
                <w:lang w:eastAsia="pl-PL"/>
              </w:rPr>
            </w:pPr>
          </w:p>
          <w:p w14:paraId="28FEF279" w14:textId="26DBDB48" w:rsidR="006A0174" w:rsidRPr="00875DBE" w:rsidRDefault="006A0174" w:rsidP="00BB6D3E">
            <w:pPr>
              <w:pStyle w:val="NIEARTTEKSTtekstnieartykuowanynppodstprawnarozplubpreambua"/>
              <w:spacing w:before="0" w:after="120" w:line="240" w:lineRule="auto"/>
              <w:ind w:right="118" w:firstLine="0"/>
              <w:rPr>
                <w:rFonts w:ascii="Times New Roman" w:hAnsi="Times New Roman" w:cs="Times New Roman"/>
                <w:spacing w:val="-2"/>
                <w:sz w:val="22"/>
                <w:szCs w:val="22"/>
              </w:rPr>
            </w:pPr>
            <w:r w:rsidRPr="00875DBE">
              <w:rPr>
                <w:rFonts w:ascii="Times New Roman" w:eastAsia="Calibri" w:hAnsi="Times New Roman" w:cs="Times New Roman"/>
                <w:bCs w:val="0"/>
                <w:spacing w:val="-2"/>
                <w:sz w:val="22"/>
                <w:szCs w:val="22"/>
                <w:lang w:eastAsia="en-US"/>
              </w:rPr>
              <w:t>Projekt ustawy służy</w:t>
            </w:r>
            <w:r w:rsidR="00562E35">
              <w:rPr>
                <w:rFonts w:ascii="Times New Roman" w:eastAsia="Calibri" w:hAnsi="Times New Roman" w:cs="Times New Roman"/>
                <w:bCs w:val="0"/>
                <w:spacing w:val="-2"/>
                <w:sz w:val="22"/>
                <w:szCs w:val="22"/>
                <w:lang w:eastAsia="en-US"/>
              </w:rPr>
              <w:t xml:space="preserve"> również</w:t>
            </w:r>
            <w:r w:rsidRPr="00875DBE">
              <w:rPr>
                <w:rFonts w:ascii="Times New Roman" w:eastAsia="Calibri" w:hAnsi="Times New Roman" w:cs="Times New Roman"/>
                <w:bCs w:val="0"/>
                <w:spacing w:val="-2"/>
                <w:sz w:val="22"/>
                <w:szCs w:val="22"/>
                <w:lang w:eastAsia="en-US"/>
              </w:rPr>
              <w:t xml:space="preserve"> realizacji celów Strategii </w:t>
            </w:r>
            <w:proofErr w:type="spellStart"/>
            <w:r w:rsidRPr="00875DBE">
              <w:rPr>
                <w:rFonts w:ascii="Times New Roman" w:eastAsia="Calibri" w:hAnsi="Times New Roman" w:cs="Times New Roman"/>
                <w:bCs w:val="0"/>
                <w:spacing w:val="-2"/>
                <w:sz w:val="22"/>
                <w:szCs w:val="22"/>
                <w:lang w:eastAsia="en-US"/>
              </w:rPr>
              <w:t>Cyberbezpieczeństwa</w:t>
            </w:r>
            <w:proofErr w:type="spellEnd"/>
            <w:r w:rsidRPr="00875DBE">
              <w:rPr>
                <w:rFonts w:ascii="Times New Roman" w:eastAsia="Calibri" w:hAnsi="Times New Roman" w:cs="Times New Roman"/>
                <w:bCs w:val="0"/>
                <w:spacing w:val="-2"/>
                <w:sz w:val="22"/>
                <w:szCs w:val="22"/>
                <w:lang w:eastAsia="en-US"/>
              </w:rPr>
              <w:t xml:space="preserve"> Rzeczypospolitej Polskiej na lata 2019</w:t>
            </w:r>
            <w:r w:rsidR="002577FB" w:rsidRPr="00875DBE">
              <w:rPr>
                <w:rFonts w:ascii="Times New Roman" w:eastAsia="Calibri" w:hAnsi="Times New Roman" w:cs="Times New Roman"/>
                <w:bCs w:val="0"/>
                <w:spacing w:val="-2"/>
                <w:sz w:val="22"/>
                <w:szCs w:val="22"/>
                <w:lang w:eastAsia="en-US"/>
              </w:rPr>
              <w:t>–</w:t>
            </w:r>
            <w:r w:rsidRPr="00875DBE">
              <w:rPr>
                <w:rFonts w:ascii="Times New Roman" w:eastAsia="Calibri" w:hAnsi="Times New Roman" w:cs="Times New Roman"/>
                <w:bCs w:val="0"/>
                <w:spacing w:val="-2"/>
                <w:sz w:val="22"/>
                <w:szCs w:val="22"/>
                <w:lang w:eastAsia="en-US"/>
              </w:rPr>
              <w:t>2024,</w:t>
            </w:r>
            <w:r w:rsidR="002577FB" w:rsidRPr="00875DBE">
              <w:rPr>
                <w:rFonts w:ascii="Times New Roman" w:eastAsia="Calibri" w:hAnsi="Times New Roman" w:cs="Times New Roman"/>
                <w:bCs w:val="0"/>
                <w:spacing w:val="-2"/>
                <w:sz w:val="22"/>
                <w:szCs w:val="22"/>
                <w:lang w:eastAsia="en-US"/>
              </w:rPr>
              <w:t xml:space="preserve"> zwanej dalej „Strategią”,</w:t>
            </w:r>
            <w:r w:rsidRPr="00875DBE">
              <w:rPr>
                <w:rFonts w:ascii="Times New Roman" w:eastAsia="Calibri" w:hAnsi="Times New Roman" w:cs="Times New Roman"/>
                <w:bCs w:val="0"/>
                <w:spacing w:val="-2"/>
                <w:sz w:val="22"/>
                <w:szCs w:val="22"/>
                <w:lang w:eastAsia="en-US"/>
              </w:rPr>
              <w:t xml:space="preserve"> jakimi są podniesienie poziomu odporności na </w:t>
            </w:r>
            <w:proofErr w:type="spellStart"/>
            <w:r w:rsidRPr="00875DBE">
              <w:rPr>
                <w:rFonts w:ascii="Times New Roman" w:eastAsia="Calibri" w:hAnsi="Times New Roman" w:cs="Times New Roman"/>
                <w:bCs w:val="0"/>
                <w:spacing w:val="-2"/>
                <w:sz w:val="22"/>
                <w:szCs w:val="22"/>
                <w:lang w:eastAsia="en-US"/>
              </w:rPr>
              <w:t>cyberzagrożenia</w:t>
            </w:r>
            <w:proofErr w:type="spellEnd"/>
            <w:r w:rsidRPr="00875DBE">
              <w:rPr>
                <w:rFonts w:ascii="Times New Roman" w:eastAsia="Calibri" w:hAnsi="Times New Roman" w:cs="Times New Roman"/>
                <w:bCs w:val="0"/>
                <w:spacing w:val="-2"/>
                <w:sz w:val="22"/>
                <w:szCs w:val="22"/>
                <w:lang w:eastAsia="en-US"/>
              </w:rPr>
              <w:t xml:space="preserve"> oraz poziomu ochrony informacji</w:t>
            </w:r>
            <w:r w:rsidR="00E32125" w:rsidRPr="00875DBE">
              <w:rPr>
                <w:rFonts w:ascii="Times New Roman" w:eastAsia="Calibri" w:hAnsi="Times New Roman" w:cs="Times New Roman"/>
                <w:bCs w:val="0"/>
                <w:spacing w:val="-2"/>
                <w:sz w:val="22"/>
                <w:szCs w:val="22"/>
                <w:lang w:eastAsia="en-US"/>
              </w:rPr>
              <w:t xml:space="preserve"> w </w:t>
            </w:r>
            <w:r w:rsidRPr="00875DBE">
              <w:rPr>
                <w:rFonts w:ascii="Times New Roman" w:eastAsia="Calibri" w:hAnsi="Times New Roman" w:cs="Times New Roman"/>
                <w:bCs w:val="0"/>
                <w:spacing w:val="-2"/>
                <w:sz w:val="22"/>
                <w:szCs w:val="22"/>
                <w:lang w:eastAsia="en-US"/>
              </w:rPr>
              <w:t>sektorach: publicznym, militarnym</w:t>
            </w:r>
            <w:r w:rsidR="00E32125" w:rsidRPr="00875DBE">
              <w:rPr>
                <w:rFonts w:ascii="Times New Roman" w:eastAsia="Calibri" w:hAnsi="Times New Roman" w:cs="Times New Roman"/>
                <w:bCs w:val="0"/>
                <w:spacing w:val="-2"/>
                <w:sz w:val="22"/>
                <w:szCs w:val="22"/>
                <w:lang w:eastAsia="en-US"/>
              </w:rPr>
              <w:t xml:space="preserve"> i </w:t>
            </w:r>
            <w:r w:rsidRPr="00875DBE">
              <w:rPr>
                <w:rFonts w:ascii="Times New Roman" w:eastAsia="Calibri" w:hAnsi="Times New Roman" w:cs="Times New Roman"/>
                <w:bCs w:val="0"/>
                <w:spacing w:val="-2"/>
                <w:sz w:val="22"/>
                <w:szCs w:val="22"/>
                <w:lang w:eastAsia="en-US"/>
              </w:rPr>
              <w:t xml:space="preserve">prywatnym. Projekt realizuje także cel szczegółowy Strategii, odnoszący się do rozwoju krajowego systemu </w:t>
            </w:r>
            <w:proofErr w:type="spellStart"/>
            <w:r w:rsidRPr="00875DBE">
              <w:rPr>
                <w:rFonts w:ascii="Times New Roman" w:eastAsia="Calibri" w:hAnsi="Times New Roman" w:cs="Times New Roman"/>
                <w:bCs w:val="0"/>
                <w:spacing w:val="-2"/>
                <w:sz w:val="22"/>
                <w:szCs w:val="22"/>
                <w:lang w:eastAsia="en-US"/>
              </w:rPr>
              <w:t>cyberbezpieczeństwa</w:t>
            </w:r>
            <w:proofErr w:type="spellEnd"/>
            <w:r w:rsidRPr="00875DBE">
              <w:rPr>
                <w:rFonts w:ascii="Times New Roman" w:eastAsia="Calibri" w:hAnsi="Times New Roman" w:cs="Times New Roman"/>
                <w:bCs w:val="0"/>
                <w:spacing w:val="-2"/>
                <w:sz w:val="22"/>
                <w:szCs w:val="22"/>
                <w:lang w:eastAsia="en-US"/>
              </w:rPr>
              <w:t xml:space="preserve"> poprzez ewaluację przepisów prawa dotyczących </w:t>
            </w:r>
            <w:proofErr w:type="spellStart"/>
            <w:r w:rsidRPr="00875DBE">
              <w:rPr>
                <w:rFonts w:ascii="Times New Roman" w:eastAsia="Calibri" w:hAnsi="Times New Roman" w:cs="Times New Roman"/>
                <w:bCs w:val="0"/>
                <w:spacing w:val="-2"/>
                <w:sz w:val="22"/>
                <w:szCs w:val="22"/>
                <w:lang w:eastAsia="en-US"/>
              </w:rPr>
              <w:t>cyberbezpieczeństwa</w:t>
            </w:r>
            <w:proofErr w:type="spellEnd"/>
            <w:r w:rsidRPr="00875DBE">
              <w:rPr>
                <w:rFonts w:ascii="Times New Roman" w:eastAsia="Calibri" w:hAnsi="Times New Roman" w:cs="Times New Roman"/>
                <w:bCs w:val="0"/>
                <w:spacing w:val="-2"/>
                <w:sz w:val="22"/>
                <w:szCs w:val="22"/>
                <w:lang w:eastAsia="en-US"/>
              </w:rPr>
              <w:t>. Ponadto, projekt realizuje cele Strategii</w:t>
            </w:r>
            <w:r w:rsidR="00E32125" w:rsidRPr="00875DBE">
              <w:rPr>
                <w:rFonts w:ascii="Times New Roman" w:eastAsia="Calibri" w:hAnsi="Times New Roman" w:cs="Times New Roman"/>
                <w:bCs w:val="0"/>
                <w:spacing w:val="-2"/>
                <w:sz w:val="22"/>
                <w:szCs w:val="22"/>
                <w:lang w:eastAsia="en-US"/>
              </w:rPr>
              <w:t xml:space="preserve"> w </w:t>
            </w:r>
            <w:r w:rsidRPr="00875DBE">
              <w:rPr>
                <w:rFonts w:ascii="Times New Roman" w:eastAsia="Calibri" w:hAnsi="Times New Roman" w:cs="Times New Roman"/>
                <w:bCs w:val="0"/>
                <w:spacing w:val="-2"/>
                <w:sz w:val="22"/>
                <w:szCs w:val="22"/>
                <w:lang w:eastAsia="en-US"/>
              </w:rPr>
              <w:t>odniesieniu do zapewnienia bezpieczeństwa łańcucha dostaw</w:t>
            </w:r>
            <w:r w:rsidR="00F271CD" w:rsidRPr="00875DBE">
              <w:rPr>
                <w:rFonts w:ascii="Times New Roman" w:eastAsia="Calibri" w:hAnsi="Times New Roman" w:cs="Times New Roman"/>
                <w:bCs w:val="0"/>
                <w:spacing w:val="-2"/>
                <w:sz w:val="22"/>
                <w:szCs w:val="22"/>
                <w:lang w:eastAsia="en-US"/>
              </w:rPr>
              <w:t xml:space="preserve"> sprzętu lub oprogramowania dla podmiotów krajowego syste</w:t>
            </w:r>
            <w:r w:rsidR="00266F84" w:rsidRPr="00875DBE">
              <w:rPr>
                <w:rFonts w:ascii="Times New Roman" w:eastAsia="Calibri" w:hAnsi="Times New Roman" w:cs="Times New Roman"/>
                <w:bCs w:val="0"/>
                <w:spacing w:val="-2"/>
                <w:sz w:val="22"/>
                <w:szCs w:val="22"/>
                <w:lang w:eastAsia="en-US"/>
              </w:rPr>
              <w:t xml:space="preserve">mu </w:t>
            </w:r>
            <w:proofErr w:type="spellStart"/>
            <w:r w:rsidR="00266F84" w:rsidRPr="00875DBE">
              <w:rPr>
                <w:rFonts w:ascii="Times New Roman" w:eastAsia="Calibri" w:hAnsi="Times New Roman" w:cs="Times New Roman"/>
                <w:bCs w:val="0"/>
                <w:spacing w:val="-2"/>
                <w:sz w:val="22"/>
                <w:szCs w:val="22"/>
                <w:lang w:eastAsia="en-US"/>
              </w:rPr>
              <w:t>cyberbezpieczeństwa</w:t>
            </w:r>
            <w:proofErr w:type="spellEnd"/>
            <w:r w:rsidR="00AC74C8" w:rsidRPr="00875DBE">
              <w:rPr>
                <w:rFonts w:ascii="Times New Roman" w:eastAsia="Calibri" w:hAnsi="Times New Roman" w:cs="Times New Roman"/>
                <w:bCs w:val="0"/>
                <w:spacing w:val="-2"/>
                <w:sz w:val="22"/>
                <w:szCs w:val="22"/>
                <w:lang w:eastAsia="en-US"/>
              </w:rPr>
              <w:t>.</w:t>
            </w:r>
          </w:p>
          <w:p w14:paraId="34D8F96E" w14:textId="31EAAC44" w:rsidR="006A701A" w:rsidRDefault="006A0174" w:rsidP="00BB6D3E">
            <w:pPr>
              <w:ind w:right="118"/>
              <w:rPr>
                <w:spacing w:val="-2"/>
              </w:rPr>
            </w:pPr>
            <w:r w:rsidRPr="00875DBE">
              <w:rPr>
                <w:spacing w:val="-2"/>
              </w:rPr>
              <w:t>Jednocześnie wprowadzenie</w:t>
            </w:r>
            <w:r w:rsidR="00E32125" w:rsidRPr="00875DBE">
              <w:rPr>
                <w:spacing w:val="-2"/>
              </w:rPr>
              <w:t xml:space="preserve"> w </w:t>
            </w:r>
            <w:r w:rsidRPr="00875DBE">
              <w:rPr>
                <w:spacing w:val="-2"/>
              </w:rPr>
              <w:t>życie projektowanych zmian</w:t>
            </w:r>
            <w:r w:rsidR="00E32125" w:rsidRPr="00875DBE">
              <w:rPr>
                <w:spacing w:val="-2"/>
              </w:rPr>
              <w:t xml:space="preserve"> w </w:t>
            </w:r>
            <w:r w:rsidRPr="00875DBE">
              <w:rPr>
                <w:spacing w:val="-2"/>
              </w:rPr>
              <w:t>ustawie</w:t>
            </w:r>
            <w:r w:rsidR="00562E35">
              <w:rPr>
                <w:spacing w:val="-2"/>
              </w:rPr>
              <w:t xml:space="preserve"> KSC</w:t>
            </w:r>
            <w:r w:rsidRPr="00875DBE">
              <w:rPr>
                <w:spacing w:val="-2"/>
              </w:rPr>
              <w:t xml:space="preserve"> zrealizuje kamień milowy reformy C3.1.</w:t>
            </w:r>
            <w:r w:rsidR="003171D8">
              <w:rPr>
                <w:spacing w:val="-2"/>
              </w:rPr>
              <w:t>1</w:t>
            </w:r>
            <w:r w:rsidRPr="00875DBE">
              <w:rPr>
                <w:spacing w:val="-2"/>
              </w:rPr>
              <w:t xml:space="preserve"> Krajowego Planu Odbudowy</w:t>
            </w:r>
            <w:r w:rsidR="002577FB" w:rsidRPr="00875DBE">
              <w:rPr>
                <w:spacing w:val="-2"/>
              </w:rPr>
              <w:t xml:space="preserve"> i Zwiększania Odporności</w:t>
            </w:r>
            <w:r w:rsidR="00122675" w:rsidRPr="00875DBE">
              <w:rPr>
                <w:spacing w:val="-2"/>
              </w:rPr>
              <w:t>, zwanego dalej „KPO”</w:t>
            </w:r>
            <w:r w:rsidR="003171D8">
              <w:rPr>
                <w:spacing w:val="-2"/>
              </w:rPr>
              <w:t xml:space="preserve"> </w:t>
            </w:r>
            <w:proofErr w:type="spellStart"/>
            <w:r w:rsidR="003171D8" w:rsidRPr="006148BE">
              <w:rPr>
                <w:i/>
                <w:iCs/>
              </w:rPr>
              <w:t>Cyberbezpieczeństwo</w:t>
            </w:r>
            <w:proofErr w:type="spellEnd"/>
            <w:r w:rsidR="003171D8" w:rsidRPr="006148BE">
              <w:rPr>
                <w:i/>
                <w:iCs/>
              </w:rPr>
              <w:t xml:space="preserve"> – </w:t>
            </w:r>
            <w:proofErr w:type="spellStart"/>
            <w:r w:rsidR="003171D8" w:rsidRPr="006148BE">
              <w:rPr>
                <w:i/>
                <w:iCs/>
              </w:rPr>
              <w:t>CyberPL</w:t>
            </w:r>
            <w:proofErr w:type="spellEnd"/>
            <w:r w:rsidR="003171D8" w:rsidRPr="006148BE">
              <w:rPr>
                <w:i/>
                <w:iCs/>
              </w:rPr>
              <w:t>, infrastruktura przetwarzania danych oraz optymalizacja infrastruktury służb państwowych odpowiedzialnych za bezpieczeństwo</w:t>
            </w:r>
            <w:r w:rsidR="00AC74C8" w:rsidRPr="00875DBE">
              <w:rPr>
                <w:spacing w:val="-2"/>
              </w:rPr>
              <w:t>.</w:t>
            </w:r>
          </w:p>
          <w:p w14:paraId="4A4A90F0" w14:textId="61C62683" w:rsidR="00C66322" w:rsidRPr="00C66322" w:rsidRDefault="00C66322" w:rsidP="00BB6D3E">
            <w:pPr>
              <w:ind w:right="118"/>
              <w:rPr>
                <w:spacing w:val="-2"/>
              </w:rPr>
            </w:pPr>
            <w:r>
              <w:rPr>
                <w:spacing w:val="-2"/>
              </w:rPr>
              <w:t>W projekcie n</w:t>
            </w:r>
            <w:r w:rsidRPr="00C66322">
              <w:rPr>
                <w:spacing w:val="-2"/>
              </w:rPr>
              <w:t>ałożono obowiązki na podmioty kluczowe i podmioty ważne zgodne z wykazem tych podmiotów wskazanych w załączniku nr 1 i 2 do dyrektywy NIS</w:t>
            </w:r>
            <w:r w:rsidR="001968AB">
              <w:rPr>
                <w:spacing w:val="-2"/>
              </w:rPr>
              <w:t xml:space="preserve"> </w:t>
            </w:r>
            <w:r w:rsidRPr="00C66322">
              <w:rPr>
                <w:spacing w:val="-2"/>
              </w:rPr>
              <w:t xml:space="preserve">2. Będą one obowiązane dokonać </w:t>
            </w:r>
            <w:proofErr w:type="spellStart"/>
            <w:r w:rsidRPr="00C66322">
              <w:rPr>
                <w:spacing w:val="-2"/>
              </w:rPr>
              <w:t>samorejestracji</w:t>
            </w:r>
            <w:proofErr w:type="spellEnd"/>
            <w:r w:rsidRPr="00C66322">
              <w:rPr>
                <w:spacing w:val="-2"/>
              </w:rPr>
              <w:t xml:space="preserve"> w wykazie podmiotów kluczowych i </w:t>
            </w:r>
            <w:r w:rsidR="00BB6D3E">
              <w:rPr>
                <w:spacing w:val="-2"/>
              </w:rPr>
              <w:t xml:space="preserve">podmiotów </w:t>
            </w:r>
            <w:r w:rsidRPr="00C66322">
              <w:rPr>
                <w:spacing w:val="-2"/>
              </w:rPr>
              <w:t xml:space="preserve">ważnych, co umożliwi ich identyfikację, aktywne wsparcie ich przez zespoły CSIRT sektorowe i zespoły CSIRT poziomu krajowego oraz wykonywanie czynności nadzorczych przez organy właściwe do spraw </w:t>
            </w:r>
            <w:proofErr w:type="spellStart"/>
            <w:r w:rsidRPr="00C66322">
              <w:rPr>
                <w:spacing w:val="-2"/>
              </w:rPr>
              <w:t>cyberbezpieczeństwa</w:t>
            </w:r>
            <w:proofErr w:type="spellEnd"/>
            <w:r w:rsidRPr="00C66322">
              <w:rPr>
                <w:spacing w:val="-2"/>
              </w:rPr>
              <w:t xml:space="preserve">. Umożliwi to także przekazywanie danych o liczbie tych podmiotów do Komisji Europejskiej i Agencji Unii Europejskiej do spraw </w:t>
            </w:r>
            <w:proofErr w:type="spellStart"/>
            <w:r w:rsidRPr="00C66322">
              <w:rPr>
                <w:spacing w:val="-2"/>
              </w:rPr>
              <w:t>Cyberbezpieczeństwa</w:t>
            </w:r>
            <w:proofErr w:type="spellEnd"/>
            <w:r w:rsidRPr="00C66322">
              <w:rPr>
                <w:spacing w:val="-2"/>
              </w:rPr>
              <w:t>.</w:t>
            </w:r>
          </w:p>
          <w:p w14:paraId="1AB87A30" w14:textId="79E6C387" w:rsidR="00C66322" w:rsidRPr="00875DBE" w:rsidRDefault="00C66322" w:rsidP="00BB6D3E">
            <w:pPr>
              <w:ind w:right="118"/>
              <w:rPr>
                <w:spacing w:val="-2"/>
              </w:rPr>
            </w:pPr>
            <w:r w:rsidRPr="00C66322">
              <w:rPr>
                <w:spacing w:val="-2"/>
              </w:rPr>
              <w:t>Podmioty kluczowe i podmioty ważne będą obowiązane wprowadzić system zarządzania bezpieczeństwem informacji w procesach służących świadczeniu usług przez te podmioty. Odpowiada to zakresowi wymogów</w:t>
            </w:r>
            <w:r w:rsidR="003365B6">
              <w:rPr>
                <w:spacing w:val="-2"/>
              </w:rPr>
              <w:t>,</w:t>
            </w:r>
            <w:r w:rsidRPr="00C66322">
              <w:rPr>
                <w:spacing w:val="-2"/>
              </w:rPr>
              <w:t xml:space="preserve"> co do środków zarządzania ryzykiem wskazanych w art. 21 dyrektywy NIS</w:t>
            </w:r>
            <w:r w:rsidR="001968AB">
              <w:rPr>
                <w:spacing w:val="-2"/>
              </w:rPr>
              <w:t xml:space="preserve"> </w:t>
            </w:r>
            <w:r w:rsidRPr="00C66322">
              <w:rPr>
                <w:spacing w:val="-2"/>
              </w:rPr>
              <w:t>2.Tak jak do tej pory operatorzy usług kluczowych</w:t>
            </w:r>
            <w:r w:rsidR="001968AB">
              <w:rPr>
                <w:spacing w:val="-2"/>
              </w:rPr>
              <w:t xml:space="preserve">, </w:t>
            </w:r>
            <w:r w:rsidRPr="00C66322">
              <w:rPr>
                <w:spacing w:val="-2"/>
              </w:rPr>
              <w:t xml:space="preserve">inne podmioty kluczowe i </w:t>
            </w:r>
            <w:r w:rsidR="001968AB">
              <w:rPr>
                <w:spacing w:val="-2"/>
              </w:rPr>
              <w:t xml:space="preserve">podmioty </w:t>
            </w:r>
            <w:r w:rsidRPr="00C66322">
              <w:rPr>
                <w:spacing w:val="-2"/>
              </w:rPr>
              <w:t>ważne będą obowiązane przeprowadzać audyty bezpieczeństwa swoich systemów informacyjnych co dwa lata.</w:t>
            </w:r>
          </w:p>
          <w:p w14:paraId="32BFBC97" w14:textId="4A9176A1" w:rsidR="002F1E5B" w:rsidRPr="002F1E5B" w:rsidRDefault="006D5907" w:rsidP="00BB6D3E">
            <w:pPr>
              <w:ind w:right="118"/>
              <w:rPr>
                <w:spacing w:val="-2"/>
              </w:rPr>
            </w:pPr>
            <w:r w:rsidRPr="002F1E5B">
              <w:rPr>
                <w:spacing w:val="-2"/>
              </w:rPr>
              <w:t xml:space="preserve">Dyrektywa NIS 2 wprowadziła nowe rozwiązania </w:t>
            </w:r>
            <w:r w:rsidR="00A507E4">
              <w:rPr>
                <w:spacing w:val="-2"/>
              </w:rPr>
              <w:t>w</w:t>
            </w:r>
            <w:r w:rsidR="00A274E0">
              <w:rPr>
                <w:spacing w:val="-2"/>
              </w:rPr>
              <w:t xml:space="preserve"> zakresie </w:t>
            </w:r>
            <w:r w:rsidR="002507CE">
              <w:rPr>
                <w:spacing w:val="-2"/>
              </w:rPr>
              <w:t>zgłaszania incyd</w:t>
            </w:r>
            <w:r w:rsidR="00A507E4">
              <w:rPr>
                <w:spacing w:val="-2"/>
              </w:rPr>
              <w:t>entów</w:t>
            </w:r>
            <w:r w:rsidR="00D3769D">
              <w:rPr>
                <w:spacing w:val="-2"/>
              </w:rPr>
              <w:t xml:space="preserve"> </w:t>
            </w:r>
            <w:r w:rsidRPr="002F1E5B">
              <w:rPr>
                <w:spacing w:val="-2"/>
              </w:rPr>
              <w:t xml:space="preserve">poważnych. </w:t>
            </w:r>
            <w:r w:rsidR="00F7318D">
              <w:rPr>
                <w:spacing w:val="-2"/>
              </w:rPr>
              <w:t>Z</w:t>
            </w:r>
            <w:r w:rsidR="00A507E4">
              <w:rPr>
                <w:spacing w:val="-2"/>
              </w:rPr>
              <w:t xml:space="preserve">miany </w:t>
            </w:r>
            <w:r w:rsidR="00504162">
              <w:rPr>
                <w:spacing w:val="-2"/>
              </w:rPr>
              <w:t>te</w:t>
            </w:r>
            <w:r w:rsidR="00D3769D">
              <w:rPr>
                <w:spacing w:val="-2"/>
              </w:rPr>
              <w:t xml:space="preserve"> </w:t>
            </w:r>
            <w:r w:rsidR="00F7318D">
              <w:rPr>
                <w:spacing w:val="-2"/>
              </w:rPr>
              <w:t>polegają na</w:t>
            </w:r>
            <w:r w:rsidR="00936F0E">
              <w:rPr>
                <w:spacing w:val="-2"/>
              </w:rPr>
              <w:t xml:space="preserve"> </w:t>
            </w:r>
            <w:r w:rsidR="0083063C">
              <w:rPr>
                <w:spacing w:val="-2"/>
              </w:rPr>
              <w:t xml:space="preserve">m.in. </w:t>
            </w:r>
            <w:r w:rsidR="00CF095C">
              <w:rPr>
                <w:spacing w:val="-2"/>
              </w:rPr>
              <w:t>dwuetapow</w:t>
            </w:r>
            <w:r w:rsidR="0083063C">
              <w:rPr>
                <w:spacing w:val="-2"/>
              </w:rPr>
              <w:t>ym</w:t>
            </w:r>
            <w:r w:rsidR="00CF095C">
              <w:rPr>
                <w:spacing w:val="-2"/>
              </w:rPr>
              <w:t xml:space="preserve"> zgłaszani</w:t>
            </w:r>
            <w:r w:rsidR="0083063C">
              <w:rPr>
                <w:spacing w:val="-2"/>
              </w:rPr>
              <w:t>u</w:t>
            </w:r>
            <w:r w:rsidR="00CF095C">
              <w:rPr>
                <w:spacing w:val="-2"/>
              </w:rPr>
              <w:t xml:space="preserve"> </w:t>
            </w:r>
            <w:r w:rsidR="00C26A65">
              <w:rPr>
                <w:spacing w:val="-2"/>
              </w:rPr>
              <w:t xml:space="preserve">incydentu, </w:t>
            </w:r>
            <w:r w:rsidR="00697A9D">
              <w:rPr>
                <w:spacing w:val="-2"/>
              </w:rPr>
              <w:t xml:space="preserve">tj. w </w:t>
            </w:r>
            <w:r w:rsidR="00D57182">
              <w:rPr>
                <w:spacing w:val="-2"/>
              </w:rPr>
              <w:t xml:space="preserve">pierwszej kolejności podmiot kluczowy albo </w:t>
            </w:r>
            <w:r w:rsidR="001968AB">
              <w:rPr>
                <w:spacing w:val="-2"/>
              </w:rPr>
              <w:t xml:space="preserve">podmiot </w:t>
            </w:r>
            <w:r w:rsidR="00D57182">
              <w:rPr>
                <w:spacing w:val="-2"/>
              </w:rPr>
              <w:t xml:space="preserve">ważny będzie </w:t>
            </w:r>
            <w:r w:rsidR="00D857B7">
              <w:rPr>
                <w:spacing w:val="-2"/>
              </w:rPr>
              <w:t>zgłaszał</w:t>
            </w:r>
            <w:r w:rsidR="00D57182">
              <w:rPr>
                <w:spacing w:val="-2"/>
              </w:rPr>
              <w:t xml:space="preserve"> </w:t>
            </w:r>
            <w:r w:rsidR="0024141D">
              <w:rPr>
                <w:spacing w:val="-2"/>
              </w:rPr>
              <w:t xml:space="preserve">do CSIRT sektorowego </w:t>
            </w:r>
            <w:r w:rsidR="00BF19A3">
              <w:rPr>
                <w:spacing w:val="-2"/>
              </w:rPr>
              <w:t>wczesne</w:t>
            </w:r>
            <w:r w:rsidR="00395353">
              <w:rPr>
                <w:spacing w:val="-2"/>
              </w:rPr>
              <w:t xml:space="preserve"> ostrzeżenie </w:t>
            </w:r>
            <w:r w:rsidR="007831B3">
              <w:rPr>
                <w:spacing w:val="-2"/>
              </w:rPr>
              <w:t>o incy</w:t>
            </w:r>
            <w:r w:rsidR="00BF19A3">
              <w:rPr>
                <w:spacing w:val="-2"/>
              </w:rPr>
              <w:t>dencie poważnym</w:t>
            </w:r>
            <w:r w:rsidR="00CF095C">
              <w:rPr>
                <w:spacing w:val="-2"/>
              </w:rPr>
              <w:t xml:space="preserve"> </w:t>
            </w:r>
            <w:r w:rsidR="00524877">
              <w:rPr>
                <w:spacing w:val="-2"/>
              </w:rPr>
              <w:t>(</w:t>
            </w:r>
            <w:r w:rsidR="002F1E5B" w:rsidRPr="002F1E5B">
              <w:rPr>
                <w:spacing w:val="-2"/>
              </w:rPr>
              <w:t xml:space="preserve">24 </w:t>
            </w:r>
            <w:r w:rsidR="00F25DFB">
              <w:rPr>
                <w:spacing w:val="-2"/>
              </w:rPr>
              <w:t>godziny</w:t>
            </w:r>
            <w:r w:rsidR="002F1E5B" w:rsidRPr="002F1E5B">
              <w:rPr>
                <w:spacing w:val="-2"/>
              </w:rPr>
              <w:t xml:space="preserve"> od momentu wykrycia</w:t>
            </w:r>
            <w:r w:rsidR="00F25DFB">
              <w:rPr>
                <w:spacing w:val="-2"/>
              </w:rPr>
              <w:t>)</w:t>
            </w:r>
            <w:r w:rsidR="00BB6D3E">
              <w:rPr>
                <w:spacing w:val="-2"/>
              </w:rPr>
              <w:t xml:space="preserve">, </w:t>
            </w:r>
            <w:r w:rsidR="0035210A">
              <w:rPr>
                <w:spacing w:val="-2"/>
              </w:rPr>
              <w:t xml:space="preserve">następnie </w:t>
            </w:r>
            <w:r w:rsidR="001F2A03">
              <w:rPr>
                <w:spacing w:val="-2"/>
              </w:rPr>
              <w:t>następuje zgłoszenie</w:t>
            </w:r>
            <w:r w:rsidR="002F1E5B" w:rsidRPr="002F1E5B">
              <w:rPr>
                <w:spacing w:val="-2"/>
              </w:rPr>
              <w:t xml:space="preserve"> incydentu poważnego</w:t>
            </w:r>
            <w:r w:rsidR="00015EF5">
              <w:rPr>
                <w:spacing w:val="-2"/>
              </w:rPr>
              <w:t xml:space="preserve"> (</w:t>
            </w:r>
            <w:r w:rsidR="00351CF2">
              <w:rPr>
                <w:spacing w:val="-2"/>
              </w:rPr>
              <w:t>72 godziny od momentu wykrycia)</w:t>
            </w:r>
            <w:r w:rsidR="00210EAB">
              <w:rPr>
                <w:spacing w:val="-2"/>
              </w:rPr>
              <w:t>.</w:t>
            </w:r>
            <w:r w:rsidR="00F25DFB">
              <w:rPr>
                <w:spacing w:val="-2"/>
              </w:rPr>
              <w:t xml:space="preserve"> </w:t>
            </w:r>
            <w:r w:rsidR="002F1E5B" w:rsidRPr="002F1E5B">
              <w:rPr>
                <w:spacing w:val="-2"/>
              </w:rPr>
              <w:t xml:space="preserve">Natomiast przedsiębiorca telekomunikacyjny zgłasza wczesne ostrzeżenie w nie później niż w ciągu 12 godzin od momentu wykrycia incydentu </w:t>
            </w:r>
            <w:r w:rsidR="002F1E5B" w:rsidRPr="002F1E5B">
              <w:rPr>
                <w:spacing w:val="-2"/>
              </w:rPr>
              <w:lastRenderedPageBreak/>
              <w:t>poważnego. Zgłoszenie wczesnego ostrzeżenia może zawierać wniosek o wskazanie wytycznych dotyczących możliwych do wdrożenia środków ograniczających skutki incydentu poważnego lub o wsparcie techniczne przy obsłudze incydentu. CSIRT sektorowy zobowiązany będzie w terminie 24 godzin udzielić wsparcia zgodnie z treścią wniosku.</w:t>
            </w:r>
          </w:p>
          <w:p w14:paraId="5ACA88F1" w14:textId="707BEEBA" w:rsidR="002F1E5B" w:rsidRPr="002F1E5B" w:rsidRDefault="002F1E5B" w:rsidP="00BB6D3E">
            <w:pPr>
              <w:ind w:right="118"/>
              <w:rPr>
                <w:spacing w:val="-2"/>
              </w:rPr>
            </w:pPr>
            <w:r w:rsidRPr="002F1E5B">
              <w:rPr>
                <w:spacing w:val="-2"/>
              </w:rPr>
              <w:t>W trakcie obsługi incydentu poważnego podmiot zgłaszający incydent, na wniosek CSIRT sektorowego, przekazują sprawozdanie okresowe z obsługi tego incydentu. Natomiast sprawozdanie końcowe z obsługi incydentu poważnego przekazywane będzie nie później niż w ciągu miesiąca od dnia zgłoszenia incydentu. Jeżeli jednak obsługa incydentu poważnego nie zakończyła się w terminie miesiąca podmiot zgłaszający incydent poważny przesyła sprawozdanie z</w:t>
            </w:r>
            <w:r w:rsidR="00BB6D3E">
              <w:rPr>
                <w:spacing w:val="-2"/>
              </w:rPr>
              <w:t> </w:t>
            </w:r>
            <w:r w:rsidRPr="002F1E5B">
              <w:rPr>
                <w:spacing w:val="-2"/>
              </w:rPr>
              <w:t>postępu obsługi incydentu, a sprawozdanie końcowe w terminie miesiąca od zakończenia obsługi tego incydentu.</w:t>
            </w:r>
          </w:p>
          <w:p w14:paraId="26F46922" w14:textId="692D609D" w:rsidR="002F1E5B" w:rsidRPr="002F1E5B" w:rsidRDefault="002F1E5B" w:rsidP="00BB6D3E">
            <w:pPr>
              <w:ind w:right="118"/>
              <w:rPr>
                <w:spacing w:val="-2"/>
              </w:rPr>
            </w:pPr>
            <w:r w:rsidRPr="002F1E5B">
              <w:rPr>
                <w:spacing w:val="-2"/>
              </w:rPr>
              <w:t xml:space="preserve">Progi uznania incydentu za incydent poważny zostaną określone </w:t>
            </w:r>
            <w:r w:rsidR="00C512FD" w:rsidRPr="00C512FD">
              <w:rPr>
                <w:spacing w:val="-2"/>
              </w:rPr>
              <w:t>przez Radę Ministrów</w:t>
            </w:r>
            <w:r w:rsidR="00C512FD">
              <w:rPr>
                <w:spacing w:val="-2"/>
              </w:rPr>
              <w:t xml:space="preserve">, </w:t>
            </w:r>
            <w:r w:rsidRPr="002F1E5B">
              <w:rPr>
                <w:spacing w:val="-2"/>
              </w:rPr>
              <w:t>w drodze rozporządzenia.</w:t>
            </w:r>
          </w:p>
          <w:p w14:paraId="2F5959DA" w14:textId="0CE04A18" w:rsidR="008B3AD9" w:rsidRPr="00875DBE" w:rsidRDefault="003B23DB" w:rsidP="00BB6D3E">
            <w:pPr>
              <w:ind w:right="118"/>
              <w:rPr>
                <w:spacing w:val="-2"/>
              </w:rPr>
            </w:pPr>
            <w:r>
              <w:rPr>
                <w:spacing w:val="-2"/>
              </w:rPr>
              <w:t>Zgłoszenie incydentu będzie dokonywane za pośrednictwem s</w:t>
            </w:r>
            <w:r w:rsidR="006C768D" w:rsidRPr="006C768D">
              <w:rPr>
                <w:spacing w:val="-2"/>
              </w:rPr>
              <w:t>ystem</w:t>
            </w:r>
            <w:r>
              <w:rPr>
                <w:spacing w:val="-2"/>
              </w:rPr>
              <w:t>u</w:t>
            </w:r>
            <w:r w:rsidR="006C768D" w:rsidRPr="006C768D">
              <w:rPr>
                <w:spacing w:val="-2"/>
              </w:rPr>
              <w:t xml:space="preserve"> S46</w:t>
            </w:r>
            <w:r>
              <w:rPr>
                <w:spacing w:val="-2"/>
              </w:rPr>
              <w:t>.</w:t>
            </w:r>
            <w:r w:rsidR="009D7BBA">
              <w:rPr>
                <w:spacing w:val="-2"/>
              </w:rPr>
              <w:t xml:space="preserve"> Zgodnie z </w:t>
            </w:r>
            <w:r w:rsidR="00746214">
              <w:rPr>
                <w:spacing w:val="-2"/>
              </w:rPr>
              <w:t>projektem ustawy syst</w:t>
            </w:r>
            <w:r w:rsidR="003C4215">
              <w:rPr>
                <w:spacing w:val="-2"/>
              </w:rPr>
              <w:t>em</w:t>
            </w:r>
            <w:r w:rsidR="006C768D" w:rsidRPr="006C768D">
              <w:rPr>
                <w:spacing w:val="-2"/>
              </w:rPr>
              <w:t xml:space="preserve"> S46 zostanie dostosowany do tego by stać się głównym środkiem komunikacji pomiędzy podmiotami krajowego systemu </w:t>
            </w:r>
            <w:proofErr w:type="spellStart"/>
            <w:r w:rsidR="006C768D" w:rsidRPr="006C768D">
              <w:rPr>
                <w:spacing w:val="-2"/>
              </w:rPr>
              <w:t>cyberbezpieczeństwa</w:t>
            </w:r>
            <w:proofErr w:type="spellEnd"/>
            <w:r w:rsidR="006C768D" w:rsidRPr="006C768D">
              <w:rPr>
                <w:spacing w:val="-2"/>
              </w:rPr>
              <w:t xml:space="preserve">. W związku z koniecznością dodania do tego systemu bardzo dużej liczby podmiotów zrezygnowano z zawierania porozumienia o dołączeniu do systemu. Ponadto dołączenie do systemu nie będzie już wymagało zakupu specjalnych urządzeń, ale będzie odbywało się za pomocą rozwiązań chmurowych. Podmioty kluczowe i podmioty ważne </w:t>
            </w:r>
            <w:r w:rsidR="00854EFF" w:rsidRPr="006C768D">
              <w:rPr>
                <w:spacing w:val="-2"/>
              </w:rPr>
              <w:t xml:space="preserve">są </w:t>
            </w:r>
            <w:r w:rsidR="006C768D" w:rsidRPr="006C768D">
              <w:rPr>
                <w:spacing w:val="-2"/>
              </w:rPr>
              <w:t>obowiązane zapewnić zgodność swoich systemów informacyjnych z minimalnymi wymaganiami technicznymi i funkcjonalnymi podłączenia do systemu</w:t>
            </w:r>
            <w:r w:rsidR="0016189C">
              <w:rPr>
                <w:spacing w:val="-2"/>
              </w:rPr>
              <w:t>.</w:t>
            </w:r>
          </w:p>
          <w:p w14:paraId="3D104AE3" w14:textId="44C1BD4D" w:rsidR="009E125D" w:rsidRPr="00875DBE" w:rsidRDefault="00965C75" w:rsidP="00BB6D3E">
            <w:pPr>
              <w:ind w:right="118"/>
              <w:rPr>
                <w:spacing w:val="-2"/>
              </w:rPr>
            </w:pPr>
            <w:r>
              <w:rPr>
                <w:spacing w:val="-2"/>
              </w:rPr>
              <w:t>Projektowane</w:t>
            </w:r>
            <w:r w:rsidR="009E125D">
              <w:rPr>
                <w:spacing w:val="-2"/>
              </w:rPr>
              <w:t xml:space="preserve"> rozwiązania </w:t>
            </w:r>
            <w:r w:rsidR="004605BB">
              <w:rPr>
                <w:spacing w:val="-2"/>
              </w:rPr>
              <w:t>zapewnią szybkie reagowanie na pojawi</w:t>
            </w:r>
            <w:r w:rsidR="00DF6C7D">
              <w:rPr>
                <w:spacing w:val="-2"/>
              </w:rPr>
              <w:t>ające się incydenty.</w:t>
            </w:r>
          </w:p>
          <w:p w14:paraId="182CFB25" w14:textId="39FEA9DF" w:rsidR="00772C60" w:rsidRDefault="0000745E" w:rsidP="00BB6D3E">
            <w:pPr>
              <w:ind w:right="118"/>
              <w:rPr>
                <w:rFonts w:eastAsia="Times New Roman"/>
                <w:lang w:eastAsia="pl-PL"/>
              </w:rPr>
            </w:pPr>
            <w:r w:rsidRPr="00562E35">
              <w:rPr>
                <w:rFonts w:eastAsia="Times New Roman"/>
                <w:lang w:eastAsia="pl-PL"/>
              </w:rPr>
              <w:t>Krajow</w:t>
            </w:r>
            <w:r>
              <w:rPr>
                <w:rFonts w:eastAsia="Times New Roman"/>
                <w:lang w:eastAsia="pl-PL"/>
              </w:rPr>
              <w:t>y</w:t>
            </w:r>
            <w:r w:rsidRPr="00562E35">
              <w:rPr>
                <w:rFonts w:eastAsia="Times New Roman"/>
                <w:lang w:eastAsia="pl-PL"/>
              </w:rPr>
              <w:t xml:space="preserve"> </w:t>
            </w:r>
            <w:r w:rsidR="00854EFF">
              <w:rPr>
                <w:rFonts w:eastAsia="Times New Roman"/>
                <w:lang w:eastAsia="pl-PL"/>
              </w:rPr>
              <w:t>P</w:t>
            </w:r>
            <w:r w:rsidRPr="00562E35">
              <w:rPr>
                <w:rFonts w:eastAsia="Times New Roman"/>
                <w:lang w:eastAsia="pl-PL"/>
              </w:rPr>
              <w:t xml:space="preserve">lan reagowania na incydenty i sytuacje kryzysowe w </w:t>
            </w:r>
            <w:proofErr w:type="spellStart"/>
            <w:r w:rsidRPr="00562E35">
              <w:rPr>
                <w:rFonts w:eastAsia="Times New Roman"/>
                <w:lang w:eastAsia="pl-PL"/>
              </w:rPr>
              <w:t>cyberbezpieczeństwie</w:t>
            </w:r>
            <w:proofErr w:type="spellEnd"/>
            <w:r w:rsidRPr="00562E35">
              <w:rPr>
                <w:rFonts w:eastAsia="Times New Roman"/>
                <w:lang w:eastAsia="pl-PL"/>
              </w:rPr>
              <w:t xml:space="preserve"> na dużą skalę</w:t>
            </w:r>
            <w:r w:rsidR="006D0ECE">
              <w:rPr>
                <w:rFonts w:eastAsia="Times New Roman"/>
                <w:lang w:eastAsia="pl-PL"/>
              </w:rPr>
              <w:t xml:space="preserve"> będzie nowym dokumentem strategicznym przyjmowanym w drodze uchwały Rady Ministrów. </w:t>
            </w:r>
            <w:r w:rsidR="00BF6AAF">
              <w:rPr>
                <w:rFonts w:eastAsia="Times New Roman"/>
                <w:lang w:eastAsia="pl-PL"/>
              </w:rPr>
              <w:t xml:space="preserve">Dokument ten będzie określał </w:t>
            </w:r>
            <w:r w:rsidR="00C9692E">
              <w:rPr>
                <w:rFonts w:eastAsia="Times New Roman"/>
                <w:lang w:eastAsia="pl-PL"/>
              </w:rPr>
              <w:t>zasady postępowania w przypadku wystąpienia takiego incydentu</w:t>
            </w:r>
            <w:r w:rsidR="007D4982">
              <w:rPr>
                <w:rFonts w:eastAsia="Times New Roman"/>
                <w:lang w:eastAsia="pl-PL"/>
              </w:rPr>
              <w:t xml:space="preserve"> oraz zasady współpracy między organami </w:t>
            </w:r>
            <w:r w:rsidR="000C0E25">
              <w:rPr>
                <w:rFonts w:eastAsia="Times New Roman"/>
                <w:lang w:eastAsia="pl-PL"/>
              </w:rPr>
              <w:t xml:space="preserve">realizującymi zadania z zakresu </w:t>
            </w:r>
            <w:proofErr w:type="spellStart"/>
            <w:r w:rsidR="000C0E25">
              <w:rPr>
                <w:rFonts w:eastAsia="Times New Roman"/>
                <w:lang w:eastAsia="pl-PL"/>
              </w:rPr>
              <w:t>cyberbezpieczeństwa</w:t>
            </w:r>
            <w:proofErr w:type="spellEnd"/>
            <w:r w:rsidR="000C0E25">
              <w:rPr>
                <w:rFonts w:eastAsia="Times New Roman"/>
                <w:lang w:eastAsia="pl-PL"/>
              </w:rPr>
              <w:t xml:space="preserve"> oraz </w:t>
            </w:r>
            <w:r w:rsidR="001654C3">
              <w:rPr>
                <w:rFonts w:eastAsia="Times New Roman"/>
                <w:lang w:eastAsia="pl-PL"/>
              </w:rPr>
              <w:t xml:space="preserve">organami właściwymi do spraw zarządzania kryzysowego. </w:t>
            </w:r>
            <w:r w:rsidR="00346DA3">
              <w:rPr>
                <w:rFonts w:eastAsia="Times New Roman"/>
                <w:lang w:eastAsia="pl-PL"/>
              </w:rPr>
              <w:t>Pozwoli to</w:t>
            </w:r>
            <w:r w:rsidR="00901339">
              <w:rPr>
                <w:rFonts w:eastAsia="Times New Roman"/>
                <w:lang w:eastAsia="pl-PL"/>
              </w:rPr>
              <w:t> </w:t>
            </w:r>
            <w:r w:rsidR="00346DA3">
              <w:rPr>
                <w:rFonts w:eastAsia="Times New Roman"/>
                <w:lang w:eastAsia="pl-PL"/>
              </w:rPr>
              <w:t>na</w:t>
            </w:r>
            <w:r w:rsidR="00901339">
              <w:rPr>
                <w:rFonts w:eastAsia="Times New Roman"/>
                <w:lang w:eastAsia="pl-PL"/>
              </w:rPr>
              <w:t> </w:t>
            </w:r>
            <w:r w:rsidR="0047246F">
              <w:rPr>
                <w:rFonts w:eastAsia="Times New Roman"/>
                <w:lang w:eastAsia="pl-PL"/>
              </w:rPr>
              <w:t xml:space="preserve">zwiększenie efektywności działania współpracujących organów. </w:t>
            </w:r>
            <w:r w:rsidR="00657540">
              <w:rPr>
                <w:rFonts w:eastAsia="Times New Roman"/>
                <w:lang w:eastAsia="pl-PL"/>
              </w:rPr>
              <w:t xml:space="preserve">Przyjęcie takiego dokumentu jest wymagane przez </w:t>
            </w:r>
            <w:r w:rsidR="00DF2D24">
              <w:rPr>
                <w:rFonts w:eastAsia="Times New Roman"/>
                <w:lang w:eastAsia="pl-PL"/>
              </w:rPr>
              <w:t>dyrektywę NIS</w:t>
            </w:r>
            <w:r w:rsidR="001968AB">
              <w:rPr>
                <w:rFonts w:eastAsia="Times New Roman"/>
                <w:lang w:eastAsia="pl-PL"/>
              </w:rPr>
              <w:t xml:space="preserve"> </w:t>
            </w:r>
            <w:r w:rsidR="00DF2D24">
              <w:rPr>
                <w:rFonts w:eastAsia="Times New Roman"/>
                <w:lang w:eastAsia="pl-PL"/>
              </w:rPr>
              <w:t>2.</w:t>
            </w:r>
          </w:p>
          <w:p w14:paraId="376B7C20" w14:textId="686E5FD7" w:rsidR="00737DEA" w:rsidRPr="006148BE" w:rsidRDefault="00772C60" w:rsidP="00BB6D3E">
            <w:pPr>
              <w:ind w:right="118"/>
            </w:pPr>
            <w:r>
              <w:rPr>
                <w:rFonts w:eastAsia="Times New Roman"/>
                <w:lang w:eastAsia="pl-PL"/>
              </w:rPr>
              <w:t>Minister właściwy do spraw informatyzacji</w:t>
            </w:r>
            <w:r w:rsidR="00B13791">
              <w:rPr>
                <w:rFonts w:eastAsia="Times New Roman"/>
                <w:lang w:eastAsia="pl-PL"/>
              </w:rPr>
              <w:t>, w drodze postępowania administracyjnego</w:t>
            </w:r>
            <w:r w:rsidR="00590ACE">
              <w:rPr>
                <w:rFonts w:eastAsia="Times New Roman"/>
                <w:lang w:eastAsia="pl-PL"/>
              </w:rPr>
              <w:t>,</w:t>
            </w:r>
            <w:r w:rsidR="00B13791">
              <w:rPr>
                <w:rFonts w:eastAsia="Times New Roman"/>
                <w:lang w:eastAsia="pl-PL"/>
              </w:rPr>
              <w:t xml:space="preserve"> </w:t>
            </w:r>
            <w:r w:rsidR="00901339">
              <w:rPr>
                <w:rFonts w:eastAsia="Times New Roman"/>
                <w:lang w:eastAsia="pl-PL"/>
              </w:rPr>
              <w:t xml:space="preserve">może </w:t>
            </w:r>
            <w:r w:rsidR="00D24806">
              <w:rPr>
                <w:rFonts w:eastAsia="Times New Roman"/>
                <w:lang w:eastAsia="pl-PL"/>
              </w:rPr>
              <w:t>uzna</w:t>
            </w:r>
            <w:r w:rsidR="00901339">
              <w:rPr>
                <w:rFonts w:eastAsia="Times New Roman"/>
                <w:lang w:eastAsia="pl-PL"/>
              </w:rPr>
              <w:t>ć</w:t>
            </w:r>
            <w:r w:rsidR="00D24806">
              <w:rPr>
                <w:rFonts w:eastAsia="Times New Roman"/>
                <w:lang w:eastAsia="pl-PL"/>
              </w:rPr>
              <w:t xml:space="preserve"> dostawc</w:t>
            </w:r>
            <w:r w:rsidR="00590ACE">
              <w:rPr>
                <w:rFonts w:eastAsia="Times New Roman"/>
                <w:lang w:eastAsia="pl-PL"/>
              </w:rPr>
              <w:t>ę</w:t>
            </w:r>
            <w:r w:rsidR="00D24806">
              <w:rPr>
                <w:rFonts w:eastAsia="Times New Roman"/>
                <w:lang w:eastAsia="pl-PL"/>
              </w:rPr>
              <w:t xml:space="preserve"> produktów ICT, usług ICT lub proces</w:t>
            </w:r>
            <w:r w:rsidR="00737DEA">
              <w:rPr>
                <w:rFonts w:eastAsia="Times New Roman"/>
                <w:lang w:eastAsia="pl-PL"/>
              </w:rPr>
              <w:t xml:space="preserve">u ICT za dostawcę wysokiego ryzyka. </w:t>
            </w:r>
            <w:r w:rsidR="000E38CB">
              <w:rPr>
                <w:rFonts w:eastAsia="Times New Roman"/>
                <w:lang w:eastAsia="pl-PL"/>
              </w:rPr>
              <w:t xml:space="preserve">Sprzęt takiego dostawcy będzie musiał być wycofany z systemów podmiotów kluczowych i </w:t>
            </w:r>
            <w:r w:rsidR="00970A11">
              <w:rPr>
                <w:rFonts w:eastAsia="Times New Roman"/>
                <w:lang w:eastAsia="pl-PL"/>
              </w:rPr>
              <w:t xml:space="preserve">podmiotów </w:t>
            </w:r>
            <w:r w:rsidR="000E38CB">
              <w:rPr>
                <w:rFonts w:eastAsia="Times New Roman"/>
                <w:lang w:eastAsia="pl-PL"/>
              </w:rPr>
              <w:t>ważnych</w:t>
            </w:r>
            <w:r w:rsidR="00590ACE">
              <w:rPr>
                <w:rFonts w:eastAsia="Times New Roman"/>
                <w:lang w:eastAsia="pl-PL"/>
              </w:rPr>
              <w:t>,</w:t>
            </w:r>
            <w:r w:rsidR="000E38CB">
              <w:rPr>
                <w:rFonts w:eastAsia="Times New Roman"/>
                <w:lang w:eastAsia="pl-PL"/>
              </w:rPr>
              <w:t xml:space="preserve"> a nowy nie będzie mógł być wprowadzany do użytku.</w:t>
            </w:r>
            <w:r w:rsidR="00306F63">
              <w:rPr>
                <w:rFonts w:eastAsia="Times New Roman"/>
                <w:lang w:eastAsia="pl-PL"/>
              </w:rPr>
              <w:t xml:space="preserve"> Pozwoli to wyeliminow</w:t>
            </w:r>
            <w:r w:rsidR="009B62F5">
              <w:rPr>
                <w:rFonts w:eastAsia="Times New Roman"/>
                <w:lang w:eastAsia="pl-PL"/>
              </w:rPr>
              <w:t>ać potencjalnie niebezpieczny sprzęt z systemów teleinformatycznych</w:t>
            </w:r>
            <w:r w:rsidR="00E11FC0">
              <w:rPr>
                <w:rFonts w:eastAsia="Times New Roman"/>
                <w:lang w:eastAsia="pl-PL"/>
              </w:rPr>
              <w:t xml:space="preserve"> podmiotów, których działalność jest szczególnie istotna dla funkcjonowania </w:t>
            </w:r>
            <w:r w:rsidR="003A57DC">
              <w:rPr>
                <w:rFonts w:eastAsia="Times New Roman"/>
                <w:lang w:eastAsia="pl-PL"/>
              </w:rPr>
              <w:t>spo</w:t>
            </w:r>
            <w:r w:rsidR="003C3B05">
              <w:rPr>
                <w:rFonts w:eastAsia="Times New Roman"/>
                <w:lang w:eastAsia="pl-PL"/>
              </w:rPr>
              <w:t>łeczeństwa.</w:t>
            </w:r>
            <w:r w:rsidR="009C71E9">
              <w:rPr>
                <w:rFonts w:eastAsia="Times New Roman"/>
                <w:lang w:eastAsia="pl-PL"/>
              </w:rPr>
              <w:t xml:space="preserve"> </w:t>
            </w:r>
            <w:r w:rsidR="009C71E9">
              <w:t>Wycofanie produktów</w:t>
            </w:r>
            <w:r w:rsidR="00970A11">
              <w:t xml:space="preserve"> ICT</w:t>
            </w:r>
            <w:r w:rsidR="009C71E9">
              <w:t>, usług</w:t>
            </w:r>
            <w:r w:rsidR="00970A11">
              <w:t xml:space="preserve"> ICT</w:t>
            </w:r>
            <w:r w:rsidR="00BD1ED1">
              <w:t xml:space="preserve"> i procesu ICT dostarczanych przez dostawcę wysokiego ryzyka wiązać się może z kosztami, które będą musiały ponieść podmioty kluczowe i </w:t>
            </w:r>
            <w:r w:rsidR="00970A11">
              <w:t xml:space="preserve">podmioty </w:t>
            </w:r>
            <w:r w:rsidR="00BD1ED1">
              <w:t>ważne.</w:t>
            </w:r>
            <w:r w:rsidR="009C71E9" w:rsidRPr="00875DBE">
              <w:t xml:space="preserve"> Nie jest</w:t>
            </w:r>
            <w:r w:rsidR="0053638E">
              <w:t xml:space="preserve"> jednak</w:t>
            </w:r>
            <w:r w:rsidR="009C71E9" w:rsidRPr="00875DBE">
              <w:t xml:space="preserve"> możliwe w tej chwili wskazanie</w:t>
            </w:r>
            <w:r w:rsidR="0053638E">
              <w:t xml:space="preserve"> tych</w:t>
            </w:r>
            <w:r w:rsidR="009C71E9" w:rsidRPr="00875DBE">
              <w:t xml:space="preserve"> kosztów, ponieważ nie można w tej chwili przewidzieć jaką decyzję wyda minister właściwy do spraw informatyzacji i</w:t>
            </w:r>
            <w:r w:rsidR="00901339">
              <w:t> </w:t>
            </w:r>
            <w:r w:rsidR="009C71E9" w:rsidRPr="00875DBE">
              <w:t>w związku z tym jakie koszty poniosą podmioty zobowiązane do wycofania sprzętu.</w:t>
            </w:r>
            <w:r w:rsidR="0053638E">
              <w:t xml:space="preserve"> </w:t>
            </w:r>
            <w:r w:rsidR="009C71E9" w:rsidRPr="00875DBE">
              <w:t>Należy podkreślić, że</w:t>
            </w:r>
            <w:r w:rsidR="00901339">
              <w:t> </w:t>
            </w:r>
            <w:r w:rsidR="009C71E9" w:rsidRPr="00875DBE">
              <w:t>w zaproponowanych przepisach prawa nie ma mechanizmu nakazującego natychmiastowe wycofanie sprzętu lub oprogramowania wskazanego w ocenie ryzyka dostawców. Podmioty kluczowe i podmioty ważne zostaną zobowiązane do wycofania danego sprzętu lub oprogramowania w określonym czasie.</w:t>
            </w:r>
            <w:r w:rsidR="0093121E">
              <w:t xml:space="preserve"> Pośrednie koszty związane z</w:t>
            </w:r>
            <w:r w:rsidR="00901339">
              <w:t> </w:t>
            </w:r>
            <w:r w:rsidR="0093121E">
              <w:t xml:space="preserve">wycofaniem i wymianą produktów, usług i procesów dostarczanych przez dostawcę wysokiego ryzyka ponosić będą konsumenci. </w:t>
            </w:r>
            <w:r w:rsidR="000B0799">
              <w:t>Ponieważ są to koszty zależne od tych poniesionych przez podmioty kluczowe i ważne, nie jest możliwe ich oszacowanie na obecnym etapie.</w:t>
            </w:r>
          </w:p>
          <w:p w14:paraId="12C59B1B" w14:textId="0BB5E1FB" w:rsidR="0000745E" w:rsidRDefault="00737DEA" w:rsidP="00BB6D3E">
            <w:pPr>
              <w:ind w:right="118"/>
              <w:rPr>
                <w:rFonts w:eastAsia="Times New Roman"/>
                <w:lang w:eastAsia="pl-PL"/>
              </w:rPr>
            </w:pPr>
            <w:r>
              <w:rPr>
                <w:rFonts w:eastAsia="Times New Roman"/>
                <w:lang w:eastAsia="pl-PL"/>
              </w:rPr>
              <w:t>Należy podkreślić</w:t>
            </w:r>
            <w:r w:rsidR="000A6279">
              <w:rPr>
                <w:rFonts w:eastAsia="Times New Roman"/>
                <w:lang w:eastAsia="pl-PL"/>
              </w:rPr>
              <w:t xml:space="preserve">, że </w:t>
            </w:r>
            <w:r w:rsidR="008A15F7">
              <w:rPr>
                <w:rFonts w:eastAsia="Times New Roman"/>
                <w:lang w:eastAsia="pl-PL"/>
              </w:rPr>
              <w:t>przyjęcie przepisów adresujących zagrożenie wynikające z</w:t>
            </w:r>
            <w:r w:rsidR="00DF2D24">
              <w:rPr>
                <w:rFonts w:eastAsia="Times New Roman"/>
                <w:lang w:eastAsia="pl-PL"/>
              </w:rPr>
              <w:t xml:space="preserve"> </w:t>
            </w:r>
            <w:r w:rsidR="00975F9F">
              <w:rPr>
                <w:rFonts w:eastAsia="Times New Roman"/>
                <w:lang w:eastAsia="pl-PL"/>
              </w:rPr>
              <w:t>działania dostawców wysokie</w:t>
            </w:r>
            <w:r w:rsidR="007B1A8B">
              <w:rPr>
                <w:rFonts w:eastAsia="Times New Roman"/>
                <w:lang w:eastAsia="pl-PL"/>
              </w:rPr>
              <w:t xml:space="preserve">go ryzyka wynika z przyjętego przez państwa członkowskie </w:t>
            </w:r>
            <w:proofErr w:type="spellStart"/>
            <w:r w:rsidR="007B1A8B">
              <w:rPr>
                <w:rFonts w:eastAsia="Times New Roman"/>
                <w:lang w:eastAsia="pl-PL"/>
              </w:rPr>
              <w:t>Toolboxa</w:t>
            </w:r>
            <w:proofErr w:type="spellEnd"/>
            <w:r w:rsidR="007B1A8B">
              <w:rPr>
                <w:rFonts w:eastAsia="Times New Roman"/>
                <w:lang w:eastAsia="pl-PL"/>
              </w:rPr>
              <w:t xml:space="preserve"> 5G, który to dokument </w:t>
            </w:r>
            <w:r w:rsidR="00BC117E">
              <w:rPr>
                <w:rFonts w:eastAsia="Times New Roman"/>
                <w:lang w:eastAsia="pl-PL"/>
              </w:rPr>
              <w:t>wymaga</w:t>
            </w:r>
            <w:r w:rsidR="007B1A8B">
              <w:rPr>
                <w:rFonts w:eastAsia="Times New Roman"/>
                <w:lang w:eastAsia="pl-PL"/>
              </w:rPr>
              <w:t xml:space="preserve"> </w:t>
            </w:r>
            <w:r w:rsidR="00433D13">
              <w:rPr>
                <w:rFonts w:eastAsia="Times New Roman"/>
                <w:lang w:eastAsia="pl-PL"/>
              </w:rPr>
              <w:t>wprowadzenia takich środków.</w:t>
            </w:r>
            <w:r w:rsidR="00DF2D24">
              <w:rPr>
                <w:rFonts w:eastAsia="Times New Roman"/>
                <w:lang w:eastAsia="pl-PL"/>
              </w:rPr>
              <w:t xml:space="preserve"> </w:t>
            </w:r>
            <w:r w:rsidR="00A15DCE">
              <w:rPr>
                <w:rFonts w:eastAsia="Times New Roman"/>
                <w:lang w:eastAsia="pl-PL"/>
              </w:rPr>
              <w:t xml:space="preserve">To podejście potwierdza także Komisja Europejska </w:t>
            </w:r>
            <w:r w:rsidR="00FF5BDA">
              <w:rPr>
                <w:rFonts w:eastAsia="Times New Roman"/>
                <w:lang w:eastAsia="pl-PL"/>
              </w:rPr>
              <w:t xml:space="preserve">w swoim komunikacie </w:t>
            </w:r>
            <w:r w:rsidR="00820DB9" w:rsidRPr="00820DB9">
              <w:rPr>
                <w:rFonts w:eastAsia="Times New Roman"/>
                <w:lang w:eastAsia="pl-PL"/>
              </w:rPr>
              <w:t xml:space="preserve">z </w:t>
            </w:r>
            <w:r w:rsidR="00C45E1B">
              <w:rPr>
                <w:rFonts w:eastAsia="Times New Roman"/>
                <w:lang w:eastAsia="pl-PL"/>
              </w:rPr>
              <w:t xml:space="preserve">dnia </w:t>
            </w:r>
            <w:r w:rsidR="00820DB9" w:rsidRPr="00820DB9">
              <w:rPr>
                <w:rFonts w:eastAsia="Times New Roman"/>
                <w:lang w:eastAsia="pl-PL"/>
              </w:rPr>
              <w:t xml:space="preserve">29 stycznia 2020 </w:t>
            </w:r>
            <w:r w:rsidR="00D24013">
              <w:rPr>
                <w:rFonts w:eastAsia="Times New Roman"/>
                <w:lang w:eastAsia="pl-PL"/>
              </w:rPr>
              <w:t>r.</w:t>
            </w:r>
            <w:r w:rsidR="00820DB9" w:rsidRPr="00820DB9">
              <w:rPr>
                <w:rFonts w:eastAsia="Times New Roman"/>
                <w:lang w:eastAsia="pl-PL"/>
              </w:rPr>
              <w:t xml:space="preserve"> Komisja Europejska potwierdziła, że państwa członkowskie zgodziły się co do konieczności oceny profilu ryzyka poszczególnych dostawców i w konsekwencji stosowania odpowiednich ograniczeń wobec dostawców uznanych za</w:t>
            </w:r>
            <w:r w:rsidR="00B41F78">
              <w:rPr>
                <w:rFonts w:eastAsia="Times New Roman"/>
                <w:lang w:eastAsia="pl-PL"/>
              </w:rPr>
              <w:t> </w:t>
            </w:r>
            <w:r w:rsidR="00820DB9" w:rsidRPr="00820DB9">
              <w:rPr>
                <w:rFonts w:eastAsia="Times New Roman"/>
                <w:lang w:eastAsia="pl-PL"/>
              </w:rPr>
              <w:t xml:space="preserve">stwarzających wysokie ryzyko, w tym niezbędnych </w:t>
            </w:r>
            <w:proofErr w:type="spellStart"/>
            <w:r w:rsidR="00820DB9" w:rsidRPr="00820DB9">
              <w:rPr>
                <w:rFonts w:eastAsia="Times New Roman"/>
                <w:lang w:eastAsia="pl-PL"/>
              </w:rPr>
              <w:t>wyłączeń</w:t>
            </w:r>
            <w:proofErr w:type="spellEnd"/>
            <w:r w:rsidR="00820DB9" w:rsidRPr="00820DB9">
              <w:rPr>
                <w:rFonts w:eastAsia="Times New Roman"/>
                <w:lang w:eastAsia="pl-PL"/>
              </w:rPr>
              <w:t>, aby skutecznie łagodzić ryzyko w odniesieniu do</w:t>
            </w:r>
            <w:r w:rsidR="00B41F78">
              <w:rPr>
                <w:rFonts w:eastAsia="Times New Roman"/>
                <w:lang w:eastAsia="pl-PL"/>
              </w:rPr>
              <w:t> </w:t>
            </w:r>
            <w:r w:rsidR="00820DB9" w:rsidRPr="00820DB9">
              <w:rPr>
                <w:rFonts w:eastAsia="Times New Roman"/>
                <w:lang w:eastAsia="pl-PL"/>
              </w:rPr>
              <w:t xml:space="preserve">kluczowych aktywów, jak wskazano w </w:t>
            </w:r>
            <w:proofErr w:type="spellStart"/>
            <w:r w:rsidR="003B4706">
              <w:rPr>
                <w:rFonts w:eastAsia="Times New Roman"/>
                <w:lang w:eastAsia="pl-PL"/>
              </w:rPr>
              <w:t>Toolboxie</w:t>
            </w:r>
            <w:proofErr w:type="spellEnd"/>
            <w:r w:rsidR="003A304A">
              <w:rPr>
                <w:rStyle w:val="Odwoanieprzypisudolnego"/>
                <w:rFonts w:eastAsia="Times New Roman"/>
                <w:lang w:eastAsia="pl-PL"/>
              </w:rPr>
              <w:footnoteReference w:id="3"/>
            </w:r>
            <w:r w:rsidR="00710702">
              <w:rPr>
                <w:rFonts w:eastAsia="Times New Roman"/>
                <w:vertAlign w:val="superscript"/>
                <w:lang w:eastAsia="pl-PL"/>
              </w:rPr>
              <w:t>)</w:t>
            </w:r>
            <w:r w:rsidR="003B4706">
              <w:rPr>
                <w:rFonts w:eastAsia="Times New Roman"/>
                <w:lang w:eastAsia="pl-PL"/>
              </w:rPr>
              <w:t>.</w:t>
            </w:r>
          </w:p>
          <w:p w14:paraId="45FDE730" w14:textId="4B0CEB84" w:rsidR="00F91AFD" w:rsidRDefault="00F91AFD" w:rsidP="00BB6D3E">
            <w:pPr>
              <w:ind w:right="118"/>
            </w:pPr>
            <w:r>
              <w:t>Minister właściwy do spraw informatyzacji będzie mógł wydać</w:t>
            </w:r>
            <w:r w:rsidR="00901339">
              <w:t>,</w:t>
            </w:r>
            <w:r>
              <w:t xml:space="preserve"> w </w:t>
            </w:r>
            <w:r w:rsidR="00901339">
              <w:t>drodze</w:t>
            </w:r>
            <w:r>
              <w:t xml:space="preserve"> decyzji administracyjnej</w:t>
            </w:r>
            <w:r w:rsidR="00901339">
              <w:t>,</w:t>
            </w:r>
            <w:r>
              <w:t xml:space="preserve"> polecenie zabezpieczające w przypadku wystąpienia incydentu krytycznego. Zawarte w nim będzie wskazanie określonego zachowania, które zmniejszy skutki incydentu lub zapobiegnie jego rozprzestrzenianiu się. Może to być m.in. nakaz zastosowania określonej poprawki bezpieczeństwa, nakaz szczególnej konfiguracji sprzętu lub oprogramowania, zakaz korzystania z określonego sprzętu lub oprogramowania. Jednocześnie należy wskazać, że zakaz korzystania z konkretnych usług i oprogramowania będzie dotyczył wyłącznie rozwiązań mających związek z trwającym incydentem krytycznym.</w:t>
            </w:r>
            <w:r w:rsidR="000D17B4">
              <w:t xml:space="preserve"> Takie rozwiązanie jest niezbędne</w:t>
            </w:r>
            <w:r w:rsidR="00901339">
              <w:t>,</w:t>
            </w:r>
            <w:r w:rsidR="000D17B4">
              <w:t xml:space="preserve"> aby zapewnić skuteczną</w:t>
            </w:r>
            <w:r w:rsidR="0030536C">
              <w:t xml:space="preserve"> odpowiedź na wystąpienie </w:t>
            </w:r>
            <w:r w:rsidR="00CB2980">
              <w:t xml:space="preserve">najbardziej niebezpiecznego incydentu. W szczególności </w:t>
            </w:r>
            <w:r w:rsidR="00FA0DD5">
              <w:t xml:space="preserve">celem tego rozwiązania jest zapobiegnięcie scenariuszowi </w:t>
            </w:r>
            <w:r w:rsidR="005223EB">
              <w:lastRenderedPageBreak/>
              <w:t>rozlewania się incydentu na kolejne sektory</w:t>
            </w:r>
            <w:r w:rsidR="00901339">
              <w:t>,</w:t>
            </w:r>
            <w:r w:rsidR="005223EB">
              <w:t xml:space="preserve"> np. w przypadku wystąpienia incydentu u operatora telekomunikacyjnego napastnicy mogą potencjalnie uzyskać dostęp do systemów jego klientów</w:t>
            </w:r>
            <w:r w:rsidR="00901339">
              <w:t>,</w:t>
            </w:r>
            <w:r w:rsidR="005223EB">
              <w:t xml:space="preserve"> wśród których mogą znajdować się szpitale czy elektrownie</w:t>
            </w:r>
            <w:r w:rsidR="00A420E0">
              <w:t xml:space="preserve">. Administracja musi posiadać narzędzia, które pozwolą </w:t>
            </w:r>
            <w:r w:rsidR="00350906">
              <w:t xml:space="preserve">zapobiec realizacji takiego scenariusza. </w:t>
            </w:r>
          </w:p>
          <w:p w14:paraId="3675A9FC" w14:textId="1A7AF2D1" w:rsidR="00406FCE" w:rsidRDefault="00F617A2" w:rsidP="00BB6D3E">
            <w:pPr>
              <w:ind w:right="118"/>
            </w:pPr>
            <w:r>
              <w:t xml:space="preserve">Zmiany wprowadzane projektem obejmą w dużym zakresie przepisy dotyczące nadzoru i egzekwowania przepisów. </w:t>
            </w:r>
            <w:r w:rsidR="00E7251F">
              <w:t>Wid</w:t>
            </w:r>
            <w:r w:rsidR="00901339">
              <w:t xml:space="preserve">oczne </w:t>
            </w:r>
            <w:r w:rsidR="00B41F78">
              <w:t xml:space="preserve">to </w:t>
            </w:r>
            <w:r w:rsidR="00901339">
              <w:t>jest</w:t>
            </w:r>
            <w:r w:rsidR="00E7251F">
              <w:t xml:space="preserve"> m.in. na przykładzie obecnych Operatorów Usług Kluczowych</w:t>
            </w:r>
            <w:r w:rsidR="00E94CDB">
              <w:t xml:space="preserve">, których wyznaczono ok. 397. </w:t>
            </w:r>
            <w:r w:rsidR="00C203C8">
              <w:t>Dyrektywa NIS 2</w:t>
            </w:r>
            <w:r w:rsidR="00C51974">
              <w:t xml:space="preserve"> obejmować będzie swoim zakresem zdecydowanie więcej podmiotów, głównie z powodu objęcia tą regulacją większej ilości sektorów. </w:t>
            </w:r>
            <w:r w:rsidR="003E0152">
              <w:t>Obecnie obowiązująca</w:t>
            </w:r>
            <w:r w:rsidR="00E94CDB">
              <w:t xml:space="preserve"> ustaw</w:t>
            </w:r>
            <w:r w:rsidR="003E0152">
              <w:t>a</w:t>
            </w:r>
            <w:r w:rsidR="00E94CDB">
              <w:t xml:space="preserve"> </w:t>
            </w:r>
            <w:r w:rsidR="00C203C8">
              <w:t>nadzór nad podmiotami</w:t>
            </w:r>
            <w:r w:rsidR="00C51974">
              <w:t xml:space="preserve"> krajowego systemu </w:t>
            </w:r>
            <w:proofErr w:type="spellStart"/>
            <w:r w:rsidR="00C51974">
              <w:t>cyberbezpieczeństwa</w:t>
            </w:r>
            <w:proofErr w:type="spellEnd"/>
            <w:r w:rsidR="00C51974">
              <w:t xml:space="preserve"> </w:t>
            </w:r>
            <w:r w:rsidR="003E0152">
              <w:t>statuuje w art. 53, który określa organy nadzoru właściwe dla poszczególnych podmiotów</w:t>
            </w:r>
            <w:r w:rsidR="0041692B">
              <w:t xml:space="preserve"> oraz doprecyzowuje zakres tego nadzoru. Określone zostały również sposoby nadzoru, które w głównej mierze sprowadzają się do prowadzenia kontroli oraz nakładania kar pieniężnych na operatorów usług kluczowych i dostawców usług cyfrowych.</w:t>
            </w:r>
            <w:r w:rsidR="00663AC6">
              <w:t xml:space="preserve"> Projektowane regulacje znacznie rozbudowują </w:t>
            </w:r>
            <w:r w:rsidR="0002055D">
              <w:t xml:space="preserve">ten obszar </w:t>
            </w:r>
            <w:r w:rsidR="00AD6A6C">
              <w:t xml:space="preserve">wyposażając organy właściwe do spraw </w:t>
            </w:r>
            <w:proofErr w:type="spellStart"/>
            <w:r w:rsidR="00AD6A6C">
              <w:t>cyberbezpieczeństwa</w:t>
            </w:r>
            <w:proofErr w:type="spellEnd"/>
            <w:r w:rsidR="00AD6A6C">
              <w:t xml:space="preserve"> w szerokie kompetencje nadzoru i </w:t>
            </w:r>
            <w:proofErr w:type="spellStart"/>
            <w:r w:rsidR="00AD6A6C">
              <w:t>egzekowania</w:t>
            </w:r>
            <w:proofErr w:type="spellEnd"/>
            <w:r w:rsidR="00AD6A6C">
              <w:t xml:space="preserve"> przepisów takie jak wydawanie ostrzeżeń, nakazów, decyzji administracyjnych nakazujących podjęcie lub zaniechanie określonego działania. Organy te zostaną również wyposażone w środki, któ</w:t>
            </w:r>
            <w:r w:rsidR="004E010B">
              <w:t>re znajdą zastosowanie w sytuacji, w której podmiot kluczowy lub</w:t>
            </w:r>
            <w:r w:rsidR="00901339">
              <w:t xml:space="preserve"> podmiot</w:t>
            </w:r>
            <w:r w:rsidR="004E010B">
              <w:t xml:space="preserve"> ważny nie wykonał w terminie postanowień określonych w ostrzeżeniu, nakazie czy decyzji. Wprowadza się również katalog kryteriów, które organ właściwy do spraw </w:t>
            </w:r>
            <w:proofErr w:type="spellStart"/>
            <w:r w:rsidR="004E010B">
              <w:t>cyberbezpieczeństwa</w:t>
            </w:r>
            <w:proofErr w:type="spellEnd"/>
            <w:r w:rsidR="004E010B">
              <w:t xml:space="preserve"> będzie musiał przeanalizować</w:t>
            </w:r>
            <w:r w:rsidR="003A18C3">
              <w:t xml:space="preserve"> w celu podjęcia działań nadzorczych i egzekwowania przepisów, w tym także nakładania kar pieniężnych.</w:t>
            </w:r>
          </w:p>
          <w:p w14:paraId="4ACDDFB5" w14:textId="21128832" w:rsidR="00D5061D" w:rsidRDefault="00D5061D" w:rsidP="00BB6D3E">
            <w:pPr>
              <w:ind w:right="118"/>
            </w:pPr>
            <w:r>
              <w:t xml:space="preserve">W związku z rozbudowanymi kompetencjami w powyższym zakresie, wprowadza się także możliwość stworzenia przez organ właściwy do spraw </w:t>
            </w:r>
            <w:proofErr w:type="spellStart"/>
            <w:r>
              <w:t>cyberbezpieczeństwa</w:t>
            </w:r>
            <w:proofErr w:type="spellEnd"/>
            <w:r>
              <w:t xml:space="preserve"> metodyki nadzoru oraz określenie hierarchii priorytetów działań nadzorczych w oparciu o metodykę i analizę ry</w:t>
            </w:r>
            <w:r w:rsidR="006C6FBA">
              <w:t>zyka. Pozwoli to na właściwe zarządzanie swoimi obowiązkami i</w:t>
            </w:r>
            <w:r w:rsidR="00B41F78">
              <w:t> </w:t>
            </w:r>
            <w:r w:rsidR="006C6FBA">
              <w:t xml:space="preserve">kompetencjami, a także prawidłowe i efektywne </w:t>
            </w:r>
            <w:r w:rsidR="00662918">
              <w:t xml:space="preserve">prowadzenie nadzoru co w konsekwencji przełoży się na wysoki poziom </w:t>
            </w:r>
            <w:proofErr w:type="spellStart"/>
            <w:r w:rsidR="00662918">
              <w:t>cyberbezpieczeństwa</w:t>
            </w:r>
            <w:proofErr w:type="spellEnd"/>
            <w:r w:rsidR="00662918">
              <w:t xml:space="preserve"> kraju.</w:t>
            </w:r>
            <w:r w:rsidR="00FD0B5F">
              <w:t xml:space="preserve"> Powyższe zmiany związane są z kompleksowym podejściem </w:t>
            </w:r>
            <w:r w:rsidR="00710702">
              <w:t>d</w:t>
            </w:r>
            <w:r w:rsidR="00FD0B5F">
              <w:t>yrektywy NIS 2 do nadzoru ale również są wynikiem przeprowadzonej analizy obecnie obowiązujących przepisów</w:t>
            </w:r>
            <w:r w:rsidR="00432B91">
              <w:t xml:space="preserve"> i doświadczeń zebranych w toku ich funkcjonowania.</w:t>
            </w:r>
          </w:p>
          <w:p w14:paraId="5096EDF7" w14:textId="69577805" w:rsidR="003171D8" w:rsidRDefault="003171D8" w:rsidP="00BB6D3E">
            <w:pPr>
              <w:ind w:right="118"/>
            </w:pPr>
            <w:r>
              <w:rPr>
                <w:spacing w:val="-2"/>
              </w:rPr>
              <w:t xml:space="preserve">Nadzór wobec podmiotów kluczowych będzie miał charakter </w:t>
            </w:r>
            <w:r w:rsidRPr="00E105A7">
              <w:rPr>
                <w:i/>
                <w:iCs/>
                <w:spacing w:val="-2"/>
              </w:rPr>
              <w:t xml:space="preserve">ex </w:t>
            </w:r>
            <w:proofErr w:type="spellStart"/>
            <w:r w:rsidRPr="00E105A7">
              <w:rPr>
                <w:i/>
                <w:iCs/>
                <w:spacing w:val="-2"/>
              </w:rPr>
              <w:t>ante</w:t>
            </w:r>
            <w:proofErr w:type="spellEnd"/>
            <w:r>
              <w:rPr>
                <w:i/>
                <w:iCs/>
                <w:spacing w:val="-2"/>
              </w:rPr>
              <w:t xml:space="preserve">, </w:t>
            </w:r>
            <w:r w:rsidRPr="00E105A7">
              <w:rPr>
                <w:spacing w:val="-2"/>
              </w:rPr>
              <w:t>a wobec podmiotów</w:t>
            </w:r>
            <w:r>
              <w:rPr>
                <w:spacing w:val="-2"/>
              </w:rPr>
              <w:t xml:space="preserve"> ważnych </w:t>
            </w:r>
            <w:r w:rsidRPr="00E105A7">
              <w:rPr>
                <w:i/>
                <w:iCs/>
                <w:spacing w:val="-2"/>
              </w:rPr>
              <w:t>ex post</w:t>
            </w:r>
            <w:r>
              <w:rPr>
                <w:i/>
                <w:iCs/>
                <w:spacing w:val="-2"/>
              </w:rPr>
              <w:t>.</w:t>
            </w:r>
          </w:p>
          <w:p w14:paraId="1E04B252" w14:textId="07FF4036" w:rsidR="00666720" w:rsidRPr="00875DBE" w:rsidRDefault="007E0D91" w:rsidP="00BB6D3E">
            <w:pPr>
              <w:ind w:right="118"/>
              <w:rPr>
                <w:spacing w:val="-2"/>
              </w:rPr>
            </w:pPr>
            <w:r>
              <w:rPr>
                <w:spacing w:val="-2"/>
              </w:rPr>
              <w:t xml:space="preserve">Zmiana przepisów merytorycznych, w szczególności nałożenie na podmioty kluczowe i </w:t>
            </w:r>
            <w:r w:rsidR="00710702">
              <w:rPr>
                <w:spacing w:val="-2"/>
              </w:rPr>
              <w:t xml:space="preserve">podmioty </w:t>
            </w:r>
            <w:r>
              <w:rPr>
                <w:spacing w:val="-2"/>
              </w:rPr>
              <w:t xml:space="preserve">ważne nowych obowiązków i wyposażenie organów właściwych do spraw </w:t>
            </w:r>
            <w:proofErr w:type="spellStart"/>
            <w:r>
              <w:rPr>
                <w:spacing w:val="-2"/>
              </w:rPr>
              <w:t>cyberbezpieczeństwa</w:t>
            </w:r>
            <w:proofErr w:type="spellEnd"/>
            <w:r>
              <w:rPr>
                <w:spacing w:val="-2"/>
              </w:rPr>
              <w:t xml:space="preserve"> w nowe kompetencje</w:t>
            </w:r>
            <w:r w:rsidR="00E5611D">
              <w:rPr>
                <w:spacing w:val="-2"/>
              </w:rPr>
              <w:t xml:space="preserve"> nadzorcze implikuje konieczność wprowadzenia szeregu zmian w przepisach o karach pieniężnych, w tym rozbudowany katalog przypadków określających kiedy podmioty kluczowe i </w:t>
            </w:r>
            <w:r w:rsidR="00710702">
              <w:rPr>
                <w:spacing w:val="-2"/>
              </w:rPr>
              <w:t xml:space="preserve">podmioty </w:t>
            </w:r>
            <w:r w:rsidR="00E5611D">
              <w:rPr>
                <w:spacing w:val="-2"/>
              </w:rPr>
              <w:t xml:space="preserve">ważne podlegają karze pieniężnej, fakultatywne kary pieniężne nakładane na podmiot kluczowy lub </w:t>
            </w:r>
            <w:r w:rsidR="00710702">
              <w:rPr>
                <w:spacing w:val="-2"/>
              </w:rPr>
              <w:t xml:space="preserve">podmiot </w:t>
            </w:r>
            <w:r w:rsidR="00E5611D">
              <w:rPr>
                <w:spacing w:val="-2"/>
              </w:rPr>
              <w:t xml:space="preserve">ważny lub na kierownika podmiotu kluczowego lub </w:t>
            </w:r>
            <w:r w:rsidR="00710702">
              <w:rPr>
                <w:spacing w:val="-2"/>
              </w:rPr>
              <w:t xml:space="preserve">podmiotu </w:t>
            </w:r>
            <w:r w:rsidR="00E5611D">
              <w:rPr>
                <w:spacing w:val="-2"/>
              </w:rPr>
              <w:t>ważnego, zmienion</w:t>
            </w:r>
            <w:r w:rsidR="005944CB">
              <w:rPr>
                <w:spacing w:val="-2"/>
              </w:rPr>
              <w:t xml:space="preserve">a wysokość kar pieniężnych, określenie formy i procedury wymierzania kar pieniężnych oraz termin jej płatności. Wprowadzona zostanie również okresowa kara pieniężna w celu przymuszenia podmiotu kluczowego lub </w:t>
            </w:r>
            <w:r w:rsidR="00B41F78">
              <w:rPr>
                <w:spacing w:val="-2"/>
              </w:rPr>
              <w:t xml:space="preserve">podmiotu </w:t>
            </w:r>
            <w:r w:rsidR="005944CB">
              <w:rPr>
                <w:spacing w:val="-2"/>
              </w:rPr>
              <w:t>ważnego do realizacji nałożonych na niego obowiązków.</w:t>
            </w:r>
          </w:p>
          <w:p w14:paraId="297165C4" w14:textId="763FD158" w:rsidR="00253B63" w:rsidRPr="00875DBE" w:rsidRDefault="003039ED" w:rsidP="00BB6D3E">
            <w:pPr>
              <w:ind w:right="118"/>
              <w:rPr>
                <w:color w:val="000000"/>
                <w:spacing w:val="-2"/>
              </w:rPr>
            </w:pPr>
            <w:r w:rsidRPr="00875DBE">
              <w:rPr>
                <w:spacing w:val="-2"/>
              </w:rPr>
              <w:t>Oczekiwanym skutkiem wejścia w życie zaproponowanych przepisów będzie prawidłowe implementowanie do porządku krajowego przepisów dyrektywy NIS</w:t>
            </w:r>
            <w:r w:rsidR="00AC135F" w:rsidRPr="00875DBE">
              <w:rPr>
                <w:spacing w:val="-2"/>
              </w:rPr>
              <w:t xml:space="preserve"> </w:t>
            </w:r>
            <w:r w:rsidR="00A80247" w:rsidRPr="00875DBE">
              <w:rPr>
                <w:spacing w:val="-2"/>
              </w:rPr>
              <w:t>2 w terminie do 17 października 2024 r., co wynika z art.</w:t>
            </w:r>
            <w:r w:rsidR="008B09A2" w:rsidRPr="00875DBE">
              <w:rPr>
                <w:spacing w:val="-2"/>
              </w:rPr>
              <w:t xml:space="preserve"> </w:t>
            </w:r>
            <w:r w:rsidR="006B63A1" w:rsidRPr="00875DBE">
              <w:rPr>
                <w:spacing w:val="-2"/>
              </w:rPr>
              <w:t>41 ust. 1</w:t>
            </w:r>
            <w:r w:rsidR="00A80247" w:rsidRPr="00875DBE">
              <w:rPr>
                <w:spacing w:val="-2"/>
              </w:rPr>
              <w:t xml:space="preserve"> </w:t>
            </w:r>
            <w:r w:rsidR="006B63A1" w:rsidRPr="00875DBE">
              <w:rPr>
                <w:spacing w:val="-2"/>
              </w:rPr>
              <w:t>d</w:t>
            </w:r>
            <w:r w:rsidR="00A80247" w:rsidRPr="00875DBE">
              <w:rPr>
                <w:spacing w:val="-2"/>
              </w:rPr>
              <w:t>yrektywy NIS</w:t>
            </w:r>
            <w:r w:rsidR="00AC135F" w:rsidRPr="00875DBE">
              <w:rPr>
                <w:spacing w:val="-2"/>
              </w:rPr>
              <w:t xml:space="preserve"> </w:t>
            </w:r>
            <w:r w:rsidR="00A80247" w:rsidRPr="00875DBE">
              <w:rPr>
                <w:spacing w:val="-2"/>
              </w:rPr>
              <w:t>2</w:t>
            </w:r>
            <w:r w:rsidRPr="00875DBE">
              <w:rPr>
                <w:spacing w:val="-2"/>
              </w:rPr>
              <w:t xml:space="preserve"> </w:t>
            </w:r>
            <w:r w:rsidR="00AC135F" w:rsidRPr="00875DBE">
              <w:rPr>
                <w:spacing w:val="-2"/>
              </w:rPr>
              <w:t xml:space="preserve">oraz </w:t>
            </w:r>
            <w:r w:rsidRPr="00875DBE">
              <w:rPr>
                <w:spacing w:val="-2"/>
              </w:rPr>
              <w:t xml:space="preserve">zapewnienie sprawnego i skutecznego nadzoru nad podmiotami kluczowymi i </w:t>
            </w:r>
            <w:r w:rsidR="00AC135F" w:rsidRPr="00875DBE">
              <w:rPr>
                <w:spacing w:val="-2"/>
              </w:rPr>
              <w:t xml:space="preserve">podmiotami </w:t>
            </w:r>
            <w:r w:rsidRPr="00875DBE">
              <w:rPr>
                <w:spacing w:val="-2"/>
              </w:rPr>
              <w:t xml:space="preserve">ważnymi, a przede wszystkim podniesienie krajowego poziomu </w:t>
            </w:r>
            <w:proofErr w:type="spellStart"/>
            <w:r w:rsidRPr="00875DBE">
              <w:rPr>
                <w:spacing w:val="-2"/>
              </w:rPr>
              <w:t>cyberbezpieczeństwa</w:t>
            </w:r>
            <w:proofErr w:type="spellEnd"/>
            <w:r w:rsidRPr="00875DBE">
              <w:rPr>
                <w:spacing w:val="-2"/>
              </w:rPr>
              <w:t xml:space="preserve">. </w:t>
            </w:r>
          </w:p>
        </w:tc>
      </w:tr>
      <w:tr w:rsidR="006A701A" w:rsidRPr="00875DBE" w14:paraId="123292AA" w14:textId="77777777" w:rsidTr="006148BE">
        <w:trPr>
          <w:trHeight w:val="307"/>
        </w:trPr>
        <w:tc>
          <w:tcPr>
            <w:tcW w:w="5000" w:type="pct"/>
            <w:gridSpan w:val="28"/>
            <w:shd w:val="clear" w:color="auto" w:fill="99CCFF"/>
            <w:vAlign w:val="center"/>
          </w:tcPr>
          <w:p w14:paraId="5A3DDC20" w14:textId="301C4A7E" w:rsidR="006A701A" w:rsidRPr="00875DBE" w:rsidRDefault="009E3C4B" w:rsidP="007D2192">
            <w:pPr>
              <w:numPr>
                <w:ilvl w:val="0"/>
                <w:numId w:val="3"/>
              </w:numPr>
              <w:spacing w:before="60" w:after="60"/>
              <w:ind w:left="318" w:hanging="284"/>
              <w:rPr>
                <w:b/>
                <w:color w:val="000000"/>
              </w:rPr>
            </w:pPr>
            <w:r w:rsidRPr="00875DBE">
              <w:rPr>
                <w:b/>
                <w:spacing w:val="-2"/>
              </w:rPr>
              <w:lastRenderedPageBreak/>
              <w:t>Jak problem został rozwiązany</w:t>
            </w:r>
            <w:r w:rsidR="00E32125" w:rsidRPr="00875DBE">
              <w:rPr>
                <w:b/>
                <w:spacing w:val="-2"/>
              </w:rPr>
              <w:t xml:space="preserve"> w </w:t>
            </w:r>
            <w:r w:rsidRPr="00875DBE">
              <w:rPr>
                <w:b/>
                <w:spacing w:val="-2"/>
              </w:rPr>
              <w:t>innych krajach,</w:t>
            </w:r>
            <w:r w:rsidR="00E32125" w:rsidRPr="00875DBE">
              <w:rPr>
                <w:b/>
                <w:spacing w:val="-2"/>
              </w:rPr>
              <w:t xml:space="preserve"> w </w:t>
            </w:r>
            <w:r w:rsidRPr="00875DBE">
              <w:rPr>
                <w:b/>
                <w:spacing w:val="-2"/>
              </w:rPr>
              <w:t>szczególności krajach członkowskich OECD/UE</w:t>
            </w:r>
            <w:r w:rsidR="006A701A" w:rsidRPr="00875DBE">
              <w:rPr>
                <w:b/>
                <w:color w:val="000000"/>
              </w:rPr>
              <w:t>?</w:t>
            </w:r>
            <w:r w:rsidR="006A701A" w:rsidRPr="00875DBE">
              <w:rPr>
                <w:i/>
                <w:color w:val="000000"/>
              </w:rPr>
              <w:t xml:space="preserve"> </w:t>
            </w:r>
          </w:p>
        </w:tc>
      </w:tr>
      <w:tr w:rsidR="006A701A" w:rsidRPr="00875DBE" w14:paraId="0BC4E4E7" w14:textId="77777777" w:rsidTr="006148BE">
        <w:trPr>
          <w:trHeight w:val="142"/>
        </w:trPr>
        <w:tc>
          <w:tcPr>
            <w:tcW w:w="5000" w:type="pct"/>
            <w:gridSpan w:val="28"/>
            <w:shd w:val="clear" w:color="auto" w:fill="auto"/>
          </w:tcPr>
          <w:p w14:paraId="17E15366" w14:textId="7CB61343" w:rsidR="00B51B75" w:rsidRDefault="008E2DD8" w:rsidP="005C3460">
            <w:r w:rsidRPr="00875DBE">
              <w:t>W celu porównania zaproponowanych rozwiązań</w:t>
            </w:r>
            <w:r w:rsidR="00E32125" w:rsidRPr="00875DBE">
              <w:t xml:space="preserve"> z </w:t>
            </w:r>
            <w:r w:rsidRPr="00875DBE">
              <w:t>rozwiązaniami</w:t>
            </w:r>
            <w:r w:rsidR="00E32125" w:rsidRPr="00875DBE">
              <w:t xml:space="preserve"> z </w:t>
            </w:r>
            <w:r w:rsidRPr="00875DBE">
              <w:t>innych krajów wybra</w:t>
            </w:r>
            <w:r w:rsidR="00C519FF" w:rsidRPr="00875DBE">
              <w:t>ne zostały</w:t>
            </w:r>
            <w:r w:rsidRPr="00875DBE">
              <w:t xml:space="preserve"> trzy kraje o</w:t>
            </w:r>
            <w:r w:rsidR="002A00BD">
              <w:t> </w:t>
            </w:r>
            <w:r w:rsidRPr="00875DBE">
              <w:t>odmiennych warunkach</w:t>
            </w:r>
            <w:r w:rsidR="00E32125" w:rsidRPr="00875DBE">
              <w:t xml:space="preserve"> i </w:t>
            </w:r>
            <w:r w:rsidRPr="00875DBE">
              <w:t>położeniu geograficznym. Pierwszym</w:t>
            </w:r>
            <w:r w:rsidR="00E32125" w:rsidRPr="00875DBE">
              <w:t xml:space="preserve"> z </w:t>
            </w:r>
            <w:r w:rsidRPr="00875DBE">
              <w:t>analizowany</w:t>
            </w:r>
            <w:r w:rsidR="000648D0" w:rsidRPr="00875DBE">
              <w:t>ch</w:t>
            </w:r>
            <w:r w:rsidRPr="00875DBE">
              <w:t xml:space="preserve"> krajów były Niemcy, duży kraj</w:t>
            </w:r>
            <w:r w:rsidR="002577FB" w:rsidRPr="00875DBE">
              <w:t>,</w:t>
            </w:r>
            <w:r w:rsidR="00E32125" w:rsidRPr="00875DBE">
              <w:t xml:space="preserve"> w </w:t>
            </w:r>
            <w:r w:rsidRPr="00875DBE">
              <w:t>którym szczególnie dużo podmiotów będzie podlegało przepisom dyrektywy NIS</w:t>
            </w:r>
            <w:r w:rsidR="004A0B0A" w:rsidRPr="00875DBE">
              <w:t xml:space="preserve"> </w:t>
            </w:r>
            <w:r w:rsidRPr="00875DBE">
              <w:t>2. Jest to również kraj o</w:t>
            </w:r>
            <w:r w:rsidR="00B41F78">
              <w:t> </w:t>
            </w:r>
            <w:r w:rsidRPr="00875DBE">
              <w:t>znacznych zasobach</w:t>
            </w:r>
            <w:r w:rsidR="00E32125" w:rsidRPr="00875DBE">
              <w:t xml:space="preserve"> i </w:t>
            </w:r>
            <w:r w:rsidRPr="00875DBE">
              <w:t>zdolnościach</w:t>
            </w:r>
            <w:r w:rsidR="00E32125" w:rsidRPr="00875DBE">
              <w:t xml:space="preserve"> w </w:t>
            </w:r>
            <w:r w:rsidRPr="00875DBE">
              <w:t>zakresie działania</w:t>
            </w:r>
            <w:r w:rsidR="00E32125" w:rsidRPr="00875DBE">
              <w:t xml:space="preserve"> w </w:t>
            </w:r>
            <w:r w:rsidRPr="00875DBE">
              <w:t>cyberprzestrzeni. Kolejnym wybranym krajem jest Belgia, która również posiada znaczne zasoby, ale jest znacznie mniejsza</w:t>
            </w:r>
            <w:r w:rsidR="00B41F78">
              <w:t>,</w:t>
            </w:r>
            <w:r w:rsidRPr="00875DBE">
              <w:t xml:space="preserve"> co oznacza, że liczba podmiotów dotkniętych nowymi regulacjami będzie znacznie mniejsza niż</w:t>
            </w:r>
            <w:r w:rsidR="00E32125" w:rsidRPr="00875DBE">
              <w:t xml:space="preserve"> w </w:t>
            </w:r>
            <w:r w:rsidRPr="00875DBE">
              <w:t xml:space="preserve">przypadku Niemiec. </w:t>
            </w:r>
            <w:r w:rsidR="00B41F78">
              <w:t>Wobec tego</w:t>
            </w:r>
            <w:r w:rsidRPr="00875DBE">
              <w:t xml:space="preserve"> możliwa jest ocena</w:t>
            </w:r>
            <w:r w:rsidR="00B41F78">
              <w:t>,</w:t>
            </w:r>
            <w:r w:rsidRPr="00875DBE">
              <w:t xml:space="preserve"> jak  państwa o innych uwarunkowaniach podchodzą do kwestii systemu </w:t>
            </w:r>
            <w:proofErr w:type="spellStart"/>
            <w:r w:rsidRPr="00875DBE">
              <w:t>cyberbezpieczeństwa</w:t>
            </w:r>
            <w:proofErr w:type="spellEnd"/>
            <w:r w:rsidRPr="00875DBE">
              <w:t>. Zdecydowa</w:t>
            </w:r>
            <w:r w:rsidR="00353E12" w:rsidRPr="00875DBE">
              <w:t>no</w:t>
            </w:r>
            <w:r w:rsidRPr="00875DBE">
              <w:t xml:space="preserve"> się również przeanalizować rozwiązania</w:t>
            </w:r>
            <w:r w:rsidR="00E32125" w:rsidRPr="00875DBE">
              <w:t xml:space="preserve"> z </w:t>
            </w:r>
            <w:r w:rsidRPr="00875DBE">
              <w:t>innego kraju Europy Środkowo-Wschodniej</w:t>
            </w:r>
            <w:r w:rsidR="000648D0" w:rsidRPr="00875DBE">
              <w:t>,</w:t>
            </w:r>
            <w:r w:rsidRPr="00875DBE">
              <w:t xml:space="preserve"> tak aby móc przeanalizować czy in</w:t>
            </w:r>
            <w:r w:rsidR="000648D0" w:rsidRPr="00875DBE">
              <w:t>n</w:t>
            </w:r>
            <w:r w:rsidRPr="00875DBE">
              <w:t>a sytuacja tego regionu</w:t>
            </w:r>
            <w:r w:rsidR="00E32125" w:rsidRPr="00875DBE">
              <w:t xml:space="preserve"> w </w:t>
            </w:r>
            <w:r w:rsidRPr="00875DBE">
              <w:t>polityce międzynarodowej wpływa na przyjmowane rozwiązania. Ze względu na to, że żaden</w:t>
            </w:r>
            <w:r w:rsidR="00E32125" w:rsidRPr="00875DBE">
              <w:t xml:space="preserve"> z </w:t>
            </w:r>
            <w:r w:rsidRPr="00875DBE">
              <w:t>krajów tego regionu nie implementował jeszcze przepisów</w:t>
            </w:r>
            <w:r w:rsidR="00353E12" w:rsidRPr="00875DBE">
              <w:t xml:space="preserve"> dotyczących NIS 2</w:t>
            </w:r>
            <w:r w:rsidRPr="00875DBE">
              <w:t xml:space="preserve"> </w:t>
            </w:r>
            <w:r w:rsidR="00353E12" w:rsidRPr="00875DBE">
              <w:t xml:space="preserve">podjęto decyzję </w:t>
            </w:r>
            <w:proofErr w:type="spellStart"/>
            <w:r w:rsidR="00353E12" w:rsidRPr="00875DBE">
              <w:t>o</w:t>
            </w:r>
            <w:r w:rsidRPr="00875DBE">
              <w:t>przeanalizowa</w:t>
            </w:r>
            <w:r w:rsidR="00353E12" w:rsidRPr="00875DBE">
              <w:t>niu</w:t>
            </w:r>
            <w:proofErr w:type="spellEnd"/>
            <w:r w:rsidRPr="00875DBE">
              <w:t xml:space="preserve"> rozwiązania zawarte</w:t>
            </w:r>
            <w:r w:rsidR="00353E12" w:rsidRPr="00875DBE">
              <w:t>go</w:t>
            </w:r>
            <w:r w:rsidR="00E32125" w:rsidRPr="00875DBE">
              <w:t xml:space="preserve"> w </w:t>
            </w:r>
            <w:r w:rsidRPr="00875DBE">
              <w:t>czeskim projekcie ustawy, któr</w:t>
            </w:r>
            <w:r w:rsidR="00353E12" w:rsidRPr="00875DBE">
              <w:t>y jest</w:t>
            </w:r>
            <w:r w:rsidR="004A0B0A" w:rsidRPr="00875DBE">
              <w:t xml:space="preserve"> na zawansowanym </w:t>
            </w:r>
            <w:r w:rsidRPr="00875DBE">
              <w:t xml:space="preserve">etapie prac legislacyjnych. </w:t>
            </w:r>
          </w:p>
          <w:p w14:paraId="71A37ECE" w14:textId="0642D86C" w:rsidR="0030660F" w:rsidRPr="00875DBE" w:rsidRDefault="0030660F" w:rsidP="00BB6D3E">
            <w:pPr>
              <w:ind w:right="118"/>
            </w:pPr>
            <w:r w:rsidRPr="00875DBE">
              <w:t xml:space="preserve">W zakresie reagowania na incydenty krytyczne przeanalizowane zostały 3 kraje – </w:t>
            </w:r>
            <w:r w:rsidR="00C43BB5" w:rsidRPr="00875DBE">
              <w:t xml:space="preserve">Czechy, </w:t>
            </w:r>
            <w:r w:rsidRPr="00875DBE">
              <w:t>Niemcy</w:t>
            </w:r>
            <w:r w:rsidR="00C43BB5" w:rsidRPr="00875DBE">
              <w:t xml:space="preserve"> i</w:t>
            </w:r>
            <w:r w:rsidRPr="00875DBE">
              <w:t xml:space="preserve"> Włochy. Są to stosunkowo duże kraje, posiadające rozległy rynki</w:t>
            </w:r>
            <w:r w:rsidR="00346241" w:rsidRPr="00875DBE">
              <w:t>, które często mierzą się z podobnymi problemami. Czechy, pomimo różnic wielkościowych, są z kolei krajem z Europy Środkowo-Wschodniej</w:t>
            </w:r>
            <w:r w:rsidR="00B41F78">
              <w:t>,</w:t>
            </w:r>
            <w:r w:rsidR="00346241" w:rsidRPr="00875DBE">
              <w:t xml:space="preserve"> co daje nam możliwość zapoznania</w:t>
            </w:r>
            <w:r w:rsidR="00B51B75">
              <w:t xml:space="preserve"> </w:t>
            </w:r>
            <w:r w:rsidR="00346241" w:rsidRPr="00875DBE">
              <w:t>się z</w:t>
            </w:r>
            <w:r w:rsidR="00B51B75">
              <w:t> </w:t>
            </w:r>
            <w:r w:rsidR="00346241" w:rsidRPr="00875DBE">
              <w:t>perspektywą innego kraju narażonego na podobne zagrożenia jak Polska.</w:t>
            </w:r>
            <w:r w:rsidRPr="00875DBE">
              <w:t xml:space="preserve"> </w:t>
            </w:r>
          </w:p>
          <w:p w14:paraId="6C6BBABA" w14:textId="77777777" w:rsidR="00346241" w:rsidRPr="00875DBE" w:rsidRDefault="00346241" w:rsidP="00346241">
            <w:pPr>
              <w:rPr>
                <w:b/>
                <w:bCs/>
              </w:rPr>
            </w:pPr>
            <w:r w:rsidRPr="00875DBE">
              <w:rPr>
                <w:b/>
                <w:bCs/>
              </w:rPr>
              <w:t xml:space="preserve">Niemcy </w:t>
            </w:r>
          </w:p>
          <w:p w14:paraId="7BE75273" w14:textId="3636A4CD" w:rsidR="00346241" w:rsidRPr="00875DBE" w:rsidRDefault="00346241" w:rsidP="00BB6D3E">
            <w:pPr>
              <w:ind w:right="118"/>
            </w:pPr>
            <w:r w:rsidRPr="00875DBE">
              <w:lastRenderedPageBreak/>
              <w:t xml:space="preserve">W Niemczech model nadzoru nad </w:t>
            </w:r>
            <w:proofErr w:type="spellStart"/>
            <w:r w:rsidRPr="00875DBE">
              <w:t>cyberbezpieczeństwem</w:t>
            </w:r>
            <w:proofErr w:type="spellEnd"/>
            <w:r w:rsidRPr="00875DBE">
              <w:t xml:space="preserve"> ma charakter scentralizowany, a zadania, w tym zakresie wykonywane są przez Federalny Urząd</w:t>
            </w:r>
            <w:r w:rsidR="000F1302" w:rsidRPr="00875DBE">
              <w:t xml:space="preserve"> </w:t>
            </w:r>
            <w:r w:rsidRPr="00875DBE">
              <w:t>ds. Bezpieczeństwa Informacji (BSI), który</w:t>
            </w:r>
            <w:r w:rsidR="00460DE9" w:rsidRPr="00875DBE">
              <w:t xml:space="preserve"> </w:t>
            </w:r>
            <w:r w:rsidRPr="00875DBE">
              <w:t>będzie</w:t>
            </w:r>
            <w:r w:rsidR="00E008F1" w:rsidRPr="00875DBE">
              <w:t xml:space="preserve"> </w:t>
            </w:r>
            <w:r w:rsidRPr="00875DBE">
              <w:t xml:space="preserve">m.in. sprawował nadzór nad wszystkimi podmiotami kluczowymi i </w:t>
            </w:r>
            <w:r w:rsidR="00AC135F" w:rsidRPr="00875DBE">
              <w:t xml:space="preserve">podmiotami </w:t>
            </w:r>
            <w:r w:rsidRPr="00875DBE">
              <w:t xml:space="preserve">ważnymi. </w:t>
            </w:r>
          </w:p>
          <w:p w14:paraId="2F5008FC" w14:textId="50E88014" w:rsidR="00346241" w:rsidRPr="00875DBE" w:rsidRDefault="00346241" w:rsidP="00BB6D3E">
            <w:pPr>
              <w:ind w:right="118"/>
            </w:pPr>
            <w:r w:rsidRPr="00875DBE">
              <w:t>Obowiązki nałożone na podmioty kluczowe i </w:t>
            </w:r>
            <w:r w:rsidR="00AC135F" w:rsidRPr="00875DBE">
              <w:t xml:space="preserve">podmioty </w:t>
            </w:r>
            <w:r w:rsidRPr="00875DBE">
              <w:t xml:space="preserve">ważne w zakresie środków mających zapewnić </w:t>
            </w:r>
            <w:proofErr w:type="spellStart"/>
            <w:r w:rsidRPr="00875DBE">
              <w:t>cyberbezpieczeństwo</w:t>
            </w:r>
            <w:proofErr w:type="spellEnd"/>
            <w:r w:rsidRPr="00875DBE">
              <w:t xml:space="preserve"> zostały wskazane w sposób ogólny. Mają one być zgodne z aktualnym stanem wiedzy oraz uwzględniać odpowiednie normy europejskie i międzynarodowe, koszty wdrożenia poszczególnych rozwiązań, </w:t>
            </w:r>
            <w:r w:rsidR="00B51B75">
              <w:t>mają</w:t>
            </w:r>
            <w:r w:rsidRPr="00875DBE">
              <w:t xml:space="preserve"> także być adekwatne do oszacowanego ryzyka. Minimalne środki jakie powinny być zastosowane zostały wskazane wprost w ustawie. Status podmiotów kluczowych i</w:t>
            </w:r>
            <w:r w:rsidR="00AC135F" w:rsidRPr="00875DBE">
              <w:t xml:space="preserve"> podmiotów</w:t>
            </w:r>
            <w:r w:rsidRPr="00875DBE">
              <w:t> ważnych będzie nadawany z mocy samej ustawy. Podmioty spełniające wymogi ustawowe będą musiały zarejestrować się w BSI, w ciągu 3 miesięcy od wejścia w życie ustawy. Urząd może sam zarejestrować taki podmiot, jeśli nie wykona on swojego obowiązku.</w:t>
            </w:r>
          </w:p>
          <w:p w14:paraId="2C75798C" w14:textId="77777777" w:rsidR="00346241" w:rsidRPr="00875DBE" w:rsidRDefault="00346241" w:rsidP="00BB6D3E">
            <w:pPr>
              <w:ind w:right="118"/>
            </w:pPr>
            <w:r w:rsidRPr="00875DBE">
              <w:t xml:space="preserve">Ustawa przewiduje również specjalną procedurę zwolnienia z wykonywania obowiązków określonych w ustawie dla podmiotów wykonujących zadania związane z bezpieczeństwem narodowym lub bezpieczeństwem publicznym. </w:t>
            </w:r>
          </w:p>
          <w:p w14:paraId="31C4CD12" w14:textId="77777777" w:rsidR="00346241" w:rsidRPr="00875DBE" w:rsidRDefault="00346241" w:rsidP="00840807">
            <w:pPr>
              <w:ind w:right="118"/>
            </w:pPr>
            <w:r w:rsidRPr="00875DBE">
              <w:t xml:space="preserve">Urzędy federalne muszą przeznaczać co najmniej 20% wydatków informatycznych na </w:t>
            </w:r>
            <w:proofErr w:type="spellStart"/>
            <w:r w:rsidRPr="00875DBE">
              <w:t>cyberbezpieczeństwo</w:t>
            </w:r>
            <w:proofErr w:type="spellEnd"/>
            <w:r w:rsidRPr="00875DBE">
              <w:t xml:space="preserve">. </w:t>
            </w:r>
          </w:p>
          <w:p w14:paraId="65FC03E1" w14:textId="77777777" w:rsidR="00346241" w:rsidRPr="00875DBE" w:rsidRDefault="00346241" w:rsidP="00840807">
            <w:pPr>
              <w:ind w:right="118"/>
            </w:pPr>
            <w:r w:rsidRPr="00875DBE">
              <w:t xml:space="preserve">W rozporządzeniu do ustawy może być wprowadzony obowiązek korzystania z certyfikowanych produktów i usług. </w:t>
            </w:r>
          </w:p>
          <w:p w14:paraId="43640F69" w14:textId="4C16C765" w:rsidR="00604A4E" w:rsidRPr="00875DBE" w:rsidRDefault="00604A4E" w:rsidP="00840807">
            <w:pPr>
              <w:tabs>
                <w:tab w:val="center" w:pos="5360"/>
              </w:tabs>
              <w:ind w:right="118"/>
              <w:rPr>
                <w:b/>
                <w:bCs/>
              </w:rPr>
            </w:pPr>
            <w:r w:rsidRPr="00875DBE">
              <w:rPr>
                <w:b/>
                <w:bCs/>
              </w:rPr>
              <w:t>Belgia</w:t>
            </w:r>
            <w:r w:rsidR="00D832B2" w:rsidRPr="00875DBE">
              <w:rPr>
                <w:b/>
                <w:bCs/>
              </w:rPr>
              <w:tab/>
            </w:r>
          </w:p>
          <w:p w14:paraId="70B00EFA" w14:textId="3D3DFAE8" w:rsidR="00604A4E" w:rsidRPr="00875DBE" w:rsidRDefault="00604A4E" w:rsidP="00840807">
            <w:pPr>
              <w:ind w:right="118"/>
            </w:pPr>
            <w:r w:rsidRPr="00875DBE">
              <w:t>W Belgii przygotowany został projekt ustawy implementującej dyrektywę NIS</w:t>
            </w:r>
            <w:r w:rsidR="004A0B0A" w:rsidRPr="00875DBE">
              <w:t xml:space="preserve"> </w:t>
            </w:r>
            <w:r w:rsidRPr="00875DBE">
              <w:t xml:space="preserve">2. Przygotowana ustawa ma zastąpić dotychczasową ustawę regulującą kwestie </w:t>
            </w:r>
            <w:proofErr w:type="spellStart"/>
            <w:r w:rsidRPr="00875DBE">
              <w:t>cyberbezpieczeństwa</w:t>
            </w:r>
            <w:proofErr w:type="spellEnd"/>
            <w:r w:rsidRPr="00875DBE">
              <w:t>.</w:t>
            </w:r>
          </w:p>
          <w:p w14:paraId="2D3B72E0" w14:textId="5F80D640" w:rsidR="00604A4E" w:rsidRPr="00875DBE" w:rsidRDefault="00604A4E" w:rsidP="00840807">
            <w:pPr>
              <w:ind w:right="118"/>
            </w:pPr>
            <w:r w:rsidRPr="00875DBE">
              <w:t>Zgodnie</w:t>
            </w:r>
            <w:r w:rsidR="00E32125" w:rsidRPr="00875DBE">
              <w:t xml:space="preserve"> z </w:t>
            </w:r>
            <w:r w:rsidRPr="00875DBE">
              <w:t>nową ustawą status podmiotu kluczowego</w:t>
            </w:r>
            <w:r w:rsidR="00E32125" w:rsidRPr="00875DBE">
              <w:t xml:space="preserve"> i </w:t>
            </w:r>
            <w:r w:rsidR="00AC135F" w:rsidRPr="00875DBE">
              <w:t xml:space="preserve">podmiotu </w:t>
            </w:r>
            <w:r w:rsidRPr="00875DBE">
              <w:t>ważnego będą posiadać</w:t>
            </w:r>
            <w:r w:rsidR="00E32125" w:rsidRPr="00875DBE">
              <w:t xml:space="preserve"> z </w:t>
            </w:r>
            <w:r w:rsidRPr="00875DBE">
              <w:t>mocy prawa podmioty, które spełniają warunki określone</w:t>
            </w:r>
            <w:r w:rsidR="00E32125" w:rsidRPr="00875DBE">
              <w:t xml:space="preserve"> w </w:t>
            </w:r>
            <w:r w:rsidRPr="00875DBE">
              <w:t>ustawie</w:t>
            </w:r>
            <w:r w:rsidR="00756A8F" w:rsidRPr="00875DBE">
              <w:t>,</w:t>
            </w:r>
            <w:r w:rsidRPr="00875DBE">
              <w:t xml:space="preserve"> będące bezpośrednim przeniesieniem przepisów dyrektywy NIS</w:t>
            </w:r>
            <w:r w:rsidR="00756A8F" w:rsidRPr="00875DBE">
              <w:t xml:space="preserve"> </w:t>
            </w:r>
            <w:r w:rsidRPr="00875DBE">
              <w:t>2.</w:t>
            </w:r>
            <w:r w:rsidR="00B51B75">
              <w:t xml:space="preserve"> </w:t>
            </w:r>
            <w:r w:rsidRPr="00875DBE">
              <w:t>Do</w:t>
            </w:r>
            <w:r w:rsidR="00BB6D3E">
              <w:t> </w:t>
            </w:r>
            <w:r w:rsidRPr="00875DBE">
              <w:t>podmiotów, które nie spełniają tych warunków, ale</w:t>
            </w:r>
            <w:r w:rsidR="00E32125" w:rsidRPr="00875DBE">
              <w:t xml:space="preserve"> z </w:t>
            </w:r>
            <w:r w:rsidRPr="00875DBE">
              <w:t>innych powodów powinny być objęte regulacją</w:t>
            </w:r>
            <w:r w:rsidR="000648D0" w:rsidRPr="00875DBE">
              <w:t>,</w:t>
            </w:r>
            <w:r w:rsidRPr="00875DBE">
              <w:t xml:space="preserve"> np. są jedynym dostawcą danej usługi</w:t>
            </w:r>
            <w:r w:rsidR="00E32125" w:rsidRPr="00875DBE">
              <w:t xml:space="preserve"> w </w:t>
            </w:r>
            <w:r w:rsidRPr="00875DBE">
              <w:t>Belgii</w:t>
            </w:r>
            <w:r w:rsidR="000648D0" w:rsidRPr="00875DBE">
              <w:t>,</w:t>
            </w:r>
            <w:r w:rsidRPr="00875DBE">
              <w:t xml:space="preserve"> pomimo niespełniania kryteriów</w:t>
            </w:r>
            <w:r w:rsidR="00E32125" w:rsidRPr="00875DBE">
              <w:t xml:space="preserve"> z </w:t>
            </w:r>
            <w:r w:rsidR="0007361A">
              <w:t xml:space="preserve">dyrektywy </w:t>
            </w:r>
            <w:r w:rsidRPr="00875DBE">
              <w:t>NIS</w:t>
            </w:r>
            <w:r w:rsidR="00756A8F" w:rsidRPr="00875DBE">
              <w:t xml:space="preserve"> </w:t>
            </w:r>
            <w:r w:rsidRPr="00875DBE">
              <w:t>2</w:t>
            </w:r>
            <w:r w:rsidR="000648D0" w:rsidRPr="00875DBE">
              <w:t>,</w:t>
            </w:r>
            <w:r w:rsidRPr="00875DBE">
              <w:t xml:space="preserve"> mogą być wydane decyzje o uznaniu</w:t>
            </w:r>
            <w:r w:rsidR="00B51B75">
              <w:t xml:space="preserve"> ich</w:t>
            </w:r>
            <w:r w:rsidRPr="00875DBE">
              <w:t xml:space="preserve"> za taki podmiot. Decyzje te wydaje krajowy organ ds. </w:t>
            </w:r>
            <w:proofErr w:type="spellStart"/>
            <w:r w:rsidRPr="00875DBE">
              <w:t>cyberbezpieczeństwa</w:t>
            </w:r>
            <w:proofErr w:type="spellEnd"/>
            <w:r w:rsidR="00B51B75">
              <w:t>,</w:t>
            </w:r>
            <w:r w:rsidRPr="00875DBE">
              <w:t xml:space="preserve"> po zasięgnięciu opinii sektorowego organu </w:t>
            </w:r>
            <w:proofErr w:type="spellStart"/>
            <w:r w:rsidRPr="00875DBE">
              <w:t>cyberbezpieczeństwa</w:t>
            </w:r>
            <w:proofErr w:type="spellEnd"/>
            <w:r w:rsidRPr="00875DBE">
              <w:t>.</w:t>
            </w:r>
            <w:r w:rsidR="00E32125" w:rsidRPr="00875DBE">
              <w:t xml:space="preserve"> </w:t>
            </w:r>
            <w:r w:rsidR="000648D0" w:rsidRPr="00875DBE">
              <w:t>W</w:t>
            </w:r>
            <w:r w:rsidR="00E32125" w:rsidRPr="00875DBE">
              <w:t> </w:t>
            </w:r>
            <w:r w:rsidRPr="00875DBE">
              <w:t xml:space="preserve">przypadku gdy opinia ta jest negatywna, sprawa </w:t>
            </w:r>
            <w:r w:rsidR="00B41F78" w:rsidRPr="00875DBE">
              <w:t xml:space="preserve">jest </w:t>
            </w:r>
            <w:r w:rsidRPr="00875DBE">
              <w:t>kierowana do Rady Bezpieczeństwa Narodowego. Krajowy organ co dwa lata dokonuje przeglądu wydanych decyzji.</w:t>
            </w:r>
          </w:p>
          <w:p w14:paraId="5CB2BE22" w14:textId="3C9FABBF" w:rsidR="00604A4E" w:rsidRPr="00875DBE" w:rsidRDefault="00604A4E" w:rsidP="00840807">
            <w:pPr>
              <w:ind w:right="118"/>
            </w:pPr>
            <w:r w:rsidRPr="00875DBE">
              <w:t>Od momentu wejścia</w:t>
            </w:r>
            <w:r w:rsidR="00E32125" w:rsidRPr="00875DBE">
              <w:t xml:space="preserve"> w </w:t>
            </w:r>
            <w:r w:rsidRPr="00875DBE">
              <w:t xml:space="preserve">życie przepisów </w:t>
            </w:r>
            <w:r w:rsidR="00EE043B" w:rsidRPr="00875DBE">
              <w:t xml:space="preserve">implementujących </w:t>
            </w:r>
            <w:r w:rsidR="0007361A">
              <w:t xml:space="preserve">dyrektywę </w:t>
            </w:r>
            <w:r w:rsidR="00EE043B" w:rsidRPr="00875DBE">
              <w:t xml:space="preserve">NIS 2 </w:t>
            </w:r>
            <w:r w:rsidRPr="00875DBE">
              <w:t>podmioty kluczowe</w:t>
            </w:r>
            <w:r w:rsidR="00E32125" w:rsidRPr="00875DBE">
              <w:t xml:space="preserve"> i </w:t>
            </w:r>
            <w:r w:rsidR="00AC135F" w:rsidRPr="00875DBE">
              <w:t xml:space="preserve">podmioty </w:t>
            </w:r>
            <w:r w:rsidRPr="00875DBE">
              <w:t>ważne będą miały</w:t>
            </w:r>
            <w:r w:rsidR="00B51B75">
              <w:t xml:space="preserve"> </w:t>
            </w:r>
            <w:r w:rsidRPr="00875DBE">
              <w:t>5 miesięcy na zarejestrowanie się</w:t>
            </w:r>
            <w:r w:rsidR="00E32125" w:rsidRPr="00875DBE">
              <w:t xml:space="preserve"> w </w:t>
            </w:r>
            <w:r w:rsidRPr="00875DBE">
              <w:t>odpowiedniej bazie danych.</w:t>
            </w:r>
            <w:r w:rsidR="00E32125" w:rsidRPr="00875DBE">
              <w:t xml:space="preserve"> </w:t>
            </w:r>
            <w:r w:rsidR="000648D0" w:rsidRPr="00875DBE">
              <w:t>W</w:t>
            </w:r>
            <w:r w:rsidR="00E32125" w:rsidRPr="00875DBE">
              <w:t> </w:t>
            </w:r>
            <w:r w:rsidRPr="00875DBE">
              <w:t xml:space="preserve">przypadku zmiany określonych danych, podmioty te będą miały dwa tygodnie na ich aktualizację. </w:t>
            </w:r>
          </w:p>
          <w:p w14:paraId="5035187C" w14:textId="63EA9754" w:rsidR="00604A4E" w:rsidRPr="00875DBE" w:rsidRDefault="00604A4E" w:rsidP="00840807">
            <w:pPr>
              <w:ind w:right="118"/>
            </w:pPr>
            <w:r w:rsidRPr="00875DBE">
              <w:t>Dużą rolę</w:t>
            </w:r>
            <w:r w:rsidR="00E32125" w:rsidRPr="00875DBE">
              <w:t xml:space="preserve"> w </w:t>
            </w:r>
            <w:r w:rsidRPr="00875DBE">
              <w:t>ramach nowej legislacji będą miały akty wykonawcze wydawane przez króla.</w:t>
            </w:r>
            <w:r w:rsidR="00E32125" w:rsidRPr="00875DBE">
              <w:t xml:space="preserve"> </w:t>
            </w:r>
            <w:r w:rsidR="000648D0" w:rsidRPr="00875DBE">
              <w:t>W</w:t>
            </w:r>
            <w:r w:rsidR="00E32125" w:rsidRPr="00875DBE">
              <w:t> </w:t>
            </w:r>
            <w:r w:rsidRPr="00875DBE">
              <w:t>takiej formie będzie przyjęty m.in. krajowy plan reagowania na incydenty</w:t>
            </w:r>
            <w:r w:rsidR="00E32125" w:rsidRPr="00875DBE">
              <w:t xml:space="preserve"> i </w:t>
            </w:r>
            <w:r w:rsidRPr="00875DBE">
              <w:t>sytuacje kryzysowe</w:t>
            </w:r>
            <w:r w:rsidR="00E32125" w:rsidRPr="00875DBE">
              <w:t xml:space="preserve"> w </w:t>
            </w:r>
            <w:proofErr w:type="spellStart"/>
            <w:r w:rsidRPr="00875DBE">
              <w:t>cyberbezpieczeństwie</w:t>
            </w:r>
            <w:proofErr w:type="spellEnd"/>
            <w:r w:rsidRPr="00875DBE">
              <w:t xml:space="preserve"> na dużą skalę. </w:t>
            </w:r>
          </w:p>
          <w:p w14:paraId="1FF929BC" w14:textId="6FF179CD" w:rsidR="00604A4E" w:rsidRPr="00875DBE" w:rsidRDefault="00604A4E" w:rsidP="00840807">
            <w:pPr>
              <w:ind w:right="118"/>
            </w:pPr>
            <w:r w:rsidRPr="00875DBE">
              <w:t>Ustawa przewiduje również formułę dobrowolnego zgłaszania incydentów</w:t>
            </w:r>
            <w:r w:rsidR="00E32125" w:rsidRPr="00875DBE">
              <w:t xml:space="preserve"> w </w:t>
            </w:r>
            <w:r w:rsidRPr="00875DBE">
              <w:t>przypadku gdy prawo nie wymaga</w:t>
            </w:r>
            <w:r w:rsidR="000648D0" w:rsidRPr="00875DBE">
              <w:t>,</w:t>
            </w:r>
            <w:r w:rsidR="00B51B75">
              <w:t xml:space="preserve"> </w:t>
            </w:r>
            <w:r w:rsidRPr="00875DBE">
              <w:t>aby dany incydent zgłaszać</w:t>
            </w:r>
            <w:r w:rsidR="000648D0" w:rsidRPr="00875DBE">
              <w:t>,</w:t>
            </w:r>
            <w:r w:rsidRPr="00875DBE">
              <w:t xml:space="preserve"> </w:t>
            </w:r>
            <w:r w:rsidR="00416A9E" w:rsidRPr="00875DBE">
              <w:t>m</w:t>
            </w:r>
            <w:r w:rsidR="00E008F1" w:rsidRPr="00875DBE">
              <w:t>.</w:t>
            </w:r>
            <w:r w:rsidR="00983DAB" w:rsidRPr="00875DBE">
              <w:t>i</w:t>
            </w:r>
            <w:r w:rsidR="00416A9E" w:rsidRPr="00875DBE">
              <w:t>n.</w:t>
            </w:r>
            <w:r w:rsidRPr="00875DBE">
              <w:t xml:space="preserve"> gdy podmiot</w:t>
            </w:r>
            <w:r w:rsidR="000648D0" w:rsidRPr="00875DBE">
              <w:t>,</w:t>
            </w:r>
            <w:r w:rsidRPr="00875DBE">
              <w:t xml:space="preserve"> u którego incydent wystąpił nie jest podmiotem </w:t>
            </w:r>
            <w:r w:rsidR="00A817B7" w:rsidRPr="00875DBE">
              <w:t xml:space="preserve">kluczowym </w:t>
            </w:r>
            <w:r w:rsidRPr="00875DBE">
              <w:t xml:space="preserve">ani </w:t>
            </w:r>
            <w:r w:rsidR="00A817B7" w:rsidRPr="00875DBE">
              <w:t>podmiotem ważnym</w:t>
            </w:r>
            <w:r w:rsidRPr="00875DBE">
              <w:t xml:space="preserve">. </w:t>
            </w:r>
          </w:p>
          <w:p w14:paraId="34C2DF39" w14:textId="59B66EAB" w:rsidR="00604A4E" w:rsidRPr="00875DBE" w:rsidRDefault="00604A4E" w:rsidP="00840807">
            <w:pPr>
              <w:ind w:right="118"/>
            </w:pPr>
            <w:r w:rsidRPr="00875DBE">
              <w:t>Ustawa określiła minimalne środki zarządzania ryzykiem</w:t>
            </w:r>
            <w:r w:rsidR="00E32125" w:rsidRPr="00875DBE">
              <w:t xml:space="preserve"> w </w:t>
            </w:r>
            <w:proofErr w:type="spellStart"/>
            <w:r w:rsidRPr="00875DBE">
              <w:t>cyberbezpieczeństwie</w:t>
            </w:r>
            <w:proofErr w:type="spellEnd"/>
            <w:r w:rsidRPr="00875DBE">
              <w:t>, ale to jakie dokładnie środki mają być zastosowane zależą od analizy ryzyka</w:t>
            </w:r>
            <w:r w:rsidR="00E32125" w:rsidRPr="00875DBE">
              <w:t xml:space="preserve"> w </w:t>
            </w:r>
            <w:r w:rsidRPr="00875DBE">
              <w:t xml:space="preserve">konkretnym podmiocie. Odpowiedzialność za prawidłowe jej sporządzenie spoczywa na danym podmiocie. </w:t>
            </w:r>
          </w:p>
          <w:p w14:paraId="32FA63F3" w14:textId="02137328" w:rsidR="00604A4E" w:rsidRPr="00875DBE" w:rsidRDefault="00604A4E" w:rsidP="00840807">
            <w:pPr>
              <w:ind w:right="118"/>
            </w:pPr>
            <w:r w:rsidRPr="00875DBE">
              <w:t>Ustawa wyraźnie wskazuje t</w:t>
            </w:r>
            <w:r w:rsidR="00983DAB" w:rsidRPr="00875DBE">
              <w:t>akże</w:t>
            </w:r>
            <w:r w:rsidRPr="00875DBE">
              <w:t xml:space="preserve"> ogólną odpowiedzialność kierownictwa za działania</w:t>
            </w:r>
            <w:r w:rsidR="00ED274F" w:rsidRPr="00875DBE">
              <w:t>,</w:t>
            </w:r>
            <w:r w:rsidR="00E32125" w:rsidRPr="00875DBE">
              <w:t xml:space="preserve"> w </w:t>
            </w:r>
            <w:r w:rsidRPr="00875DBE">
              <w:t>tym zakresie</w:t>
            </w:r>
            <w:r w:rsidR="00E32125" w:rsidRPr="00875DBE">
              <w:t xml:space="preserve"> i </w:t>
            </w:r>
            <w:r w:rsidRPr="00875DBE">
              <w:t>nakłada obowiązek odpowiedniego przeszkolenia wszystkich osób</w:t>
            </w:r>
            <w:r w:rsidR="00E32125" w:rsidRPr="00875DBE">
              <w:t xml:space="preserve"> z </w:t>
            </w:r>
            <w:r w:rsidRPr="00875DBE">
              <w:t>kierownictwa</w:t>
            </w:r>
            <w:r w:rsidR="00E32125" w:rsidRPr="00875DBE">
              <w:t xml:space="preserve"> w </w:t>
            </w:r>
            <w:r w:rsidRPr="00875DBE">
              <w:t xml:space="preserve">zakresie </w:t>
            </w:r>
            <w:proofErr w:type="spellStart"/>
            <w:r w:rsidRPr="00875DBE">
              <w:t>cyberbezpieczeństwa</w:t>
            </w:r>
            <w:proofErr w:type="spellEnd"/>
            <w:r w:rsidRPr="00875DBE">
              <w:t xml:space="preserve">. </w:t>
            </w:r>
          </w:p>
          <w:p w14:paraId="51701CAC" w14:textId="77777777" w:rsidR="00981554" w:rsidRPr="00875DBE" w:rsidRDefault="00981554" w:rsidP="00840807">
            <w:pPr>
              <w:ind w:right="118"/>
              <w:rPr>
                <w:b/>
                <w:bCs/>
              </w:rPr>
            </w:pPr>
            <w:r w:rsidRPr="00875DBE">
              <w:rPr>
                <w:b/>
                <w:bCs/>
              </w:rPr>
              <w:t>Czechy</w:t>
            </w:r>
          </w:p>
          <w:p w14:paraId="5508CB20" w14:textId="11E4D0C0" w:rsidR="00981554" w:rsidRPr="00875DBE" w:rsidRDefault="00981554" w:rsidP="00840807">
            <w:pPr>
              <w:ind w:right="118"/>
            </w:pPr>
            <w:r w:rsidRPr="00875DBE">
              <w:t xml:space="preserve">Czeski projekt ustawy implementującej </w:t>
            </w:r>
            <w:r w:rsidR="0007361A">
              <w:t xml:space="preserve">dyrektywę </w:t>
            </w:r>
            <w:r w:rsidRPr="00875DBE">
              <w:t>NIS</w:t>
            </w:r>
            <w:r w:rsidR="00AA4A6D" w:rsidRPr="00875DBE">
              <w:t xml:space="preserve"> </w:t>
            </w:r>
            <w:r w:rsidRPr="00875DBE">
              <w:t>2 jest bardzo obszerny</w:t>
            </w:r>
            <w:r w:rsidR="00E32125" w:rsidRPr="00875DBE">
              <w:t xml:space="preserve"> i </w:t>
            </w:r>
            <w:r w:rsidRPr="00875DBE">
              <w:t xml:space="preserve">zawiera rozwiązania wykraczające poza wąsko rozumiane wprowadzenie przepisów Unii Europejskiej do krajowego porządku prawnego. Projekt przewiduje utworzenie Agencji </w:t>
            </w:r>
            <w:proofErr w:type="spellStart"/>
            <w:r w:rsidRPr="00875DBE">
              <w:t>Cyberbezpieczeństwa</w:t>
            </w:r>
            <w:proofErr w:type="spellEnd"/>
            <w:r w:rsidRPr="00875DBE">
              <w:t xml:space="preserve"> na wzór niemieckiego BSI czy francuskiego ANSSI, która będzie zajmować się szerokim spektrum zadań</w:t>
            </w:r>
            <w:r w:rsidR="00E32125" w:rsidRPr="00875DBE">
              <w:t xml:space="preserve"> z </w:t>
            </w:r>
            <w:r w:rsidRPr="00875DBE">
              <w:t xml:space="preserve">tego obszaru. </w:t>
            </w:r>
          </w:p>
          <w:p w14:paraId="769E0DF9" w14:textId="6AA7D0FB" w:rsidR="00981554" w:rsidRPr="00875DBE" w:rsidRDefault="00981554" w:rsidP="00840807">
            <w:pPr>
              <w:ind w:right="118"/>
            </w:pPr>
            <w:r w:rsidRPr="00875DBE">
              <w:t>Projekt określa ogólne warunki do uznania danego podmiotu za dostawcę usług regulowanych.</w:t>
            </w:r>
            <w:r w:rsidR="00E32125" w:rsidRPr="00875DBE">
              <w:t xml:space="preserve"> </w:t>
            </w:r>
            <w:r w:rsidR="006A049F" w:rsidRPr="00875DBE">
              <w:t>W</w:t>
            </w:r>
            <w:r w:rsidR="00E32125" w:rsidRPr="00875DBE">
              <w:t> </w:t>
            </w:r>
            <w:r w:rsidRPr="00875DBE">
              <w:t xml:space="preserve">zależności od rodzaju działalności dostawca usług regulowanych może być obowiązany do stosowania wysokiego reżimu </w:t>
            </w:r>
            <w:proofErr w:type="spellStart"/>
            <w:r w:rsidRPr="00875DBE">
              <w:t>cyberbezpieczeństwa</w:t>
            </w:r>
            <w:proofErr w:type="spellEnd"/>
            <w:r w:rsidRPr="00875DBE">
              <w:t xml:space="preserve"> albo niskiego reżimu </w:t>
            </w:r>
            <w:proofErr w:type="spellStart"/>
            <w:r w:rsidRPr="00875DBE">
              <w:t>cyberbezpieczeństwa</w:t>
            </w:r>
            <w:proofErr w:type="spellEnd"/>
            <w:r w:rsidRPr="00875DBE">
              <w:t>. Jeśli dany podmiot wykonuje działalnoś</w:t>
            </w:r>
            <w:r w:rsidR="00B51B75">
              <w:t>ć</w:t>
            </w:r>
            <w:r w:rsidR="00E32125" w:rsidRPr="00875DBE">
              <w:t xml:space="preserve"> z </w:t>
            </w:r>
            <w:r w:rsidRPr="00875DBE">
              <w:t xml:space="preserve">obu grup to wszystkie jego usługi są objęte wysokim reżimem. Na podmioty spełniające te warunki ustawa nakłada obowiązek zgłoszenia się do Agencji </w:t>
            </w:r>
            <w:proofErr w:type="spellStart"/>
            <w:r w:rsidRPr="00875DBE">
              <w:t>Cyberbezpieczeństwa</w:t>
            </w:r>
            <w:proofErr w:type="spellEnd"/>
            <w:r w:rsidR="00E32125" w:rsidRPr="00875DBE">
              <w:t xml:space="preserve"> w </w:t>
            </w:r>
            <w:r w:rsidRPr="00875DBE">
              <w:t>ciągu 30 dni od uzyskania wiedzy o tym. Agencja może również wpisać do wykazu tych podmiotów, te</w:t>
            </w:r>
            <w:r w:rsidR="00E32125" w:rsidRPr="00875DBE">
              <w:t xml:space="preserve"> z </w:t>
            </w:r>
            <w:r w:rsidRPr="00875DBE">
              <w:t xml:space="preserve">nich o których wie, że spełniają wymagania. Projekt przewiduje również odrębny tryb wpisu do wykazu dla podmiotów spełniających odrębnie uregulowane warunki. Ten wpis będzie odbywał się na podstawie decyzji administracyjnej Prezesa Agencji. Z obowiązkiem zgłoszenia się do </w:t>
            </w:r>
            <w:r w:rsidR="00983DAB" w:rsidRPr="00875DBE">
              <w:t>A</w:t>
            </w:r>
            <w:r w:rsidRPr="00875DBE">
              <w:t xml:space="preserve">gencji powiązana została sankcja karnoadministracyjna. </w:t>
            </w:r>
          </w:p>
          <w:p w14:paraId="6857FFCD" w14:textId="020720DB" w:rsidR="00981554" w:rsidRPr="00875DBE" w:rsidRDefault="00981554" w:rsidP="00840807">
            <w:pPr>
              <w:ind w:right="118"/>
            </w:pPr>
            <w:r w:rsidRPr="00875DBE">
              <w:lastRenderedPageBreak/>
              <w:t>Dostawcy usług regulowanych mają obowiązek wdrożyć wymagane prawem rozwiązania</w:t>
            </w:r>
            <w:r w:rsidR="00E32125" w:rsidRPr="00875DBE">
              <w:t xml:space="preserve"> w </w:t>
            </w:r>
            <w:r w:rsidRPr="00875DBE">
              <w:t>ciągu roku od wpisu do wykazu. Obowiązki te ujęte są bardzo ogólnie</w:t>
            </w:r>
            <w:r w:rsidR="00E32125" w:rsidRPr="00875DBE">
              <w:t xml:space="preserve"> w </w:t>
            </w:r>
            <w:r w:rsidRPr="00875DBE">
              <w:t>samej ustawie, a uszczegółowione zosta</w:t>
            </w:r>
            <w:r w:rsidR="00B51B75">
              <w:t>ną</w:t>
            </w:r>
            <w:r w:rsidR="00E32125" w:rsidRPr="00875DBE">
              <w:t xml:space="preserve"> w </w:t>
            </w:r>
            <w:r w:rsidRPr="00875DBE">
              <w:t>aktach wykonawczych. Bardz</w:t>
            </w:r>
            <w:r w:rsidR="00880FC3" w:rsidRPr="00875DBE">
              <w:t>iej</w:t>
            </w:r>
            <w:r w:rsidRPr="00875DBE">
              <w:t xml:space="preserve"> szczegółow</w:t>
            </w:r>
            <w:r w:rsidR="00880FC3" w:rsidRPr="00875DBE">
              <w:t>o</w:t>
            </w:r>
            <w:r w:rsidRPr="00875DBE">
              <w:t xml:space="preserve"> niż</w:t>
            </w:r>
            <w:r w:rsidR="00E32125" w:rsidRPr="00875DBE">
              <w:t xml:space="preserve"> w </w:t>
            </w:r>
            <w:r w:rsidRPr="00875DBE">
              <w:t>samej dyrektywie NIS</w:t>
            </w:r>
            <w:r w:rsidR="00880FC3" w:rsidRPr="00875DBE">
              <w:t xml:space="preserve"> </w:t>
            </w:r>
            <w:r w:rsidRPr="00875DBE">
              <w:t>2 zostały</w:t>
            </w:r>
            <w:r w:rsidR="00E32125" w:rsidRPr="00875DBE">
              <w:t xml:space="preserve"> w </w:t>
            </w:r>
            <w:r w:rsidRPr="00875DBE">
              <w:t>ni</w:t>
            </w:r>
            <w:r w:rsidR="001A2724" w:rsidRPr="00875DBE">
              <w:t>ch</w:t>
            </w:r>
            <w:r w:rsidRPr="00875DBE">
              <w:t xml:space="preserve"> określone środki techniczne</w:t>
            </w:r>
            <w:r w:rsidR="00E32125" w:rsidRPr="00875DBE">
              <w:t xml:space="preserve"> i </w:t>
            </w:r>
            <w:r w:rsidRPr="00875DBE">
              <w:t>organizacyjne jakie mają stosować dostawcy usług regulowanych.</w:t>
            </w:r>
            <w:r w:rsidR="00E32125" w:rsidRPr="00875DBE">
              <w:t xml:space="preserve"> </w:t>
            </w:r>
            <w:r w:rsidR="00880FC3" w:rsidRPr="00875DBE">
              <w:t>W</w:t>
            </w:r>
            <w:r w:rsidR="00E32125" w:rsidRPr="00875DBE">
              <w:t> </w:t>
            </w:r>
            <w:r w:rsidRPr="00875DBE">
              <w:t>szczególności należy zwrócić uwagę na uregulowanie obowiązków</w:t>
            </w:r>
            <w:r w:rsidR="00E32125" w:rsidRPr="00875DBE">
              <w:t xml:space="preserve"> i </w:t>
            </w:r>
            <w:r w:rsidRPr="00875DBE">
              <w:t>zadań kierownictwa</w:t>
            </w:r>
            <w:r w:rsidR="001A2724" w:rsidRPr="00875DBE">
              <w:t xml:space="preserve"> podmiotów kluczowych i </w:t>
            </w:r>
            <w:r w:rsidR="00A817B7" w:rsidRPr="00875DBE">
              <w:t xml:space="preserve">podmiotów </w:t>
            </w:r>
            <w:r w:rsidR="001A2724" w:rsidRPr="00875DBE">
              <w:t>ważnych</w:t>
            </w:r>
            <w:r w:rsidRPr="00875DBE">
              <w:t>. Do ich zadań</w:t>
            </w:r>
            <w:r w:rsidR="000F1302" w:rsidRPr="00875DBE">
              <w:t xml:space="preserve"> </w:t>
            </w:r>
            <w:r w:rsidR="00983DAB" w:rsidRPr="00875DBE">
              <w:t>należy</w:t>
            </w:r>
            <w:r w:rsidR="00460DE9" w:rsidRPr="00875DBE">
              <w:t xml:space="preserve"> </w:t>
            </w:r>
            <w:r w:rsidR="000E58F4">
              <w:t>np.</w:t>
            </w:r>
            <w:r w:rsidRPr="00875DBE">
              <w:t>. informowanie pracowników</w:t>
            </w:r>
            <w:r w:rsidR="00B51B75">
              <w:t xml:space="preserve"> </w:t>
            </w:r>
            <w:r w:rsidRPr="00875DBE">
              <w:t>o</w:t>
            </w:r>
            <w:r w:rsidR="00B51B75">
              <w:t> </w:t>
            </w:r>
            <w:r w:rsidRPr="00875DBE">
              <w:t xml:space="preserve">znaczeniu </w:t>
            </w:r>
            <w:proofErr w:type="spellStart"/>
            <w:r w:rsidRPr="00875DBE">
              <w:t>cyberbezpieczeństwa</w:t>
            </w:r>
            <w:proofErr w:type="spellEnd"/>
            <w:r w:rsidRPr="00875DBE">
              <w:t xml:space="preserve"> czy zapewniania odpowiednich zasobów do realizacji zadań</w:t>
            </w:r>
            <w:r w:rsidR="00E32125" w:rsidRPr="00875DBE">
              <w:t xml:space="preserve"> z </w:t>
            </w:r>
            <w:r w:rsidRPr="00875DBE">
              <w:t xml:space="preserve">tego obszaru. </w:t>
            </w:r>
            <w:r w:rsidR="00D33473" w:rsidRPr="00875DBE">
              <w:t>Akty wykonawcze</w:t>
            </w:r>
            <w:r w:rsidR="000F1302" w:rsidRPr="00875DBE">
              <w:t xml:space="preserve"> </w:t>
            </w:r>
            <w:r w:rsidRPr="00875DBE">
              <w:t>nakazuj</w:t>
            </w:r>
            <w:r w:rsidR="00D33473" w:rsidRPr="00875DBE">
              <w:t>ą</w:t>
            </w:r>
            <w:r w:rsidRPr="00875DBE">
              <w:t xml:space="preserve"> też dokonanie określonych zmian</w:t>
            </w:r>
            <w:r w:rsidR="00E32125" w:rsidRPr="00875DBE">
              <w:t xml:space="preserve"> w </w:t>
            </w:r>
            <w:r w:rsidRPr="00875DBE">
              <w:t xml:space="preserve">strukturze tych podmiotów poprzez utworzenie Komitetu Zarządzania </w:t>
            </w:r>
            <w:proofErr w:type="spellStart"/>
            <w:r w:rsidRPr="00875DBE">
              <w:t>Cyberbezpieczeństwem</w:t>
            </w:r>
            <w:proofErr w:type="spellEnd"/>
            <w:r w:rsidR="006A049F" w:rsidRPr="00875DBE">
              <w:t>,</w:t>
            </w:r>
            <w:r w:rsidR="00E32125" w:rsidRPr="00875DBE">
              <w:t xml:space="preserve"> w </w:t>
            </w:r>
            <w:r w:rsidRPr="00875DBE">
              <w:t xml:space="preserve">którym będzie musiał zasiadać przedstawiciel kierownictwa danego podmiotu. Ponadto </w:t>
            </w:r>
            <w:r w:rsidR="00880FC3" w:rsidRPr="00875DBE">
              <w:t xml:space="preserve">w akcie wykonawczym określono </w:t>
            </w:r>
            <w:r w:rsidRPr="00875DBE">
              <w:t>zakres zadań:</w:t>
            </w:r>
            <w:r w:rsidR="00880FC3" w:rsidRPr="00875DBE">
              <w:t xml:space="preserve"> </w:t>
            </w:r>
            <w:r w:rsidR="007B510C">
              <w:t xml:space="preserve">– </w:t>
            </w:r>
            <w:r w:rsidRPr="00875DBE">
              <w:t>menad</w:t>
            </w:r>
            <w:r w:rsidR="007B510C">
              <w:t>żera</w:t>
            </w:r>
            <w:r w:rsidRPr="00875DBE">
              <w:t xml:space="preserve"> ds. </w:t>
            </w:r>
            <w:proofErr w:type="spellStart"/>
            <w:r w:rsidRPr="00875DBE">
              <w:t>cyberbezpieczeństwa</w:t>
            </w:r>
            <w:proofErr w:type="spellEnd"/>
            <w:r w:rsidR="00880FC3" w:rsidRPr="00875DBE">
              <w:t>,</w:t>
            </w:r>
            <w:r w:rsidR="00983DAB" w:rsidRPr="00875DBE">
              <w:t xml:space="preserve"> </w:t>
            </w:r>
            <w:r w:rsidR="007B510C">
              <w:t>–</w:t>
            </w:r>
            <w:r w:rsidR="007B510C" w:rsidRPr="00875DBE">
              <w:t xml:space="preserve"> </w:t>
            </w:r>
            <w:r w:rsidRPr="00875DBE">
              <w:t xml:space="preserve">architekta </w:t>
            </w:r>
            <w:proofErr w:type="spellStart"/>
            <w:r w:rsidRPr="00875DBE">
              <w:t>cyberbezpieczeństwa</w:t>
            </w:r>
            <w:proofErr w:type="spellEnd"/>
            <w:r w:rsidR="00880FC3" w:rsidRPr="00875DBE">
              <w:t>,</w:t>
            </w:r>
            <w:r w:rsidRPr="00875DBE">
              <w:t xml:space="preserve"> </w:t>
            </w:r>
            <w:r w:rsidR="007B510C">
              <w:t>–</w:t>
            </w:r>
            <w:r w:rsidRPr="00875DBE">
              <w:t xml:space="preserve"> audytora </w:t>
            </w:r>
            <w:proofErr w:type="spellStart"/>
            <w:r w:rsidRPr="00875DBE">
              <w:t>cyberbezpieczeńtwa</w:t>
            </w:r>
            <w:proofErr w:type="spellEnd"/>
            <w:r w:rsidR="00E32125" w:rsidRPr="00875DBE">
              <w:t xml:space="preserve"> i </w:t>
            </w:r>
            <w:r w:rsidR="007B510C">
              <w:t xml:space="preserve">– </w:t>
            </w:r>
            <w:r w:rsidRPr="00875DBE">
              <w:t>osoby odpowiedzialnej za bezpieczeństwo zasobów</w:t>
            </w:r>
            <w:r w:rsidR="00E32125" w:rsidRPr="00875DBE">
              <w:t xml:space="preserve"> i </w:t>
            </w:r>
            <w:r w:rsidRPr="00875DBE">
              <w:t>nakaza</w:t>
            </w:r>
            <w:r w:rsidR="00983DAB" w:rsidRPr="00875DBE">
              <w:t>n</w:t>
            </w:r>
            <w:r w:rsidRPr="00875DBE">
              <w:t>o utworzyć takie stanowiska u dostawców usług regulowanych.</w:t>
            </w:r>
          </w:p>
          <w:p w14:paraId="19433519" w14:textId="668414FF" w:rsidR="00981554" w:rsidRPr="00875DBE" w:rsidRDefault="00981554" w:rsidP="00840807">
            <w:pPr>
              <w:ind w:right="118"/>
            </w:pPr>
            <w:r w:rsidRPr="00875DBE">
              <w:t xml:space="preserve">Agencja </w:t>
            </w:r>
            <w:proofErr w:type="spellStart"/>
            <w:r w:rsidRPr="00875DBE">
              <w:t>Cyberbezpieczeństwa</w:t>
            </w:r>
            <w:proofErr w:type="spellEnd"/>
            <w:r w:rsidRPr="00875DBE">
              <w:t xml:space="preserve"> może stosować środki zaradcze</w:t>
            </w:r>
            <w:r w:rsidR="00E32125" w:rsidRPr="00875DBE">
              <w:t xml:space="preserve"> w </w:t>
            </w:r>
            <w:r w:rsidRPr="00875DBE">
              <w:t>postaci różnego rodzaju ostrzeżeń</w:t>
            </w:r>
            <w:r w:rsidR="00E32125" w:rsidRPr="00875DBE">
              <w:t xml:space="preserve"> i </w:t>
            </w:r>
            <w:r w:rsidRPr="00875DBE">
              <w:t>środków reaktywnych.</w:t>
            </w:r>
            <w:r w:rsidR="00E32125" w:rsidRPr="00875DBE">
              <w:t xml:space="preserve"> </w:t>
            </w:r>
            <w:r w:rsidR="006A049F" w:rsidRPr="00875DBE">
              <w:t>W</w:t>
            </w:r>
            <w:r w:rsidR="00E32125" w:rsidRPr="00875DBE">
              <w:t> </w:t>
            </w:r>
            <w:r w:rsidRPr="00875DBE">
              <w:t>ramach środków reaktywnych Agencja może nakazać dostawcy usług zastosowanie określonych środków, określonych</w:t>
            </w:r>
            <w:r w:rsidR="00E32125" w:rsidRPr="00875DBE">
              <w:t xml:space="preserve"> w </w:t>
            </w:r>
            <w:r w:rsidRPr="00875DBE">
              <w:t>sposób ogólny,</w:t>
            </w:r>
            <w:r w:rsidR="00E32125" w:rsidRPr="00875DBE">
              <w:t xml:space="preserve"> w </w:t>
            </w:r>
            <w:r w:rsidRPr="00875DBE">
              <w:t>drodze decyzji. Taki środek jest podawany do wiadomości publicznej, a</w:t>
            </w:r>
            <w:r w:rsidR="007B510C">
              <w:t> </w:t>
            </w:r>
            <w:r w:rsidRPr="00875DBE">
              <w:t>ponadto Agencja informuje o nim podmioty</w:t>
            </w:r>
            <w:r w:rsidR="006A049F" w:rsidRPr="00875DBE">
              <w:t>,</w:t>
            </w:r>
            <w:r w:rsidRPr="00875DBE">
              <w:t xml:space="preserve"> do których jest skierowany. Środek obowiązuje od chwili jego ogłoszenia. </w:t>
            </w:r>
          </w:p>
          <w:p w14:paraId="4258AE2A" w14:textId="77777777" w:rsidR="00981554" w:rsidRPr="00875DBE" w:rsidRDefault="00981554" w:rsidP="00840807">
            <w:pPr>
              <w:ind w:right="118"/>
            </w:pPr>
            <w:r w:rsidRPr="00875DBE">
              <w:t xml:space="preserve">Projekt przewiduje również wyłączenie stosowania przepisów o dostępie do informacji publicznej do informacji, których ujawnienie mogłoby utrudnić zapewnianie </w:t>
            </w:r>
            <w:proofErr w:type="spellStart"/>
            <w:r w:rsidRPr="00875DBE">
              <w:t>cyberbezpieczeństwa</w:t>
            </w:r>
            <w:proofErr w:type="spellEnd"/>
            <w:r w:rsidRPr="00875DBE">
              <w:t xml:space="preserve"> lub zmniejszać efektywność środków zaradczych. </w:t>
            </w:r>
          </w:p>
          <w:p w14:paraId="5F1E4FEE" w14:textId="05DBEF4F" w:rsidR="00981554" w:rsidRPr="00875DBE" w:rsidRDefault="00981554" w:rsidP="00840807">
            <w:pPr>
              <w:ind w:right="118"/>
            </w:pPr>
            <w:r w:rsidRPr="00875DBE">
              <w:t>Ustawa definiuj</w:t>
            </w:r>
            <w:r w:rsidR="00440664" w:rsidRPr="00875DBE">
              <w:t>e</w:t>
            </w:r>
            <w:r w:rsidRPr="00875DBE">
              <w:t xml:space="preserve"> strategicznie ważne sektory. W odniesieniu do podmiotów</w:t>
            </w:r>
            <w:r w:rsidR="00440664" w:rsidRPr="00875DBE">
              <w:t>,</w:t>
            </w:r>
            <w:r w:rsidR="00E32125" w:rsidRPr="00875DBE">
              <w:t xml:space="preserve"> w </w:t>
            </w:r>
            <w:r w:rsidRPr="00875DBE">
              <w:t>tych sektorach</w:t>
            </w:r>
            <w:r w:rsidR="00440664" w:rsidRPr="00875DBE">
              <w:t xml:space="preserve">, </w:t>
            </w:r>
            <w:r w:rsidRPr="00875DBE">
              <w:t>Agencja może ustanowić dodatkowe warunki dotyczące dostawców sprzętu</w:t>
            </w:r>
            <w:r w:rsidR="00E32125" w:rsidRPr="00875DBE">
              <w:t xml:space="preserve"> i </w:t>
            </w:r>
            <w:r w:rsidRPr="00875DBE">
              <w:t>usług oraz zakazać stosowania sprzętu określonego dostawcy</w:t>
            </w:r>
            <w:r w:rsidR="00440664" w:rsidRPr="00875DBE">
              <w:t>,</w:t>
            </w:r>
            <w:r w:rsidRPr="00875DBE">
              <w:t xml:space="preserve"> jeśli stwierdzono, że</w:t>
            </w:r>
            <w:r w:rsidR="00E32125" w:rsidRPr="00875DBE">
              <w:t xml:space="preserve"> w </w:t>
            </w:r>
            <w:r w:rsidRPr="00875DBE">
              <w:t xml:space="preserve">oparciu o kryteria ryzyka dostawców występuje znaczne zagrożenia dla bezpieczeństwa państwa, porządku wewnętrznego lub porządku publicznego. </w:t>
            </w:r>
          </w:p>
          <w:p w14:paraId="28ED5306" w14:textId="7426779E" w:rsidR="00981554" w:rsidRPr="00875DBE" w:rsidRDefault="00981554" w:rsidP="00840807">
            <w:pPr>
              <w:ind w:right="118"/>
            </w:pPr>
            <w:r w:rsidRPr="00875DBE">
              <w:t xml:space="preserve">Przewidziany został również specyficzny stan nadzwyczajny – stan </w:t>
            </w:r>
            <w:proofErr w:type="spellStart"/>
            <w:r w:rsidRPr="00875DBE">
              <w:t>cyberzagrożenia</w:t>
            </w:r>
            <w:proofErr w:type="spellEnd"/>
            <w:r w:rsidRPr="00875DBE">
              <w:t>.</w:t>
            </w:r>
            <w:r w:rsidR="00E32125" w:rsidRPr="00875DBE">
              <w:t xml:space="preserve"> </w:t>
            </w:r>
            <w:r w:rsidR="006A049F" w:rsidRPr="00875DBE">
              <w:t>W</w:t>
            </w:r>
            <w:r w:rsidR="00E32125" w:rsidRPr="00875DBE">
              <w:t> </w:t>
            </w:r>
            <w:r w:rsidRPr="00875DBE">
              <w:t>czasie jego trwania Agencja może wydawać rozstrzygnięcia</w:t>
            </w:r>
            <w:r w:rsidR="00E32125" w:rsidRPr="00875DBE">
              <w:t xml:space="preserve"> z </w:t>
            </w:r>
            <w:r w:rsidRPr="00875DBE">
              <w:t>pominięciem przepisów o postępowaniu administracyjnym.</w:t>
            </w:r>
            <w:r w:rsidR="00E32125" w:rsidRPr="00875DBE">
              <w:t xml:space="preserve"> </w:t>
            </w:r>
            <w:r w:rsidR="006A049F" w:rsidRPr="00875DBE">
              <w:t>W</w:t>
            </w:r>
            <w:r w:rsidR="00E32125" w:rsidRPr="00875DBE">
              <w:t> </w:t>
            </w:r>
            <w:r w:rsidRPr="00875DBE">
              <w:t>ramach tych rozstrzygnięć może np. zakazać stosowania określonego sprzętu przez organy administracji czy zobowiązać określone podmioty publiczne do udzielenia pomocy.</w:t>
            </w:r>
          </w:p>
          <w:p w14:paraId="3396E6CC" w14:textId="02C7D858" w:rsidR="00981554" w:rsidRPr="00875DBE" w:rsidRDefault="00981554" w:rsidP="00840807">
            <w:pPr>
              <w:ind w:right="118"/>
            </w:pPr>
            <w:r w:rsidRPr="00875DBE">
              <w:t xml:space="preserve">Należy zauważyć, że wszystkie projekty przewidują </w:t>
            </w:r>
            <w:r w:rsidR="00440664" w:rsidRPr="00875DBE">
              <w:t>pewną</w:t>
            </w:r>
            <w:r w:rsidRPr="00875DBE">
              <w:t xml:space="preserve"> formę samoidentyfikacji podmiotów kluczowych</w:t>
            </w:r>
            <w:r w:rsidR="00A817B7" w:rsidRPr="00875DBE">
              <w:t xml:space="preserve"> i</w:t>
            </w:r>
            <w:r w:rsidR="007B510C">
              <w:t> </w:t>
            </w:r>
            <w:r w:rsidR="00A817B7" w:rsidRPr="00875DBE">
              <w:t>podmiotów ważnych</w:t>
            </w:r>
            <w:r w:rsidR="00440664" w:rsidRPr="00875DBE">
              <w:t>,</w:t>
            </w:r>
            <w:r w:rsidRPr="00875DBE">
              <w:t xml:space="preserve"> o których mówi dyrektywa NIS</w:t>
            </w:r>
            <w:r w:rsidR="00440664" w:rsidRPr="00875DBE">
              <w:t xml:space="preserve"> </w:t>
            </w:r>
            <w:r w:rsidRPr="00875DBE">
              <w:t xml:space="preserve">2. </w:t>
            </w:r>
          </w:p>
          <w:p w14:paraId="52D0DD76" w14:textId="612D7904" w:rsidR="00A91530" w:rsidRPr="00875DBE" w:rsidRDefault="00A91530" w:rsidP="00840807">
            <w:pPr>
              <w:spacing w:after="60"/>
              <w:ind w:right="118"/>
              <w:rPr>
                <w:b/>
                <w:spacing w:val="-2"/>
              </w:rPr>
            </w:pPr>
            <w:r w:rsidRPr="00875DBE">
              <w:rPr>
                <w:b/>
                <w:spacing w:val="-2"/>
              </w:rPr>
              <w:t>Analiza</w:t>
            </w:r>
            <w:r w:rsidR="00E32125" w:rsidRPr="00875DBE">
              <w:rPr>
                <w:b/>
                <w:spacing w:val="-2"/>
              </w:rPr>
              <w:t xml:space="preserve"> w </w:t>
            </w:r>
            <w:r w:rsidRPr="00875DBE">
              <w:rPr>
                <w:b/>
                <w:spacing w:val="-2"/>
              </w:rPr>
              <w:t>zakresie środków reagowania na incydenty krytyczne</w:t>
            </w:r>
          </w:p>
          <w:p w14:paraId="31CCE125" w14:textId="77777777" w:rsidR="00A91530" w:rsidRPr="00875DBE" w:rsidRDefault="00A91530" w:rsidP="00840807">
            <w:pPr>
              <w:spacing w:after="60"/>
              <w:ind w:right="118"/>
              <w:rPr>
                <w:spacing w:val="-2"/>
              </w:rPr>
            </w:pPr>
            <w:r w:rsidRPr="00875DBE">
              <w:rPr>
                <w:b/>
                <w:bCs/>
                <w:spacing w:val="-2"/>
              </w:rPr>
              <w:t>Czechy</w:t>
            </w:r>
          </w:p>
          <w:p w14:paraId="622C0A76" w14:textId="1F11B1D5" w:rsidR="00A91530" w:rsidRPr="00875DBE" w:rsidRDefault="00A91530" w:rsidP="00840807">
            <w:pPr>
              <w:spacing w:after="60"/>
              <w:ind w:right="118"/>
              <w:rPr>
                <w:spacing w:val="-2"/>
              </w:rPr>
            </w:pPr>
            <w:r w:rsidRPr="00875DBE">
              <w:rPr>
                <w:spacing w:val="-2"/>
              </w:rPr>
              <w:t>Czeska</w:t>
            </w:r>
            <w:r w:rsidR="007B510C">
              <w:rPr>
                <w:spacing w:val="-2"/>
              </w:rPr>
              <w:t xml:space="preserve"> A</w:t>
            </w:r>
            <w:r w:rsidR="000F1302" w:rsidRPr="00875DBE">
              <w:rPr>
                <w:spacing w:val="-2"/>
              </w:rPr>
              <w:t>g</w:t>
            </w:r>
            <w:r w:rsidRPr="00875DBE">
              <w:rPr>
                <w:spacing w:val="-2"/>
              </w:rPr>
              <w:t xml:space="preserve">encja ds. </w:t>
            </w:r>
            <w:proofErr w:type="spellStart"/>
            <w:r w:rsidRPr="00875DBE">
              <w:rPr>
                <w:spacing w:val="-2"/>
              </w:rPr>
              <w:t>cyberbezpieczeństwa</w:t>
            </w:r>
            <w:proofErr w:type="spellEnd"/>
            <w:r w:rsidRPr="00875DBE">
              <w:rPr>
                <w:spacing w:val="-2"/>
              </w:rPr>
              <w:t xml:space="preserve"> NUKIB na podstawie sekcji 12 (1) ustawy o </w:t>
            </w:r>
            <w:proofErr w:type="spellStart"/>
            <w:r w:rsidRPr="00875DBE">
              <w:rPr>
                <w:spacing w:val="-2"/>
              </w:rPr>
              <w:t>cyberbezpieczeństwie</w:t>
            </w:r>
            <w:proofErr w:type="spellEnd"/>
            <w:r w:rsidRPr="00875DBE">
              <w:rPr>
                <w:rStyle w:val="Odwoanieprzypisudolnego"/>
                <w:spacing w:val="-2"/>
              </w:rPr>
              <w:footnoteReference w:id="4"/>
            </w:r>
            <w:r w:rsidRPr="00875DBE">
              <w:rPr>
                <w:spacing w:val="-2"/>
                <w:vertAlign w:val="superscript"/>
              </w:rPr>
              <w:t>)</w:t>
            </w:r>
            <w:r w:rsidRPr="00875DBE">
              <w:rPr>
                <w:spacing w:val="-2"/>
              </w:rPr>
              <w:t>, może wydawać ostrzeżenia do podmiotów. Ostrzeżenia wydawane są</w:t>
            </w:r>
            <w:r w:rsidR="00E32125" w:rsidRPr="00875DBE">
              <w:rPr>
                <w:spacing w:val="-2"/>
              </w:rPr>
              <w:t xml:space="preserve"> w </w:t>
            </w:r>
            <w:r w:rsidRPr="00875DBE">
              <w:rPr>
                <w:spacing w:val="-2"/>
              </w:rPr>
              <w:t xml:space="preserve">przypadku wysokiego prawdopodobieństwa wystąpienia sytuacji kryzysowej, która może mieć krytyczne znaczenie dla bezpieczeństwa państwa. Ostrzeżenie zawiera także listę rekomendowanych działań, które podmioty powinny wdrożyć celem ograniczenia </w:t>
            </w:r>
            <w:proofErr w:type="spellStart"/>
            <w:r w:rsidRPr="00875DBE">
              <w:rPr>
                <w:spacing w:val="-2"/>
              </w:rPr>
              <w:t>ryzyk</w:t>
            </w:r>
            <w:proofErr w:type="spellEnd"/>
            <w:r w:rsidRPr="00875DBE">
              <w:rPr>
                <w:spacing w:val="-2"/>
              </w:rPr>
              <w:t xml:space="preserve"> związanych</w:t>
            </w:r>
            <w:r w:rsidR="00E32125" w:rsidRPr="00875DBE">
              <w:rPr>
                <w:spacing w:val="-2"/>
              </w:rPr>
              <w:t xml:space="preserve"> z </w:t>
            </w:r>
            <w:r w:rsidRPr="00875DBE">
              <w:rPr>
                <w:spacing w:val="-2"/>
              </w:rPr>
              <w:t xml:space="preserve">sytuacją kryzysową. Przykłady rekomendacji: zwrócenie uwagi na określony typ </w:t>
            </w:r>
            <w:r w:rsidR="007B510C">
              <w:rPr>
                <w:spacing w:val="-2"/>
              </w:rPr>
              <w:t>cyb</w:t>
            </w:r>
            <w:r w:rsidRPr="00875DBE">
              <w:rPr>
                <w:spacing w:val="-2"/>
              </w:rPr>
              <w:t xml:space="preserve">erataków np. </w:t>
            </w:r>
            <w:proofErr w:type="spellStart"/>
            <w:r w:rsidRPr="00875DBE">
              <w:rPr>
                <w:spacing w:val="-2"/>
              </w:rPr>
              <w:t>spear-phishingów</w:t>
            </w:r>
            <w:proofErr w:type="spellEnd"/>
            <w:r w:rsidRPr="00875DBE">
              <w:rPr>
                <w:spacing w:val="-2"/>
              </w:rPr>
              <w:t>, potrzebie zablokowania dostępu do swojej infrastruktury IT, pilnej konieczności dokonania aktualizacji oprogramowania, czy też zwrócenie szczególnej uwagi na wskazane</w:t>
            </w:r>
            <w:r w:rsidR="00E32125" w:rsidRPr="00875DBE">
              <w:rPr>
                <w:spacing w:val="-2"/>
              </w:rPr>
              <w:t xml:space="preserve"> w </w:t>
            </w:r>
            <w:r w:rsidRPr="00875DBE">
              <w:rPr>
                <w:spacing w:val="-2"/>
              </w:rPr>
              <w:t>ostrzeżeniu domeny. Przykładem takiego ostrzeżenia jest dokument wydany 16 kwietnia 2020 r. znak 2066/2020-NÚKIB-E/350</w:t>
            </w:r>
            <w:r w:rsidR="00EC2110" w:rsidRPr="00875DBE">
              <w:rPr>
                <w:spacing w:val="-2"/>
              </w:rPr>
              <w:t>.</w:t>
            </w:r>
            <w:r w:rsidRPr="00875DBE">
              <w:rPr>
                <w:spacing w:val="-2"/>
              </w:rPr>
              <w:t xml:space="preserve"> </w:t>
            </w:r>
            <w:r w:rsidR="00EC2110" w:rsidRPr="00875DBE">
              <w:rPr>
                <w:spacing w:val="-2"/>
              </w:rPr>
              <w:t>N</w:t>
            </w:r>
            <w:r w:rsidRPr="00875DBE">
              <w:rPr>
                <w:spacing w:val="-2"/>
              </w:rPr>
              <w:t>a podstawie analizy możliwych zagrożeń</w:t>
            </w:r>
            <w:r w:rsidR="00861A0F" w:rsidRPr="00875DBE">
              <w:rPr>
                <w:spacing w:val="-2"/>
              </w:rPr>
              <w:t xml:space="preserve"> </w:t>
            </w:r>
            <w:r w:rsidR="00EC2110" w:rsidRPr="00875DBE">
              <w:rPr>
                <w:spacing w:val="-2"/>
              </w:rPr>
              <w:t>NUKIB</w:t>
            </w:r>
            <w:r w:rsidRPr="00875DBE">
              <w:rPr>
                <w:spacing w:val="-2"/>
              </w:rPr>
              <w:t xml:space="preserve"> wydał ostrzeżenie dla całego państwa, ze szczególnym naciskiem na sektor ochrony zdrowia</w:t>
            </w:r>
            <w:r w:rsidRPr="00875DBE">
              <w:rPr>
                <w:rStyle w:val="Odwoanieprzypisudolnego"/>
                <w:spacing w:val="-2"/>
              </w:rPr>
              <w:footnoteReference w:id="5"/>
            </w:r>
            <w:r w:rsidRPr="00875DBE">
              <w:rPr>
                <w:spacing w:val="-2"/>
                <w:vertAlign w:val="superscript"/>
              </w:rPr>
              <w:t>)</w:t>
            </w:r>
            <w:r w:rsidRPr="00875DBE">
              <w:rPr>
                <w:spacing w:val="-2"/>
              </w:rPr>
              <w:t>. Innym przykładem jest ostrzeżenie NUKIB</w:t>
            </w:r>
            <w:r w:rsidR="00E32125" w:rsidRPr="00875DBE">
              <w:rPr>
                <w:spacing w:val="-2"/>
              </w:rPr>
              <w:t xml:space="preserve"> z </w:t>
            </w:r>
            <w:r w:rsidRPr="00875DBE">
              <w:rPr>
                <w:spacing w:val="-2"/>
              </w:rPr>
              <w:t xml:space="preserve">25 lutego 2022 r. znak 2384/2022-NÚKIB-E/350 wskazujące na </w:t>
            </w:r>
            <w:proofErr w:type="spellStart"/>
            <w:r w:rsidRPr="00875DBE">
              <w:rPr>
                <w:spacing w:val="-2"/>
              </w:rPr>
              <w:t>cyberzagrożenia</w:t>
            </w:r>
            <w:proofErr w:type="spellEnd"/>
            <w:r w:rsidRPr="00875DBE">
              <w:rPr>
                <w:spacing w:val="-2"/>
              </w:rPr>
              <w:t xml:space="preserve"> o charakterze krytycznym, któr</w:t>
            </w:r>
            <w:r w:rsidR="00DD2EFB" w:rsidRPr="00875DBE">
              <w:rPr>
                <w:spacing w:val="-2"/>
              </w:rPr>
              <w:t>ego</w:t>
            </w:r>
            <w:r w:rsidRPr="00875DBE">
              <w:rPr>
                <w:spacing w:val="-2"/>
              </w:rPr>
              <w:t xml:space="preserve"> wystąpienie</w:t>
            </w:r>
            <w:r w:rsidR="00E32125" w:rsidRPr="00875DBE">
              <w:rPr>
                <w:spacing w:val="-2"/>
              </w:rPr>
              <w:t xml:space="preserve"> w </w:t>
            </w:r>
            <w:r w:rsidRPr="00875DBE">
              <w:rPr>
                <w:spacing w:val="-2"/>
              </w:rPr>
              <w:t>systemach czeskiej administracji publicznej czy innych organizacji strategicznych jest bardzo prawdopodobne</w:t>
            </w:r>
            <w:r w:rsidRPr="00875DBE">
              <w:rPr>
                <w:rStyle w:val="Odwoanieprzypisudolnego"/>
                <w:spacing w:val="-2"/>
              </w:rPr>
              <w:footnoteReference w:id="6"/>
            </w:r>
            <w:r w:rsidRPr="00875DBE">
              <w:rPr>
                <w:spacing w:val="-2"/>
                <w:vertAlign w:val="superscript"/>
              </w:rPr>
              <w:t>)</w:t>
            </w:r>
            <w:r w:rsidRPr="00875DBE">
              <w:rPr>
                <w:spacing w:val="-2"/>
              </w:rPr>
              <w:t>.</w:t>
            </w:r>
          </w:p>
          <w:p w14:paraId="4E9A45E8" w14:textId="77777777" w:rsidR="00A91530" w:rsidRPr="00875DBE" w:rsidRDefault="00A91530" w:rsidP="00840807">
            <w:pPr>
              <w:spacing w:after="60"/>
              <w:ind w:right="118"/>
              <w:rPr>
                <w:spacing w:val="-2"/>
              </w:rPr>
            </w:pPr>
            <w:r w:rsidRPr="00875DBE">
              <w:rPr>
                <w:b/>
                <w:bCs/>
                <w:spacing w:val="-2"/>
              </w:rPr>
              <w:t>Niemcy</w:t>
            </w:r>
          </w:p>
          <w:p w14:paraId="40AF30DE" w14:textId="5568C1BC" w:rsidR="00A91530" w:rsidRPr="00875DBE" w:rsidRDefault="00A91530" w:rsidP="00840807">
            <w:pPr>
              <w:spacing w:after="60"/>
              <w:ind w:right="118"/>
              <w:rPr>
                <w:spacing w:val="-2"/>
              </w:rPr>
            </w:pPr>
            <w:r w:rsidRPr="00875DBE">
              <w:rPr>
                <w:spacing w:val="-2"/>
              </w:rPr>
              <w:t>Niemiecki Federalny Urząd Bezpieczeństwa Teleinformatycznego (</w:t>
            </w:r>
            <w:proofErr w:type="spellStart"/>
            <w:r w:rsidRPr="00875DBE">
              <w:rPr>
                <w:spacing w:val="-2"/>
              </w:rPr>
              <w:t>Bundesamt</w:t>
            </w:r>
            <w:proofErr w:type="spellEnd"/>
            <w:r w:rsidRPr="00875DBE">
              <w:rPr>
                <w:spacing w:val="-2"/>
              </w:rPr>
              <w:t xml:space="preserve"> </w:t>
            </w:r>
            <w:proofErr w:type="spellStart"/>
            <w:r w:rsidRPr="00875DBE">
              <w:rPr>
                <w:spacing w:val="-2"/>
              </w:rPr>
              <w:t>für</w:t>
            </w:r>
            <w:proofErr w:type="spellEnd"/>
            <w:r w:rsidRPr="00875DBE">
              <w:rPr>
                <w:spacing w:val="-2"/>
              </w:rPr>
              <w:t xml:space="preserve">. </w:t>
            </w:r>
            <w:proofErr w:type="spellStart"/>
            <w:r w:rsidRPr="00875DBE">
              <w:rPr>
                <w:spacing w:val="-2"/>
              </w:rPr>
              <w:t>Sicherheit</w:t>
            </w:r>
            <w:proofErr w:type="spellEnd"/>
            <w:r w:rsidRPr="00875DBE">
              <w:rPr>
                <w:spacing w:val="-2"/>
              </w:rPr>
              <w:t xml:space="preserve"> in der </w:t>
            </w:r>
            <w:proofErr w:type="spellStart"/>
            <w:r w:rsidRPr="00875DBE">
              <w:rPr>
                <w:spacing w:val="-2"/>
              </w:rPr>
              <w:t>Informationstechnik</w:t>
            </w:r>
            <w:proofErr w:type="spellEnd"/>
            <w:r w:rsidRPr="00875DBE">
              <w:rPr>
                <w:spacing w:val="-2"/>
              </w:rPr>
              <w:t xml:space="preserve"> – BSI) może, na podstawie § 7 BSI-</w:t>
            </w:r>
            <w:proofErr w:type="spellStart"/>
            <w:r w:rsidRPr="00875DBE">
              <w:rPr>
                <w:spacing w:val="-2"/>
              </w:rPr>
              <w:t>Gesetz</w:t>
            </w:r>
            <w:proofErr w:type="spellEnd"/>
            <w:r w:rsidRPr="00875DBE">
              <w:rPr>
                <w:rStyle w:val="Odwoanieprzypisudolnego"/>
                <w:spacing w:val="-2"/>
              </w:rPr>
              <w:footnoteReference w:id="7"/>
            </w:r>
            <w:r w:rsidRPr="00875DBE">
              <w:rPr>
                <w:spacing w:val="-2"/>
                <w:vertAlign w:val="superscript"/>
              </w:rPr>
              <w:t>)</w:t>
            </w:r>
            <w:r w:rsidRPr="00875DBE">
              <w:rPr>
                <w:spacing w:val="-2"/>
              </w:rPr>
              <w:t> ogłaszać ostrzeżenia o</w:t>
            </w:r>
            <w:r w:rsidR="00DD2EFB" w:rsidRPr="00875DBE">
              <w:rPr>
                <w:spacing w:val="-2"/>
              </w:rPr>
              <w:t xml:space="preserve">: </w:t>
            </w:r>
            <w:r w:rsidRPr="00875DBE">
              <w:rPr>
                <w:spacing w:val="-2"/>
              </w:rPr>
              <w:t>podatnościach</w:t>
            </w:r>
            <w:r w:rsidR="00E32125" w:rsidRPr="00875DBE">
              <w:rPr>
                <w:spacing w:val="-2"/>
              </w:rPr>
              <w:t xml:space="preserve"> w </w:t>
            </w:r>
            <w:r w:rsidRPr="00875DBE">
              <w:rPr>
                <w:spacing w:val="-2"/>
              </w:rPr>
              <w:t>produktach</w:t>
            </w:r>
            <w:r w:rsidR="00E32125" w:rsidRPr="00875DBE">
              <w:rPr>
                <w:spacing w:val="-2"/>
              </w:rPr>
              <w:t xml:space="preserve"> </w:t>
            </w:r>
            <w:r w:rsidR="00E32125" w:rsidRPr="00875DBE">
              <w:rPr>
                <w:spacing w:val="-2"/>
              </w:rPr>
              <w:lastRenderedPageBreak/>
              <w:t>i </w:t>
            </w:r>
            <w:r w:rsidRPr="00875DBE">
              <w:rPr>
                <w:spacing w:val="-2"/>
              </w:rPr>
              <w:t>usługach informatycznych,</w:t>
            </w:r>
            <w:r w:rsidR="00983DAB" w:rsidRPr="00875DBE">
              <w:rPr>
                <w:spacing w:val="-2"/>
              </w:rPr>
              <w:t xml:space="preserve"> </w:t>
            </w:r>
            <w:r w:rsidRPr="00875DBE">
              <w:rPr>
                <w:spacing w:val="-2"/>
              </w:rPr>
              <w:t>złośliwym oprogramowaniu,</w:t>
            </w:r>
            <w:r w:rsidR="00DD2EFB" w:rsidRPr="00875DBE">
              <w:rPr>
                <w:spacing w:val="-2"/>
              </w:rPr>
              <w:t xml:space="preserve"> </w:t>
            </w:r>
            <w:r w:rsidRPr="00875DBE">
              <w:rPr>
                <w:spacing w:val="-2"/>
              </w:rPr>
              <w:t>utracie lub nieautoryzowanym dostępie do danych</w:t>
            </w:r>
            <w:r w:rsidR="00983DAB" w:rsidRPr="00875DBE">
              <w:rPr>
                <w:spacing w:val="-2"/>
              </w:rPr>
              <w:t xml:space="preserve">, </w:t>
            </w:r>
            <w:r w:rsidRPr="00875DBE">
              <w:rPr>
                <w:spacing w:val="-2"/>
              </w:rPr>
              <w:t>a także zalecać środki bezpieczeństwa.</w:t>
            </w:r>
          </w:p>
          <w:p w14:paraId="1BF297A2" w14:textId="77777777" w:rsidR="00A91530" w:rsidRPr="00875DBE" w:rsidRDefault="00A91530" w:rsidP="00840807">
            <w:pPr>
              <w:spacing w:after="60"/>
              <w:ind w:right="118"/>
              <w:rPr>
                <w:spacing w:val="-2"/>
              </w:rPr>
            </w:pPr>
            <w:r w:rsidRPr="00875DBE">
              <w:rPr>
                <w:b/>
                <w:bCs/>
                <w:spacing w:val="-2"/>
              </w:rPr>
              <w:t>Włochy</w:t>
            </w:r>
          </w:p>
          <w:p w14:paraId="5CA4A71B" w14:textId="77777777" w:rsidR="006A701A" w:rsidRDefault="00A91530" w:rsidP="00840807">
            <w:pPr>
              <w:spacing w:after="60"/>
              <w:ind w:right="118"/>
              <w:rPr>
                <w:spacing w:val="-2"/>
              </w:rPr>
            </w:pPr>
            <w:r w:rsidRPr="00875DBE">
              <w:rPr>
                <w:spacing w:val="-2"/>
              </w:rPr>
              <w:t>We Włoszech dekret nr 105</w:t>
            </w:r>
            <w:r w:rsidR="00E32125" w:rsidRPr="00875DBE">
              <w:rPr>
                <w:spacing w:val="-2"/>
              </w:rPr>
              <w:t xml:space="preserve"> z </w:t>
            </w:r>
            <w:r w:rsidRPr="00875DBE">
              <w:rPr>
                <w:spacing w:val="-2"/>
              </w:rPr>
              <w:t>21 września 2019 r.</w:t>
            </w:r>
            <w:r w:rsidRPr="00875DBE">
              <w:rPr>
                <w:rStyle w:val="Odwoanieprzypisudolnego"/>
                <w:spacing w:val="-2"/>
              </w:rPr>
              <w:footnoteReference w:id="8"/>
            </w:r>
            <w:r w:rsidRPr="00875DBE">
              <w:rPr>
                <w:spacing w:val="-2"/>
                <w:vertAlign w:val="superscript"/>
              </w:rPr>
              <w:t>)</w:t>
            </w:r>
            <w:r w:rsidRPr="00875DBE">
              <w:rPr>
                <w:spacing w:val="-2"/>
              </w:rPr>
              <w:t> uprawnia Prezesa Rady Ministrów do nakazania całkowitego lub częściowego wycofania</w:t>
            </w:r>
            <w:r w:rsidR="00E32125" w:rsidRPr="00875DBE">
              <w:rPr>
                <w:spacing w:val="-2"/>
              </w:rPr>
              <w:t xml:space="preserve"> z </w:t>
            </w:r>
            <w:r w:rsidRPr="00875DBE">
              <w:rPr>
                <w:spacing w:val="-2"/>
              </w:rPr>
              <w:t>eksploatacji jednego lub więcej urządzeń lub produktów,</w:t>
            </w:r>
            <w:r w:rsidR="00E32125" w:rsidRPr="00875DBE">
              <w:rPr>
                <w:spacing w:val="-2"/>
              </w:rPr>
              <w:t xml:space="preserve"> w </w:t>
            </w:r>
            <w:r w:rsidRPr="00875DBE">
              <w:rPr>
                <w:spacing w:val="-2"/>
              </w:rPr>
              <w:t>sytuacji poważnego</w:t>
            </w:r>
            <w:r w:rsidR="00E32125" w:rsidRPr="00875DBE">
              <w:rPr>
                <w:spacing w:val="-2"/>
              </w:rPr>
              <w:t xml:space="preserve"> i </w:t>
            </w:r>
            <w:r w:rsidRPr="00875DBE">
              <w:rPr>
                <w:spacing w:val="-2"/>
              </w:rPr>
              <w:t>bezpośredniego zagrożenia bezpieczeństwa narodowego związanego</w:t>
            </w:r>
            <w:r w:rsidR="00E32125" w:rsidRPr="00875DBE">
              <w:rPr>
                <w:spacing w:val="-2"/>
              </w:rPr>
              <w:t xml:space="preserve"> z </w:t>
            </w:r>
            <w:r w:rsidRPr="00875DBE">
              <w:rPr>
                <w:spacing w:val="-2"/>
              </w:rPr>
              <w:t>podatnościami występującymi</w:t>
            </w:r>
            <w:r w:rsidR="00E32125" w:rsidRPr="00875DBE">
              <w:rPr>
                <w:spacing w:val="-2"/>
              </w:rPr>
              <w:t xml:space="preserve"> w </w:t>
            </w:r>
            <w:r w:rsidRPr="00875DBE">
              <w:rPr>
                <w:spacing w:val="-2"/>
              </w:rPr>
              <w:t>sieciach, systemach</w:t>
            </w:r>
            <w:r w:rsidR="00E32125" w:rsidRPr="00875DBE">
              <w:rPr>
                <w:spacing w:val="-2"/>
              </w:rPr>
              <w:t xml:space="preserve"> i </w:t>
            </w:r>
            <w:r w:rsidRPr="00875DBE">
              <w:rPr>
                <w:spacing w:val="-2"/>
              </w:rPr>
              <w:t>usługach. Środek ten może być stosowany, jeżeli zagrożenia nie można uniknąć</w:t>
            </w:r>
            <w:r w:rsidR="00E32125" w:rsidRPr="00875DBE">
              <w:rPr>
                <w:spacing w:val="-2"/>
              </w:rPr>
              <w:t xml:space="preserve"> w </w:t>
            </w:r>
            <w:r w:rsidRPr="00875DBE">
              <w:rPr>
                <w:spacing w:val="-2"/>
              </w:rPr>
              <w:t>inny sposób</w:t>
            </w:r>
            <w:r w:rsidR="00E32125" w:rsidRPr="00875DBE">
              <w:rPr>
                <w:spacing w:val="-2"/>
              </w:rPr>
              <w:t xml:space="preserve"> i </w:t>
            </w:r>
            <w:r w:rsidRPr="00875DBE">
              <w:rPr>
                <w:spacing w:val="-2"/>
              </w:rPr>
              <w:t>tylko przez czas ściśle niezbędny do wyeliminowania lub ograniczenia konkretnego ryzyka.</w:t>
            </w:r>
          </w:p>
          <w:p w14:paraId="780F9EF8" w14:textId="77777777" w:rsidR="000D2EEF" w:rsidRDefault="000D2EEF" w:rsidP="00840807">
            <w:pPr>
              <w:spacing w:after="60"/>
              <w:ind w:right="118"/>
              <w:rPr>
                <w:spacing w:val="-2"/>
              </w:rPr>
            </w:pPr>
          </w:p>
          <w:p w14:paraId="1E040E24" w14:textId="77777777" w:rsidR="000D2EEF" w:rsidRPr="006148BE" w:rsidRDefault="000D2EEF" w:rsidP="00840807">
            <w:pPr>
              <w:spacing w:after="60"/>
              <w:ind w:right="118"/>
              <w:rPr>
                <w:b/>
                <w:bCs/>
                <w:spacing w:val="-2"/>
              </w:rPr>
            </w:pPr>
            <w:r w:rsidRPr="006148BE">
              <w:rPr>
                <w:b/>
                <w:bCs/>
                <w:spacing w:val="-2"/>
              </w:rPr>
              <w:t>Analiza w zakresie dostawców wysokiego ryzyka</w:t>
            </w:r>
          </w:p>
          <w:p w14:paraId="5CDCC44C" w14:textId="6287ECC6" w:rsidR="000D2EEF" w:rsidRDefault="000D2EEF" w:rsidP="00840807">
            <w:pPr>
              <w:spacing w:after="60"/>
              <w:ind w:right="118"/>
              <w:rPr>
                <w:spacing w:val="-2"/>
              </w:rPr>
            </w:pPr>
            <w:r>
              <w:rPr>
                <w:spacing w:val="-2"/>
              </w:rPr>
              <w:t xml:space="preserve">Projektodawca przy projektowaniu przepisów prawa dotyczących uznania dostawców sprzętu lub oprogramowania za dostawców wysokiego ryzyka – czyli wdrożenia zaleceń z tzw. 5G </w:t>
            </w:r>
            <w:proofErr w:type="spellStart"/>
            <w:r>
              <w:rPr>
                <w:spacing w:val="-2"/>
              </w:rPr>
              <w:t>Toolbox</w:t>
            </w:r>
            <w:proofErr w:type="spellEnd"/>
            <w:r>
              <w:rPr>
                <w:spacing w:val="-2"/>
              </w:rPr>
              <w:t xml:space="preserve">, dokonał analizy porównawczej rozwiązań prawno-organizacyjnych zaimplementowanych lub zaproponowanych mechanizmów. Wyniki analizy zostały zaprezentowane w załączniku </w:t>
            </w:r>
            <w:r w:rsidR="000E58F4">
              <w:rPr>
                <w:spacing w:val="-2"/>
              </w:rPr>
              <w:t xml:space="preserve">nr 1 </w:t>
            </w:r>
            <w:r>
              <w:rPr>
                <w:spacing w:val="-2"/>
              </w:rPr>
              <w:t xml:space="preserve">do OSR  </w:t>
            </w:r>
            <w:r>
              <w:rPr>
                <w:i/>
                <w:spacing w:val="-2"/>
              </w:rPr>
              <w:t xml:space="preserve">Dostawca wysokiego ryzyka (high </w:t>
            </w:r>
            <w:proofErr w:type="spellStart"/>
            <w:r>
              <w:rPr>
                <w:i/>
                <w:spacing w:val="-2"/>
              </w:rPr>
              <w:t>risk</w:t>
            </w:r>
            <w:proofErr w:type="spellEnd"/>
            <w:r>
              <w:rPr>
                <w:i/>
                <w:spacing w:val="-2"/>
              </w:rPr>
              <w:t xml:space="preserve"> </w:t>
            </w:r>
            <w:proofErr w:type="spellStart"/>
            <w:r>
              <w:rPr>
                <w:i/>
                <w:spacing w:val="-2"/>
              </w:rPr>
              <w:t>vendor</w:t>
            </w:r>
            <w:proofErr w:type="spellEnd"/>
            <w:r>
              <w:rPr>
                <w:i/>
                <w:spacing w:val="-2"/>
              </w:rPr>
              <w:t>) i bezpieczeństwo sieci 5G w</w:t>
            </w:r>
            <w:r w:rsidR="005C3460">
              <w:rPr>
                <w:i/>
                <w:spacing w:val="-2"/>
              </w:rPr>
              <w:t> </w:t>
            </w:r>
            <w:r>
              <w:rPr>
                <w:i/>
                <w:spacing w:val="-2"/>
              </w:rPr>
              <w:t>Europie</w:t>
            </w:r>
            <w:r>
              <w:rPr>
                <w:spacing w:val="-2"/>
              </w:rPr>
              <w:t>.</w:t>
            </w:r>
          </w:p>
          <w:p w14:paraId="1C636D8E" w14:textId="7C3569BD" w:rsidR="000D2EEF" w:rsidRDefault="000D2EEF" w:rsidP="00840807">
            <w:pPr>
              <w:spacing w:after="60"/>
              <w:ind w:right="118"/>
              <w:rPr>
                <w:spacing w:val="-2"/>
              </w:rPr>
            </w:pPr>
            <w:r>
              <w:rPr>
                <w:spacing w:val="-2"/>
              </w:rPr>
              <w:t xml:space="preserve">W większości państw Unii Europejskiej wprowadzone zostały przepisy umożliwiające wyłączenie z budowy sieci 5G dostawcy uznanego za potencjalne zagrożenie dla bezpieczeństwa narodowego. Obowiązujące regulacje przewidują dokonanie takiego wyłączenia w drodze władczego rozstrzygnięcia dokonywanego przez jeden z organów władzy wykonawczej np. w drodze decyzji administracyjnej. W wielu państwach w tego rodzaju postępowaniach istotną rolę odgrywa również organ doradczy składający się z przedstawicieli administracji, wojska oraz służb specjalnych. </w:t>
            </w:r>
          </w:p>
          <w:p w14:paraId="6E74A402" w14:textId="2F580ED2" w:rsidR="000D2EEF" w:rsidRPr="00875DBE" w:rsidRDefault="000D2EEF" w:rsidP="00FC78C7">
            <w:pPr>
              <w:spacing w:after="60"/>
              <w:rPr>
                <w:spacing w:val="-2"/>
              </w:rPr>
            </w:pPr>
          </w:p>
        </w:tc>
      </w:tr>
      <w:tr w:rsidR="006A701A" w:rsidRPr="00875DBE" w14:paraId="399EC9F2" w14:textId="77777777" w:rsidTr="006148BE">
        <w:trPr>
          <w:trHeight w:val="359"/>
        </w:trPr>
        <w:tc>
          <w:tcPr>
            <w:tcW w:w="5000" w:type="pct"/>
            <w:gridSpan w:val="28"/>
            <w:shd w:val="clear" w:color="auto" w:fill="99CCFF"/>
            <w:vAlign w:val="center"/>
          </w:tcPr>
          <w:p w14:paraId="1B8E3548" w14:textId="77777777" w:rsidR="006A701A" w:rsidRPr="00875DBE" w:rsidRDefault="006A701A" w:rsidP="00213EFD">
            <w:pPr>
              <w:numPr>
                <w:ilvl w:val="0"/>
                <w:numId w:val="3"/>
              </w:numPr>
              <w:spacing w:before="60" w:after="60"/>
              <w:ind w:left="318" w:hanging="284"/>
              <w:rPr>
                <w:b/>
                <w:color w:val="000000"/>
              </w:rPr>
            </w:pPr>
            <w:r w:rsidRPr="00875DBE">
              <w:rPr>
                <w:b/>
                <w:color w:val="000000"/>
              </w:rPr>
              <w:lastRenderedPageBreak/>
              <w:t>Podmioty, na które oddziałuje projekt</w:t>
            </w:r>
          </w:p>
        </w:tc>
      </w:tr>
      <w:tr w:rsidR="00CB10BA" w:rsidRPr="00875DBE" w14:paraId="6CC8BEE5" w14:textId="77777777" w:rsidTr="006148BE">
        <w:trPr>
          <w:trHeight w:val="142"/>
        </w:trPr>
        <w:tc>
          <w:tcPr>
            <w:tcW w:w="5000" w:type="pct"/>
            <w:gridSpan w:val="28"/>
            <w:shd w:val="clear" w:color="auto" w:fill="auto"/>
          </w:tcPr>
          <w:p w14:paraId="1F752993" w14:textId="1F92C946" w:rsidR="002D73D1" w:rsidRPr="00875DBE" w:rsidRDefault="00CB10BA" w:rsidP="00E625E7">
            <w:pPr>
              <w:spacing w:before="40"/>
              <w:ind w:right="118"/>
              <w:rPr>
                <w:color w:val="000000"/>
                <w:spacing w:val="-2"/>
              </w:rPr>
            </w:pPr>
            <w:r>
              <w:rPr>
                <w:color w:val="000000"/>
                <w:spacing w:val="-2"/>
              </w:rPr>
              <w:t xml:space="preserve">W przypadku liczby podmiotów kluczowych i podmiotów ważnych źródłem danych są </w:t>
            </w:r>
            <w:r w:rsidRPr="006148BE">
              <w:rPr>
                <w:i/>
                <w:iCs/>
                <w:color w:val="000000"/>
                <w:spacing w:val="-2"/>
              </w:rPr>
              <w:t>Tablice dotyczące podmiotów gospodarki narodowej zarejestrowanych w rejestrze REGON deklarujących prowadzenie działalności według stanu na31 grudnia 2023 r.</w:t>
            </w:r>
            <w:r>
              <w:rPr>
                <w:rStyle w:val="Odwoanieprzypisudolnego"/>
                <w:color w:val="000000"/>
                <w:spacing w:val="-2"/>
              </w:rPr>
              <w:footnoteReference w:id="9"/>
            </w:r>
            <w:r w:rsidR="000E58F4">
              <w:rPr>
                <w:color w:val="000000"/>
                <w:spacing w:val="-2"/>
                <w:vertAlign w:val="superscript"/>
              </w:rPr>
              <w:t>)</w:t>
            </w:r>
            <w:r>
              <w:rPr>
                <w:color w:val="000000"/>
                <w:spacing w:val="-2"/>
              </w:rPr>
              <w:t>, chyba że wskazano inne źródło.</w:t>
            </w:r>
            <w:r w:rsidR="00CE3438">
              <w:rPr>
                <w:color w:val="000000"/>
                <w:spacing w:val="-2"/>
              </w:rPr>
              <w:t xml:space="preserve"> Korzystając z REGON</w:t>
            </w:r>
            <w:r w:rsidR="00BC1ED3">
              <w:rPr>
                <w:color w:val="000000"/>
                <w:spacing w:val="-2"/>
              </w:rPr>
              <w:t xml:space="preserve"> przyjęto dane o liczb</w:t>
            </w:r>
            <w:r w:rsidR="00E25B97">
              <w:rPr>
                <w:color w:val="000000"/>
                <w:spacing w:val="-2"/>
              </w:rPr>
              <w:t>ie</w:t>
            </w:r>
            <w:r w:rsidR="00BC1ED3">
              <w:rPr>
                <w:color w:val="000000"/>
                <w:spacing w:val="-2"/>
              </w:rPr>
              <w:t xml:space="preserve"> podmiotów, które zatrudniają co najmnie</w:t>
            </w:r>
            <w:r w:rsidR="00E25B97">
              <w:rPr>
                <w:color w:val="000000"/>
                <w:spacing w:val="-2"/>
              </w:rPr>
              <w:t>j 50 pracowników</w:t>
            </w:r>
            <w:r w:rsidR="00E33785">
              <w:rPr>
                <w:color w:val="000000"/>
                <w:spacing w:val="-2"/>
              </w:rPr>
              <w:t>, nie brano przy tym pod uwagę danych o obrocie i bilansie</w:t>
            </w:r>
            <w:r w:rsidR="00E25B97">
              <w:rPr>
                <w:color w:val="000000"/>
                <w:spacing w:val="-2"/>
              </w:rPr>
              <w:t>. Ze względu na brak dokładnych danych</w:t>
            </w:r>
            <w:r w:rsidR="005B0790">
              <w:rPr>
                <w:color w:val="000000"/>
                <w:spacing w:val="-2"/>
              </w:rPr>
              <w:t>,</w:t>
            </w:r>
            <w:r w:rsidR="00E25B97">
              <w:rPr>
                <w:color w:val="000000"/>
                <w:spacing w:val="-2"/>
              </w:rPr>
              <w:t xml:space="preserve"> a także</w:t>
            </w:r>
            <w:r w:rsidR="005B0790">
              <w:rPr>
                <w:color w:val="000000"/>
                <w:spacing w:val="-2"/>
              </w:rPr>
              <w:t xml:space="preserve"> </w:t>
            </w:r>
            <w:r w:rsidR="008E4A54">
              <w:rPr>
                <w:color w:val="000000"/>
                <w:spacing w:val="-2"/>
              </w:rPr>
              <w:t>niewystarczającą dokładność kodów PKD m. in. w sektorze infrastruktury cyfrowej</w:t>
            </w:r>
            <w:r w:rsidR="008E5385">
              <w:rPr>
                <w:color w:val="000000"/>
                <w:spacing w:val="-2"/>
              </w:rPr>
              <w:t>, zarządzania ICT czy dostawców usług cyfrowych</w:t>
            </w:r>
            <w:r w:rsidR="005B0790">
              <w:rPr>
                <w:color w:val="000000"/>
                <w:spacing w:val="-2"/>
              </w:rPr>
              <w:t xml:space="preserve"> należy traktować te dane jako dane szacunkowe.</w:t>
            </w:r>
            <w:r w:rsidR="00B30D72">
              <w:rPr>
                <w:color w:val="000000"/>
                <w:spacing w:val="-2"/>
              </w:rPr>
              <w:t xml:space="preserve"> </w:t>
            </w:r>
            <w:r w:rsidR="00732E44">
              <w:rPr>
                <w:color w:val="000000"/>
                <w:spacing w:val="-2"/>
              </w:rPr>
              <w:t>Część</w:t>
            </w:r>
            <w:r w:rsidR="00B30D72">
              <w:rPr>
                <w:color w:val="000000"/>
                <w:spacing w:val="-2"/>
              </w:rPr>
              <w:t xml:space="preserve"> podmiotów świadczy zróżnicowane usługi</w:t>
            </w:r>
            <w:r w:rsidR="00732E44">
              <w:rPr>
                <w:color w:val="000000"/>
                <w:spacing w:val="-2"/>
              </w:rPr>
              <w:t xml:space="preserve">, </w:t>
            </w:r>
            <w:r w:rsidR="00AE28FC">
              <w:rPr>
                <w:color w:val="000000"/>
                <w:spacing w:val="-2"/>
              </w:rPr>
              <w:t>przekraczające zakres pojedynczego sektora z dyrektywy NIS</w:t>
            </w:r>
            <w:r w:rsidR="000E58F4">
              <w:rPr>
                <w:color w:val="000000"/>
                <w:spacing w:val="-2"/>
              </w:rPr>
              <w:t xml:space="preserve"> </w:t>
            </w:r>
            <w:r w:rsidR="00AE28FC">
              <w:rPr>
                <w:color w:val="000000"/>
                <w:spacing w:val="-2"/>
              </w:rPr>
              <w:t>2.</w:t>
            </w:r>
            <w:r w:rsidR="00262FD2">
              <w:rPr>
                <w:color w:val="000000"/>
                <w:spacing w:val="-2"/>
              </w:rPr>
              <w:t xml:space="preserve"> Ponadto z uwagi na bieżące życie gospodarcze liczba podmiotów w poszczególnych sektorach ciągle się zmienia</w:t>
            </w:r>
            <w:r w:rsidR="00F87BB5">
              <w:rPr>
                <w:color w:val="000000"/>
                <w:spacing w:val="-2"/>
              </w:rPr>
              <w:t>, tworzone są nowe podmioty, a dotychczasowe są przekształcane oraz likwidowane.</w:t>
            </w:r>
            <w:r w:rsidR="000A3B5E">
              <w:rPr>
                <w:color w:val="000000"/>
                <w:spacing w:val="-2"/>
              </w:rPr>
              <w:t xml:space="preserve"> Liczba </w:t>
            </w:r>
            <w:r w:rsidR="004B4EC8">
              <w:rPr>
                <w:color w:val="000000"/>
                <w:spacing w:val="-2"/>
              </w:rPr>
              <w:t xml:space="preserve">podmiotów w OSR będzie </w:t>
            </w:r>
            <w:r w:rsidR="00373C73">
              <w:rPr>
                <w:color w:val="000000"/>
                <w:spacing w:val="-2"/>
              </w:rPr>
              <w:t>podlegała aktualizacji w toku procesu legislacyjnego, stosownie do posiadanych danych.</w:t>
            </w:r>
          </w:p>
        </w:tc>
      </w:tr>
      <w:tr w:rsidR="000D53AB" w:rsidRPr="00875DBE" w14:paraId="31BEDFDB" w14:textId="77777777" w:rsidTr="00E625E7">
        <w:trPr>
          <w:trHeight w:val="142"/>
        </w:trPr>
        <w:tc>
          <w:tcPr>
            <w:tcW w:w="1372" w:type="pct"/>
            <w:gridSpan w:val="6"/>
            <w:shd w:val="clear" w:color="auto" w:fill="auto"/>
          </w:tcPr>
          <w:p w14:paraId="1BB62AFF" w14:textId="77777777" w:rsidR="00260F33" w:rsidRPr="00875DBE" w:rsidRDefault="00260F33" w:rsidP="0072636A">
            <w:pPr>
              <w:spacing w:before="40"/>
              <w:jc w:val="center"/>
              <w:rPr>
                <w:color w:val="000000"/>
                <w:spacing w:val="-2"/>
              </w:rPr>
            </w:pPr>
            <w:r w:rsidRPr="00875DBE">
              <w:rPr>
                <w:color w:val="000000"/>
                <w:spacing w:val="-2"/>
              </w:rPr>
              <w:t>Grupa</w:t>
            </w:r>
          </w:p>
        </w:tc>
        <w:tc>
          <w:tcPr>
            <w:tcW w:w="1062" w:type="pct"/>
            <w:gridSpan w:val="6"/>
            <w:shd w:val="clear" w:color="auto" w:fill="auto"/>
          </w:tcPr>
          <w:p w14:paraId="369C498F" w14:textId="77777777" w:rsidR="00260F33" w:rsidRPr="00875DBE" w:rsidRDefault="00563199" w:rsidP="0072636A">
            <w:pPr>
              <w:spacing w:before="40"/>
              <w:jc w:val="center"/>
              <w:rPr>
                <w:color w:val="000000"/>
                <w:spacing w:val="-2"/>
              </w:rPr>
            </w:pPr>
            <w:r w:rsidRPr="00875DBE">
              <w:rPr>
                <w:color w:val="000000"/>
                <w:spacing w:val="-2"/>
              </w:rPr>
              <w:t>Wielkość</w:t>
            </w:r>
          </w:p>
        </w:tc>
        <w:tc>
          <w:tcPr>
            <w:tcW w:w="1281" w:type="pct"/>
            <w:gridSpan w:val="10"/>
            <w:shd w:val="clear" w:color="auto" w:fill="auto"/>
          </w:tcPr>
          <w:p w14:paraId="24BED362" w14:textId="77777777" w:rsidR="00260F33" w:rsidRPr="00875DBE" w:rsidRDefault="00260F33" w:rsidP="0072636A">
            <w:pPr>
              <w:spacing w:before="40"/>
              <w:jc w:val="center"/>
              <w:rPr>
                <w:color w:val="000000"/>
                <w:spacing w:val="-2"/>
              </w:rPr>
            </w:pPr>
            <w:r w:rsidRPr="00875DBE">
              <w:rPr>
                <w:color w:val="000000"/>
                <w:spacing w:val="-2"/>
              </w:rPr>
              <w:t>Źródło danych</w:t>
            </w:r>
            <w:r w:rsidRPr="00875DBE" w:rsidDel="00260F33">
              <w:rPr>
                <w:color w:val="000000"/>
                <w:spacing w:val="-2"/>
              </w:rPr>
              <w:t xml:space="preserve"> </w:t>
            </w:r>
          </w:p>
        </w:tc>
        <w:tc>
          <w:tcPr>
            <w:tcW w:w="1285" w:type="pct"/>
            <w:gridSpan w:val="6"/>
            <w:shd w:val="clear" w:color="auto" w:fill="auto"/>
          </w:tcPr>
          <w:p w14:paraId="47C027AC" w14:textId="77777777" w:rsidR="00260F33" w:rsidRPr="00875DBE" w:rsidRDefault="00260F33" w:rsidP="00E625E7">
            <w:pPr>
              <w:spacing w:before="40"/>
              <w:ind w:right="118"/>
              <w:jc w:val="center"/>
              <w:rPr>
                <w:color w:val="000000"/>
                <w:spacing w:val="-2"/>
              </w:rPr>
            </w:pPr>
            <w:r w:rsidRPr="00875DBE">
              <w:rPr>
                <w:color w:val="000000"/>
                <w:spacing w:val="-2"/>
              </w:rPr>
              <w:t>Oddziaływanie</w:t>
            </w:r>
          </w:p>
        </w:tc>
      </w:tr>
      <w:tr w:rsidR="000D53AB" w:rsidRPr="00875DBE" w14:paraId="4E9F3981" w14:textId="77777777" w:rsidTr="00E625E7">
        <w:trPr>
          <w:trHeight w:val="142"/>
        </w:trPr>
        <w:tc>
          <w:tcPr>
            <w:tcW w:w="1372" w:type="pct"/>
            <w:gridSpan w:val="6"/>
            <w:shd w:val="clear" w:color="auto" w:fill="auto"/>
          </w:tcPr>
          <w:p w14:paraId="029E9D65" w14:textId="62020F9B" w:rsidR="008308FE" w:rsidRPr="00875DBE" w:rsidRDefault="008308FE" w:rsidP="00E625E7">
            <w:pPr>
              <w:ind w:right="177"/>
              <w:rPr>
                <w:color w:val="000000"/>
                <w:spacing w:val="-2"/>
              </w:rPr>
            </w:pPr>
            <w:r w:rsidRPr="00875DBE">
              <w:t>Centrum e-Zdrowie</w:t>
            </w:r>
          </w:p>
        </w:tc>
        <w:tc>
          <w:tcPr>
            <w:tcW w:w="1062" w:type="pct"/>
            <w:gridSpan w:val="6"/>
            <w:shd w:val="clear" w:color="auto" w:fill="auto"/>
          </w:tcPr>
          <w:p w14:paraId="1A08CE16" w14:textId="7B22D15C" w:rsidR="008308FE" w:rsidRPr="00875DBE" w:rsidRDefault="008308FE" w:rsidP="008308FE">
            <w:pPr>
              <w:rPr>
                <w:color w:val="000000"/>
                <w:spacing w:val="-2"/>
              </w:rPr>
            </w:pPr>
            <w:r w:rsidRPr="00875DBE">
              <w:t>1</w:t>
            </w:r>
          </w:p>
        </w:tc>
        <w:tc>
          <w:tcPr>
            <w:tcW w:w="1281" w:type="pct"/>
            <w:gridSpan w:val="10"/>
            <w:shd w:val="clear" w:color="auto" w:fill="auto"/>
          </w:tcPr>
          <w:p w14:paraId="5ED6E3C8" w14:textId="01C6A29F" w:rsidR="008308FE" w:rsidRPr="00875DBE" w:rsidRDefault="008308FE" w:rsidP="00E625E7">
            <w:pPr>
              <w:jc w:val="left"/>
              <w:rPr>
                <w:color w:val="000000"/>
                <w:spacing w:val="-2"/>
              </w:rPr>
            </w:pPr>
            <w:r w:rsidRPr="00875DBE">
              <w:t xml:space="preserve">Informacja ogólnodostępna </w:t>
            </w:r>
          </w:p>
        </w:tc>
        <w:tc>
          <w:tcPr>
            <w:tcW w:w="1285" w:type="pct"/>
            <w:gridSpan w:val="6"/>
            <w:shd w:val="clear" w:color="auto" w:fill="auto"/>
          </w:tcPr>
          <w:p w14:paraId="74ED4C90" w14:textId="4D351710" w:rsidR="008308FE" w:rsidRPr="00875DBE" w:rsidRDefault="008308FE" w:rsidP="00E625E7">
            <w:pPr>
              <w:ind w:right="118"/>
              <w:jc w:val="left"/>
              <w:rPr>
                <w:color w:val="000000"/>
                <w:spacing w:val="-2"/>
              </w:rPr>
            </w:pPr>
            <w:r w:rsidRPr="00875DBE">
              <w:t>Z dniem wejścia</w:t>
            </w:r>
            <w:r w:rsidR="00E32125" w:rsidRPr="00875DBE">
              <w:t xml:space="preserve"> w </w:t>
            </w:r>
            <w:r w:rsidRPr="00875DBE">
              <w:t>życie ustawy stanie się zespołem CSIRT sektorowym</w:t>
            </w:r>
          </w:p>
        </w:tc>
      </w:tr>
      <w:tr w:rsidR="000D53AB" w:rsidRPr="00875DBE" w14:paraId="02A5035B" w14:textId="77777777" w:rsidTr="00E625E7">
        <w:trPr>
          <w:trHeight w:val="142"/>
        </w:trPr>
        <w:tc>
          <w:tcPr>
            <w:tcW w:w="1372" w:type="pct"/>
            <w:gridSpan w:val="6"/>
            <w:shd w:val="clear" w:color="auto" w:fill="auto"/>
          </w:tcPr>
          <w:p w14:paraId="4D6DFA2E" w14:textId="08C2A48C" w:rsidR="008308FE" w:rsidRPr="00875DBE" w:rsidRDefault="008308FE" w:rsidP="00E625E7">
            <w:pPr>
              <w:ind w:right="177"/>
              <w:rPr>
                <w:color w:val="000000"/>
                <w:spacing w:val="-2"/>
              </w:rPr>
            </w:pPr>
            <w:r w:rsidRPr="00875DBE">
              <w:t>CSIRT KNF</w:t>
            </w:r>
          </w:p>
        </w:tc>
        <w:tc>
          <w:tcPr>
            <w:tcW w:w="1062" w:type="pct"/>
            <w:gridSpan w:val="6"/>
            <w:shd w:val="clear" w:color="auto" w:fill="auto"/>
          </w:tcPr>
          <w:p w14:paraId="0F239B45" w14:textId="6CF9BB8B" w:rsidR="008308FE" w:rsidRPr="00875DBE" w:rsidRDefault="008308FE" w:rsidP="008308FE">
            <w:pPr>
              <w:rPr>
                <w:color w:val="000000"/>
                <w:spacing w:val="-2"/>
              </w:rPr>
            </w:pPr>
            <w:r w:rsidRPr="00875DBE">
              <w:t>1</w:t>
            </w:r>
          </w:p>
        </w:tc>
        <w:tc>
          <w:tcPr>
            <w:tcW w:w="1281" w:type="pct"/>
            <w:gridSpan w:val="10"/>
            <w:shd w:val="clear" w:color="auto" w:fill="auto"/>
          </w:tcPr>
          <w:p w14:paraId="64085066" w14:textId="439CA2E1" w:rsidR="008308FE" w:rsidRPr="00875DBE" w:rsidRDefault="008308FE" w:rsidP="00E625E7">
            <w:pPr>
              <w:jc w:val="left"/>
              <w:rPr>
                <w:color w:val="000000"/>
                <w:spacing w:val="-2"/>
              </w:rPr>
            </w:pPr>
            <w:r w:rsidRPr="00875DBE">
              <w:t xml:space="preserve">Informacja ogólnodostępna </w:t>
            </w:r>
          </w:p>
        </w:tc>
        <w:tc>
          <w:tcPr>
            <w:tcW w:w="1285" w:type="pct"/>
            <w:gridSpan w:val="6"/>
            <w:shd w:val="clear" w:color="auto" w:fill="auto"/>
          </w:tcPr>
          <w:p w14:paraId="2E014AF2" w14:textId="70FF188A" w:rsidR="008308FE" w:rsidRPr="00875DBE" w:rsidRDefault="008308FE" w:rsidP="00E625E7">
            <w:pPr>
              <w:ind w:right="118"/>
              <w:jc w:val="left"/>
              <w:rPr>
                <w:color w:val="000000"/>
                <w:spacing w:val="-2"/>
              </w:rPr>
            </w:pPr>
            <w:r w:rsidRPr="00875DBE">
              <w:t>Z dniem wejścia</w:t>
            </w:r>
            <w:r w:rsidR="00E32125" w:rsidRPr="00875DBE">
              <w:t xml:space="preserve"> w </w:t>
            </w:r>
            <w:r w:rsidRPr="00875DBE">
              <w:t>życie ustawy stanie się zespołem CSIRT sektorowym</w:t>
            </w:r>
          </w:p>
        </w:tc>
      </w:tr>
      <w:tr w:rsidR="000D53AB" w:rsidRPr="00875DBE" w14:paraId="582B6CD8" w14:textId="77777777" w:rsidTr="00E625E7">
        <w:trPr>
          <w:trHeight w:val="142"/>
        </w:trPr>
        <w:tc>
          <w:tcPr>
            <w:tcW w:w="1372" w:type="pct"/>
            <w:gridSpan w:val="6"/>
            <w:shd w:val="clear" w:color="auto" w:fill="auto"/>
          </w:tcPr>
          <w:p w14:paraId="3234CF76" w14:textId="6DB0FFB3" w:rsidR="00025C99" w:rsidRPr="00875DBE" w:rsidRDefault="00025C99" w:rsidP="00E625E7">
            <w:pPr>
              <w:ind w:right="177"/>
            </w:pPr>
            <w:r>
              <w:t>CSIRT NASK</w:t>
            </w:r>
          </w:p>
        </w:tc>
        <w:tc>
          <w:tcPr>
            <w:tcW w:w="1062" w:type="pct"/>
            <w:gridSpan w:val="6"/>
            <w:shd w:val="clear" w:color="auto" w:fill="auto"/>
          </w:tcPr>
          <w:p w14:paraId="2F07A395" w14:textId="40E3205B" w:rsidR="00025C99" w:rsidRPr="00875DBE" w:rsidRDefault="004815C8" w:rsidP="008308FE">
            <w:r>
              <w:t>1</w:t>
            </w:r>
          </w:p>
        </w:tc>
        <w:tc>
          <w:tcPr>
            <w:tcW w:w="1281" w:type="pct"/>
            <w:gridSpan w:val="10"/>
            <w:shd w:val="clear" w:color="auto" w:fill="auto"/>
          </w:tcPr>
          <w:p w14:paraId="531B4A11" w14:textId="3EE84471" w:rsidR="00025C99" w:rsidRPr="00875DBE" w:rsidRDefault="00373102" w:rsidP="00E625E7">
            <w:pPr>
              <w:jc w:val="left"/>
            </w:pPr>
            <w:r>
              <w:t xml:space="preserve">Informacja </w:t>
            </w:r>
            <w:r w:rsidR="007C7724">
              <w:t>ogólnodostępna</w:t>
            </w:r>
          </w:p>
        </w:tc>
        <w:tc>
          <w:tcPr>
            <w:tcW w:w="1285" w:type="pct"/>
            <w:gridSpan w:val="6"/>
            <w:shd w:val="clear" w:color="auto" w:fill="auto"/>
          </w:tcPr>
          <w:p w14:paraId="58F55E31" w14:textId="6A3C84B3" w:rsidR="00025C99" w:rsidRPr="00875DBE" w:rsidRDefault="007C7724" w:rsidP="00E625E7">
            <w:pPr>
              <w:ind w:right="118"/>
              <w:jc w:val="left"/>
            </w:pPr>
            <w:r w:rsidRPr="007C7724">
              <w:t>Z dniem wejścia w życie ustawy stanie się zespołem CSIRT sektorowym</w:t>
            </w:r>
          </w:p>
        </w:tc>
      </w:tr>
      <w:tr w:rsidR="000D53AB" w:rsidRPr="00875DBE" w14:paraId="23BCDE7F" w14:textId="77777777" w:rsidTr="00E625E7">
        <w:trPr>
          <w:trHeight w:val="142"/>
        </w:trPr>
        <w:tc>
          <w:tcPr>
            <w:tcW w:w="1372" w:type="pct"/>
            <w:gridSpan w:val="6"/>
            <w:shd w:val="clear" w:color="auto" w:fill="auto"/>
          </w:tcPr>
          <w:p w14:paraId="0F7E5A95" w14:textId="2E2F3945" w:rsidR="008308FE" w:rsidRPr="00875DBE" w:rsidRDefault="008308FE" w:rsidP="00E625E7">
            <w:pPr>
              <w:ind w:right="177"/>
              <w:jc w:val="left"/>
              <w:rPr>
                <w:color w:val="000000"/>
                <w:spacing w:val="-2"/>
              </w:rPr>
            </w:pPr>
            <w:r w:rsidRPr="00875DBE">
              <w:t xml:space="preserve">Kolegium do spraw </w:t>
            </w:r>
            <w:proofErr w:type="spellStart"/>
            <w:r w:rsidRPr="00875DBE">
              <w:t>Cyberbezpieczeństwa</w:t>
            </w:r>
            <w:proofErr w:type="spellEnd"/>
            <w:r w:rsidRPr="00875DBE">
              <w:t xml:space="preserve"> </w:t>
            </w:r>
          </w:p>
        </w:tc>
        <w:tc>
          <w:tcPr>
            <w:tcW w:w="1062" w:type="pct"/>
            <w:gridSpan w:val="6"/>
            <w:shd w:val="clear" w:color="auto" w:fill="auto"/>
          </w:tcPr>
          <w:p w14:paraId="7D65B329" w14:textId="1B5F172E" w:rsidR="008308FE" w:rsidRPr="00875DBE" w:rsidRDefault="008308FE" w:rsidP="008308FE">
            <w:pPr>
              <w:rPr>
                <w:color w:val="000000"/>
                <w:spacing w:val="-2"/>
              </w:rPr>
            </w:pPr>
            <w:r w:rsidRPr="00875DBE">
              <w:t>1</w:t>
            </w:r>
          </w:p>
        </w:tc>
        <w:tc>
          <w:tcPr>
            <w:tcW w:w="1281" w:type="pct"/>
            <w:gridSpan w:val="10"/>
            <w:shd w:val="clear" w:color="auto" w:fill="auto"/>
          </w:tcPr>
          <w:p w14:paraId="4197231B" w14:textId="2A08ED7E" w:rsidR="008308FE" w:rsidRPr="00875DBE" w:rsidRDefault="008308FE" w:rsidP="00E625E7">
            <w:pPr>
              <w:jc w:val="left"/>
              <w:rPr>
                <w:color w:val="000000"/>
                <w:spacing w:val="-2"/>
              </w:rPr>
            </w:pPr>
            <w:r w:rsidRPr="00875DBE">
              <w:t xml:space="preserve">Informacja ogólnodostępna </w:t>
            </w:r>
          </w:p>
        </w:tc>
        <w:tc>
          <w:tcPr>
            <w:tcW w:w="1285" w:type="pct"/>
            <w:gridSpan w:val="6"/>
            <w:shd w:val="clear" w:color="auto" w:fill="auto"/>
          </w:tcPr>
          <w:p w14:paraId="5E2A9C59" w14:textId="69F27128" w:rsidR="008308FE" w:rsidRPr="00875DBE" w:rsidRDefault="008308FE" w:rsidP="00E625E7">
            <w:pPr>
              <w:ind w:right="118"/>
              <w:jc w:val="left"/>
              <w:rPr>
                <w:color w:val="000000"/>
                <w:spacing w:val="-2"/>
              </w:rPr>
            </w:pPr>
            <w:r w:rsidRPr="00875DBE">
              <w:t>Pozytywne. Kolegium otrzyma nowe kompetencje</w:t>
            </w:r>
            <w:r w:rsidR="00E32125" w:rsidRPr="00875DBE">
              <w:t xml:space="preserve"> w </w:t>
            </w:r>
            <w:r w:rsidRPr="00875DBE">
              <w:t xml:space="preserve">postaci wydawania opinii o dostawcy sprzętu lub oprogramowania dla podmiotów krajowego </w:t>
            </w:r>
            <w:r w:rsidRPr="00875DBE">
              <w:lastRenderedPageBreak/>
              <w:t xml:space="preserve">systemu </w:t>
            </w:r>
            <w:proofErr w:type="spellStart"/>
            <w:r w:rsidRPr="00875DBE">
              <w:t>cyberbezpieczeństwa</w:t>
            </w:r>
            <w:proofErr w:type="spellEnd"/>
            <w:r w:rsidRPr="00875DBE">
              <w:t>.</w:t>
            </w:r>
          </w:p>
        </w:tc>
      </w:tr>
      <w:tr w:rsidR="000D53AB" w:rsidRPr="00875DBE" w14:paraId="3B2E33D7" w14:textId="77777777" w:rsidTr="00E625E7">
        <w:trPr>
          <w:trHeight w:val="142"/>
        </w:trPr>
        <w:tc>
          <w:tcPr>
            <w:tcW w:w="1372" w:type="pct"/>
            <w:gridSpan w:val="6"/>
            <w:shd w:val="clear" w:color="auto" w:fill="auto"/>
          </w:tcPr>
          <w:p w14:paraId="1FB071A6" w14:textId="64B4DE8F" w:rsidR="00CD0E70" w:rsidRPr="00875DBE" w:rsidRDefault="00CD0E70" w:rsidP="00E625E7">
            <w:pPr>
              <w:tabs>
                <w:tab w:val="left" w:pos="1560"/>
              </w:tabs>
              <w:ind w:right="177"/>
              <w:rPr>
                <w:color w:val="000000"/>
              </w:rPr>
            </w:pPr>
            <w:r w:rsidRPr="00875DBE">
              <w:lastRenderedPageBreak/>
              <w:t>Minister Obrony Narodowej</w:t>
            </w:r>
          </w:p>
        </w:tc>
        <w:tc>
          <w:tcPr>
            <w:tcW w:w="1062" w:type="pct"/>
            <w:gridSpan w:val="6"/>
            <w:shd w:val="clear" w:color="auto" w:fill="auto"/>
          </w:tcPr>
          <w:p w14:paraId="4F04BA08" w14:textId="1E906CCF" w:rsidR="00CD0E70" w:rsidRPr="00875DBE" w:rsidRDefault="00CD0E70" w:rsidP="00CD0E70">
            <w:pPr>
              <w:rPr>
                <w:color w:val="000000"/>
                <w:spacing w:val="-2"/>
              </w:rPr>
            </w:pPr>
            <w:r w:rsidRPr="003039EB">
              <w:t>1</w:t>
            </w:r>
          </w:p>
        </w:tc>
        <w:tc>
          <w:tcPr>
            <w:tcW w:w="1281" w:type="pct"/>
            <w:gridSpan w:val="10"/>
            <w:shd w:val="clear" w:color="auto" w:fill="auto"/>
          </w:tcPr>
          <w:p w14:paraId="03619EC0" w14:textId="25AAF414" w:rsidR="00CD0E70" w:rsidRPr="00875DBE" w:rsidRDefault="00CD0E70" w:rsidP="00E625E7">
            <w:pPr>
              <w:jc w:val="left"/>
              <w:rPr>
                <w:color w:val="000000"/>
                <w:spacing w:val="-2"/>
              </w:rPr>
            </w:pPr>
            <w:r w:rsidRPr="003039EB">
              <w:t xml:space="preserve">Informacja ogólnodostępna </w:t>
            </w:r>
          </w:p>
        </w:tc>
        <w:tc>
          <w:tcPr>
            <w:tcW w:w="1285" w:type="pct"/>
            <w:gridSpan w:val="6"/>
            <w:shd w:val="clear" w:color="auto" w:fill="auto"/>
          </w:tcPr>
          <w:p w14:paraId="5313D70F" w14:textId="1D2B0A6B" w:rsidR="00CD0E70" w:rsidRPr="00875DBE" w:rsidRDefault="00CD0E70" w:rsidP="00E625E7">
            <w:pPr>
              <w:ind w:right="118"/>
              <w:jc w:val="left"/>
              <w:rPr>
                <w:color w:val="000000"/>
                <w:spacing w:val="-2"/>
              </w:rPr>
            </w:pPr>
            <w:r w:rsidRPr="00875DBE">
              <w:t>Będzie pełnił rolę organu ds. zarządzania kryzysowego w </w:t>
            </w:r>
            <w:proofErr w:type="spellStart"/>
            <w:r w:rsidRPr="00875DBE">
              <w:t>cyberbezpieczeństwie</w:t>
            </w:r>
            <w:proofErr w:type="spellEnd"/>
            <w:r w:rsidRPr="00875DBE">
              <w:t xml:space="preserve"> na dużą skalę w zakresie w jakim dotyczy to obronności i Sił Zbrojnych.</w:t>
            </w:r>
          </w:p>
        </w:tc>
      </w:tr>
      <w:tr w:rsidR="000D53AB" w:rsidRPr="00875DBE" w14:paraId="25B58DF7" w14:textId="77777777" w:rsidTr="00E625E7">
        <w:trPr>
          <w:trHeight w:val="142"/>
        </w:trPr>
        <w:tc>
          <w:tcPr>
            <w:tcW w:w="1372" w:type="pct"/>
            <w:gridSpan w:val="6"/>
            <w:shd w:val="clear" w:color="auto" w:fill="auto"/>
          </w:tcPr>
          <w:p w14:paraId="76878D54" w14:textId="09CB13A1" w:rsidR="00CD0E70" w:rsidRPr="00875DBE" w:rsidRDefault="00CD0E70" w:rsidP="00E625E7">
            <w:pPr>
              <w:tabs>
                <w:tab w:val="left" w:pos="1560"/>
              </w:tabs>
              <w:ind w:right="177"/>
              <w:rPr>
                <w:color w:val="000000"/>
              </w:rPr>
            </w:pPr>
            <w:r w:rsidRPr="00875DBE">
              <w:t>Minister właściwy do spraw informatyzacji</w:t>
            </w:r>
          </w:p>
        </w:tc>
        <w:tc>
          <w:tcPr>
            <w:tcW w:w="1062" w:type="pct"/>
            <w:gridSpan w:val="6"/>
            <w:shd w:val="clear" w:color="auto" w:fill="auto"/>
          </w:tcPr>
          <w:p w14:paraId="4945C1A2" w14:textId="790CF1AC" w:rsidR="00CD0E70" w:rsidRPr="00875DBE" w:rsidRDefault="00CD0E70" w:rsidP="00CD0E70">
            <w:pPr>
              <w:rPr>
                <w:color w:val="000000"/>
                <w:spacing w:val="-2"/>
              </w:rPr>
            </w:pPr>
            <w:r w:rsidRPr="009A724C">
              <w:t>1</w:t>
            </w:r>
          </w:p>
        </w:tc>
        <w:tc>
          <w:tcPr>
            <w:tcW w:w="1281" w:type="pct"/>
            <w:gridSpan w:val="10"/>
            <w:shd w:val="clear" w:color="auto" w:fill="auto"/>
          </w:tcPr>
          <w:p w14:paraId="14222FE8" w14:textId="00A040E2" w:rsidR="00CD0E70" w:rsidRPr="00875DBE" w:rsidRDefault="00CD0E70" w:rsidP="00E625E7">
            <w:pPr>
              <w:jc w:val="left"/>
              <w:rPr>
                <w:color w:val="000000"/>
                <w:spacing w:val="-2"/>
              </w:rPr>
            </w:pPr>
            <w:r w:rsidRPr="009A724C">
              <w:t xml:space="preserve">Informacja ogólnodostępna </w:t>
            </w:r>
          </w:p>
        </w:tc>
        <w:tc>
          <w:tcPr>
            <w:tcW w:w="1285" w:type="pct"/>
            <w:gridSpan w:val="6"/>
            <w:shd w:val="clear" w:color="auto" w:fill="auto"/>
          </w:tcPr>
          <w:p w14:paraId="7E9498C4" w14:textId="75116741" w:rsidR="00CD0E70" w:rsidRPr="00875DBE" w:rsidRDefault="00CD0E70" w:rsidP="00E625E7">
            <w:pPr>
              <w:ind w:right="118"/>
              <w:jc w:val="left"/>
              <w:rPr>
                <w:color w:val="000000"/>
                <w:spacing w:val="-2"/>
              </w:rPr>
            </w:pPr>
            <w:r w:rsidRPr="00875DBE">
              <w:t>Będzie pełnił rolę organu ds. zarządzania kryzysowego w </w:t>
            </w:r>
            <w:proofErr w:type="spellStart"/>
            <w:r w:rsidRPr="00875DBE">
              <w:t>cyberbezpieczeństwie</w:t>
            </w:r>
            <w:proofErr w:type="spellEnd"/>
            <w:r w:rsidRPr="00875DBE">
              <w:t xml:space="preserve"> na dużą skalę. Obowiązek utworzenia wykazu podmiotów kluczowych i podmiotów ważnych.</w:t>
            </w:r>
          </w:p>
        </w:tc>
      </w:tr>
      <w:tr w:rsidR="000D53AB" w:rsidRPr="00875DBE" w14:paraId="296CA407" w14:textId="77777777" w:rsidTr="00E625E7">
        <w:trPr>
          <w:trHeight w:val="142"/>
        </w:trPr>
        <w:tc>
          <w:tcPr>
            <w:tcW w:w="1372" w:type="pct"/>
            <w:gridSpan w:val="6"/>
            <w:shd w:val="clear" w:color="auto" w:fill="auto"/>
          </w:tcPr>
          <w:p w14:paraId="24004E1D" w14:textId="3BC75320" w:rsidR="00F53186" w:rsidRDefault="008308FE" w:rsidP="00E625E7">
            <w:pPr>
              <w:tabs>
                <w:tab w:val="left" w:pos="1560"/>
              </w:tabs>
              <w:ind w:right="177"/>
            </w:pPr>
            <w:r w:rsidRPr="00875DBE">
              <w:t xml:space="preserve">Organy właściwe do spraw </w:t>
            </w:r>
            <w:proofErr w:type="spellStart"/>
            <w:r w:rsidRPr="00875DBE">
              <w:t>cyberbezpieczeństwa</w:t>
            </w:r>
            <w:proofErr w:type="spellEnd"/>
            <w:r w:rsidR="00BF1D4E">
              <w:t xml:space="preserve"> </w:t>
            </w:r>
            <w:r w:rsidR="001A504D">
              <w:t>–</w:t>
            </w:r>
            <w:r w:rsidR="00BF1D4E">
              <w:t xml:space="preserve"> </w:t>
            </w:r>
          </w:p>
          <w:p w14:paraId="3967D074" w14:textId="77777777" w:rsidR="006A4849" w:rsidRDefault="006A4849" w:rsidP="00E625E7">
            <w:pPr>
              <w:tabs>
                <w:tab w:val="left" w:pos="1560"/>
              </w:tabs>
              <w:ind w:right="177"/>
              <w:jc w:val="left"/>
            </w:pPr>
            <w:r>
              <w:t>Komisja Nadzoru Finansowego</w:t>
            </w:r>
          </w:p>
          <w:p w14:paraId="5EB4B400" w14:textId="77777777" w:rsidR="006A4849" w:rsidRDefault="006A4849" w:rsidP="00E625E7">
            <w:pPr>
              <w:tabs>
                <w:tab w:val="left" w:pos="1560"/>
              </w:tabs>
              <w:ind w:right="177"/>
            </w:pPr>
            <w:r>
              <w:t>Minister Obrony Narodowej</w:t>
            </w:r>
          </w:p>
          <w:p w14:paraId="556A573D" w14:textId="77777777" w:rsidR="006A4849" w:rsidRDefault="006A4849" w:rsidP="00E625E7">
            <w:pPr>
              <w:tabs>
                <w:tab w:val="left" w:pos="1560"/>
              </w:tabs>
              <w:ind w:right="177"/>
            </w:pPr>
            <w:r>
              <w:t>minister właściwy do spraw energii</w:t>
            </w:r>
          </w:p>
          <w:p w14:paraId="6BA1A6EF" w14:textId="77777777" w:rsidR="006A4849" w:rsidRDefault="006A4849" w:rsidP="00E625E7">
            <w:pPr>
              <w:tabs>
                <w:tab w:val="left" w:pos="1560"/>
              </w:tabs>
              <w:ind w:right="177"/>
            </w:pPr>
            <w:r>
              <w:t>minister właściwy do spraw gospodarki</w:t>
            </w:r>
          </w:p>
          <w:p w14:paraId="338E0E9E" w14:textId="77777777" w:rsidR="006A4849" w:rsidRDefault="006A4849" w:rsidP="00E625E7">
            <w:pPr>
              <w:tabs>
                <w:tab w:val="left" w:pos="1560"/>
              </w:tabs>
              <w:ind w:right="177"/>
            </w:pPr>
            <w:r>
              <w:t>minister właściwy do spraw gospodarki morskiej</w:t>
            </w:r>
          </w:p>
          <w:p w14:paraId="6BD39D89" w14:textId="77777777" w:rsidR="006A4849" w:rsidRDefault="006A4849" w:rsidP="00E625E7">
            <w:pPr>
              <w:tabs>
                <w:tab w:val="left" w:pos="1560"/>
              </w:tabs>
              <w:ind w:right="177"/>
            </w:pPr>
            <w:r>
              <w:t>minister właściwy do spraw gospodarki wodnej</w:t>
            </w:r>
          </w:p>
          <w:p w14:paraId="304F7E51" w14:textId="77777777" w:rsidR="006A4849" w:rsidRDefault="006A4849" w:rsidP="00E625E7">
            <w:pPr>
              <w:tabs>
                <w:tab w:val="left" w:pos="1560"/>
              </w:tabs>
              <w:ind w:right="177"/>
            </w:pPr>
            <w:r>
              <w:t>minister właściwy do spraw informatyzacji</w:t>
            </w:r>
          </w:p>
          <w:p w14:paraId="74ADB27A" w14:textId="77777777" w:rsidR="006A4849" w:rsidRDefault="006A4849" w:rsidP="00E625E7">
            <w:pPr>
              <w:tabs>
                <w:tab w:val="left" w:pos="1560"/>
              </w:tabs>
              <w:ind w:right="177"/>
            </w:pPr>
            <w:r>
              <w:t>minister właściwy do spraw klimatu</w:t>
            </w:r>
          </w:p>
          <w:p w14:paraId="418B69E8" w14:textId="77777777" w:rsidR="006A4849" w:rsidRDefault="006A4849" w:rsidP="00E625E7">
            <w:pPr>
              <w:tabs>
                <w:tab w:val="left" w:pos="1560"/>
              </w:tabs>
              <w:ind w:right="177"/>
            </w:pPr>
            <w:r>
              <w:t>minister właściwy do spraw nauki i szkolnictwa wyższego</w:t>
            </w:r>
          </w:p>
          <w:p w14:paraId="46117657" w14:textId="77777777" w:rsidR="006A4849" w:rsidRDefault="006A4849" w:rsidP="00E625E7">
            <w:pPr>
              <w:tabs>
                <w:tab w:val="left" w:pos="1560"/>
              </w:tabs>
              <w:ind w:right="177"/>
            </w:pPr>
            <w:r>
              <w:t>minister właściwy do spraw rolnictwa</w:t>
            </w:r>
          </w:p>
          <w:p w14:paraId="26F5C053" w14:textId="77777777" w:rsidR="006A4849" w:rsidRDefault="006A4849" w:rsidP="00E625E7">
            <w:pPr>
              <w:tabs>
                <w:tab w:val="left" w:pos="1560"/>
              </w:tabs>
              <w:ind w:right="177"/>
            </w:pPr>
            <w:r>
              <w:t>minister właściwy do spraw transportu</w:t>
            </w:r>
          </w:p>
          <w:p w14:paraId="3CDFE607" w14:textId="77777777" w:rsidR="006A4849" w:rsidRDefault="006A4849" w:rsidP="00E625E7">
            <w:pPr>
              <w:tabs>
                <w:tab w:val="left" w:pos="1560"/>
              </w:tabs>
              <w:ind w:right="177"/>
            </w:pPr>
            <w:r>
              <w:t>minister właściwy do spraw zdrowia</w:t>
            </w:r>
          </w:p>
          <w:p w14:paraId="74886505" w14:textId="77777777" w:rsidR="006A4849" w:rsidRDefault="006A4849" w:rsidP="00E625E7">
            <w:pPr>
              <w:tabs>
                <w:tab w:val="left" w:pos="1560"/>
              </w:tabs>
              <w:ind w:right="177"/>
            </w:pPr>
            <w:r>
              <w:t>Prezes UKE</w:t>
            </w:r>
          </w:p>
          <w:p w14:paraId="039F7C50" w14:textId="77777777" w:rsidR="006A4849" w:rsidRDefault="006A4849" w:rsidP="00E625E7">
            <w:pPr>
              <w:tabs>
                <w:tab w:val="left" w:pos="1560"/>
              </w:tabs>
              <w:ind w:right="177"/>
            </w:pPr>
            <w:r w:rsidDel="00F53186">
              <w:t>Szef Agencji Bezpieczeństwa Wewnętrznego,</w:t>
            </w:r>
          </w:p>
          <w:p w14:paraId="22E59D13" w14:textId="053CDFE0" w:rsidR="008308FE" w:rsidRPr="00875DBE" w:rsidDel="00F062D1" w:rsidRDefault="008308FE" w:rsidP="00E625E7">
            <w:pPr>
              <w:tabs>
                <w:tab w:val="left" w:pos="1560"/>
              </w:tabs>
              <w:ind w:right="177"/>
              <w:rPr>
                <w:color w:val="000000"/>
              </w:rPr>
            </w:pPr>
          </w:p>
        </w:tc>
        <w:tc>
          <w:tcPr>
            <w:tcW w:w="1062" w:type="pct"/>
            <w:gridSpan w:val="6"/>
            <w:shd w:val="clear" w:color="auto" w:fill="auto"/>
          </w:tcPr>
          <w:p w14:paraId="5DC7A928" w14:textId="63A83831" w:rsidR="008308FE" w:rsidRPr="00875DBE" w:rsidRDefault="0007290B" w:rsidP="008308FE">
            <w:pPr>
              <w:rPr>
                <w:color w:val="000000"/>
                <w:spacing w:val="-2"/>
              </w:rPr>
            </w:pPr>
            <w:r>
              <w:rPr>
                <w:color w:val="000000"/>
                <w:spacing w:val="-2"/>
              </w:rPr>
              <w:t>1</w:t>
            </w:r>
            <w:r w:rsidR="006A2CD4">
              <w:rPr>
                <w:color w:val="000000"/>
                <w:spacing w:val="-2"/>
              </w:rPr>
              <w:t>4</w:t>
            </w:r>
          </w:p>
        </w:tc>
        <w:tc>
          <w:tcPr>
            <w:tcW w:w="1281" w:type="pct"/>
            <w:gridSpan w:val="10"/>
            <w:shd w:val="clear" w:color="auto" w:fill="auto"/>
          </w:tcPr>
          <w:p w14:paraId="4FB159C4" w14:textId="4CD2AEA4" w:rsidR="008308FE" w:rsidRPr="00875DBE" w:rsidRDefault="008B70B7" w:rsidP="00E625E7">
            <w:pPr>
              <w:jc w:val="left"/>
              <w:rPr>
                <w:color w:val="000000"/>
                <w:spacing w:val="-2"/>
              </w:rPr>
            </w:pPr>
            <w:r w:rsidRPr="008B70B7">
              <w:rPr>
                <w:color w:val="000000"/>
                <w:spacing w:val="-2"/>
              </w:rPr>
              <w:t>Informacja ogólnodostępna</w:t>
            </w:r>
          </w:p>
        </w:tc>
        <w:tc>
          <w:tcPr>
            <w:tcW w:w="1285" w:type="pct"/>
            <w:gridSpan w:val="6"/>
            <w:shd w:val="clear" w:color="auto" w:fill="auto"/>
          </w:tcPr>
          <w:p w14:paraId="61CDA62B" w14:textId="28CE369E" w:rsidR="008308FE" w:rsidRPr="00875DBE" w:rsidRDefault="008308FE" w:rsidP="00E625E7">
            <w:pPr>
              <w:ind w:right="118"/>
              <w:jc w:val="left"/>
              <w:rPr>
                <w:color w:val="000000"/>
                <w:spacing w:val="-2"/>
              </w:rPr>
            </w:pPr>
            <w:r w:rsidRPr="00875DBE">
              <w:t>Wyposażenie</w:t>
            </w:r>
            <w:r w:rsidR="00E32125" w:rsidRPr="00875DBE">
              <w:t xml:space="preserve"> w </w:t>
            </w:r>
            <w:r w:rsidRPr="00875DBE">
              <w:t>uprawnienia</w:t>
            </w:r>
            <w:r w:rsidR="00E32125" w:rsidRPr="00875DBE">
              <w:t xml:space="preserve"> i </w:t>
            </w:r>
            <w:r w:rsidRPr="00875DBE">
              <w:t>obowiązki</w:t>
            </w:r>
            <w:r w:rsidR="00E32125" w:rsidRPr="00875DBE">
              <w:t xml:space="preserve"> w </w:t>
            </w:r>
            <w:r w:rsidRPr="00875DBE">
              <w:t>związku ze sprawowaniem nadzoru nad podmiotami kluczowymi</w:t>
            </w:r>
            <w:r w:rsidR="00E32125" w:rsidRPr="00875DBE">
              <w:t xml:space="preserve"> i </w:t>
            </w:r>
            <w:r w:rsidR="00A817B7" w:rsidRPr="00875DBE">
              <w:t xml:space="preserve">podmiotami </w:t>
            </w:r>
            <w:r w:rsidRPr="00875DBE">
              <w:t>ważnymi</w:t>
            </w:r>
            <w:r w:rsidR="00DC4C2B" w:rsidRPr="00875DBE">
              <w:t>.</w:t>
            </w:r>
          </w:p>
        </w:tc>
      </w:tr>
      <w:tr w:rsidR="000D53AB" w:rsidRPr="00875DBE" w14:paraId="51E5561A" w14:textId="77777777" w:rsidTr="00E625E7">
        <w:trPr>
          <w:trHeight w:val="142"/>
        </w:trPr>
        <w:tc>
          <w:tcPr>
            <w:tcW w:w="1372" w:type="pct"/>
            <w:gridSpan w:val="6"/>
            <w:shd w:val="clear" w:color="auto" w:fill="auto"/>
          </w:tcPr>
          <w:p w14:paraId="170C2B50" w14:textId="0AF7FCFB" w:rsidR="008308FE" w:rsidRPr="00875DBE" w:rsidDel="00F062D1" w:rsidRDefault="008308FE" w:rsidP="00E625E7">
            <w:pPr>
              <w:tabs>
                <w:tab w:val="left" w:pos="1560"/>
              </w:tabs>
              <w:ind w:right="177"/>
              <w:rPr>
                <w:color w:val="000000"/>
              </w:rPr>
            </w:pPr>
            <w:r w:rsidRPr="00875DBE">
              <w:t xml:space="preserve">Pełnomocnik Rządu do Spraw </w:t>
            </w:r>
            <w:proofErr w:type="spellStart"/>
            <w:r w:rsidRPr="00875DBE">
              <w:t>Cyberbezpieczeństwa</w:t>
            </w:r>
            <w:proofErr w:type="spellEnd"/>
          </w:p>
        </w:tc>
        <w:tc>
          <w:tcPr>
            <w:tcW w:w="1062" w:type="pct"/>
            <w:gridSpan w:val="6"/>
            <w:shd w:val="clear" w:color="auto" w:fill="auto"/>
          </w:tcPr>
          <w:p w14:paraId="48E666B1" w14:textId="4780A630" w:rsidR="008308FE" w:rsidRPr="00875DBE" w:rsidRDefault="00CD0E70" w:rsidP="008308FE">
            <w:pPr>
              <w:rPr>
                <w:color w:val="000000"/>
                <w:spacing w:val="-2"/>
              </w:rPr>
            </w:pPr>
            <w:r>
              <w:t>1</w:t>
            </w:r>
          </w:p>
        </w:tc>
        <w:tc>
          <w:tcPr>
            <w:tcW w:w="1281" w:type="pct"/>
            <w:gridSpan w:val="10"/>
            <w:shd w:val="clear" w:color="auto" w:fill="auto"/>
          </w:tcPr>
          <w:p w14:paraId="49FE7658" w14:textId="2A672D0F" w:rsidR="008308FE" w:rsidRPr="00875DBE" w:rsidRDefault="008308FE" w:rsidP="00E625E7">
            <w:pPr>
              <w:jc w:val="left"/>
              <w:rPr>
                <w:color w:val="000000"/>
                <w:spacing w:val="-2"/>
              </w:rPr>
            </w:pPr>
            <w:r w:rsidRPr="00875DBE">
              <w:t xml:space="preserve">Informacja ogólnodostępna </w:t>
            </w:r>
          </w:p>
        </w:tc>
        <w:tc>
          <w:tcPr>
            <w:tcW w:w="1285" w:type="pct"/>
            <w:gridSpan w:val="6"/>
            <w:shd w:val="clear" w:color="auto" w:fill="auto"/>
          </w:tcPr>
          <w:p w14:paraId="420EEEA0" w14:textId="3FE59D3D" w:rsidR="008308FE" w:rsidRPr="00875DBE" w:rsidRDefault="008308FE" w:rsidP="00E625E7">
            <w:pPr>
              <w:ind w:right="118"/>
              <w:jc w:val="left"/>
              <w:rPr>
                <w:color w:val="000000"/>
                <w:spacing w:val="-2"/>
              </w:rPr>
            </w:pPr>
            <w:r w:rsidRPr="00875DBE">
              <w:t xml:space="preserve">Pozytywne. Pełnomocnik Rządu do Spraw </w:t>
            </w:r>
            <w:proofErr w:type="spellStart"/>
            <w:r w:rsidRPr="00875DBE">
              <w:t>Cyberbezpieczeństwa</w:t>
            </w:r>
            <w:proofErr w:type="spellEnd"/>
            <w:r w:rsidRPr="00875DBE">
              <w:t xml:space="preserve"> będzie mógł wydawać rekomendacje, nakazywać CSIRT poziomu krajowego </w:t>
            </w:r>
            <w:r w:rsidRPr="00875DBE">
              <w:lastRenderedPageBreak/>
              <w:t>wsparcie</w:t>
            </w:r>
            <w:r w:rsidR="00E32125" w:rsidRPr="00875DBE">
              <w:t xml:space="preserve"> w </w:t>
            </w:r>
            <w:r w:rsidRPr="00875DBE">
              <w:t xml:space="preserve">obsłudze incydentów konkretnym podmiotom krajowego systemu </w:t>
            </w:r>
            <w:proofErr w:type="spellStart"/>
            <w:r w:rsidRPr="00875DBE">
              <w:t>cyberbezpieczeństwa</w:t>
            </w:r>
            <w:proofErr w:type="spellEnd"/>
            <w:r w:rsidRPr="00875DBE">
              <w:t>. Będzie mógł także żądać od administracji rządowej informacji</w:t>
            </w:r>
            <w:r w:rsidR="00E32125" w:rsidRPr="00875DBE">
              <w:t xml:space="preserve"> i </w:t>
            </w:r>
            <w:r w:rsidRPr="00875DBE">
              <w:t>dokumentów niezbędnych do wykonywania jego zadań, a</w:t>
            </w:r>
            <w:r w:rsidR="00103ABB">
              <w:t> </w:t>
            </w:r>
            <w:r w:rsidRPr="00875DBE">
              <w:t>także otrzyma możliwość zlecania niezbędnych badań. Pełnomocnikiem</w:t>
            </w:r>
            <w:r w:rsidR="00E32125" w:rsidRPr="00875DBE">
              <w:t xml:space="preserve"> z </w:t>
            </w:r>
            <w:r w:rsidRPr="00875DBE">
              <w:t>mocy ustawy będzie minister właściwy do spraw informatyzacji, sekretarz stanu albo podsekretarz stanu</w:t>
            </w:r>
            <w:r w:rsidR="00E32125" w:rsidRPr="00875DBE">
              <w:t xml:space="preserve"> w </w:t>
            </w:r>
            <w:r w:rsidRPr="00875DBE">
              <w:t>urzędzie obsługującym ministra właściwego do spraw informatyzacji.</w:t>
            </w:r>
          </w:p>
        </w:tc>
      </w:tr>
      <w:tr w:rsidR="000D53AB" w:rsidRPr="00875DBE" w14:paraId="410FE060" w14:textId="77777777" w:rsidTr="00E625E7">
        <w:trPr>
          <w:trHeight w:val="142"/>
        </w:trPr>
        <w:tc>
          <w:tcPr>
            <w:tcW w:w="1372" w:type="pct"/>
            <w:gridSpan w:val="6"/>
            <w:shd w:val="clear" w:color="auto" w:fill="auto"/>
          </w:tcPr>
          <w:p w14:paraId="62A2A145" w14:textId="40D3F868" w:rsidR="008308FE" w:rsidRPr="00875DBE" w:rsidDel="00F062D1" w:rsidRDefault="008308FE" w:rsidP="00E625E7">
            <w:pPr>
              <w:tabs>
                <w:tab w:val="left" w:pos="1560"/>
              </w:tabs>
              <w:ind w:right="177"/>
              <w:jc w:val="left"/>
              <w:rPr>
                <w:color w:val="000000"/>
              </w:rPr>
            </w:pPr>
            <w:r w:rsidRPr="00875DBE">
              <w:lastRenderedPageBreak/>
              <w:t>Podmioty kluczowe</w:t>
            </w:r>
            <w:r w:rsidR="00E32125" w:rsidRPr="00875DBE">
              <w:t xml:space="preserve"> i </w:t>
            </w:r>
            <w:r w:rsidR="00A817B7" w:rsidRPr="00875DBE">
              <w:t xml:space="preserve">podmioty </w:t>
            </w:r>
            <w:r w:rsidRPr="00875DBE">
              <w:t>ważne</w:t>
            </w:r>
            <w:r w:rsidR="00E32125" w:rsidRPr="00875DBE">
              <w:t xml:space="preserve"> z </w:t>
            </w:r>
            <w:r w:rsidRPr="00875DBE">
              <w:t>podsektora produkcji wyrobów medycznych</w:t>
            </w:r>
            <w:r w:rsidR="00E32125" w:rsidRPr="00875DBE">
              <w:t xml:space="preserve"> i </w:t>
            </w:r>
            <w:r w:rsidRPr="00875DBE">
              <w:t>wyrobów medycznych do diagnostyki in vitro</w:t>
            </w:r>
          </w:p>
        </w:tc>
        <w:tc>
          <w:tcPr>
            <w:tcW w:w="1062" w:type="pct"/>
            <w:gridSpan w:val="6"/>
            <w:shd w:val="clear" w:color="auto" w:fill="auto"/>
          </w:tcPr>
          <w:p w14:paraId="1411BF5E" w14:textId="2E9A881C" w:rsidR="008308FE" w:rsidRPr="00875DBE" w:rsidRDefault="008308FE" w:rsidP="008308FE">
            <w:pPr>
              <w:rPr>
                <w:color w:val="000000"/>
                <w:spacing w:val="-2"/>
              </w:rPr>
            </w:pPr>
            <w:r w:rsidRPr="00875DBE">
              <w:t>44</w:t>
            </w:r>
          </w:p>
        </w:tc>
        <w:tc>
          <w:tcPr>
            <w:tcW w:w="1281" w:type="pct"/>
            <w:gridSpan w:val="10"/>
            <w:shd w:val="clear" w:color="auto" w:fill="auto"/>
          </w:tcPr>
          <w:p w14:paraId="07E730D3" w14:textId="721D2D35" w:rsidR="008308FE" w:rsidRPr="00875DBE" w:rsidRDefault="008308FE" w:rsidP="00E625E7">
            <w:pPr>
              <w:ind w:right="126"/>
              <w:jc w:val="left"/>
              <w:rPr>
                <w:color w:val="000000"/>
                <w:spacing w:val="-2"/>
              </w:rPr>
            </w:pPr>
            <w:r w:rsidRPr="00875DBE">
              <w:t>REGON</w:t>
            </w:r>
            <w:r w:rsidR="00ED4005">
              <w:t xml:space="preserve"> PKD sekcja</w:t>
            </w:r>
            <w:r w:rsidR="00AE6ECD">
              <w:t xml:space="preserve"> C dział 32 podklasa 3250z</w:t>
            </w:r>
          </w:p>
        </w:tc>
        <w:tc>
          <w:tcPr>
            <w:tcW w:w="1285" w:type="pct"/>
            <w:gridSpan w:val="6"/>
            <w:shd w:val="clear" w:color="auto" w:fill="auto"/>
          </w:tcPr>
          <w:p w14:paraId="4B48C08E" w14:textId="04D96604"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995D66">
              <w:t xml:space="preserve"> Obowiązek wycofania </w:t>
            </w:r>
            <w:r w:rsidR="006E7FC3">
              <w:t>produktów ICT, usług ICT i</w:t>
            </w:r>
            <w:r w:rsidR="005D157C">
              <w:t> </w:t>
            </w:r>
            <w:r w:rsidR="006E7FC3">
              <w:t>procesów ICT w</w:t>
            </w:r>
            <w:r w:rsidR="005D157C">
              <w:t> </w:t>
            </w:r>
            <w:r w:rsidR="006E7FC3">
              <w:t>przypadku uznania dostawcy za dostawcę wysokiego ryzyka.</w:t>
            </w:r>
          </w:p>
        </w:tc>
      </w:tr>
      <w:tr w:rsidR="000D53AB" w:rsidRPr="00875DBE" w14:paraId="09748843" w14:textId="77777777" w:rsidTr="00E625E7">
        <w:trPr>
          <w:trHeight w:val="142"/>
        </w:trPr>
        <w:tc>
          <w:tcPr>
            <w:tcW w:w="1372" w:type="pct"/>
            <w:gridSpan w:val="6"/>
            <w:shd w:val="clear" w:color="auto" w:fill="auto"/>
          </w:tcPr>
          <w:p w14:paraId="1132019B" w14:textId="163386FA" w:rsidR="008308FE" w:rsidRPr="00875DBE" w:rsidDel="00F062D1" w:rsidRDefault="008308FE" w:rsidP="00E625E7">
            <w:pPr>
              <w:tabs>
                <w:tab w:val="left" w:pos="1560"/>
              </w:tabs>
              <w:ind w:right="177"/>
              <w:jc w:val="left"/>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administracji publicznej</w:t>
            </w:r>
          </w:p>
        </w:tc>
        <w:tc>
          <w:tcPr>
            <w:tcW w:w="1062" w:type="pct"/>
            <w:gridSpan w:val="6"/>
            <w:shd w:val="clear" w:color="auto" w:fill="auto"/>
          </w:tcPr>
          <w:p w14:paraId="46744A43" w14:textId="2D7458FA" w:rsidR="008308FE" w:rsidRPr="00875DBE" w:rsidRDefault="008308FE" w:rsidP="008308FE">
            <w:pPr>
              <w:rPr>
                <w:color w:val="000000"/>
                <w:spacing w:val="-2"/>
              </w:rPr>
            </w:pPr>
            <w:r w:rsidRPr="00875DBE">
              <w:t>2790</w:t>
            </w:r>
            <w:r w:rsidR="008C5775">
              <w:t>5</w:t>
            </w:r>
          </w:p>
        </w:tc>
        <w:tc>
          <w:tcPr>
            <w:tcW w:w="1281" w:type="pct"/>
            <w:gridSpan w:val="10"/>
            <w:shd w:val="clear" w:color="auto" w:fill="auto"/>
          </w:tcPr>
          <w:p w14:paraId="7651B398" w14:textId="481F2DEF" w:rsidR="008308FE" w:rsidRPr="00875DBE" w:rsidRDefault="008308FE" w:rsidP="00E625E7">
            <w:pPr>
              <w:ind w:right="126"/>
              <w:jc w:val="left"/>
              <w:rPr>
                <w:color w:val="000000"/>
                <w:spacing w:val="-2"/>
              </w:rPr>
            </w:pPr>
            <w:r w:rsidRPr="00875DBE">
              <w:t>REGON</w:t>
            </w:r>
          </w:p>
        </w:tc>
        <w:tc>
          <w:tcPr>
            <w:tcW w:w="1285" w:type="pct"/>
            <w:gridSpan w:val="6"/>
            <w:shd w:val="clear" w:color="auto" w:fill="auto"/>
          </w:tcPr>
          <w:p w14:paraId="3763C475" w14:textId="50D093B1"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052E7971" w14:textId="77777777" w:rsidTr="00E625E7">
        <w:trPr>
          <w:trHeight w:val="142"/>
        </w:trPr>
        <w:tc>
          <w:tcPr>
            <w:tcW w:w="1372" w:type="pct"/>
            <w:gridSpan w:val="6"/>
            <w:shd w:val="clear" w:color="auto" w:fill="auto"/>
          </w:tcPr>
          <w:p w14:paraId="28D3321F" w14:textId="69F35DE2" w:rsidR="008308FE" w:rsidRPr="00875DBE" w:rsidDel="00F062D1" w:rsidRDefault="008308FE" w:rsidP="00E625E7">
            <w:pPr>
              <w:tabs>
                <w:tab w:val="left" w:pos="1560"/>
              </w:tabs>
              <w:ind w:right="177"/>
              <w:jc w:val="left"/>
              <w:rPr>
                <w:color w:val="000000"/>
              </w:rPr>
            </w:pPr>
            <w:r w:rsidRPr="00875DBE">
              <w:t>Podmioty ważne</w:t>
            </w:r>
            <w:r w:rsidR="00E32125" w:rsidRPr="00875DBE">
              <w:t xml:space="preserve"> z </w:t>
            </w:r>
            <w:r w:rsidRPr="00875DBE">
              <w:t>sektora badań naukowych</w:t>
            </w:r>
          </w:p>
        </w:tc>
        <w:tc>
          <w:tcPr>
            <w:tcW w:w="1062" w:type="pct"/>
            <w:gridSpan w:val="6"/>
            <w:shd w:val="clear" w:color="auto" w:fill="auto"/>
          </w:tcPr>
          <w:p w14:paraId="49369193" w14:textId="091C9131" w:rsidR="008308FE" w:rsidRPr="00875DBE" w:rsidRDefault="008308FE" w:rsidP="008308FE">
            <w:pPr>
              <w:rPr>
                <w:color w:val="000000"/>
                <w:spacing w:val="-2"/>
              </w:rPr>
            </w:pPr>
            <w:r w:rsidRPr="00875DBE">
              <w:t>169</w:t>
            </w:r>
          </w:p>
        </w:tc>
        <w:tc>
          <w:tcPr>
            <w:tcW w:w="1281" w:type="pct"/>
            <w:gridSpan w:val="10"/>
            <w:shd w:val="clear" w:color="auto" w:fill="auto"/>
          </w:tcPr>
          <w:p w14:paraId="794275A8" w14:textId="77777777" w:rsidR="008308FE" w:rsidRDefault="008308FE" w:rsidP="00E625E7">
            <w:pPr>
              <w:ind w:right="126"/>
              <w:jc w:val="left"/>
            </w:pPr>
            <w:r w:rsidRPr="00875DBE">
              <w:t>REGON</w:t>
            </w:r>
          </w:p>
          <w:p w14:paraId="788F9F9A" w14:textId="4076A6A5" w:rsidR="00DC6091" w:rsidRDefault="00DC6091" w:rsidP="00E625E7">
            <w:pPr>
              <w:ind w:right="126"/>
              <w:jc w:val="left"/>
            </w:pPr>
            <w:r>
              <w:t>PKD sekcja M dział 72 podklasa:</w:t>
            </w:r>
          </w:p>
          <w:p w14:paraId="7C208962" w14:textId="77777777" w:rsidR="007F5EE6" w:rsidRPr="007F5EE6" w:rsidRDefault="007F5EE6" w:rsidP="00E625E7">
            <w:pPr>
              <w:ind w:right="126"/>
              <w:jc w:val="left"/>
              <w:rPr>
                <w:color w:val="000000"/>
                <w:spacing w:val="-2"/>
              </w:rPr>
            </w:pPr>
            <w:r w:rsidRPr="007F5EE6">
              <w:rPr>
                <w:color w:val="000000"/>
                <w:spacing w:val="-2"/>
              </w:rPr>
              <w:t>7219Z</w:t>
            </w:r>
            <w:r w:rsidRPr="007F5EE6">
              <w:rPr>
                <w:color w:val="000000"/>
                <w:spacing w:val="-2"/>
              </w:rPr>
              <w:tab/>
              <w:t>Badania naukowe i prace rozwojowe w dziedzinie pozostałych nauk przyrodniczych i technicznych</w:t>
            </w:r>
          </w:p>
          <w:p w14:paraId="4D7B84BA" w14:textId="074364D9" w:rsidR="007F5EE6" w:rsidRPr="00875DBE" w:rsidRDefault="007F5EE6" w:rsidP="00E625E7">
            <w:pPr>
              <w:ind w:right="126"/>
              <w:jc w:val="left"/>
              <w:rPr>
                <w:color w:val="000000"/>
                <w:spacing w:val="-2"/>
              </w:rPr>
            </w:pPr>
            <w:r w:rsidRPr="007F5EE6">
              <w:rPr>
                <w:color w:val="000000"/>
                <w:spacing w:val="-2"/>
              </w:rPr>
              <w:t>7220Z</w:t>
            </w:r>
            <w:r w:rsidRPr="007F5EE6">
              <w:rPr>
                <w:color w:val="000000"/>
                <w:spacing w:val="-2"/>
              </w:rPr>
              <w:tab/>
              <w:t xml:space="preserve">Badania naukowe i prace rozwojowe w </w:t>
            </w:r>
            <w:r w:rsidRPr="007F5EE6">
              <w:rPr>
                <w:color w:val="000000"/>
                <w:spacing w:val="-2"/>
              </w:rPr>
              <w:lastRenderedPageBreak/>
              <w:t>dziedzinie nauk społecznych i humanistycznych</w:t>
            </w:r>
          </w:p>
        </w:tc>
        <w:tc>
          <w:tcPr>
            <w:tcW w:w="1285" w:type="pct"/>
            <w:gridSpan w:val="6"/>
            <w:shd w:val="clear" w:color="auto" w:fill="auto"/>
          </w:tcPr>
          <w:p w14:paraId="169FA29F" w14:textId="71687987" w:rsidR="008308FE" w:rsidRPr="00875DBE" w:rsidRDefault="008308FE" w:rsidP="00E625E7">
            <w:pPr>
              <w:ind w:right="118"/>
              <w:jc w:val="left"/>
              <w:rPr>
                <w:color w:val="000000"/>
                <w:spacing w:val="-2"/>
              </w:rPr>
            </w:pPr>
            <w:r w:rsidRPr="00875DBE">
              <w:lastRenderedPageBreak/>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7C9E3199" w14:textId="77777777" w:rsidTr="00E625E7">
        <w:trPr>
          <w:trHeight w:val="142"/>
        </w:trPr>
        <w:tc>
          <w:tcPr>
            <w:tcW w:w="1372" w:type="pct"/>
            <w:gridSpan w:val="6"/>
            <w:shd w:val="clear" w:color="auto" w:fill="auto"/>
          </w:tcPr>
          <w:p w14:paraId="44DF459C" w14:textId="0423A1FC" w:rsidR="008308FE" w:rsidRPr="00875DBE" w:rsidDel="00F062D1" w:rsidRDefault="008308FE" w:rsidP="00E625E7">
            <w:pPr>
              <w:tabs>
                <w:tab w:val="left" w:pos="1560"/>
              </w:tabs>
              <w:ind w:right="177"/>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bankowości</w:t>
            </w:r>
            <w:r w:rsidR="00E32125" w:rsidRPr="00875DBE">
              <w:t xml:space="preserve"> i </w:t>
            </w:r>
            <w:r w:rsidRPr="00875DBE">
              <w:t>infrastruktury rynków finansowych</w:t>
            </w:r>
          </w:p>
        </w:tc>
        <w:tc>
          <w:tcPr>
            <w:tcW w:w="1062" w:type="pct"/>
            <w:gridSpan w:val="6"/>
            <w:shd w:val="clear" w:color="auto" w:fill="auto"/>
          </w:tcPr>
          <w:p w14:paraId="447E473D" w14:textId="1ABE5D4A" w:rsidR="008308FE" w:rsidRPr="00875DBE" w:rsidRDefault="00317AC3" w:rsidP="008308FE">
            <w:pPr>
              <w:rPr>
                <w:color w:val="000000"/>
                <w:spacing w:val="-2"/>
              </w:rPr>
            </w:pPr>
            <w:r w:rsidRPr="00875DBE">
              <w:t>547</w:t>
            </w:r>
          </w:p>
        </w:tc>
        <w:tc>
          <w:tcPr>
            <w:tcW w:w="1281" w:type="pct"/>
            <w:gridSpan w:val="10"/>
            <w:shd w:val="clear" w:color="auto" w:fill="auto"/>
          </w:tcPr>
          <w:p w14:paraId="3B7FD9A2" w14:textId="74DA1515" w:rsidR="008308FE" w:rsidRPr="00875DBE" w:rsidRDefault="008308FE" w:rsidP="00E625E7">
            <w:pPr>
              <w:ind w:right="126"/>
              <w:jc w:val="left"/>
              <w:rPr>
                <w:color w:val="000000"/>
                <w:spacing w:val="-2"/>
              </w:rPr>
            </w:pPr>
            <w:r w:rsidRPr="00875DBE">
              <w:t>szacunki od KNF</w:t>
            </w:r>
          </w:p>
        </w:tc>
        <w:tc>
          <w:tcPr>
            <w:tcW w:w="1285" w:type="pct"/>
            <w:gridSpan w:val="6"/>
            <w:shd w:val="clear" w:color="auto" w:fill="auto"/>
          </w:tcPr>
          <w:p w14:paraId="32CCF9F6" w14:textId="55DF8E4F"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6BBC18FB" w14:textId="77777777" w:rsidTr="00E625E7">
        <w:trPr>
          <w:trHeight w:val="142"/>
        </w:trPr>
        <w:tc>
          <w:tcPr>
            <w:tcW w:w="1372" w:type="pct"/>
            <w:gridSpan w:val="6"/>
            <w:shd w:val="clear" w:color="auto" w:fill="auto"/>
          </w:tcPr>
          <w:p w14:paraId="0FD4BE8A" w14:textId="48F9C22B" w:rsidR="008308FE" w:rsidRPr="00875DBE" w:rsidDel="00F062D1" w:rsidRDefault="008308FE" w:rsidP="00E625E7">
            <w:pPr>
              <w:tabs>
                <w:tab w:val="left" w:pos="1560"/>
              </w:tabs>
              <w:ind w:right="177"/>
              <w:jc w:val="left"/>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dostawców usług cyfrowych</w:t>
            </w:r>
          </w:p>
        </w:tc>
        <w:tc>
          <w:tcPr>
            <w:tcW w:w="1062" w:type="pct"/>
            <w:gridSpan w:val="6"/>
            <w:shd w:val="clear" w:color="auto" w:fill="auto"/>
          </w:tcPr>
          <w:p w14:paraId="6F9E5E8A" w14:textId="63864AFB" w:rsidR="008308FE" w:rsidRPr="00875DBE" w:rsidRDefault="007D7391" w:rsidP="008308FE">
            <w:pPr>
              <w:rPr>
                <w:color w:val="000000"/>
                <w:spacing w:val="-2"/>
              </w:rPr>
            </w:pPr>
            <w:r>
              <w:rPr>
                <w:color w:val="000000"/>
                <w:spacing w:val="-2"/>
              </w:rPr>
              <w:t xml:space="preserve">Ok </w:t>
            </w:r>
            <w:r w:rsidR="004C7B45">
              <w:rPr>
                <w:color w:val="000000"/>
                <w:spacing w:val="-2"/>
              </w:rPr>
              <w:t>40</w:t>
            </w:r>
          </w:p>
        </w:tc>
        <w:tc>
          <w:tcPr>
            <w:tcW w:w="1281" w:type="pct"/>
            <w:gridSpan w:val="10"/>
            <w:shd w:val="clear" w:color="auto" w:fill="auto"/>
          </w:tcPr>
          <w:p w14:paraId="299DCCFE" w14:textId="75535500" w:rsidR="008308FE" w:rsidRPr="00875DBE" w:rsidRDefault="00D105A2" w:rsidP="00E625E7">
            <w:pPr>
              <w:ind w:right="126"/>
              <w:jc w:val="left"/>
              <w:rPr>
                <w:color w:val="000000"/>
                <w:spacing w:val="-2"/>
              </w:rPr>
            </w:pPr>
            <w:r>
              <w:rPr>
                <w:color w:val="000000"/>
                <w:spacing w:val="-2"/>
              </w:rPr>
              <w:t>Szacunki Ministerstwa Cyfryzacji</w:t>
            </w:r>
          </w:p>
        </w:tc>
        <w:tc>
          <w:tcPr>
            <w:tcW w:w="1285" w:type="pct"/>
            <w:gridSpan w:val="6"/>
            <w:shd w:val="clear" w:color="auto" w:fill="auto"/>
          </w:tcPr>
          <w:p w14:paraId="25CE05AA" w14:textId="087EC355"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53D89637" w14:textId="77777777" w:rsidTr="00E625E7">
        <w:trPr>
          <w:trHeight w:val="142"/>
        </w:trPr>
        <w:tc>
          <w:tcPr>
            <w:tcW w:w="1372" w:type="pct"/>
            <w:gridSpan w:val="6"/>
            <w:shd w:val="clear" w:color="auto" w:fill="auto"/>
          </w:tcPr>
          <w:p w14:paraId="50D694DB" w14:textId="0B199AAC" w:rsidR="008308FE" w:rsidRPr="00875DBE" w:rsidDel="00F062D1" w:rsidRDefault="008308FE" w:rsidP="00E625E7">
            <w:pPr>
              <w:tabs>
                <w:tab w:val="left" w:pos="1560"/>
              </w:tabs>
              <w:ind w:right="177"/>
              <w:jc w:val="left"/>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energii</w:t>
            </w:r>
          </w:p>
        </w:tc>
        <w:tc>
          <w:tcPr>
            <w:tcW w:w="1062" w:type="pct"/>
            <w:gridSpan w:val="6"/>
            <w:shd w:val="clear" w:color="auto" w:fill="auto"/>
          </w:tcPr>
          <w:p w14:paraId="53198041" w14:textId="31F7690F" w:rsidR="008308FE" w:rsidRPr="00875DBE" w:rsidRDefault="00CB647A" w:rsidP="008308FE">
            <w:pPr>
              <w:rPr>
                <w:color w:val="000000"/>
                <w:spacing w:val="-2"/>
              </w:rPr>
            </w:pPr>
            <w:r>
              <w:t>365</w:t>
            </w:r>
          </w:p>
        </w:tc>
        <w:tc>
          <w:tcPr>
            <w:tcW w:w="1281" w:type="pct"/>
            <w:gridSpan w:val="10"/>
            <w:shd w:val="clear" w:color="auto" w:fill="auto"/>
          </w:tcPr>
          <w:p w14:paraId="145A30A2" w14:textId="7B86312C" w:rsidR="008308FE" w:rsidRPr="00875DBE" w:rsidRDefault="00236021" w:rsidP="00E625E7">
            <w:pPr>
              <w:ind w:right="126"/>
              <w:jc w:val="left"/>
              <w:rPr>
                <w:color w:val="000000"/>
                <w:spacing w:val="-2"/>
              </w:rPr>
            </w:pPr>
            <w:r>
              <w:t>Szacunki od Ministerstwa Klimatu i Środowiska</w:t>
            </w:r>
          </w:p>
        </w:tc>
        <w:tc>
          <w:tcPr>
            <w:tcW w:w="1285" w:type="pct"/>
            <w:gridSpan w:val="6"/>
            <w:shd w:val="clear" w:color="auto" w:fill="auto"/>
          </w:tcPr>
          <w:p w14:paraId="6308635B" w14:textId="7A1FAC96"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6CDBA6ED" w14:textId="77777777" w:rsidTr="00E625E7">
        <w:trPr>
          <w:trHeight w:val="142"/>
        </w:trPr>
        <w:tc>
          <w:tcPr>
            <w:tcW w:w="1372" w:type="pct"/>
            <w:gridSpan w:val="6"/>
            <w:shd w:val="clear" w:color="auto" w:fill="auto"/>
          </w:tcPr>
          <w:p w14:paraId="40A805B6" w14:textId="57D8948A" w:rsidR="008308FE" w:rsidRPr="00875DBE" w:rsidDel="00F062D1" w:rsidRDefault="008308FE" w:rsidP="00E625E7">
            <w:pPr>
              <w:tabs>
                <w:tab w:val="left" w:pos="1560"/>
              </w:tabs>
              <w:ind w:right="177"/>
              <w:jc w:val="left"/>
              <w:rPr>
                <w:color w:val="000000"/>
              </w:rPr>
            </w:pPr>
            <w:r w:rsidRPr="00875DBE">
              <w:t>Podmioty ważne</w:t>
            </w:r>
            <w:r w:rsidR="00E32125" w:rsidRPr="00875DBE">
              <w:t xml:space="preserve"> z </w:t>
            </w:r>
            <w:r w:rsidRPr="00875DBE">
              <w:t>sektora gospodarowania odpadami</w:t>
            </w:r>
          </w:p>
        </w:tc>
        <w:tc>
          <w:tcPr>
            <w:tcW w:w="1062" w:type="pct"/>
            <w:gridSpan w:val="6"/>
            <w:shd w:val="clear" w:color="auto" w:fill="auto"/>
          </w:tcPr>
          <w:p w14:paraId="08EFE499" w14:textId="6EF2F1EB" w:rsidR="008308FE" w:rsidRPr="00875DBE" w:rsidRDefault="008308FE" w:rsidP="008308FE">
            <w:pPr>
              <w:rPr>
                <w:color w:val="000000"/>
                <w:spacing w:val="-2"/>
              </w:rPr>
            </w:pPr>
            <w:r w:rsidRPr="00875DBE">
              <w:t>276</w:t>
            </w:r>
          </w:p>
        </w:tc>
        <w:tc>
          <w:tcPr>
            <w:tcW w:w="1281" w:type="pct"/>
            <w:gridSpan w:val="10"/>
            <w:shd w:val="clear" w:color="auto" w:fill="auto"/>
          </w:tcPr>
          <w:p w14:paraId="3E04F39A" w14:textId="77777777" w:rsidR="008308FE" w:rsidRDefault="008308FE" w:rsidP="00E625E7">
            <w:pPr>
              <w:ind w:right="126"/>
              <w:jc w:val="left"/>
            </w:pPr>
            <w:r w:rsidRPr="00875DBE">
              <w:t>REGON</w:t>
            </w:r>
          </w:p>
          <w:p w14:paraId="5DE012B6" w14:textId="601DD714" w:rsidR="00B339EC" w:rsidRDefault="00B339EC" w:rsidP="00E625E7">
            <w:pPr>
              <w:ind w:right="126"/>
              <w:jc w:val="left"/>
            </w:pPr>
            <w:r>
              <w:t>PKD:</w:t>
            </w:r>
          </w:p>
          <w:p w14:paraId="39BE0CDD" w14:textId="55870579" w:rsidR="003E6B85" w:rsidRPr="003E6B85" w:rsidRDefault="00E3460C" w:rsidP="00E625E7">
            <w:pPr>
              <w:ind w:right="126"/>
              <w:jc w:val="left"/>
              <w:rPr>
                <w:color w:val="000000"/>
                <w:spacing w:val="-2"/>
              </w:rPr>
            </w:pPr>
            <w:r>
              <w:rPr>
                <w:color w:val="000000"/>
                <w:spacing w:val="-2"/>
              </w:rPr>
              <w:t xml:space="preserve">Sekcja </w:t>
            </w:r>
            <w:r w:rsidR="003E6B85" w:rsidRPr="003E6B85">
              <w:rPr>
                <w:color w:val="000000"/>
                <w:spacing w:val="-2"/>
              </w:rPr>
              <w:t>E</w:t>
            </w:r>
            <w:r>
              <w:rPr>
                <w:color w:val="000000"/>
                <w:spacing w:val="-2"/>
              </w:rPr>
              <w:t xml:space="preserve"> dział </w:t>
            </w:r>
            <w:r w:rsidR="003E6B85" w:rsidRPr="003E6B85">
              <w:rPr>
                <w:color w:val="000000"/>
                <w:spacing w:val="-2"/>
              </w:rPr>
              <w:t>38</w:t>
            </w:r>
            <w:r>
              <w:rPr>
                <w:color w:val="000000"/>
                <w:spacing w:val="-2"/>
              </w:rPr>
              <w:t xml:space="preserve"> podklasa </w:t>
            </w:r>
            <w:r w:rsidR="003E6B85" w:rsidRPr="003E6B85">
              <w:rPr>
                <w:color w:val="000000"/>
                <w:spacing w:val="-2"/>
              </w:rPr>
              <w:t>3811Z</w:t>
            </w:r>
            <w:r>
              <w:rPr>
                <w:color w:val="000000"/>
                <w:spacing w:val="-2"/>
              </w:rPr>
              <w:t xml:space="preserve"> </w:t>
            </w:r>
            <w:r w:rsidR="003E6B85" w:rsidRPr="003E6B85">
              <w:rPr>
                <w:color w:val="000000"/>
                <w:spacing w:val="-2"/>
              </w:rPr>
              <w:t>Zbieranie odpadów innych niż niebezpieczne</w:t>
            </w:r>
          </w:p>
          <w:p w14:paraId="4B005420" w14:textId="2CB8865D" w:rsidR="003E6B85" w:rsidRPr="003E6B85" w:rsidRDefault="00E3460C" w:rsidP="00E625E7">
            <w:pPr>
              <w:ind w:right="126"/>
              <w:jc w:val="left"/>
              <w:rPr>
                <w:color w:val="000000"/>
                <w:spacing w:val="-2"/>
              </w:rPr>
            </w:pPr>
            <w:r>
              <w:rPr>
                <w:color w:val="000000"/>
                <w:spacing w:val="-2"/>
              </w:rPr>
              <w:t xml:space="preserve">Sekcja </w:t>
            </w:r>
            <w:r w:rsidRPr="003E6B85">
              <w:rPr>
                <w:color w:val="000000"/>
                <w:spacing w:val="-2"/>
              </w:rPr>
              <w:t>E</w:t>
            </w:r>
            <w:r>
              <w:rPr>
                <w:color w:val="000000"/>
                <w:spacing w:val="-2"/>
              </w:rPr>
              <w:t xml:space="preserve"> dział </w:t>
            </w:r>
            <w:r w:rsidRPr="003E6B85">
              <w:rPr>
                <w:color w:val="000000"/>
                <w:spacing w:val="-2"/>
              </w:rPr>
              <w:t>38</w:t>
            </w:r>
            <w:r>
              <w:rPr>
                <w:color w:val="000000"/>
                <w:spacing w:val="-2"/>
              </w:rPr>
              <w:t xml:space="preserve"> podklasa </w:t>
            </w:r>
            <w:r w:rsidR="003E6B85" w:rsidRPr="003E6B85">
              <w:rPr>
                <w:color w:val="000000"/>
                <w:spacing w:val="-2"/>
              </w:rPr>
              <w:t>3812Z</w:t>
            </w:r>
            <w:r>
              <w:rPr>
                <w:color w:val="000000"/>
                <w:spacing w:val="-2"/>
              </w:rPr>
              <w:t xml:space="preserve"> </w:t>
            </w:r>
            <w:r w:rsidR="003E6B85" w:rsidRPr="003E6B85">
              <w:rPr>
                <w:color w:val="000000"/>
                <w:spacing w:val="-2"/>
              </w:rPr>
              <w:t>Zbieranie odpadów niebezpiecznych</w:t>
            </w:r>
          </w:p>
          <w:p w14:paraId="66A8214B" w14:textId="399ADB06" w:rsidR="003E6B85" w:rsidRPr="003E6B85" w:rsidRDefault="00E3460C" w:rsidP="00E625E7">
            <w:pPr>
              <w:ind w:right="126"/>
              <w:jc w:val="left"/>
              <w:rPr>
                <w:color w:val="000000"/>
                <w:spacing w:val="-2"/>
              </w:rPr>
            </w:pPr>
            <w:r>
              <w:rPr>
                <w:color w:val="000000"/>
                <w:spacing w:val="-2"/>
              </w:rPr>
              <w:t xml:space="preserve">Sekcja </w:t>
            </w:r>
            <w:r w:rsidRPr="003E6B85">
              <w:rPr>
                <w:color w:val="000000"/>
                <w:spacing w:val="-2"/>
              </w:rPr>
              <w:t>E</w:t>
            </w:r>
            <w:r>
              <w:rPr>
                <w:color w:val="000000"/>
                <w:spacing w:val="-2"/>
              </w:rPr>
              <w:t xml:space="preserve"> dział </w:t>
            </w:r>
            <w:r w:rsidRPr="003E6B85">
              <w:rPr>
                <w:color w:val="000000"/>
                <w:spacing w:val="-2"/>
              </w:rPr>
              <w:t>38</w:t>
            </w:r>
            <w:r>
              <w:rPr>
                <w:color w:val="000000"/>
                <w:spacing w:val="-2"/>
              </w:rPr>
              <w:t xml:space="preserve"> podklasa </w:t>
            </w:r>
            <w:r w:rsidR="003E6B85" w:rsidRPr="003E6B85">
              <w:rPr>
                <w:color w:val="000000"/>
                <w:spacing w:val="-2"/>
              </w:rPr>
              <w:t>3821Z</w:t>
            </w:r>
            <w:r>
              <w:rPr>
                <w:color w:val="000000"/>
                <w:spacing w:val="-2"/>
              </w:rPr>
              <w:t xml:space="preserve"> </w:t>
            </w:r>
            <w:r w:rsidR="003E6B85" w:rsidRPr="003E6B85">
              <w:rPr>
                <w:color w:val="000000"/>
                <w:spacing w:val="-2"/>
              </w:rPr>
              <w:t>Obróbka i usuwanie odpadów innych niż niebezpieczne</w:t>
            </w:r>
          </w:p>
          <w:p w14:paraId="5B1239FF" w14:textId="33A971F6" w:rsidR="003E6B85" w:rsidRPr="003E6B85" w:rsidRDefault="00E3460C" w:rsidP="00E625E7">
            <w:pPr>
              <w:ind w:right="126"/>
              <w:jc w:val="left"/>
              <w:rPr>
                <w:color w:val="000000"/>
                <w:spacing w:val="-2"/>
              </w:rPr>
            </w:pPr>
            <w:r>
              <w:rPr>
                <w:color w:val="000000"/>
                <w:spacing w:val="-2"/>
              </w:rPr>
              <w:t xml:space="preserve">Sekcja </w:t>
            </w:r>
            <w:r w:rsidRPr="003E6B85">
              <w:rPr>
                <w:color w:val="000000"/>
                <w:spacing w:val="-2"/>
              </w:rPr>
              <w:t>E</w:t>
            </w:r>
            <w:r>
              <w:rPr>
                <w:color w:val="000000"/>
                <w:spacing w:val="-2"/>
              </w:rPr>
              <w:t xml:space="preserve"> dział </w:t>
            </w:r>
            <w:r w:rsidRPr="003E6B85">
              <w:rPr>
                <w:color w:val="000000"/>
                <w:spacing w:val="-2"/>
              </w:rPr>
              <w:t>38</w:t>
            </w:r>
            <w:r>
              <w:rPr>
                <w:color w:val="000000"/>
                <w:spacing w:val="-2"/>
              </w:rPr>
              <w:t xml:space="preserve"> podklasa </w:t>
            </w:r>
            <w:r w:rsidR="003E6B85" w:rsidRPr="003E6B85">
              <w:rPr>
                <w:color w:val="000000"/>
                <w:spacing w:val="-2"/>
              </w:rPr>
              <w:t>3822Z</w:t>
            </w:r>
            <w:r>
              <w:rPr>
                <w:color w:val="000000"/>
                <w:spacing w:val="-2"/>
              </w:rPr>
              <w:t xml:space="preserve"> </w:t>
            </w:r>
            <w:r w:rsidR="003E6B85" w:rsidRPr="003E6B85">
              <w:rPr>
                <w:color w:val="000000"/>
                <w:spacing w:val="-2"/>
              </w:rPr>
              <w:t>Przetwarzanie i unieszkodliwianie odpadów niebezpiecznych</w:t>
            </w:r>
          </w:p>
          <w:p w14:paraId="6547E039" w14:textId="1FDFF1B7" w:rsidR="003E6B85" w:rsidRPr="003E6B85" w:rsidRDefault="00E3460C" w:rsidP="00E625E7">
            <w:pPr>
              <w:ind w:right="126"/>
              <w:jc w:val="left"/>
              <w:rPr>
                <w:color w:val="000000"/>
                <w:spacing w:val="-2"/>
              </w:rPr>
            </w:pPr>
            <w:r>
              <w:rPr>
                <w:color w:val="000000"/>
                <w:spacing w:val="-2"/>
              </w:rPr>
              <w:lastRenderedPageBreak/>
              <w:t xml:space="preserve">Sekcja </w:t>
            </w:r>
            <w:r w:rsidRPr="003E6B85">
              <w:rPr>
                <w:color w:val="000000"/>
                <w:spacing w:val="-2"/>
              </w:rPr>
              <w:t>E</w:t>
            </w:r>
            <w:r>
              <w:rPr>
                <w:color w:val="000000"/>
                <w:spacing w:val="-2"/>
              </w:rPr>
              <w:t xml:space="preserve"> dział </w:t>
            </w:r>
            <w:r w:rsidRPr="003E6B85">
              <w:rPr>
                <w:color w:val="000000"/>
                <w:spacing w:val="-2"/>
              </w:rPr>
              <w:t>38</w:t>
            </w:r>
            <w:r>
              <w:rPr>
                <w:color w:val="000000"/>
                <w:spacing w:val="-2"/>
              </w:rPr>
              <w:t xml:space="preserve"> podklasa </w:t>
            </w:r>
            <w:r w:rsidR="003E6B85" w:rsidRPr="003E6B85">
              <w:rPr>
                <w:color w:val="000000"/>
                <w:spacing w:val="-2"/>
              </w:rPr>
              <w:t>3831Z</w:t>
            </w:r>
            <w:r>
              <w:rPr>
                <w:color w:val="000000"/>
                <w:spacing w:val="-2"/>
              </w:rPr>
              <w:t xml:space="preserve"> </w:t>
            </w:r>
            <w:r w:rsidR="003E6B85" w:rsidRPr="003E6B85">
              <w:rPr>
                <w:color w:val="000000"/>
                <w:spacing w:val="-2"/>
              </w:rPr>
              <w:t>Demontaż wyrobów zużytych</w:t>
            </w:r>
          </w:p>
          <w:p w14:paraId="1171DCD3" w14:textId="4D061CF4" w:rsidR="003E6B85" w:rsidRPr="003E6B85" w:rsidRDefault="00E3460C" w:rsidP="00E625E7">
            <w:pPr>
              <w:ind w:right="126"/>
              <w:jc w:val="left"/>
              <w:rPr>
                <w:color w:val="000000"/>
                <w:spacing w:val="-2"/>
              </w:rPr>
            </w:pPr>
            <w:r>
              <w:rPr>
                <w:color w:val="000000"/>
                <w:spacing w:val="-2"/>
              </w:rPr>
              <w:t xml:space="preserve">Sekcja </w:t>
            </w:r>
            <w:r w:rsidRPr="003E6B85">
              <w:rPr>
                <w:color w:val="000000"/>
                <w:spacing w:val="-2"/>
              </w:rPr>
              <w:t>E</w:t>
            </w:r>
            <w:r>
              <w:rPr>
                <w:color w:val="000000"/>
                <w:spacing w:val="-2"/>
              </w:rPr>
              <w:t xml:space="preserve"> dział </w:t>
            </w:r>
            <w:r w:rsidRPr="003E6B85">
              <w:rPr>
                <w:color w:val="000000"/>
                <w:spacing w:val="-2"/>
              </w:rPr>
              <w:t>38</w:t>
            </w:r>
            <w:r>
              <w:rPr>
                <w:color w:val="000000"/>
                <w:spacing w:val="-2"/>
              </w:rPr>
              <w:t xml:space="preserve"> podklasa </w:t>
            </w:r>
            <w:r w:rsidR="003E6B85" w:rsidRPr="003E6B85">
              <w:rPr>
                <w:color w:val="000000"/>
                <w:spacing w:val="-2"/>
              </w:rPr>
              <w:t>3832Z</w:t>
            </w:r>
            <w:r>
              <w:rPr>
                <w:color w:val="000000"/>
                <w:spacing w:val="-2"/>
              </w:rPr>
              <w:t xml:space="preserve"> </w:t>
            </w:r>
            <w:r w:rsidR="003E6B85" w:rsidRPr="003E6B85">
              <w:rPr>
                <w:color w:val="000000"/>
                <w:spacing w:val="-2"/>
              </w:rPr>
              <w:t>Odzysk surowców z materiałów segregowanych</w:t>
            </w:r>
          </w:p>
          <w:p w14:paraId="76216E03" w14:textId="0A1CFCBB" w:rsidR="003E6B85" w:rsidRPr="00875DBE" w:rsidRDefault="00E3460C" w:rsidP="00E625E7">
            <w:pPr>
              <w:ind w:right="126"/>
              <w:jc w:val="left"/>
              <w:rPr>
                <w:color w:val="000000"/>
                <w:spacing w:val="-2"/>
              </w:rPr>
            </w:pPr>
            <w:r>
              <w:rPr>
                <w:color w:val="000000"/>
                <w:spacing w:val="-2"/>
              </w:rPr>
              <w:t xml:space="preserve">Sekcja </w:t>
            </w:r>
            <w:r w:rsidRPr="003E6B85">
              <w:rPr>
                <w:color w:val="000000"/>
                <w:spacing w:val="-2"/>
              </w:rPr>
              <w:t>E</w:t>
            </w:r>
            <w:r>
              <w:rPr>
                <w:color w:val="000000"/>
                <w:spacing w:val="-2"/>
              </w:rPr>
              <w:t xml:space="preserve"> dział </w:t>
            </w:r>
            <w:r w:rsidRPr="003E6B85">
              <w:rPr>
                <w:color w:val="000000"/>
                <w:spacing w:val="-2"/>
              </w:rPr>
              <w:t>38</w:t>
            </w:r>
            <w:r>
              <w:rPr>
                <w:color w:val="000000"/>
                <w:spacing w:val="-2"/>
              </w:rPr>
              <w:t xml:space="preserve"> podklasa </w:t>
            </w:r>
            <w:r w:rsidR="003E6B85" w:rsidRPr="003E6B85">
              <w:rPr>
                <w:color w:val="000000"/>
                <w:spacing w:val="-2"/>
              </w:rPr>
              <w:t>3900Z</w:t>
            </w:r>
            <w:r>
              <w:rPr>
                <w:color w:val="000000"/>
                <w:spacing w:val="-2"/>
              </w:rPr>
              <w:t xml:space="preserve"> </w:t>
            </w:r>
            <w:r w:rsidR="00363B6F">
              <w:rPr>
                <w:color w:val="000000"/>
                <w:spacing w:val="-2"/>
              </w:rPr>
              <w:t>D</w:t>
            </w:r>
            <w:r w:rsidR="00363B6F" w:rsidRPr="003E6B85">
              <w:rPr>
                <w:color w:val="000000"/>
                <w:spacing w:val="-2"/>
              </w:rPr>
              <w:t>ziałalność związana z rekultywacją i pozostała działalność usługowa związana z gospodarką odpadami</w:t>
            </w:r>
          </w:p>
        </w:tc>
        <w:tc>
          <w:tcPr>
            <w:tcW w:w="1285" w:type="pct"/>
            <w:gridSpan w:val="6"/>
            <w:shd w:val="clear" w:color="auto" w:fill="auto"/>
          </w:tcPr>
          <w:p w14:paraId="7B865E46" w14:textId="54852D64" w:rsidR="008308FE" w:rsidRPr="00875DBE" w:rsidRDefault="008308FE" w:rsidP="00E625E7">
            <w:pPr>
              <w:ind w:right="118"/>
              <w:jc w:val="left"/>
              <w:rPr>
                <w:color w:val="000000"/>
                <w:spacing w:val="-2"/>
              </w:rPr>
            </w:pPr>
            <w:r w:rsidRPr="00875DBE">
              <w:lastRenderedPageBreak/>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30A9A489" w14:textId="77777777" w:rsidTr="00E625E7">
        <w:trPr>
          <w:trHeight w:val="142"/>
        </w:trPr>
        <w:tc>
          <w:tcPr>
            <w:tcW w:w="1372" w:type="pct"/>
            <w:gridSpan w:val="6"/>
            <w:shd w:val="clear" w:color="auto" w:fill="auto"/>
          </w:tcPr>
          <w:p w14:paraId="179EE584" w14:textId="365921AE" w:rsidR="008308FE" w:rsidRPr="00875DBE" w:rsidDel="00F062D1" w:rsidRDefault="008308FE" w:rsidP="00E625E7">
            <w:pPr>
              <w:tabs>
                <w:tab w:val="left" w:pos="1560"/>
              </w:tabs>
              <w:ind w:right="177"/>
              <w:jc w:val="left"/>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infrastruktury cyfrowej</w:t>
            </w:r>
            <w:r w:rsidR="00B069F7">
              <w:t xml:space="preserve"> z wyłączeniem podsektora komunikacji elektronicznej</w:t>
            </w:r>
          </w:p>
        </w:tc>
        <w:tc>
          <w:tcPr>
            <w:tcW w:w="1062" w:type="pct"/>
            <w:gridSpan w:val="6"/>
            <w:shd w:val="clear" w:color="auto" w:fill="auto"/>
          </w:tcPr>
          <w:p w14:paraId="45D7BC3D" w14:textId="6619652F" w:rsidR="008308FE" w:rsidRPr="00875DBE" w:rsidRDefault="00331E9B" w:rsidP="008308FE">
            <w:pPr>
              <w:rPr>
                <w:color w:val="000000"/>
                <w:spacing w:val="-2"/>
              </w:rPr>
            </w:pPr>
            <w:r>
              <w:t>462</w:t>
            </w:r>
          </w:p>
        </w:tc>
        <w:tc>
          <w:tcPr>
            <w:tcW w:w="1281" w:type="pct"/>
            <w:gridSpan w:val="10"/>
            <w:shd w:val="clear" w:color="auto" w:fill="auto"/>
          </w:tcPr>
          <w:p w14:paraId="005D4E59" w14:textId="774BB42E" w:rsidR="008308FE" w:rsidRPr="00875DBE" w:rsidRDefault="00B069F7" w:rsidP="00E625E7">
            <w:pPr>
              <w:ind w:right="126"/>
              <w:jc w:val="left"/>
              <w:rPr>
                <w:color w:val="000000"/>
                <w:spacing w:val="-2"/>
              </w:rPr>
            </w:pPr>
            <w:r>
              <w:t>Szacunki Ministerstwa Cyfryzacji</w:t>
            </w:r>
          </w:p>
        </w:tc>
        <w:tc>
          <w:tcPr>
            <w:tcW w:w="1285" w:type="pct"/>
            <w:gridSpan w:val="6"/>
            <w:shd w:val="clear" w:color="auto" w:fill="auto"/>
          </w:tcPr>
          <w:p w14:paraId="16936C2C" w14:textId="56A682D6"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1F164B8D" w14:textId="77777777" w:rsidTr="00E625E7">
        <w:trPr>
          <w:trHeight w:val="142"/>
        </w:trPr>
        <w:tc>
          <w:tcPr>
            <w:tcW w:w="1372" w:type="pct"/>
            <w:gridSpan w:val="6"/>
            <w:shd w:val="clear" w:color="auto" w:fill="auto"/>
          </w:tcPr>
          <w:p w14:paraId="17B400FF" w14:textId="3239D66F" w:rsidR="008308FE" w:rsidRPr="00875DBE" w:rsidDel="00F062D1" w:rsidRDefault="008308FE" w:rsidP="00E625E7">
            <w:pPr>
              <w:tabs>
                <w:tab w:val="left" w:pos="1560"/>
              </w:tabs>
              <w:ind w:right="177"/>
              <w:jc w:val="left"/>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00B069F7">
              <w:t>pod</w:t>
            </w:r>
            <w:r w:rsidRPr="00875DBE">
              <w:t>sektora komunikacji elektronicznej</w:t>
            </w:r>
          </w:p>
        </w:tc>
        <w:tc>
          <w:tcPr>
            <w:tcW w:w="1062" w:type="pct"/>
            <w:gridSpan w:val="6"/>
            <w:shd w:val="clear" w:color="auto" w:fill="auto"/>
          </w:tcPr>
          <w:p w14:paraId="6F96F7F9" w14:textId="3D2638AD" w:rsidR="008308FE" w:rsidRPr="00875DBE" w:rsidRDefault="008308FE" w:rsidP="008308FE">
            <w:pPr>
              <w:rPr>
                <w:color w:val="000000"/>
                <w:spacing w:val="-2"/>
              </w:rPr>
            </w:pPr>
            <w:r w:rsidRPr="00875DBE">
              <w:t>3784</w:t>
            </w:r>
          </w:p>
        </w:tc>
        <w:tc>
          <w:tcPr>
            <w:tcW w:w="1281" w:type="pct"/>
            <w:gridSpan w:val="10"/>
            <w:shd w:val="clear" w:color="auto" w:fill="auto"/>
          </w:tcPr>
          <w:p w14:paraId="0DB3F449" w14:textId="2E4C4F6F" w:rsidR="008308FE" w:rsidRPr="00875DBE" w:rsidRDefault="008308FE" w:rsidP="00E625E7">
            <w:pPr>
              <w:ind w:right="126"/>
              <w:jc w:val="left"/>
              <w:rPr>
                <w:color w:val="000000"/>
                <w:spacing w:val="-2"/>
              </w:rPr>
            </w:pPr>
            <w:r w:rsidRPr="00875DBE">
              <w:t>Rejestr przedsiębiorców telekomunikacyjnych;</w:t>
            </w:r>
            <w:r w:rsidR="00E32125" w:rsidRPr="00875DBE">
              <w:t xml:space="preserve"> w </w:t>
            </w:r>
            <w:r w:rsidRPr="00875DBE">
              <w:t xml:space="preserve">zakresie podmiotów </w:t>
            </w:r>
            <w:r w:rsidR="003748BE">
              <w:t>świadczących usługę komunikacji interpersonalnej niewykorzystującej numerów (OTT-1)</w:t>
            </w:r>
            <w:r w:rsidR="003748BE" w:rsidRPr="00875DBE">
              <w:t xml:space="preserve"> </w:t>
            </w:r>
            <w:r w:rsidRPr="00875DBE">
              <w:t>brak danych</w:t>
            </w:r>
          </w:p>
        </w:tc>
        <w:tc>
          <w:tcPr>
            <w:tcW w:w="1285" w:type="pct"/>
            <w:gridSpan w:val="6"/>
            <w:shd w:val="clear" w:color="auto" w:fill="auto"/>
          </w:tcPr>
          <w:p w14:paraId="4BAF4C7E" w14:textId="1C655BC6"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6B9EC544" w14:textId="77777777" w:rsidTr="00E625E7">
        <w:trPr>
          <w:trHeight w:val="142"/>
        </w:trPr>
        <w:tc>
          <w:tcPr>
            <w:tcW w:w="1372" w:type="pct"/>
            <w:gridSpan w:val="6"/>
            <w:shd w:val="clear" w:color="auto" w:fill="auto"/>
          </w:tcPr>
          <w:p w14:paraId="2F58D181" w14:textId="6D2A4099" w:rsidR="008308FE" w:rsidRPr="00875DBE" w:rsidDel="00F062D1" w:rsidRDefault="008308FE" w:rsidP="00E625E7">
            <w:pPr>
              <w:tabs>
                <w:tab w:val="left" w:pos="1560"/>
              </w:tabs>
              <w:ind w:right="177"/>
              <w:jc w:val="left"/>
              <w:rPr>
                <w:color w:val="000000"/>
              </w:rPr>
            </w:pPr>
            <w:r w:rsidRPr="00875DBE">
              <w:t>Podmioty ważne</w:t>
            </w:r>
            <w:r w:rsidR="00E32125" w:rsidRPr="00875DBE">
              <w:t xml:space="preserve"> z </w:t>
            </w:r>
            <w:r w:rsidRPr="00875DBE">
              <w:t>sektora poczty</w:t>
            </w:r>
          </w:p>
        </w:tc>
        <w:tc>
          <w:tcPr>
            <w:tcW w:w="1062" w:type="pct"/>
            <w:gridSpan w:val="6"/>
            <w:shd w:val="clear" w:color="auto" w:fill="auto"/>
          </w:tcPr>
          <w:p w14:paraId="7D6A2152" w14:textId="68A4DC8E" w:rsidR="008308FE" w:rsidRPr="00875DBE" w:rsidRDefault="008308FE" w:rsidP="008308FE">
            <w:pPr>
              <w:rPr>
                <w:color w:val="000000"/>
                <w:spacing w:val="-2"/>
              </w:rPr>
            </w:pPr>
            <w:r w:rsidRPr="00875DBE">
              <w:t>280</w:t>
            </w:r>
          </w:p>
        </w:tc>
        <w:tc>
          <w:tcPr>
            <w:tcW w:w="1281" w:type="pct"/>
            <w:gridSpan w:val="10"/>
            <w:shd w:val="clear" w:color="auto" w:fill="auto"/>
          </w:tcPr>
          <w:p w14:paraId="6B8D305C" w14:textId="17AE2C00" w:rsidR="008308FE" w:rsidRPr="00875DBE" w:rsidRDefault="008308FE" w:rsidP="00E625E7">
            <w:pPr>
              <w:ind w:right="126"/>
              <w:jc w:val="left"/>
              <w:rPr>
                <w:color w:val="000000"/>
                <w:spacing w:val="-2"/>
              </w:rPr>
            </w:pPr>
            <w:r w:rsidRPr="00875DBE">
              <w:t>Rejestr operatorów pocztowych</w:t>
            </w:r>
          </w:p>
        </w:tc>
        <w:tc>
          <w:tcPr>
            <w:tcW w:w="1285" w:type="pct"/>
            <w:gridSpan w:val="6"/>
            <w:shd w:val="clear" w:color="auto" w:fill="auto"/>
          </w:tcPr>
          <w:p w14:paraId="22853714" w14:textId="4B74D9E3"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256B8A1D" w14:textId="77777777" w:rsidTr="00E625E7">
        <w:trPr>
          <w:trHeight w:val="142"/>
        </w:trPr>
        <w:tc>
          <w:tcPr>
            <w:tcW w:w="1372" w:type="pct"/>
            <w:gridSpan w:val="6"/>
            <w:shd w:val="clear" w:color="auto" w:fill="auto"/>
          </w:tcPr>
          <w:p w14:paraId="4E9CE770" w14:textId="0A05A5A7" w:rsidR="008308FE" w:rsidRPr="00875DBE" w:rsidDel="00F062D1" w:rsidRDefault="008308FE" w:rsidP="00E625E7">
            <w:pPr>
              <w:tabs>
                <w:tab w:val="left" w:pos="1560"/>
              </w:tabs>
              <w:ind w:right="177"/>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produkcja, przetwarzanie</w:t>
            </w:r>
            <w:r w:rsidR="00E32125" w:rsidRPr="00875DBE">
              <w:t xml:space="preserve"> i </w:t>
            </w:r>
            <w:r w:rsidRPr="00875DBE">
              <w:t>dystrybucja żywności</w:t>
            </w:r>
          </w:p>
        </w:tc>
        <w:tc>
          <w:tcPr>
            <w:tcW w:w="1062" w:type="pct"/>
            <w:gridSpan w:val="6"/>
            <w:shd w:val="clear" w:color="auto" w:fill="auto"/>
          </w:tcPr>
          <w:p w14:paraId="746782CF" w14:textId="35877975" w:rsidR="008308FE" w:rsidRPr="00875DBE" w:rsidRDefault="008308FE" w:rsidP="008308FE">
            <w:pPr>
              <w:rPr>
                <w:color w:val="000000"/>
                <w:spacing w:val="-2"/>
              </w:rPr>
            </w:pPr>
            <w:r w:rsidRPr="00875DBE">
              <w:t>1204</w:t>
            </w:r>
          </w:p>
        </w:tc>
        <w:tc>
          <w:tcPr>
            <w:tcW w:w="1281" w:type="pct"/>
            <w:gridSpan w:val="10"/>
            <w:shd w:val="clear" w:color="auto" w:fill="auto"/>
          </w:tcPr>
          <w:p w14:paraId="072CE334" w14:textId="77777777" w:rsidR="008308FE" w:rsidRDefault="008308FE" w:rsidP="00E625E7">
            <w:pPr>
              <w:ind w:right="126"/>
              <w:jc w:val="left"/>
            </w:pPr>
            <w:r w:rsidRPr="00875DBE">
              <w:t>REGON</w:t>
            </w:r>
          </w:p>
          <w:p w14:paraId="29D24992" w14:textId="408E5893" w:rsidR="00B339EC" w:rsidRDefault="0027628B" w:rsidP="00E625E7">
            <w:pPr>
              <w:ind w:right="126"/>
              <w:jc w:val="left"/>
              <w:rPr>
                <w:color w:val="000000"/>
                <w:spacing w:val="-2"/>
              </w:rPr>
            </w:pPr>
            <w:r>
              <w:rPr>
                <w:color w:val="000000"/>
                <w:spacing w:val="-2"/>
              </w:rPr>
              <w:t>PKD</w:t>
            </w:r>
            <w:r w:rsidR="00B339EC">
              <w:rPr>
                <w:color w:val="000000"/>
                <w:spacing w:val="-2"/>
              </w:rPr>
              <w:t>:</w:t>
            </w:r>
          </w:p>
          <w:p w14:paraId="40059BE0" w14:textId="57DBE44D" w:rsidR="00F669C1" w:rsidRPr="00F669C1" w:rsidRDefault="0027628B" w:rsidP="00E625E7">
            <w:pPr>
              <w:ind w:right="126"/>
              <w:jc w:val="left"/>
              <w:rPr>
                <w:color w:val="000000"/>
                <w:spacing w:val="-2"/>
              </w:rPr>
            </w:pPr>
            <w:r>
              <w:rPr>
                <w:color w:val="000000"/>
                <w:spacing w:val="-2"/>
              </w:rPr>
              <w:t xml:space="preserve">sekcja </w:t>
            </w:r>
            <w:r w:rsidR="00F669C1" w:rsidRPr="00F669C1">
              <w:rPr>
                <w:color w:val="000000"/>
                <w:spacing w:val="-2"/>
              </w:rPr>
              <w:t>C</w:t>
            </w:r>
            <w:r>
              <w:rPr>
                <w:color w:val="000000"/>
                <w:spacing w:val="-2"/>
              </w:rPr>
              <w:t xml:space="preserve"> dział </w:t>
            </w:r>
            <w:r w:rsidR="00F669C1" w:rsidRPr="00F669C1">
              <w:rPr>
                <w:color w:val="000000"/>
                <w:spacing w:val="-2"/>
              </w:rPr>
              <w:t>10</w:t>
            </w:r>
            <w:r>
              <w:rPr>
                <w:color w:val="000000"/>
                <w:spacing w:val="-2"/>
              </w:rPr>
              <w:t xml:space="preserve"> P</w:t>
            </w:r>
            <w:r w:rsidRPr="00F669C1">
              <w:rPr>
                <w:color w:val="000000"/>
                <w:spacing w:val="-2"/>
              </w:rPr>
              <w:t>rodukcja artykułów spożywczych</w:t>
            </w:r>
          </w:p>
          <w:p w14:paraId="3239B39F" w14:textId="313761CE" w:rsidR="00F669C1" w:rsidRPr="00F669C1" w:rsidRDefault="007815B3" w:rsidP="00E625E7">
            <w:pPr>
              <w:ind w:right="126"/>
              <w:jc w:val="left"/>
              <w:rPr>
                <w:color w:val="000000"/>
                <w:spacing w:val="-2"/>
              </w:rPr>
            </w:pPr>
            <w:r>
              <w:rPr>
                <w:color w:val="000000"/>
                <w:spacing w:val="-2"/>
              </w:rPr>
              <w:t xml:space="preserve">Sekcja H dział 46 podklasa </w:t>
            </w:r>
            <w:r w:rsidR="00F669C1" w:rsidRPr="00F669C1">
              <w:rPr>
                <w:color w:val="000000"/>
                <w:spacing w:val="-2"/>
              </w:rPr>
              <w:t>4631Z</w:t>
            </w:r>
            <w:r>
              <w:rPr>
                <w:color w:val="000000"/>
                <w:spacing w:val="-2"/>
              </w:rPr>
              <w:t xml:space="preserve"> </w:t>
            </w:r>
            <w:r w:rsidR="00F669C1" w:rsidRPr="00F669C1">
              <w:rPr>
                <w:color w:val="000000"/>
                <w:spacing w:val="-2"/>
              </w:rPr>
              <w:t>Sprzedaż hurtowa owoców i warzyw</w:t>
            </w:r>
          </w:p>
          <w:p w14:paraId="6AACAD08" w14:textId="1C47CB33" w:rsidR="00F669C1" w:rsidRPr="00F669C1" w:rsidRDefault="007815B3" w:rsidP="00E625E7">
            <w:pPr>
              <w:ind w:right="126"/>
              <w:jc w:val="left"/>
              <w:rPr>
                <w:color w:val="000000"/>
                <w:spacing w:val="-2"/>
              </w:rPr>
            </w:pPr>
            <w:r>
              <w:rPr>
                <w:color w:val="000000"/>
                <w:spacing w:val="-2"/>
              </w:rPr>
              <w:lastRenderedPageBreak/>
              <w:t xml:space="preserve">Sekcja H dział 46 podklasa </w:t>
            </w:r>
            <w:r w:rsidR="00F669C1" w:rsidRPr="00F669C1">
              <w:rPr>
                <w:color w:val="000000"/>
                <w:spacing w:val="-2"/>
              </w:rPr>
              <w:t>4632Z</w:t>
            </w:r>
            <w:r>
              <w:rPr>
                <w:color w:val="000000"/>
                <w:spacing w:val="-2"/>
              </w:rPr>
              <w:t xml:space="preserve"> </w:t>
            </w:r>
            <w:r w:rsidR="00F669C1" w:rsidRPr="00F669C1">
              <w:rPr>
                <w:color w:val="000000"/>
                <w:spacing w:val="-2"/>
              </w:rPr>
              <w:t>Sprzedaż hurtowa mięsa i wyrobów z mięsa</w:t>
            </w:r>
          </w:p>
          <w:p w14:paraId="7D76F6AD" w14:textId="42221138" w:rsidR="00F669C1" w:rsidRPr="00F669C1" w:rsidRDefault="007815B3" w:rsidP="00E625E7">
            <w:pPr>
              <w:ind w:right="126"/>
              <w:jc w:val="left"/>
              <w:rPr>
                <w:color w:val="000000"/>
                <w:spacing w:val="-2"/>
              </w:rPr>
            </w:pPr>
            <w:r>
              <w:rPr>
                <w:color w:val="000000"/>
                <w:spacing w:val="-2"/>
              </w:rPr>
              <w:t xml:space="preserve">Sekcja H dział 46 podklasa </w:t>
            </w:r>
            <w:r w:rsidR="00F669C1" w:rsidRPr="00F669C1">
              <w:rPr>
                <w:color w:val="000000"/>
                <w:spacing w:val="-2"/>
              </w:rPr>
              <w:t>4633Z</w:t>
            </w:r>
            <w:r>
              <w:rPr>
                <w:color w:val="000000"/>
                <w:spacing w:val="-2"/>
              </w:rPr>
              <w:t xml:space="preserve"> </w:t>
            </w:r>
            <w:r w:rsidR="00F669C1" w:rsidRPr="00F669C1">
              <w:rPr>
                <w:color w:val="000000"/>
                <w:spacing w:val="-2"/>
              </w:rPr>
              <w:t>Sprzedaż hurtowa mleka, wyrobów mleczarskich, jaj, olejów i tłuszczów jadalnych</w:t>
            </w:r>
          </w:p>
          <w:p w14:paraId="57E244D4" w14:textId="2DC36183" w:rsidR="00F669C1" w:rsidRPr="00F669C1" w:rsidRDefault="007815B3" w:rsidP="00E625E7">
            <w:pPr>
              <w:ind w:right="126"/>
              <w:jc w:val="left"/>
              <w:rPr>
                <w:color w:val="000000"/>
                <w:spacing w:val="-2"/>
              </w:rPr>
            </w:pPr>
            <w:r>
              <w:rPr>
                <w:color w:val="000000"/>
                <w:spacing w:val="-2"/>
              </w:rPr>
              <w:t xml:space="preserve">Sekcja H dział 46 podklasa </w:t>
            </w:r>
            <w:r w:rsidR="00F669C1" w:rsidRPr="00F669C1">
              <w:rPr>
                <w:color w:val="000000"/>
                <w:spacing w:val="-2"/>
              </w:rPr>
              <w:t>4634A</w:t>
            </w:r>
            <w:r>
              <w:rPr>
                <w:color w:val="000000"/>
                <w:spacing w:val="-2"/>
              </w:rPr>
              <w:t xml:space="preserve"> </w:t>
            </w:r>
            <w:r w:rsidR="00F669C1" w:rsidRPr="00F669C1">
              <w:rPr>
                <w:color w:val="000000"/>
                <w:spacing w:val="-2"/>
              </w:rPr>
              <w:t>Sprzedaż hurtowa napojów alkoholowych</w:t>
            </w:r>
          </w:p>
          <w:p w14:paraId="42123835" w14:textId="12D3A692" w:rsidR="00F669C1" w:rsidRPr="00875DBE" w:rsidRDefault="007815B3" w:rsidP="00E625E7">
            <w:pPr>
              <w:ind w:right="126"/>
              <w:jc w:val="left"/>
              <w:rPr>
                <w:color w:val="000000"/>
                <w:spacing w:val="-2"/>
              </w:rPr>
            </w:pPr>
            <w:r>
              <w:rPr>
                <w:color w:val="000000"/>
                <w:spacing w:val="-2"/>
              </w:rPr>
              <w:t xml:space="preserve">Sekcja H dział 46 podklasa </w:t>
            </w:r>
            <w:r w:rsidR="00F669C1" w:rsidRPr="00F669C1">
              <w:rPr>
                <w:color w:val="000000"/>
                <w:spacing w:val="-2"/>
              </w:rPr>
              <w:t>4634B</w:t>
            </w:r>
            <w:r>
              <w:rPr>
                <w:color w:val="000000"/>
                <w:spacing w:val="-2"/>
              </w:rPr>
              <w:t xml:space="preserve"> </w:t>
            </w:r>
            <w:r w:rsidR="00F669C1" w:rsidRPr="00F669C1">
              <w:rPr>
                <w:color w:val="000000"/>
                <w:spacing w:val="-2"/>
              </w:rPr>
              <w:t>Sprzedaż hurtowa napojów bezalkoholowych</w:t>
            </w:r>
          </w:p>
        </w:tc>
        <w:tc>
          <w:tcPr>
            <w:tcW w:w="1285" w:type="pct"/>
            <w:gridSpan w:val="6"/>
            <w:shd w:val="clear" w:color="auto" w:fill="auto"/>
          </w:tcPr>
          <w:p w14:paraId="50033094" w14:textId="5C9BAB43" w:rsidR="008308FE" w:rsidRPr="00875DBE" w:rsidRDefault="008308FE" w:rsidP="00E625E7">
            <w:pPr>
              <w:ind w:right="118"/>
              <w:jc w:val="left"/>
              <w:rPr>
                <w:color w:val="000000"/>
                <w:spacing w:val="-2"/>
              </w:rPr>
            </w:pPr>
            <w:r w:rsidRPr="00875DBE">
              <w:lastRenderedPageBreak/>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 xml:space="preserve">procesów ICT </w:t>
            </w:r>
            <w:r w:rsidR="006E7FC3">
              <w:lastRenderedPageBreak/>
              <w:t>w</w:t>
            </w:r>
            <w:r w:rsidR="005D157C">
              <w:t> </w:t>
            </w:r>
            <w:r w:rsidR="006E7FC3">
              <w:t>przypadku uznania dostawcy za dostawcę wysokiego ryzyka.</w:t>
            </w:r>
          </w:p>
        </w:tc>
      </w:tr>
      <w:tr w:rsidR="000D53AB" w:rsidRPr="00875DBE" w14:paraId="3506028F" w14:textId="77777777" w:rsidTr="00E625E7">
        <w:trPr>
          <w:trHeight w:val="142"/>
        </w:trPr>
        <w:tc>
          <w:tcPr>
            <w:tcW w:w="1372" w:type="pct"/>
            <w:gridSpan w:val="6"/>
            <w:shd w:val="clear" w:color="auto" w:fill="auto"/>
          </w:tcPr>
          <w:p w14:paraId="0D557DCB" w14:textId="018125B4" w:rsidR="008308FE" w:rsidRPr="00875DBE" w:rsidDel="00F062D1" w:rsidRDefault="008308FE" w:rsidP="00E625E7">
            <w:pPr>
              <w:tabs>
                <w:tab w:val="left" w:pos="1560"/>
              </w:tabs>
              <w:ind w:right="177"/>
              <w:jc w:val="left"/>
              <w:rPr>
                <w:color w:val="000000"/>
              </w:rPr>
            </w:pPr>
            <w:r w:rsidRPr="00875DBE">
              <w:lastRenderedPageBreak/>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produkcja, wytwarzanie</w:t>
            </w:r>
            <w:r w:rsidR="00E32125" w:rsidRPr="00875DBE">
              <w:t xml:space="preserve"> i </w:t>
            </w:r>
            <w:r w:rsidRPr="00875DBE">
              <w:t>dystrybucja chemikaliów</w:t>
            </w:r>
          </w:p>
        </w:tc>
        <w:tc>
          <w:tcPr>
            <w:tcW w:w="1062" w:type="pct"/>
            <w:gridSpan w:val="6"/>
            <w:shd w:val="clear" w:color="auto" w:fill="auto"/>
          </w:tcPr>
          <w:p w14:paraId="23C77E8F" w14:textId="4DD782F9" w:rsidR="008308FE" w:rsidRPr="00875DBE" w:rsidRDefault="008308FE" w:rsidP="008308FE">
            <w:pPr>
              <w:rPr>
                <w:color w:val="000000"/>
                <w:spacing w:val="-2"/>
              </w:rPr>
            </w:pPr>
            <w:r w:rsidRPr="00875DBE">
              <w:t>214</w:t>
            </w:r>
          </w:p>
        </w:tc>
        <w:tc>
          <w:tcPr>
            <w:tcW w:w="1281" w:type="pct"/>
            <w:gridSpan w:val="10"/>
            <w:shd w:val="clear" w:color="auto" w:fill="auto"/>
          </w:tcPr>
          <w:p w14:paraId="679E4515" w14:textId="77777777" w:rsidR="008308FE" w:rsidRDefault="008308FE" w:rsidP="00E625E7">
            <w:pPr>
              <w:ind w:right="126"/>
              <w:jc w:val="left"/>
            </w:pPr>
            <w:r w:rsidRPr="00875DBE">
              <w:t>REGON</w:t>
            </w:r>
          </w:p>
          <w:p w14:paraId="374EF510" w14:textId="4628D8D1" w:rsidR="00C476C3" w:rsidRPr="00875DBE" w:rsidRDefault="0027628B" w:rsidP="00E625E7">
            <w:pPr>
              <w:ind w:right="126"/>
              <w:jc w:val="left"/>
              <w:rPr>
                <w:color w:val="000000"/>
                <w:spacing w:val="-2"/>
              </w:rPr>
            </w:pPr>
            <w:r>
              <w:rPr>
                <w:color w:val="000000"/>
                <w:spacing w:val="-2"/>
              </w:rPr>
              <w:t xml:space="preserve">PKD sekcja </w:t>
            </w:r>
            <w:r w:rsidR="00C476C3" w:rsidRPr="00C476C3">
              <w:rPr>
                <w:color w:val="000000"/>
                <w:spacing w:val="-2"/>
              </w:rPr>
              <w:t>C</w:t>
            </w:r>
            <w:r>
              <w:rPr>
                <w:color w:val="000000"/>
                <w:spacing w:val="-2"/>
              </w:rPr>
              <w:t xml:space="preserve"> dział </w:t>
            </w:r>
            <w:r w:rsidR="00C476C3" w:rsidRPr="00C476C3">
              <w:rPr>
                <w:color w:val="000000"/>
                <w:spacing w:val="-2"/>
              </w:rPr>
              <w:t>20</w:t>
            </w:r>
            <w:r>
              <w:rPr>
                <w:color w:val="000000"/>
                <w:spacing w:val="-2"/>
              </w:rPr>
              <w:t xml:space="preserve"> P</w:t>
            </w:r>
            <w:r w:rsidRPr="00C476C3">
              <w:rPr>
                <w:color w:val="000000"/>
                <w:spacing w:val="-2"/>
              </w:rPr>
              <w:t>rodukcja chemikaliów i wyrobów chemicznych</w:t>
            </w:r>
          </w:p>
        </w:tc>
        <w:tc>
          <w:tcPr>
            <w:tcW w:w="1285" w:type="pct"/>
            <w:gridSpan w:val="6"/>
            <w:shd w:val="clear" w:color="auto" w:fill="auto"/>
          </w:tcPr>
          <w:p w14:paraId="6B1C3ABB" w14:textId="1252BAC3"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2A61446F" w14:textId="77777777" w:rsidTr="00E625E7">
        <w:trPr>
          <w:trHeight w:val="142"/>
        </w:trPr>
        <w:tc>
          <w:tcPr>
            <w:tcW w:w="1372" w:type="pct"/>
            <w:gridSpan w:val="6"/>
            <w:shd w:val="clear" w:color="auto" w:fill="auto"/>
          </w:tcPr>
          <w:p w14:paraId="0F0752F1" w14:textId="26BA13DC" w:rsidR="008308FE" w:rsidRPr="00875DBE" w:rsidDel="00F062D1" w:rsidRDefault="008308FE" w:rsidP="00E625E7">
            <w:pPr>
              <w:tabs>
                <w:tab w:val="left" w:pos="1560"/>
              </w:tabs>
              <w:ind w:right="177"/>
              <w:jc w:val="left"/>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produkcji</w:t>
            </w:r>
            <w:r w:rsidR="00BD3BED" w:rsidRPr="00875DBE">
              <w:t>,</w:t>
            </w:r>
            <w:r w:rsidR="00E32125" w:rsidRPr="00875DBE">
              <w:t xml:space="preserve"> z </w:t>
            </w:r>
            <w:r w:rsidRPr="00875DBE">
              <w:t>wyłączeniem wyrobów medycznych</w:t>
            </w:r>
          </w:p>
        </w:tc>
        <w:tc>
          <w:tcPr>
            <w:tcW w:w="1062" w:type="pct"/>
            <w:gridSpan w:val="6"/>
            <w:shd w:val="clear" w:color="auto" w:fill="auto"/>
          </w:tcPr>
          <w:p w14:paraId="270592C9" w14:textId="3AB4A48D" w:rsidR="008308FE" w:rsidRPr="00875DBE" w:rsidRDefault="008308FE" w:rsidP="008308FE">
            <w:pPr>
              <w:rPr>
                <w:color w:val="000000"/>
                <w:spacing w:val="-2"/>
              </w:rPr>
            </w:pPr>
            <w:r w:rsidRPr="00875DBE">
              <w:t>1120</w:t>
            </w:r>
          </w:p>
        </w:tc>
        <w:tc>
          <w:tcPr>
            <w:tcW w:w="1281" w:type="pct"/>
            <w:gridSpan w:val="10"/>
            <w:shd w:val="clear" w:color="auto" w:fill="auto"/>
          </w:tcPr>
          <w:p w14:paraId="185C0D34" w14:textId="77777777" w:rsidR="008308FE" w:rsidRDefault="008308FE" w:rsidP="00E625E7">
            <w:pPr>
              <w:ind w:right="126"/>
              <w:jc w:val="left"/>
            </w:pPr>
            <w:r w:rsidRPr="00875DBE">
              <w:t>REGON</w:t>
            </w:r>
          </w:p>
          <w:p w14:paraId="03D5CA30" w14:textId="360F525E" w:rsidR="00882499" w:rsidRPr="00882499" w:rsidRDefault="000425D6" w:rsidP="00E625E7">
            <w:pPr>
              <w:ind w:right="126"/>
              <w:jc w:val="left"/>
              <w:rPr>
                <w:color w:val="000000"/>
                <w:spacing w:val="-2"/>
              </w:rPr>
            </w:pPr>
            <w:r>
              <w:rPr>
                <w:color w:val="000000"/>
                <w:spacing w:val="-2"/>
              </w:rPr>
              <w:t xml:space="preserve">PKD sekcja </w:t>
            </w:r>
            <w:r w:rsidR="00882499" w:rsidRPr="00882499">
              <w:rPr>
                <w:color w:val="000000"/>
                <w:spacing w:val="-2"/>
              </w:rPr>
              <w:t>C</w:t>
            </w:r>
            <w:r>
              <w:rPr>
                <w:color w:val="000000"/>
                <w:spacing w:val="-2"/>
              </w:rPr>
              <w:t xml:space="preserve"> dział </w:t>
            </w:r>
            <w:r w:rsidR="00882499" w:rsidRPr="00882499">
              <w:rPr>
                <w:color w:val="000000"/>
                <w:spacing w:val="-2"/>
              </w:rPr>
              <w:t>26</w:t>
            </w:r>
            <w:r>
              <w:rPr>
                <w:color w:val="000000"/>
                <w:spacing w:val="-2"/>
              </w:rPr>
              <w:t xml:space="preserve"> P</w:t>
            </w:r>
            <w:r w:rsidRPr="00882499">
              <w:rPr>
                <w:color w:val="000000"/>
                <w:spacing w:val="-2"/>
              </w:rPr>
              <w:t>rodukcja komputerów, wyrobów elektronicznych i optycznych</w:t>
            </w:r>
          </w:p>
          <w:p w14:paraId="3BBA389A" w14:textId="7C447581" w:rsidR="00882499" w:rsidRPr="00882499" w:rsidRDefault="000425D6" w:rsidP="00E625E7">
            <w:pPr>
              <w:ind w:right="126"/>
              <w:jc w:val="left"/>
              <w:rPr>
                <w:color w:val="000000"/>
                <w:spacing w:val="-2"/>
              </w:rPr>
            </w:pPr>
            <w:r>
              <w:rPr>
                <w:color w:val="000000"/>
                <w:spacing w:val="-2"/>
              </w:rPr>
              <w:t xml:space="preserve">PKD sekcja </w:t>
            </w:r>
            <w:r w:rsidR="00882499" w:rsidRPr="00882499">
              <w:rPr>
                <w:color w:val="000000"/>
                <w:spacing w:val="-2"/>
              </w:rPr>
              <w:t>C</w:t>
            </w:r>
            <w:r>
              <w:rPr>
                <w:color w:val="000000"/>
                <w:spacing w:val="-2"/>
              </w:rPr>
              <w:t xml:space="preserve"> dział </w:t>
            </w:r>
            <w:r w:rsidR="00882499" w:rsidRPr="00882499">
              <w:rPr>
                <w:color w:val="000000"/>
                <w:spacing w:val="-2"/>
              </w:rPr>
              <w:t>27</w:t>
            </w:r>
            <w:r>
              <w:rPr>
                <w:color w:val="000000"/>
                <w:spacing w:val="-2"/>
              </w:rPr>
              <w:t xml:space="preserve"> P</w:t>
            </w:r>
            <w:r w:rsidRPr="00882499">
              <w:rPr>
                <w:color w:val="000000"/>
                <w:spacing w:val="-2"/>
              </w:rPr>
              <w:t>rodukcja urządzeń elektrycznych</w:t>
            </w:r>
          </w:p>
          <w:p w14:paraId="721A4961" w14:textId="545DCBF7" w:rsidR="00882499" w:rsidRPr="00882499" w:rsidRDefault="00BF23C7" w:rsidP="00E625E7">
            <w:pPr>
              <w:ind w:right="126"/>
              <w:jc w:val="left"/>
              <w:rPr>
                <w:color w:val="000000"/>
                <w:spacing w:val="-2"/>
              </w:rPr>
            </w:pPr>
            <w:r>
              <w:rPr>
                <w:color w:val="000000"/>
                <w:spacing w:val="-2"/>
              </w:rPr>
              <w:t xml:space="preserve">PKD sekcja </w:t>
            </w:r>
            <w:r w:rsidR="00882499" w:rsidRPr="00882499">
              <w:rPr>
                <w:color w:val="000000"/>
                <w:spacing w:val="-2"/>
              </w:rPr>
              <w:t>C</w:t>
            </w:r>
            <w:r>
              <w:rPr>
                <w:color w:val="000000"/>
                <w:spacing w:val="-2"/>
              </w:rPr>
              <w:t xml:space="preserve"> dział </w:t>
            </w:r>
            <w:r w:rsidR="00882499" w:rsidRPr="00882499">
              <w:rPr>
                <w:color w:val="000000"/>
                <w:spacing w:val="-2"/>
              </w:rPr>
              <w:t>28</w:t>
            </w:r>
            <w:r>
              <w:rPr>
                <w:color w:val="000000"/>
                <w:spacing w:val="-2"/>
              </w:rPr>
              <w:t xml:space="preserve"> P</w:t>
            </w:r>
            <w:r w:rsidRPr="00882499">
              <w:rPr>
                <w:color w:val="000000"/>
                <w:spacing w:val="-2"/>
              </w:rPr>
              <w:t>rodukcja maszyn i urządzeń, gdzie indziej niesklasyfikowana</w:t>
            </w:r>
          </w:p>
          <w:p w14:paraId="757DFB7B" w14:textId="4AAB03FE" w:rsidR="00882499" w:rsidRPr="00882499" w:rsidRDefault="00BF23C7" w:rsidP="00E625E7">
            <w:pPr>
              <w:ind w:right="126"/>
              <w:jc w:val="left"/>
              <w:rPr>
                <w:color w:val="000000"/>
                <w:spacing w:val="-2"/>
              </w:rPr>
            </w:pPr>
            <w:r>
              <w:rPr>
                <w:color w:val="000000"/>
                <w:spacing w:val="-2"/>
              </w:rPr>
              <w:t xml:space="preserve">PKD sekcja </w:t>
            </w:r>
            <w:r w:rsidR="00882499" w:rsidRPr="00882499">
              <w:rPr>
                <w:color w:val="000000"/>
                <w:spacing w:val="-2"/>
              </w:rPr>
              <w:t>C</w:t>
            </w:r>
            <w:r>
              <w:rPr>
                <w:color w:val="000000"/>
                <w:spacing w:val="-2"/>
              </w:rPr>
              <w:t xml:space="preserve"> dział </w:t>
            </w:r>
            <w:r w:rsidR="00882499" w:rsidRPr="00882499">
              <w:rPr>
                <w:color w:val="000000"/>
                <w:spacing w:val="-2"/>
              </w:rPr>
              <w:t>29</w:t>
            </w:r>
            <w:r>
              <w:rPr>
                <w:color w:val="000000"/>
                <w:spacing w:val="-2"/>
              </w:rPr>
              <w:t xml:space="preserve"> P</w:t>
            </w:r>
            <w:r w:rsidRPr="00882499">
              <w:rPr>
                <w:color w:val="000000"/>
                <w:spacing w:val="-2"/>
              </w:rPr>
              <w:t>rodukcja pojazdów samochodowych, przyczep i naczep, z wyłączeniem motocykli</w:t>
            </w:r>
          </w:p>
          <w:p w14:paraId="1BDCFB71" w14:textId="7F970D2F" w:rsidR="00882499" w:rsidRPr="00875DBE" w:rsidRDefault="00BF23C7" w:rsidP="00E625E7">
            <w:pPr>
              <w:ind w:right="126"/>
              <w:jc w:val="left"/>
              <w:rPr>
                <w:color w:val="000000"/>
                <w:spacing w:val="-2"/>
              </w:rPr>
            </w:pPr>
            <w:r>
              <w:rPr>
                <w:color w:val="000000"/>
                <w:spacing w:val="-2"/>
              </w:rPr>
              <w:t xml:space="preserve">PKD sekcja C dział </w:t>
            </w:r>
            <w:r w:rsidR="00882499" w:rsidRPr="00882499">
              <w:rPr>
                <w:color w:val="000000"/>
                <w:spacing w:val="-2"/>
              </w:rPr>
              <w:t>30</w:t>
            </w:r>
            <w:r w:rsidR="00396AE3">
              <w:rPr>
                <w:color w:val="000000"/>
                <w:spacing w:val="-2"/>
              </w:rPr>
              <w:t xml:space="preserve"> P</w:t>
            </w:r>
            <w:r w:rsidR="00396AE3" w:rsidRPr="00882499">
              <w:rPr>
                <w:color w:val="000000"/>
                <w:spacing w:val="-2"/>
              </w:rPr>
              <w:t>rodukcja pozostałego sprzętu transportowego</w:t>
            </w:r>
          </w:p>
        </w:tc>
        <w:tc>
          <w:tcPr>
            <w:tcW w:w="1285" w:type="pct"/>
            <w:gridSpan w:val="6"/>
            <w:shd w:val="clear" w:color="auto" w:fill="auto"/>
          </w:tcPr>
          <w:p w14:paraId="07A6F067" w14:textId="719E58B2"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5A3C865A" w14:textId="77777777" w:rsidTr="00E625E7">
        <w:trPr>
          <w:trHeight w:val="142"/>
        </w:trPr>
        <w:tc>
          <w:tcPr>
            <w:tcW w:w="1372" w:type="pct"/>
            <w:gridSpan w:val="6"/>
            <w:shd w:val="clear" w:color="auto" w:fill="auto"/>
          </w:tcPr>
          <w:p w14:paraId="042E5461" w14:textId="2FDA5BE1" w:rsidR="008308FE" w:rsidRPr="00875DBE" w:rsidDel="00F062D1" w:rsidRDefault="008308FE" w:rsidP="00E625E7">
            <w:pPr>
              <w:tabs>
                <w:tab w:val="left" w:pos="1560"/>
              </w:tabs>
              <w:ind w:right="177"/>
              <w:jc w:val="left"/>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ścieków</w:t>
            </w:r>
          </w:p>
        </w:tc>
        <w:tc>
          <w:tcPr>
            <w:tcW w:w="1062" w:type="pct"/>
            <w:gridSpan w:val="6"/>
            <w:shd w:val="clear" w:color="auto" w:fill="auto"/>
          </w:tcPr>
          <w:p w14:paraId="0067BB19" w14:textId="7169F2BF" w:rsidR="008308FE" w:rsidRPr="00875DBE" w:rsidRDefault="008308FE" w:rsidP="008308FE">
            <w:pPr>
              <w:rPr>
                <w:color w:val="000000"/>
                <w:spacing w:val="-2"/>
              </w:rPr>
            </w:pPr>
            <w:r w:rsidRPr="00875DBE">
              <w:t>102</w:t>
            </w:r>
          </w:p>
        </w:tc>
        <w:tc>
          <w:tcPr>
            <w:tcW w:w="1281" w:type="pct"/>
            <w:gridSpan w:val="10"/>
            <w:shd w:val="clear" w:color="auto" w:fill="auto"/>
          </w:tcPr>
          <w:p w14:paraId="2F3D3BF2" w14:textId="77777777" w:rsidR="008308FE" w:rsidRDefault="008308FE" w:rsidP="00E625E7">
            <w:pPr>
              <w:ind w:right="126"/>
              <w:jc w:val="left"/>
            </w:pPr>
            <w:r w:rsidRPr="00875DBE">
              <w:t>REGON</w:t>
            </w:r>
          </w:p>
          <w:p w14:paraId="268167DB" w14:textId="18251590" w:rsidR="003A4DA4" w:rsidRPr="00875DBE" w:rsidRDefault="00396AE3" w:rsidP="00E625E7">
            <w:pPr>
              <w:ind w:right="126"/>
              <w:jc w:val="left"/>
              <w:rPr>
                <w:color w:val="000000"/>
                <w:spacing w:val="-2"/>
              </w:rPr>
            </w:pPr>
            <w:r>
              <w:rPr>
                <w:color w:val="000000"/>
                <w:spacing w:val="-2"/>
              </w:rPr>
              <w:t xml:space="preserve">PKD sekcja </w:t>
            </w:r>
            <w:r w:rsidR="003A4DA4" w:rsidRPr="003A4DA4">
              <w:rPr>
                <w:color w:val="000000"/>
                <w:spacing w:val="-2"/>
              </w:rPr>
              <w:t>E</w:t>
            </w:r>
            <w:r>
              <w:rPr>
                <w:color w:val="000000"/>
                <w:spacing w:val="-2"/>
              </w:rPr>
              <w:t xml:space="preserve"> dział </w:t>
            </w:r>
            <w:r w:rsidR="003A4DA4" w:rsidRPr="003A4DA4">
              <w:rPr>
                <w:color w:val="000000"/>
                <w:spacing w:val="-2"/>
              </w:rPr>
              <w:t>37</w:t>
            </w:r>
            <w:r>
              <w:rPr>
                <w:color w:val="000000"/>
                <w:spacing w:val="-2"/>
              </w:rPr>
              <w:t xml:space="preserve"> podklasa </w:t>
            </w:r>
            <w:r w:rsidR="003A4DA4" w:rsidRPr="003A4DA4">
              <w:rPr>
                <w:color w:val="000000"/>
                <w:spacing w:val="-2"/>
              </w:rPr>
              <w:t>3700z</w:t>
            </w:r>
            <w:r>
              <w:rPr>
                <w:color w:val="000000"/>
                <w:spacing w:val="-2"/>
              </w:rPr>
              <w:t xml:space="preserve"> </w:t>
            </w:r>
            <w:r w:rsidR="003A4DA4" w:rsidRPr="003A4DA4">
              <w:rPr>
                <w:color w:val="000000"/>
                <w:spacing w:val="-2"/>
              </w:rPr>
              <w:t>Odprowadzanie i oczyszczanie ścieków</w:t>
            </w:r>
          </w:p>
        </w:tc>
        <w:tc>
          <w:tcPr>
            <w:tcW w:w="1285" w:type="pct"/>
            <w:gridSpan w:val="6"/>
            <w:shd w:val="clear" w:color="auto" w:fill="auto"/>
          </w:tcPr>
          <w:p w14:paraId="4D79F1C2" w14:textId="1D0C5132"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w:t>
            </w:r>
            <w:r w:rsidR="006E7FC3">
              <w:lastRenderedPageBreak/>
              <w:t>i</w:t>
            </w:r>
            <w:r w:rsidR="005D157C">
              <w:t> </w:t>
            </w:r>
            <w:r w:rsidR="006E7FC3">
              <w:t>procesów ICT w</w:t>
            </w:r>
            <w:r w:rsidR="005D157C">
              <w:t> </w:t>
            </w:r>
            <w:r w:rsidR="006E7FC3">
              <w:t>przypadku uznania dostawcy za dostawcę wysokiego ryzyka.</w:t>
            </w:r>
          </w:p>
        </w:tc>
      </w:tr>
      <w:tr w:rsidR="000D53AB" w:rsidRPr="00875DBE" w14:paraId="7325E060" w14:textId="77777777" w:rsidTr="00E625E7">
        <w:trPr>
          <w:trHeight w:val="142"/>
        </w:trPr>
        <w:tc>
          <w:tcPr>
            <w:tcW w:w="1372" w:type="pct"/>
            <w:gridSpan w:val="6"/>
            <w:shd w:val="clear" w:color="auto" w:fill="auto"/>
          </w:tcPr>
          <w:p w14:paraId="4ED2D49C" w14:textId="2CEF761B" w:rsidR="008308FE" w:rsidRPr="00875DBE" w:rsidDel="00F062D1" w:rsidRDefault="008308FE" w:rsidP="00E625E7">
            <w:pPr>
              <w:tabs>
                <w:tab w:val="left" w:pos="1560"/>
              </w:tabs>
              <w:ind w:right="177"/>
              <w:jc w:val="left"/>
              <w:rPr>
                <w:color w:val="000000"/>
              </w:rPr>
            </w:pPr>
            <w:r w:rsidRPr="00875DBE">
              <w:lastRenderedPageBreak/>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transportu</w:t>
            </w:r>
          </w:p>
        </w:tc>
        <w:tc>
          <w:tcPr>
            <w:tcW w:w="1062" w:type="pct"/>
            <w:gridSpan w:val="6"/>
            <w:shd w:val="clear" w:color="auto" w:fill="auto"/>
          </w:tcPr>
          <w:p w14:paraId="09333440" w14:textId="40901F94" w:rsidR="008308FE" w:rsidRPr="00875DBE" w:rsidRDefault="00F810DE" w:rsidP="008308FE">
            <w:pPr>
              <w:rPr>
                <w:color w:val="000000"/>
                <w:spacing w:val="-2"/>
              </w:rPr>
            </w:pPr>
            <w:r>
              <w:t xml:space="preserve">Co najmniej </w:t>
            </w:r>
            <w:r w:rsidR="00971AE1">
              <w:t>450</w:t>
            </w:r>
          </w:p>
        </w:tc>
        <w:tc>
          <w:tcPr>
            <w:tcW w:w="1281" w:type="pct"/>
            <w:gridSpan w:val="10"/>
            <w:shd w:val="clear" w:color="auto" w:fill="auto"/>
          </w:tcPr>
          <w:p w14:paraId="0C682AFC" w14:textId="3CBD13A8" w:rsidR="008308FE" w:rsidRPr="00875DBE" w:rsidRDefault="00A87A9B" w:rsidP="00E625E7">
            <w:pPr>
              <w:ind w:right="126"/>
              <w:jc w:val="left"/>
              <w:rPr>
                <w:color w:val="000000"/>
                <w:spacing w:val="-2"/>
              </w:rPr>
            </w:pPr>
            <w:r>
              <w:t>S</w:t>
            </w:r>
            <w:r w:rsidR="008308FE" w:rsidRPr="00875DBE">
              <w:t>zacunki od M</w:t>
            </w:r>
            <w:r w:rsidR="00FE54A3">
              <w:t xml:space="preserve">inisterstwa </w:t>
            </w:r>
            <w:r w:rsidR="008308FE" w:rsidRPr="00875DBE">
              <w:t>I</w:t>
            </w:r>
            <w:r w:rsidR="001F66BC">
              <w:t>nfrastruktury</w:t>
            </w:r>
          </w:p>
        </w:tc>
        <w:tc>
          <w:tcPr>
            <w:tcW w:w="1285" w:type="pct"/>
            <w:gridSpan w:val="6"/>
            <w:shd w:val="clear" w:color="auto" w:fill="auto"/>
          </w:tcPr>
          <w:p w14:paraId="1345ADB6" w14:textId="488150FF"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3538B3E2" w14:textId="77777777" w:rsidTr="00E625E7">
        <w:trPr>
          <w:trHeight w:val="142"/>
        </w:trPr>
        <w:tc>
          <w:tcPr>
            <w:tcW w:w="1372" w:type="pct"/>
            <w:gridSpan w:val="6"/>
            <w:shd w:val="clear" w:color="auto" w:fill="auto"/>
          </w:tcPr>
          <w:p w14:paraId="1182D9C6" w14:textId="4AFD0FE4" w:rsidR="008308FE" w:rsidRPr="00875DBE" w:rsidDel="00F062D1" w:rsidRDefault="008308FE" w:rsidP="00E625E7">
            <w:pPr>
              <w:tabs>
                <w:tab w:val="left" w:pos="1560"/>
              </w:tabs>
              <w:ind w:right="177"/>
              <w:jc w:val="left"/>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transportu wodnego</w:t>
            </w:r>
          </w:p>
        </w:tc>
        <w:tc>
          <w:tcPr>
            <w:tcW w:w="1062" w:type="pct"/>
            <w:gridSpan w:val="6"/>
            <w:shd w:val="clear" w:color="auto" w:fill="auto"/>
          </w:tcPr>
          <w:p w14:paraId="63E93B26" w14:textId="74184AD4" w:rsidR="00993488" w:rsidRPr="006148BE" w:rsidRDefault="009374C6" w:rsidP="008308FE">
            <w:r>
              <w:t>11</w:t>
            </w:r>
          </w:p>
        </w:tc>
        <w:tc>
          <w:tcPr>
            <w:tcW w:w="1281" w:type="pct"/>
            <w:gridSpan w:val="10"/>
            <w:shd w:val="clear" w:color="auto" w:fill="auto"/>
          </w:tcPr>
          <w:p w14:paraId="058EFFD1" w14:textId="6C03C0BF" w:rsidR="008308FE" w:rsidRPr="00875DBE" w:rsidRDefault="008308FE" w:rsidP="00E625E7">
            <w:pPr>
              <w:ind w:right="126"/>
              <w:rPr>
                <w:color w:val="000000"/>
                <w:spacing w:val="-2"/>
              </w:rPr>
            </w:pPr>
            <w:r w:rsidRPr="00875DBE">
              <w:t>REGON</w:t>
            </w:r>
          </w:p>
        </w:tc>
        <w:tc>
          <w:tcPr>
            <w:tcW w:w="1285" w:type="pct"/>
            <w:gridSpan w:val="6"/>
            <w:shd w:val="clear" w:color="auto" w:fill="auto"/>
          </w:tcPr>
          <w:p w14:paraId="59F8B4B0" w14:textId="27B1EDD6"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4C6D4127" w14:textId="77777777" w:rsidTr="00E625E7">
        <w:trPr>
          <w:trHeight w:val="142"/>
        </w:trPr>
        <w:tc>
          <w:tcPr>
            <w:tcW w:w="1372" w:type="pct"/>
            <w:gridSpan w:val="6"/>
            <w:shd w:val="clear" w:color="auto" w:fill="auto"/>
          </w:tcPr>
          <w:p w14:paraId="46EF652E" w14:textId="0D4A8F51" w:rsidR="008308FE" w:rsidRPr="00875DBE" w:rsidDel="00F062D1" w:rsidRDefault="008308FE" w:rsidP="00E625E7">
            <w:pPr>
              <w:tabs>
                <w:tab w:val="left" w:pos="1560"/>
              </w:tabs>
              <w:ind w:right="177"/>
              <w:jc w:val="left"/>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wody pitnej</w:t>
            </w:r>
          </w:p>
        </w:tc>
        <w:tc>
          <w:tcPr>
            <w:tcW w:w="1062" w:type="pct"/>
            <w:gridSpan w:val="6"/>
            <w:shd w:val="clear" w:color="auto" w:fill="auto"/>
          </w:tcPr>
          <w:p w14:paraId="69096F79" w14:textId="219B7948" w:rsidR="008308FE" w:rsidRPr="00875DBE" w:rsidRDefault="008308FE" w:rsidP="008308FE">
            <w:pPr>
              <w:rPr>
                <w:color w:val="000000"/>
                <w:spacing w:val="-2"/>
              </w:rPr>
            </w:pPr>
            <w:r w:rsidRPr="00875DBE">
              <w:t>268</w:t>
            </w:r>
          </w:p>
        </w:tc>
        <w:tc>
          <w:tcPr>
            <w:tcW w:w="1281" w:type="pct"/>
            <w:gridSpan w:val="10"/>
            <w:shd w:val="clear" w:color="auto" w:fill="auto"/>
          </w:tcPr>
          <w:p w14:paraId="25F88102" w14:textId="77777777" w:rsidR="008308FE" w:rsidRDefault="008308FE" w:rsidP="00E625E7">
            <w:pPr>
              <w:jc w:val="left"/>
            </w:pPr>
            <w:r w:rsidRPr="00875DBE">
              <w:t>REGON</w:t>
            </w:r>
          </w:p>
          <w:p w14:paraId="2A066607" w14:textId="05E2CA9C" w:rsidR="003A4DA4" w:rsidRPr="00875DBE" w:rsidRDefault="006D6406" w:rsidP="00E625E7">
            <w:pPr>
              <w:ind w:right="126"/>
              <w:jc w:val="left"/>
              <w:rPr>
                <w:color w:val="000000"/>
                <w:spacing w:val="-2"/>
              </w:rPr>
            </w:pPr>
            <w:r>
              <w:rPr>
                <w:color w:val="000000"/>
                <w:spacing w:val="-2"/>
              </w:rPr>
              <w:t xml:space="preserve">PKD </w:t>
            </w:r>
            <w:r w:rsidR="00406DD7">
              <w:rPr>
                <w:color w:val="000000"/>
                <w:spacing w:val="-2"/>
              </w:rPr>
              <w:t xml:space="preserve">Sekcja </w:t>
            </w:r>
            <w:r w:rsidR="00F46ACD" w:rsidRPr="00F46ACD">
              <w:rPr>
                <w:color w:val="000000"/>
                <w:spacing w:val="-2"/>
              </w:rPr>
              <w:t>E</w:t>
            </w:r>
            <w:r w:rsidR="00406DD7">
              <w:rPr>
                <w:color w:val="000000"/>
                <w:spacing w:val="-2"/>
              </w:rPr>
              <w:t xml:space="preserve"> dział </w:t>
            </w:r>
            <w:r w:rsidR="00F46ACD" w:rsidRPr="00F46ACD">
              <w:rPr>
                <w:color w:val="000000"/>
                <w:spacing w:val="-2"/>
              </w:rPr>
              <w:t>36</w:t>
            </w:r>
            <w:r w:rsidR="00406DD7">
              <w:rPr>
                <w:color w:val="000000"/>
                <w:spacing w:val="-2"/>
              </w:rPr>
              <w:t xml:space="preserve"> podklasa </w:t>
            </w:r>
            <w:r w:rsidR="00F46ACD" w:rsidRPr="00F46ACD">
              <w:rPr>
                <w:color w:val="000000"/>
                <w:spacing w:val="-2"/>
              </w:rPr>
              <w:t>3600Z</w:t>
            </w:r>
            <w:r w:rsidR="00406DD7">
              <w:rPr>
                <w:color w:val="000000"/>
                <w:spacing w:val="-2"/>
              </w:rPr>
              <w:t xml:space="preserve"> </w:t>
            </w:r>
            <w:r w:rsidR="00F46ACD" w:rsidRPr="00F46ACD">
              <w:rPr>
                <w:color w:val="000000"/>
                <w:spacing w:val="-2"/>
              </w:rPr>
              <w:t>Pobór, uzdatnianie i dostarczanie wody</w:t>
            </w:r>
          </w:p>
        </w:tc>
        <w:tc>
          <w:tcPr>
            <w:tcW w:w="1285" w:type="pct"/>
            <w:gridSpan w:val="6"/>
            <w:shd w:val="clear" w:color="auto" w:fill="auto"/>
          </w:tcPr>
          <w:p w14:paraId="5284D1B0" w14:textId="7E61A10A"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2CAC79CD" w14:textId="77777777" w:rsidTr="00E625E7">
        <w:trPr>
          <w:trHeight w:val="142"/>
        </w:trPr>
        <w:tc>
          <w:tcPr>
            <w:tcW w:w="1372" w:type="pct"/>
            <w:gridSpan w:val="6"/>
            <w:shd w:val="clear" w:color="auto" w:fill="auto"/>
          </w:tcPr>
          <w:p w14:paraId="5438CC53" w14:textId="78A75119" w:rsidR="008308FE" w:rsidRPr="00875DBE" w:rsidDel="00F062D1" w:rsidRDefault="008308FE" w:rsidP="00E625E7">
            <w:pPr>
              <w:tabs>
                <w:tab w:val="left" w:pos="1560"/>
              </w:tabs>
              <w:ind w:right="177"/>
              <w:jc w:val="left"/>
              <w:rPr>
                <w:color w:val="000000"/>
              </w:rPr>
            </w:pPr>
            <w:r w:rsidRPr="00875DBE">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zarządzania ICT</w:t>
            </w:r>
          </w:p>
        </w:tc>
        <w:tc>
          <w:tcPr>
            <w:tcW w:w="1062" w:type="pct"/>
            <w:gridSpan w:val="6"/>
            <w:shd w:val="clear" w:color="auto" w:fill="auto"/>
          </w:tcPr>
          <w:p w14:paraId="220371E8" w14:textId="78806048" w:rsidR="008308FE" w:rsidRPr="00875DBE" w:rsidRDefault="008308FE" w:rsidP="008308FE">
            <w:pPr>
              <w:rPr>
                <w:color w:val="000000"/>
                <w:spacing w:val="-2"/>
              </w:rPr>
            </w:pPr>
            <w:r w:rsidRPr="00875DBE">
              <w:t>43</w:t>
            </w:r>
          </w:p>
        </w:tc>
        <w:tc>
          <w:tcPr>
            <w:tcW w:w="1281" w:type="pct"/>
            <w:gridSpan w:val="10"/>
            <w:shd w:val="clear" w:color="auto" w:fill="auto"/>
          </w:tcPr>
          <w:p w14:paraId="3174A61A" w14:textId="77777777" w:rsidR="008308FE" w:rsidRDefault="008308FE" w:rsidP="00E625E7">
            <w:pPr>
              <w:jc w:val="left"/>
            </w:pPr>
            <w:r w:rsidRPr="00875DBE">
              <w:t>REGON</w:t>
            </w:r>
          </w:p>
          <w:p w14:paraId="56FC11A7" w14:textId="07FC4616" w:rsidR="000A0598" w:rsidRDefault="002D355F" w:rsidP="00E625E7">
            <w:pPr>
              <w:ind w:right="126"/>
              <w:jc w:val="left"/>
              <w:rPr>
                <w:color w:val="000000"/>
                <w:spacing w:val="-2"/>
              </w:rPr>
            </w:pPr>
            <w:r>
              <w:t>PKD</w:t>
            </w:r>
            <w:r w:rsidR="00B339EC">
              <w:t xml:space="preserve"> sekcja J dział 62 podklasa </w:t>
            </w:r>
            <w:r w:rsidR="000A0598" w:rsidRPr="000A0598">
              <w:rPr>
                <w:color w:val="000000"/>
                <w:spacing w:val="-2"/>
              </w:rPr>
              <w:t>6203z</w:t>
            </w:r>
            <w:r w:rsidR="000A0598" w:rsidRPr="000A0598">
              <w:rPr>
                <w:color w:val="000000"/>
                <w:spacing w:val="-2"/>
              </w:rPr>
              <w:tab/>
              <w:t>Działalność związana z zarządzaniem urządzeniami informatycznymi</w:t>
            </w:r>
          </w:p>
          <w:p w14:paraId="79359E61" w14:textId="16CC343C" w:rsidR="000A0598" w:rsidRPr="00E625E7" w:rsidRDefault="000A0598" w:rsidP="00E625E7">
            <w:pPr>
              <w:ind w:right="126"/>
              <w:jc w:val="left"/>
              <w:rPr>
                <w:color w:val="000000"/>
                <w:spacing w:val="-2"/>
                <w:vertAlign w:val="superscript"/>
              </w:rPr>
            </w:pPr>
            <w:r>
              <w:rPr>
                <w:color w:val="000000"/>
                <w:spacing w:val="-2"/>
              </w:rPr>
              <w:t xml:space="preserve">W zakresie dostawców usług zarządzanych </w:t>
            </w:r>
            <w:r w:rsidR="00164287">
              <w:rPr>
                <w:color w:val="000000"/>
                <w:spacing w:val="-2"/>
              </w:rPr>
              <w:t xml:space="preserve">w zakresie </w:t>
            </w:r>
            <w:proofErr w:type="spellStart"/>
            <w:r w:rsidR="00164287">
              <w:rPr>
                <w:color w:val="000000"/>
                <w:spacing w:val="-2"/>
              </w:rPr>
              <w:t>cyberbezpieczeństwa</w:t>
            </w:r>
            <w:proofErr w:type="spellEnd"/>
            <w:r w:rsidR="000632C3">
              <w:rPr>
                <w:color w:val="000000"/>
                <w:spacing w:val="-2"/>
              </w:rPr>
              <w:t xml:space="preserve"> źródłem informacji są dane ENISA</w:t>
            </w:r>
            <w:r w:rsidR="000632C3">
              <w:rPr>
                <w:rStyle w:val="Odwoanieprzypisudolnego"/>
                <w:color w:val="000000"/>
                <w:spacing w:val="-2"/>
              </w:rPr>
              <w:footnoteReference w:id="10"/>
            </w:r>
            <w:r w:rsidR="000E58F4">
              <w:rPr>
                <w:color w:val="000000"/>
                <w:spacing w:val="-2"/>
                <w:vertAlign w:val="superscript"/>
              </w:rPr>
              <w:t>)</w:t>
            </w:r>
          </w:p>
        </w:tc>
        <w:tc>
          <w:tcPr>
            <w:tcW w:w="1285" w:type="pct"/>
            <w:gridSpan w:val="6"/>
            <w:shd w:val="clear" w:color="auto" w:fill="auto"/>
          </w:tcPr>
          <w:p w14:paraId="1909EBEC" w14:textId="03DAEEFA"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6B8A36C5" w14:textId="77777777" w:rsidTr="00E625E7">
        <w:trPr>
          <w:trHeight w:val="142"/>
        </w:trPr>
        <w:tc>
          <w:tcPr>
            <w:tcW w:w="1372" w:type="pct"/>
            <w:gridSpan w:val="6"/>
            <w:shd w:val="clear" w:color="auto" w:fill="auto"/>
          </w:tcPr>
          <w:p w14:paraId="0B8C0BB4" w14:textId="33FF8C2E" w:rsidR="008308FE" w:rsidRPr="00875DBE" w:rsidDel="00F062D1" w:rsidRDefault="008308FE" w:rsidP="00E625E7">
            <w:pPr>
              <w:tabs>
                <w:tab w:val="left" w:pos="1560"/>
              </w:tabs>
              <w:ind w:right="177"/>
              <w:jc w:val="left"/>
              <w:rPr>
                <w:color w:val="000000"/>
              </w:rPr>
            </w:pPr>
            <w:r w:rsidRPr="00875DBE">
              <w:lastRenderedPageBreak/>
              <w:t>Podmioty kluczowe</w:t>
            </w:r>
            <w:r w:rsidR="00E32125" w:rsidRPr="00875DBE">
              <w:t xml:space="preserve"> i </w:t>
            </w:r>
            <w:r w:rsidR="00A817B7" w:rsidRPr="00875DBE">
              <w:t xml:space="preserve">podmioty </w:t>
            </w:r>
            <w:r w:rsidRPr="00875DBE">
              <w:t>ważne</w:t>
            </w:r>
            <w:r w:rsidR="00E32125" w:rsidRPr="00875DBE">
              <w:t xml:space="preserve"> z </w:t>
            </w:r>
            <w:r w:rsidRPr="00875DBE">
              <w:t>sektora zdrowia</w:t>
            </w:r>
          </w:p>
        </w:tc>
        <w:tc>
          <w:tcPr>
            <w:tcW w:w="1062" w:type="pct"/>
            <w:gridSpan w:val="6"/>
            <w:shd w:val="clear" w:color="auto" w:fill="auto"/>
          </w:tcPr>
          <w:p w14:paraId="16A9B7A2" w14:textId="7F6136BC" w:rsidR="008308FE" w:rsidRPr="00875DBE" w:rsidRDefault="00312849" w:rsidP="001E4595">
            <w:pPr>
              <w:tabs>
                <w:tab w:val="center" w:pos="948"/>
              </w:tabs>
              <w:rPr>
                <w:color w:val="000000"/>
                <w:spacing w:val="-2"/>
              </w:rPr>
            </w:pPr>
            <w:r w:rsidRPr="00875DBE">
              <w:t>1248</w:t>
            </w:r>
          </w:p>
        </w:tc>
        <w:tc>
          <w:tcPr>
            <w:tcW w:w="1281" w:type="pct"/>
            <w:gridSpan w:val="10"/>
            <w:shd w:val="clear" w:color="auto" w:fill="auto"/>
          </w:tcPr>
          <w:p w14:paraId="284764A9" w14:textId="77777777" w:rsidR="008308FE" w:rsidRDefault="008308FE" w:rsidP="00E625E7">
            <w:pPr>
              <w:ind w:right="126"/>
              <w:jc w:val="left"/>
            </w:pPr>
            <w:r w:rsidRPr="00875DBE">
              <w:t>REGON</w:t>
            </w:r>
          </w:p>
          <w:p w14:paraId="1D0AC282" w14:textId="0BB1DF32" w:rsidR="00EB2F66" w:rsidRPr="00EB2F66" w:rsidRDefault="004970B9" w:rsidP="00E625E7">
            <w:pPr>
              <w:ind w:right="126"/>
              <w:jc w:val="left"/>
              <w:rPr>
                <w:color w:val="000000"/>
                <w:spacing w:val="-2"/>
              </w:rPr>
            </w:pPr>
            <w:r>
              <w:rPr>
                <w:color w:val="000000"/>
                <w:spacing w:val="-2"/>
              </w:rPr>
              <w:t xml:space="preserve">PKD Dział </w:t>
            </w:r>
            <w:r w:rsidR="00EB2F66" w:rsidRPr="00EB2F66">
              <w:rPr>
                <w:color w:val="000000"/>
                <w:spacing w:val="-2"/>
              </w:rPr>
              <w:t>21</w:t>
            </w:r>
            <w:r>
              <w:rPr>
                <w:color w:val="000000"/>
                <w:spacing w:val="-2"/>
              </w:rPr>
              <w:t xml:space="preserve"> P</w:t>
            </w:r>
            <w:r w:rsidRPr="00EB2F66">
              <w:rPr>
                <w:color w:val="000000"/>
                <w:spacing w:val="-2"/>
              </w:rPr>
              <w:t>rodukcja podstawowych substancji farmaceutycznych oraz leków i pozostałych wyrobów farmaceutycznych</w:t>
            </w:r>
          </w:p>
          <w:p w14:paraId="40D4BD62" w14:textId="0FB6ED50" w:rsidR="00EB2F66" w:rsidRPr="00EB2F66" w:rsidRDefault="004970B9" w:rsidP="00E625E7">
            <w:pPr>
              <w:ind w:right="126"/>
              <w:jc w:val="left"/>
              <w:rPr>
                <w:color w:val="000000"/>
                <w:spacing w:val="-2"/>
              </w:rPr>
            </w:pPr>
            <w:r>
              <w:rPr>
                <w:color w:val="000000"/>
                <w:spacing w:val="-2"/>
              </w:rPr>
              <w:t xml:space="preserve">PKD Dział </w:t>
            </w:r>
            <w:r w:rsidR="00EB2F66" w:rsidRPr="00EB2F66">
              <w:rPr>
                <w:color w:val="000000"/>
                <w:spacing w:val="-2"/>
              </w:rPr>
              <w:t>86</w:t>
            </w:r>
            <w:r>
              <w:rPr>
                <w:color w:val="000000"/>
                <w:spacing w:val="-2"/>
              </w:rPr>
              <w:t xml:space="preserve"> O</w:t>
            </w:r>
            <w:r w:rsidRPr="00EB2F66">
              <w:rPr>
                <w:color w:val="000000"/>
                <w:spacing w:val="-2"/>
              </w:rPr>
              <w:t>pieka zdrowotna</w:t>
            </w:r>
          </w:p>
          <w:p w14:paraId="39E0F7B2" w14:textId="2B2F574D" w:rsidR="00EB2F66" w:rsidRDefault="002D355F" w:rsidP="00E625E7">
            <w:pPr>
              <w:ind w:right="126"/>
              <w:jc w:val="left"/>
              <w:rPr>
                <w:color w:val="000000"/>
                <w:spacing w:val="-2"/>
              </w:rPr>
            </w:pPr>
            <w:r>
              <w:rPr>
                <w:color w:val="000000"/>
                <w:spacing w:val="-2"/>
              </w:rPr>
              <w:t xml:space="preserve">PKD sekcja M dział 72 podklasa </w:t>
            </w:r>
            <w:r w:rsidR="00EB2F66" w:rsidRPr="00EB2F66">
              <w:rPr>
                <w:color w:val="000000"/>
                <w:spacing w:val="-2"/>
              </w:rPr>
              <w:t>7211Z</w:t>
            </w:r>
            <w:r w:rsidR="00200DC8">
              <w:rPr>
                <w:color w:val="000000"/>
                <w:spacing w:val="-2"/>
              </w:rPr>
              <w:t xml:space="preserve"> </w:t>
            </w:r>
            <w:r w:rsidR="00EB2F66" w:rsidRPr="00EB2F66">
              <w:rPr>
                <w:color w:val="000000"/>
                <w:spacing w:val="-2"/>
              </w:rPr>
              <w:t>Badania naukowe i prace rozwojowe w dziedzinie biotechnologii</w:t>
            </w:r>
          </w:p>
          <w:p w14:paraId="07F68105" w14:textId="351CA3D7" w:rsidR="00460C2B" w:rsidRPr="00875DBE" w:rsidRDefault="00460C2B" w:rsidP="00E625E7">
            <w:pPr>
              <w:ind w:right="126"/>
              <w:jc w:val="left"/>
              <w:rPr>
                <w:color w:val="000000"/>
                <w:spacing w:val="-2"/>
              </w:rPr>
            </w:pPr>
            <w:r w:rsidRPr="00460C2B">
              <w:rPr>
                <w:color w:val="000000"/>
                <w:spacing w:val="-2"/>
              </w:rPr>
              <w:t>Rozporządzenie Ministra Zdrowia z dnia 19 czerwca 2012 r. w sprawie wykazu laboratoriów referencyjnych</w:t>
            </w:r>
          </w:p>
        </w:tc>
        <w:tc>
          <w:tcPr>
            <w:tcW w:w="1285" w:type="pct"/>
            <w:gridSpan w:val="6"/>
            <w:shd w:val="clear" w:color="auto" w:fill="auto"/>
          </w:tcPr>
          <w:p w14:paraId="16C05504" w14:textId="27AA1D7A" w:rsidR="008308FE" w:rsidRPr="00875DBE" w:rsidRDefault="008308FE" w:rsidP="00E625E7">
            <w:pPr>
              <w:ind w:right="118"/>
              <w:jc w:val="left"/>
              <w:rPr>
                <w:color w:val="000000"/>
                <w:spacing w:val="-2"/>
              </w:rPr>
            </w:pPr>
            <w:r w:rsidRPr="00875DBE">
              <w:t>Nowe obowiązki</w:t>
            </w:r>
            <w:r w:rsidR="00E32125" w:rsidRPr="00875DBE">
              <w:t xml:space="preserve"> w </w:t>
            </w:r>
            <w:r w:rsidRPr="00875DBE">
              <w:t xml:space="preserve">zakresie zarządzania ryzykiem </w:t>
            </w:r>
            <w:proofErr w:type="spellStart"/>
            <w:r w:rsidRPr="00875DBE">
              <w:t>cyberbezpieczeństwa</w:t>
            </w:r>
            <w:proofErr w:type="spellEnd"/>
            <w:r w:rsidRPr="00875DBE">
              <w:t xml:space="preserve"> oraz obowiązki zgłaszania incydentów do właściwych CSIRT sektorowych</w:t>
            </w:r>
            <w:r w:rsidR="00C10A5F" w:rsidRPr="00875DBE">
              <w:t>.</w:t>
            </w:r>
            <w:r w:rsidR="006E7FC3">
              <w:t xml:space="preserve"> Obowiązek wycofania produktów ICT, usług ICT i</w:t>
            </w:r>
            <w:r w:rsidR="005D157C">
              <w:t> </w:t>
            </w:r>
            <w:r w:rsidR="006E7FC3">
              <w:t>procesów ICT w</w:t>
            </w:r>
            <w:r w:rsidR="005D157C">
              <w:t> </w:t>
            </w:r>
            <w:r w:rsidR="006E7FC3">
              <w:t>przypadku uznania dostawcy za dostawcę wysokiego ryzyka.</w:t>
            </w:r>
          </w:p>
        </w:tc>
      </w:tr>
      <w:tr w:rsidR="000D53AB" w:rsidRPr="00875DBE" w14:paraId="7E2AAA3F" w14:textId="77777777" w:rsidTr="00E625E7">
        <w:trPr>
          <w:trHeight w:val="142"/>
        </w:trPr>
        <w:tc>
          <w:tcPr>
            <w:tcW w:w="1372" w:type="pct"/>
            <w:gridSpan w:val="6"/>
            <w:shd w:val="clear" w:color="auto" w:fill="auto"/>
          </w:tcPr>
          <w:p w14:paraId="17ACDD9E" w14:textId="1131D47A" w:rsidR="008308FE" w:rsidRPr="00875DBE" w:rsidDel="00F062D1" w:rsidRDefault="008308FE" w:rsidP="00E625E7">
            <w:pPr>
              <w:tabs>
                <w:tab w:val="left" w:pos="1560"/>
              </w:tabs>
              <w:ind w:right="177"/>
              <w:jc w:val="left"/>
              <w:rPr>
                <w:color w:val="000000"/>
              </w:rPr>
            </w:pPr>
            <w:r w:rsidRPr="00875DBE">
              <w:t>sądy administracyjne</w:t>
            </w:r>
          </w:p>
        </w:tc>
        <w:tc>
          <w:tcPr>
            <w:tcW w:w="1062" w:type="pct"/>
            <w:gridSpan w:val="6"/>
            <w:shd w:val="clear" w:color="auto" w:fill="auto"/>
          </w:tcPr>
          <w:p w14:paraId="5DBEB4AA" w14:textId="77777777" w:rsidR="008308FE" w:rsidRPr="00875DBE" w:rsidRDefault="008308FE" w:rsidP="008308FE">
            <w:pPr>
              <w:rPr>
                <w:color w:val="000000"/>
                <w:spacing w:val="-2"/>
              </w:rPr>
            </w:pPr>
          </w:p>
        </w:tc>
        <w:tc>
          <w:tcPr>
            <w:tcW w:w="1281" w:type="pct"/>
            <w:gridSpan w:val="10"/>
            <w:shd w:val="clear" w:color="auto" w:fill="auto"/>
          </w:tcPr>
          <w:p w14:paraId="7825B56C" w14:textId="77777777" w:rsidR="008308FE" w:rsidRPr="00875DBE" w:rsidRDefault="008308FE" w:rsidP="00E625E7">
            <w:pPr>
              <w:ind w:right="126"/>
              <w:jc w:val="left"/>
              <w:rPr>
                <w:color w:val="000000"/>
                <w:spacing w:val="-2"/>
              </w:rPr>
            </w:pPr>
          </w:p>
        </w:tc>
        <w:tc>
          <w:tcPr>
            <w:tcW w:w="1285" w:type="pct"/>
            <w:gridSpan w:val="6"/>
            <w:shd w:val="clear" w:color="auto" w:fill="auto"/>
          </w:tcPr>
          <w:p w14:paraId="59ADDE01" w14:textId="5E3FC3BD" w:rsidR="008308FE" w:rsidRPr="00875DBE" w:rsidRDefault="008308FE" w:rsidP="00E625E7">
            <w:pPr>
              <w:ind w:right="118"/>
              <w:jc w:val="left"/>
              <w:rPr>
                <w:color w:val="000000"/>
                <w:spacing w:val="-2"/>
              </w:rPr>
            </w:pPr>
            <w:r w:rsidRPr="00875DBE">
              <w:t xml:space="preserve">Rozpatrywanie skarg na decyzje o nałożeniu administracyjnej kary pieniężnej na podmiot kluczowy albo </w:t>
            </w:r>
            <w:r w:rsidR="00A817B7" w:rsidRPr="00875DBE">
              <w:t xml:space="preserve">podmiot </w:t>
            </w:r>
            <w:r w:rsidRPr="00875DBE">
              <w:t>ważny.</w:t>
            </w:r>
          </w:p>
        </w:tc>
      </w:tr>
      <w:tr w:rsidR="000D53AB" w:rsidRPr="00875DBE" w14:paraId="4B840E54" w14:textId="77777777" w:rsidTr="00E625E7">
        <w:trPr>
          <w:trHeight w:val="142"/>
        </w:trPr>
        <w:tc>
          <w:tcPr>
            <w:tcW w:w="1372" w:type="pct"/>
            <w:gridSpan w:val="6"/>
            <w:shd w:val="clear" w:color="auto" w:fill="auto"/>
          </w:tcPr>
          <w:p w14:paraId="608B2943" w14:textId="040D09E4" w:rsidR="008308FE" w:rsidRPr="00875DBE" w:rsidDel="00F062D1" w:rsidRDefault="008308FE" w:rsidP="00E625E7">
            <w:pPr>
              <w:tabs>
                <w:tab w:val="left" w:pos="1560"/>
              </w:tabs>
              <w:ind w:right="177"/>
              <w:rPr>
                <w:color w:val="000000"/>
              </w:rPr>
            </w:pPr>
            <w:r w:rsidRPr="00875DBE">
              <w:t>Szef Agencji Wywiadu</w:t>
            </w:r>
          </w:p>
        </w:tc>
        <w:tc>
          <w:tcPr>
            <w:tcW w:w="1062" w:type="pct"/>
            <w:gridSpan w:val="6"/>
            <w:shd w:val="clear" w:color="auto" w:fill="auto"/>
          </w:tcPr>
          <w:p w14:paraId="55BAE87F" w14:textId="034112AC" w:rsidR="008308FE" w:rsidRPr="00875DBE" w:rsidRDefault="008308FE" w:rsidP="008308FE">
            <w:pPr>
              <w:rPr>
                <w:color w:val="000000"/>
                <w:spacing w:val="-2"/>
              </w:rPr>
            </w:pPr>
            <w:r w:rsidRPr="00875DBE">
              <w:t>1</w:t>
            </w:r>
          </w:p>
        </w:tc>
        <w:tc>
          <w:tcPr>
            <w:tcW w:w="1281" w:type="pct"/>
            <w:gridSpan w:val="10"/>
            <w:shd w:val="clear" w:color="auto" w:fill="auto"/>
          </w:tcPr>
          <w:p w14:paraId="7E764552" w14:textId="727615B7" w:rsidR="008308FE" w:rsidRPr="00875DBE" w:rsidRDefault="008308FE" w:rsidP="00E625E7">
            <w:pPr>
              <w:ind w:right="126"/>
              <w:rPr>
                <w:color w:val="000000"/>
                <w:spacing w:val="-2"/>
              </w:rPr>
            </w:pPr>
            <w:r w:rsidRPr="00875DBE">
              <w:t xml:space="preserve">Informacja ogólnodostępna </w:t>
            </w:r>
          </w:p>
        </w:tc>
        <w:tc>
          <w:tcPr>
            <w:tcW w:w="1285" w:type="pct"/>
            <w:gridSpan w:val="6"/>
            <w:shd w:val="clear" w:color="auto" w:fill="auto"/>
          </w:tcPr>
          <w:p w14:paraId="1A4E5E4A" w14:textId="613FFF1D" w:rsidR="008308FE" w:rsidRPr="00875DBE" w:rsidRDefault="008308FE" w:rsidP="00E625E7">
            <w:pPr>
              <w:ind w:right="118"/>
              <w:jc w:val="left"/>
              <w:rPr>
                <w:color w:val="000000"/>
                <w:spacing w:val="-2"/>
              </w:rPr>
            </w:pPr>
            <w:r w:rsidRPr="00875DBE">
              <w:t>Pozytywne. Szef Agencji Wywiadu będzie mógł uczestniczyć</w:t>
            </w:r>
            <w:r w:rsidR="00E32125" w:rsidRPr="00875DBE">
              <w:t xml:space="preserve"> w </w:t>
            </w:r>
            <w:r w:rsidRPr="00875DBE">
              <w:t xml:space="preserve">posiedzeniach Kolegium do Spraw </w:t>
            </w:r>
            <w:proofErr w:type="spellStart"/>
            <w:r w:rsidRPr="00875DBE">
              <w:t>Cyberbezpieczeństwa</w:t>
            </w:r>
            <w:proofErr w:type="spellEnd"/>
            <w:r w:rsidRPr="00875DBE">
              <w:t xml:space="preserve">, a tym samym współtworzyć opinie Kolegium, dzięki czemu będą uwzględnione wszystkie aspekty </w:t>
            </w:r>
            <w:proofErr w:type="spellStart"/>
            <w:r w:rsidRPr="00875DBE">
              <w:t>cyberbezpieczeństwa</w:t>
            </w:r>
            <w:proofErr w:type="spellEnd"/>
            <w:r w:rsidR="00E32125" w:rsidRPr="00875DBE">
              <w:t xml:space="preserve"> i </w:t>
            </w:r>
            <w:r w:rsidRPr="00875DBE">
              <w:t>bezpieczeństwa narodowego.</w:t>
            </w:r>
          </w:p>
        </w:tc>
      </w:tr>
      <w:tr w:rsidR="000D53AB" w:rsidRPr="00875DBE" w14:paraId="55A82991" w14:textId="77777777" w:rsidTr="00E625E7">
        <w:trPr>
          <w:trHeight w:val="142"/>
        </w:trPr>
        <w:tc>
          <w:tcPr>
            <w:tcW w:w="1372" w:type="pct"/>
            <w:gridSpan w:val="6"/>
            <w:shd w:val="clear" w:color="auto" w:fill="auto"/>
          </w:tcPr>
          <w:p w14:paraId="2EEF60A6" w14:textId="2F24661D" w:rsidR="008308FE" w:rsidRPr="00875DBE" w:rsidDel="00F062D1" w:rsidRDefault="008308FE" w:rsidP="00E625E7">
            <w:pPr>
              <w:tabs>
                <w:tab w:val="left" w:pos="1560"/>
              </w:tabs>
              <w:ind w:right="177"/>
              <w:jc w:val="left"/>
              <w:rPr>
                <w:color w:val="000000"/>
              </w:rPr>
            </w:pPr>
            <w:r w:rsidRPr="00875DBE">
              <w:t>Szef Centralnego Biura Antykorupcyjnego</w:t>
            </w:r>
          </w:p>
        </w:tc>
        <w:tc>
          <w:tcPr>
            <w:tcW w:w="1062" w:type="pct"/>
            <w:gridSpan w:val="6"/>
            <w:shd w:val="clear" w:color="auto" w:fill="auto"/>
          </w:tcPr>
          <w:p w14:paraId="305B9B58" w14:textId="226E37C2" w:rsidR="008308FE" w:rsidRPr="00875DBE" w:rsidRDefault="008308FE" w:rsidP="008308FE">
            <w:pPr>
              <w:rPr>
                <w:color w:val="000000"/>
                <w:spacing w:val="-2"/>
              </w:rPr>
            </w:pPr>
            <w:r w:rsidRPr="00875DBE">
              <w:t>1</w:t>
            </w:r>
          </w:p>
        </w:tc>
        <w:tc>
          <w:tcPr>
            <w:tcW w:w="1281" w:type="pct"/>
            <w:gridSpan w:val="10"/>
            <w:shd w:val="clear" w:color="auto" w:fill="auto"/>
          </w:tcPr>
          <w:p w14:paraId="45634D0B" w14:textId="795DE36B" w:rsidR="008308FE" w:rsidRPr="00875DBE" w:rsidRDefault="008308FE" w:rsidP="00E625E7">
            <w:pPr>
              <w:ind w:right="126"/>
              <w:rPr>
                <w:color w:val="000000"/>
                <w:spacing w:val="-2"/>
              </w:rPr>
            </w:pPr>
            <w:r w:rsidRPr="00875DBE">
              <w:t xml:space="preserve">Informacja ogólnodostępna </w:t>
            </w:r>
          </w:p>
        </w:tc>
        <w:tc>
          <w:tcPr>
            <w:tcW w:w="1285" w:type="pct"/>
            <w:gridSpan w:val="6"/>
            <w:shd w:val="clear" w:color="auto" w:fill="auto"/>
          </w:tcPr>
          <w:p w14:paraId="0D8F832E" w14:textId="5B901B4B" w:rsidR="008308FE" w:rsidRPr="00875DBE" w:rsidRDefault="008308FE" w:rsidP="00E625E7">
            <w:pPr>
              <w:ind w:right="118"/>
              <w:jc w:val="left"/>
              <w:rPr>
                <w:color w:val="000000"/>
                <w:spacing w:val="-2"/>
              </w:rPr>
            </w:pPr>
            <w:r w:rsidRPr="00875DBE">
              <w:t>Pozytywne. Szef Centralnego Biura Antykorupcyjnego będzie mógł uczestniczyć</w:t>
            </w:r>
            <w:r w:rsidR="00E32125" w:rsidRPr="00875DBE">
              <w:t xml:space="preserve"> w </w:t>
            </w:r>
            <w:r w:rsidRPr="00875DBE">
              <w:t xml:space="preserve">posiedzeniach Kolegium do Spraw </w:t>
            </w:r>
            <w:proofErr w:type="spellStart"/>
            <w:r w:rsidRPr="00875DBE">
              <w:t>Cyberbezpieczeństwa</w:t>
            </w:r>
            <w:proofErr w:type="spellEnd"/>
            <w:r w:rsidRPr="00875DBE">
              <w:t xml:space="preserve">, a tym samym współtworzyć opinie Kolegium, dzięki czemu będą uwzględnione wszystkie aspekty </w:t>
            </w:r>
            <w:proofErr w:type="spellStart"/>
            <w:r w:rsidRPr="00875DBE">
              <w:t>cyberbezpieczeństwa</w:t>
            </w:r>
            <w:proofErr w:type="spellEnd"/>
            <w:r w:rsidR="00E32125" w:rsidRPr="00875DBE">
              <w:t xml:space="preserve"> i </w:t>
            </w:r>
            <w:r w:rsidRPr="00875DBE">
              <w:t>bezpieczeństwa narodowego.</w:t>
            </w:r>
          </w:p>
        </w:tc>
      </w:tr>
      <w:tr w:rsidR="000D53AB" w:rsidRPr="00875DBE" w14:paraId="397ACD60" w14:textId="77777777" w:rsidTr="00E625E7">
        <w:trPr>
          <w:trHeight w:val="142"/>
        </w:trPr>
        <w:tc>
          <w:tcPr>
            <w:tcW w:w="1372" w:type="pct"/>
            <w:gridSpan w:val="6"/>
            <w:shd w:val="clear" w:color="auto" w:fill="auto"/>
          </w:tcPr>
          <w:p w14:paraId="3E68C3B9" w14:textId="3877764F" w:rsidR="008308FE" w:rsidRPr="00875DBE" w:rsidDel="00F062D1" w:rsidRDefault="008308FE" w:rsidP="00E625E7">
            <w:pPr>
              <w:tabs>
                <w:tab w:val="left" w:pos="1560"/>
              </w:tabs>
              <w:ind w:right="177"/>
              <w:jc w:val="left"/>
              <w:rPr>
                <w:color w:val="000000"/>
              </w:rPr>
            </w:pPr>
            <w:r w:rsidRPr="00875DBE">
              <w:t>Szef Służby Wywiadu Wojskowego</w:t>
            </w:r>
          </w:p>
        </w:tc>
        <w:tc>
          <w:tcPr>
            <w:tcW w:w="1062" w:type="pct"/>
            <w:gridSpan w:val="6"/>
            <w:shd w:val="clear" w:color="auto" w:fill="auto"/>
          </w:tcPr>
          <w:p w14:paraId="54295823" w14:textId="5A027D61" w:rsidR="008308FE" w:rsidRPr="00875DBE" w:rsidRDefault="008308FE" w:rsidP="008308FE">
            <w:pPr>
              <w:rPr>
                <w:color w:val="000000"/>
                <w:spacing w:val="-2"/>
              </w:rPr>
            </w:pPr>
            <w:r w:rsidRPr="00875DBE">
              <w:t>1</w:t>
            </w:r>
          </w:p>
        </w:tc>
        <w:tc>
          <w:tcPr>
            <w:tcW w:w="1281" w:type="pct"/>
            <w:gridSpan w:val="10"/>
            <w:shd w:val="clear" w:color="auto" w:fill="auto"/>
          </w:tcPr>
          <w:p w14:paraId="51271EF0" w14:textId="2C90D36C" w:rsidR="008308FE" w:rsidRPr="00875DBE" w:rsidRDefault="008308FE" w:rsidP="00E625E7">
            <w:pPr>
              <w:ind w:right="126"/>
              <w:rPr>
                <w:color w:val="000000"/>
                <w:spacing w:val="-2"/>
              </w:rPr>
            </w:pPr>
            <w:r w:rsidRPr="00875DBE">
              <w:t xml:space="preserve">Informacja ogólnodostępna </w:t>
            </w:r>
          </w:p>
        </w:tc>
        <w:tc>
          <w:tcPr>
            <w:tcW w:w="1285" w:type="pct"/>
            <w:gridSpan w:val="6"/>
            <w:shd w:val="clear" w:color="auto" w:fill="auto"/>
          </w:tcPr>
          <w:p w14:paraId="64DAD06D" w14:textId="745CDF81" w:rsidR="008308FE" w:rsidRPr="00875DBE" w:rsidRDefault="008308FE" w:rsidP="00E625E7">
            <w:pPr>
              <w:ind w:right="118"/>
              <w:jc w:val="left"/>
              <w:rPr>
                <w:color w:val="000000"/>
                <w:spacing w:val="-2"/>
              </w:rPr>
            </w:pPr>
            <w:r w:rsidRPr="00875DBE">
              <w:t>Pozytywne. Szef Służby Wywiadu Wojskowego będzie mógł uczestniczyć</w:t>
            </w:r>
            <w:r w:rsidR="00E32125" w:rsidRPr="00875DBE">
              <w:t xml:space="preserve"> w </w:t>
            </w:r>
            <w:r w:rsidRPr="00875DBE">
              <w:t xml:space="preserve">posiedzeniach Kolegium do Spraw </w:t>
            </w:r>
            <w:proofErr w:type="spellStart"/>
            <w:r w:rsidRPr="00875DBE">
              <w:t>Cyberbezpieczeństwa</w:t>
            </w:r>
            <w:proofErr w:type="spellEnd"/>
            <w:r w:rsidRPr="00875DBE">
              <w:t xml:space="preserve">, a tym samym współtworzyć opinie </w:t>
            </w:r>
            <w:r w:rsidRPr="00875DBE">
              <w:lastRenderedPageBreak/>
              <w:t xml:space="preserve">Kolegium, dzięki czemu będą uwzględnione wszystkie aspekty </w:t>
            </w:r>
            <w:proofErr w:type="spellStart"/>
            <w:r w:rsidRPr="00875DBE">
              <w:t>cyberbezpieczeństwa</w:t>
            </w:r>
            <w:proofErr w:type="spellEnd"/>
            <w:r w:rsidR="00E32125" w:rsidRPr="00875DBE">
              <w:t xml:space="preserve"> i </w:t>
            </w:r>
            <w:r w:rsidRPr="00875DBE">
              <w:t>bezpieczeństwa narodowego.</w:t>
            </w:r>
          </w:p>
        </w:tc>
      </w:tr>
      <w:tr w:rsidR="000D53AB" w:rsidRPr="00875DBE" w14:paraId="16017050" w14:textId="77777777" w:rsidTr="00E625E7">
        <w:trPr>
          <w:trHeight w:val="142"/>
        </w:trPr>
        <w:tc>
          <w:tcPr>
            <w:tcW w:w="1372" w:type="pct"/>
            <w:gridSpan w:val="6"/>
            <w:shd w:val="clear" w:color="auto" w:fill="auto"/>
          </w:tcPr>
          <w:p w14:paraId="225A1D80" w14:textId="4F45270A" w:rsidR="00265C37" w:rsidRPr="00875DBE" w:rsidRDefault="00F46141" w:rsidP="00E625E7">
            <w:pPr>
              <w:tabs>
                <w:tab w:val="left" w:pos="1560"/>
              </w:tabs>
              <w:ind w:right="177"/>
            </w:pPr>
            <w:r>
              <w:lastRenderedPageBreak/>
              <w:t>Szef Agencji Bezpieczeństwa Wewnętrznego</w:t>
            </w:r>
          </w:p>
        </w:tc>
        <w:tc>
          <w:tcPr>
            <w:tcW w:w="1062" w:type="pct"/>
            <w:gridSpan w:val="6"/>
            <w:shd w:val="clear" w:color="auto" w:fill="auto"/>
          </w:tcPr>
          <w:p w14:paraId="762A7BE8" w14:textId="024082FE" w:rsidR="00265C37" w:rsidRPr="00875DBE" w:rsidRDefault="00F46141" w:rsidP="008308FE">
            <w:r>
              <w:t>1</w:t>
            </w:r>
          </w:p>
        </w:tc>
        <w:tc>
          <w:tcPr>
            <w:tcW w:w="1281" w:type="pct"/>
            <w:gridSpan w:val="10"/>
            <w:shd w:val="clear" w:color="auto" w:fill="auto"/>
          </w:tcPr>
          <w:p w14:paraId="56E06D43" w14:textId="2BA285EE" w:rsidR="00265C37" w:rsidRPr="00875DBE" w:rsidRDefault="001B67F2" w:rsidP="00E625E7">
            <w:pPr>
              <w:ind w:right="126"/>
            </w:pPr>
            <w:r w:rsidRPr="001B67F2">
              <w:t>Informacja ogólnodostępna</w:t>
            </w:r>
          </w:p>
        </w:tc>
        <w:tc>
          <w:tcPr>
            <w:tcW w:w="1285" w:type="pct"/>
            <w:gridSpan w:val="6"/>
            <w:shd w:val="clear" w:color="auto" w:fill="auto"/>
          </w:tcPr>
          <w:p w14:paraId="7ACC9873" w14:textId="267D74A9" w:rsidR="00265C37" w:rsidRPr="00875DBE" w:rsidRDefault="00205263" w:rsidP="00E625E7">
            <w:pPr>
              <w:ind w:right="118"/>
              <w:jc w:val="left"/>
            </w:pPr>
            <w:r>
              <w:t>Będzie pełnił rolę o</w:t>
            </w:r>
            <w:r w:rsidRPr="00205263">
              <w:t>rgan</w:t>
            </w:r>
            <w:r>
              <w:t>u</w:t>
            </w:r>
            <w:r w:rsidRPr="00205263">
              <w:t xml:space="preserve"> właści</w:t>
            </w:r>
            <w:r>
              <w:t>wego</w:t>
            </w:r>
            <w:r w:rsidRPr="00205263">
              <w:t xml:space="preserve"> do spraw </w:t>
            </w:r>
            <w:proofErr w:type="spellStart"/>
            <w:r w:rsidRPr="00205263">
              <w:t>cyberbezpieczeństwa</w:t>
            </w:r>
            <w:proofErr w:type="spellEnd"/>
            <w:r w:rsidRPr="00205263">
              <w:t xml:space="preserve"> w sektorze administracji publicznej</w:t>
            </w:r>
          </w:p>
        </w:tc>
      </w:tr>
      <w:tr w:rsidR="000D53AB" w:rsidRPr="00875DBE" w14:paraId="031D03BC" w14:textId="77777777" w:rsidTr="00E625E7">
        <w:trPr>
          <w:trHeight w:val="142"/>
        </w:trPr>
        <w:tc>
          <w:tcPr>
            <w:tcW w:w="1372" w:type="pct"/>
            <w:gridSpan w:val="6"/>
            <w:shd w:val="clear" w:color="auto" w:fill="auto"/>
          </w:tcPr>
          <w:p w14:paraId="7924F024" w14:textId="6C76A9E6" w:rsidR="000B0799" w:rsidRPr="00875DBE" w:rsidRDefault="000B0799" w:rsidP="00E625E7">
            <w:pPr>
              <w:tabs>
                <w:tab w:val="left" w:pos="1560"/>
              </w:tabs>
              <w:ind w:right="177"/>
            </w:pPr>
            <w:r>
              <w:t>Konsumenci</w:t>
            </w:r>
          </w:p>
        </w:tc>
        <w:tc>
          <w:tcPr>
            <w:tcW w:w="1062" w:type="pct"/>
            <w:gridSpan w:val="6"/>
            <w:shd w:val="clear" w:color="auto" w:fill="auto"/>
          </w:tcPr>
          <w:p w14:paraId="191D90CA" w14:textId="77777777" w:rsidR="000B0799" w:rsidRPr="00875DBE" w:rsidRDefault="000B0799" w:rsidP="008308FE"/>
        </w:tc>
        <w:tc>
          <w:tcPr>
            <w:tcW w:w="1281" w:type="pct"/>
            <w:gridSpan w:val="10"/>
            <w:shd w:val="clear" w:color="auto" w:fill="auto"/>
          </w:tcPr>
          <w:p w14:paraId="1E4844AA" w14:textId="77777777" w:rsidR="000B0799" w:rsidRPr="00875DBE" w:rsidRDefault="000B0799" w:rsidP="00E625E7">
            <w:pPr>
              <w:ind w:right="126"/>
            </w:pPr>
          </w:p>
        </w:tc>
        <w:tc>
          <w:tcPr>
            <w:tcW w:w="1285" w:type="pct"/>
            <w:gridSpan w:val="6"/>
            <w:shd w:val="clear" w:color="auto" w:fill="auto"/>
          </w:tcPr>
          <w:p w14:paraId="4E0529F0" w14:textId="44399D67" w:rsidR="00205117" w:rsidRDefault="00205117" w:rsidP="00E625E7">
            <w:pPr>
              <w:ind w:right="118"/>
              <w:jc w:val="left"/>
            </w:pPr>
            <w:r>
              <w:t>Większy poziom bezpieczeństwa dostarczanych produktów i</w:t>
            </w:r>
            <w:r w:rsidR="005D157C">
              <w:t> </w:t>
            </w:r>
            <w:r>
              <w:t xml:space="preserve">usług. </w:t>
            </w:r>
          </w:p>
          <w:p w14:paraId="557EF8D6" w14:textId="6388190F" w:rsidR="000B0799" w:rsidRPr="00875DBE" w:rsidRDefault="000B0799" w:rsidP="00E625E7">
            <w:pPr>
              <w:ind w:right="118"/>
              <w:jc w:val="left"/>
            </w:pPr>
            <w:r>
              <w:t>Pośrednie koszty związane z</w:t>
            </w:r>
            <w:r w:rsidR="005D157C">
              <w:t> </w:t>
            </w:r>
            <w:r>
              <w:t>wycofaniem i wymianą produktów ICT, usług ICT i</w:t>
            </w:r>
            <w:r w:rsidR="005D157C">
              <w:t> </w:t>
            </w:r>
            <w:r>
              <w:t>procesów ICT dostarczanych przez dostawcę wysokiego ryzyka ponosić będą konsumenci. Ponieważ są to koszty zależne od tych poniesionych przez podmioty kluczowe i ważne, nie jest możliwe ich oszacowanie na obecnym etapie.</w:t>
            </w:r>
          </w:p>
        </w:tc>
      </w:tr>
      <w:tr w:rsidR="006A701A" w:rsidRPr="00875DBE" w14:paraId="3A22F72E" w14:textId="77777777" w:rsidTr="006148BE">
        <w:trPr>
          <w:trHeight w:val="302"/>
        </w:trPr>
        <w:tc>
          <w:tcPr>
            <w:tcW w:w="5000" w:type="pct"/>
            <w:gridSpan w:val="28"/>
            <w:shd w:val="clear" w:color="auto" w:fill="99CCFF"/>
            <w:vAlign w:val="center"/>
          </w:tcPr>
          <w:p w14:paraId="411412D3" w14:textId="3C544543" w:rsidR="006A701A" w:rsidRPr="00875DBE" w:rsidRDefault="001B3460" w:rsidP="00213EFD">
            <w:pPr>
              <w:numPr>
                <w:ilvl w:val="0"/>
                <w:numId w:val="3"/>
              </w:numPr>
              <w:spacing w:before="60" w:after="60"/>
              <w:ind w:left="318" w:hanging="284"/>
              <w:rPr>
                <w:b/>
                <w:color w:val="000000"/>
              </w:rPr>
            </w:pPr>
            <w:r w:rsidRPr="00875DBE">
              <w:rPr>
                <w:b/>
                <w:color w:val="000000"/>
              </w:rPr>
              <w:t>Informacje na temat zakresu</w:t>
            </w:r>
            <w:r w:rsidR="0076658F" w:rsidRPr="00875DBE">
              <w:rPr>
                <w:b/>
                <w:color w:val="000000"/>
              </w:rPr>
              <w:t>,</w:t>
            </w:r>
            <w:r w:rsidRPr="00875DBE">
              <w:rPr>
                <w:b/>
                <w:color w:val="000000"/>
              </w:rPr>
              <w:t xml:space="preserve"> czasu trwania</w:t>
            </w:r>
            <w:r w:rsidR="00E32125" w:rsidRPr="00875DBE">
              <w:rPr>
                <w:b/>
                <w:color w:val="000000"/>
              </w:rPr>
              <w:t xml:space="preserve"> i </w:t>
            </w:r>
            <w:r w:rsidR="0076658F" w:rsidRPr="00875DBE">
              <w:rPr>
                <w:b/>
                <w:color w:val="000000"/>
              </w:rPr>
              <w:t xml:space="preserve">podsumowanie wyników </w:t>
            </w:r>
            <w:r w:rsidRPr="00875DBE">
              <w:rPr>
                <w:b/>
                <w:color w:val="000000"/>
              </w:rPr>
              <w:t>konsultacji</w:t>
            </w:r>
          </w:p>
        </w:tc>
      </w:tr>
      <w:tr w:rsidR="006A701A" w:rsidRPr="00875DBE" w14:paraId="2E600DB0" w14:textId="77777777" w:rsidTr="006148BE">
        <w:trPr>
          <w:trHeight w:val="342"/>
        </w:trPr>
        <w:tc>
          <w:tcPr>
            <w:tcW w:w="5000" w:type="pct"/>
            <w:gridSpan w:val="28"/>
            <w:shd w:val="clear" w:color="auto" w:fill="FFFFFF" w:themeFill="background1"/>
          </w:tcPr>
          <w:p w14:paraId="12749FDC" w14:textId="2CE12E95" w:rsidR="004D1FD0" w:rsidRPr="00875DBE" w:rsidRDefault="00424E6B" w:rsidP="007B510C">
            <w:pPr>
              <w:ind w:right="118"/>
            </w:pPr>
            <w:r w:rsidRPr="00875DBE">
              <w:t>Stosownie do postanowień art. 5 ustawy</w:t>
            </w:r>
            <w:r w:rsidR="00E32125" w:rsidRPr="00875DBE">
              <w:t xml:space="preserve"> z </w:t>
            </w:r>
            <w:r w:rsidRPr="00875DBE">
              <w:t>dnia 7 lipca 2005 r. o działalności lobbingowej</w:t>
            </w:r>
            <w:r w:rsidR="00E32125" w:rsidRPr="00875DBE">
              <w:t xml:space="preserve"> w </w:t>
            </w:r>
            <w:r w:rsidRPr="00875DBE">
              <w:t>procesie stanowienia prawa (Dz. U.</w:t>
            </w:r>
            <w:r w:rsidR="00E32125" w:rsidRPr="00875DBE">
              <w:t xml:space="preserve"> z </w:t>
            </w:r>
            <w:r w:rsidRPr="00875DBE">
              <w:t xml:space="preserve">2017 r. poz. 248), projekt </w:t>
            </w:r>
            <w:r w:rsidR="008379E2" w:rsidRPr="00875DBE">
              <w:t>zosta</w:t>
            </w:r>
            <w:r w:rsidR="008379E2">
              <w:t>ł</w:t>
            </w:r>
            <w:r w:rsidR="008379E2" w:rsidRPr="00875DBE">
              <w:t xml:space="preserve"> </w:t>
            </w:r>
            <w:r w:rsidRPr="00875DBE">
              <w:t>udostępniony</w:t>
            </w:r>
            <w:r w:rsidR="00E32125" w:rsidRPr="00875DBE">
              <w:t xml:space="preserve"> w </w:t>
            </w:r>
            <w:r w:rsidRPr="00875DBE">
              <w:t xml:space="preserve">Biuletynie Informacji Publicznej Ministerstwa Cyfryzacji. </w:t>
            </w:r>
          </w:p>
          <w:p w14:paraId="5D0594C0" w14:textId="55C4CCE4" w:rsidR="00424E6B" w:rsidRPr="00875DBE" w:rsidRDefault="00424E6B" w:rsidP="00840807">
            <w:pPr>
              <w:ind w:right="118"/>
            </w:pPr>
            <w:r w:rsidRPr="00875DBE">
              <w:t>Ponadto zgodnie</w:t>
            </w:r>
            <w:r w:rsidR="00E32125" w:rsidRPr="00875DBE">
              <w:t xml:space="preserve"> z </w:t>
            </w:r>
            <w:r w:rsidRPr="00875DBE">
              <w:t>§ 52 ust. 1 uchwały nr 190 Rady Ministrów</w:t>
            </w:r>
            <w:r w:rsidR="00E32125" w:rsidRPr="00875DBE">
              <w:t xml:space="preserve"> z </w:t>
            </w:r>
            <w:r w:rsidRPr="00875DBE">
              <w:t>dnia 29 października 2013 r. – Regulamin pracy Rady Ministrów (M.P.</w:t>
            </w:r>
            <w:r w:rsidR="00E32125" w:rsidRPr="00875DBE">
              <w:t xml:space="preserve"> z </w:t>
            </w:r>
            <w:r w:rsidRPr="00875DBE">
              <w:t>2022 r. poz. 348), projekt zosta</w:t>
            </w:r>
            <w:r w:rsidR="008379E2">
              <w:t>ł</w:t>
            </w:r>
            <w:r w:rsidRPr="00875DBE">
              <w:t xml:space="preserve"> udostępniony</w:t>
            </w:r>
            <w:r w:rsidR="008379E2">
              <w:t xml:space="preserve"> również</w:t>
            </w:r>
            <w:r w:rsidR="00E32125" w:rsidRPr="00875DBE">
              <w:t xml:space="preserve"> w </w:t>
            </w:r>
            <w:r w:rsidRPr="00875DBE">
              <w:t>Biuletynie Informacji Publicznej na stronie podmiotowej Rządowego Centrum Legislacji,</w:t>
            </w:r>
            <w:r w:rsidR="00E32125" w:rsidRPr="00875DBE">
              <w:t xml:space="preserve"> w </w:t>
            </w:r>
            <w:r w:rsidRPr="00875DBE">
              <w:t>serwisie Rządowy Proces Legislacyjny.</w:t>
            </w:r>
          </w:p>
          <w:p w14:paraId="5B03B87D" w14:textId="4B0A3C45" w:rsidR="00A530B3" w:rsidRDefault="00AA4ECB" w:rsidP="00460DE9">
            <w:pPr>
              <w:rPr>
                <w:u w:val="single"/>
              </w:rPr>
            </w:pPr>
            <w:r w:rsidRPr="00875DBE">
              <w:rPr>
                <w:u w:val="single"/>
              </w:rPr>
              <w:t>W</w:t>
            </w:r>
            <w:r w:rsidR="00E32125" w:rsidRPr="00875DBE">
              <w:rPr>
                <w:u w:val="single"/>
              </w:rPr>
              <w:t> </w:t>
            </w:r>
            <w:r w:rsidR="00A530B3" w:rsidRPr="00875DBE">
              <w:rPr>
                <w:u w:val="single"/>
              </w:rPr>
              <w:t xml:space="preserve">ramach </w:t>
            </w:r>
            <w:r w:rsidR="00563F17" w:rsidRPr="00875DBE">
              <w:rPr>
                <w:u w:val="single"/>
              </w:rPr>
              <w:t>30</w:t>
            </w:r>
            <w:r w:rsidR="00840807">
              <w:rPr>
                <w:u w:val="single"/>
              </w:rPr>
              <w:t>-</w:t>
            </w:r>
            <w:r w:rsidR="00563F17" w:rsidRPr="00875DBE">
              <w:rPr>
                <w:u w:val="single"/>
              </w:rPr>
              <w:t xml:space="preserve">dniowych </w:t>
            </w:r>
            <w:r w:rsidR="00A530B3" w:rsidRPr="00875DBE">
              <w:rPr>
                <w:u w:val="single"/>
              </w:rPr>
              <w:t xml:space="preserve">konsultacji publicznych </w:t>
            </w:r>
            <w:r w:rsidRPr="00875DBE">
              <w:rPr>
                <w:u w:val="single"/>
              </w:rPr>
              <w:t xml:space="preserve">projekt </w:t>
            </w:r>
            <w:r w:rsidR="008379E2" w:rsidRPr="00875DBE">
              <w:rPr>
                <w:u w:val="single"/>
              </w:rPr>
              <w:t>zosta</w:t>
            </w:r>
            <w:r w:rsidR="008379E2">
              <w:rPr>
                <w:u w:val="single"/>
              </w:rPr>
              <w:t xml:space="preserve">ł </w:t>
            </w:r>
            <w:r w:rsidR="00A530B3" w:rsidRPr="00875DBE">
              <w:rPr>
                <w:u w:val="single"/>
              </w:rPr>
              <w:t>skierowan</w:t>
            </w:r>
            <w:r w:rsidRPr="00875DBE">
              <w:rPr>
                <w:u w:val="single"/>
              </w:rPr>
              <w:t>y</w:t>
            </w:r>
            <w:r w:rsidR="00A530B3" w:rsidRPr="00875DBE">
              <w:rPr>
                <w:u w:val="single"/>
              </w:rPr>
              <w:t xml:space="preserve"> do </w:t>
            </w:r>
            <w:r w:rsidR="00972B36" w:rsidRPr="00875DBE">
              <w:rPr>
                <w:u w:val="single"/>
              </w:rPr>
              <w:t xml:space="preserve">następujących </w:t>
            </w:r>
            <w:r w:rsidR="00A530B3" w:rsidRPr="00875DBE">
              <w:rPr>
                <w:u w:val="single"/>
              </w:rPr>
              <w:t>podmiotów:</w:t>
            </w:r>
          </w:p>
          <w:p w14:paraId="4DDAAAFB" w14:textId="77777777" w:rsidR="00216942" w:rsidRPr="00103ABB" w:rsidRDefault="00216942" w:rsidP="00FC78C7">
            <w:pPr>
              <w:pStyle w:val="Akapitzlist"/>
              <w:numPr>
                <w:ilvl w:val="0"/>
                <w:numId w:val="42"/>
              </w:numPr>
              <w:rPr>
                <w:u w:val="single"/>
              </w:rPr>
            </w:pPr>
            <w:r w:rsidRPr="00875DBE">
              <w:t>Amerykańskiej Izby Handlow</w:t>
            </w:r>
            <w:r>
              <w:t>ej</w:t>
            </w:r>
            <w:r w:rsidRPr="00875DBE">
              <w:t>;</w:t>
            </w:r>
          </w:p>
          <w:p w14:paraId="58DE47A2" w14:textId="77777777" w:rsidR="00216942" w:rsidRPr="00916CCA" w:rsidRDefault="00216942" w:rsidP="00FC78C7">
            <w:pPr>
              <w:pStyle w:val="Akapitzlist"/>
              <w:numPr>
                <w:ilvl w:val="0"/>
                <w:numId w:val="42"/>
              </w:numPr>
              <w:rPr>
                <w:u w:val="single"/>
              </w:rPr>
            </w:pPr>
            <w:r w:rsidRPr="00916CCA">
              <w:rPr>
                <w:lang w:val="en-GB"/>
              </w:rPr>
              <w:t xml:space="preserve">Business Centre Club; </w:t>
            </w:r>
          </w:p>
          <w:p w14:paraId="626EF3A2" w14:textId="77777777" w:rsidR="00216942" w:rsidRPr="00103ABB" w:rsidRDefault="00216942" w:rsidP="00FC78C7">
            <w:pPr>
              <w:pStyle w:val="Akapitzlist"/>
              <w:numPr>
                <w:ilvl w:val="0"/>
                <w:numId w:val="42"/>
              </w:numPr>
              <w:rPr>
                <w:u w:val="single"/>
              </w:rPr>
            </w:pPr>
            <w:r w:rsidRPr="00875DBE">
              <w:t>Federacji Konsumentów;</w:t>
            </w:r>
          </w:p>
          <w:p w14:paraId="55856943" w14:textId="77777777" w:rsidR="00216942" w:rsidRPr="00103ABB" w:rsidRDefault="00216942" w:rsidP="00FC78C7">
            <w:pPr>
              <w:pStyle w:val="Akapitzlist"/>
              <w:numPr>
                <w:ilvl w:val="0"/>
                <w:numId w:val="42"/>
              </w:numPr>
              <w:rPr>
                <w:u w:val="single"/>
              </w:rPr>
            </w:pPr>
            <w:r w:rsidRPr="00875DBE">
              <w:t>Fundacji Bezpieczna Cyberprzestrzeń;</w:t>
            </w:r>
          </w:p>
          <w:p w14:paraId="7A242041" w14:textId="77777777" w:rsidR="00216942" w:rsidRPr="00103ABB" w:rsidRDefault="00216942" w:rsidP="00FC78C7">
            <w:pPr>
              <w:pStyle w:val="Akapitzlist"/>
              <w:numPr>
                <w:ilvl w:val="0"/>
                <w:numId w:val="42"/>
              </w:numPr>
              <w:rPr>
                <w:u w:val="single"/>
              </w:rPr>
            </w:pPr>
            <w:r>
              <w:t>F</w:t>
            </w:r>
            <w:r w:rsidRPr="00875DBE">
              <w:t xml:space="preserve">undacji </w:t>
            </w:r>
            <w:proofErr w:type="spellStart"/>
            <w:r w:rsidRPr="00875DBE">
              <w:t>ePaństwo</w:t>
            </w:r>
            <w:proofErr w:type="spellEnd"/>
            <w:r w:rsidRPr="00875DBE">
              <w:t>;</w:t>
            </w:r>
          </w:p>
          <w:p w14:paraId="56F6538D" w14:textId="77777777" w:rsidR="00216942" w:rsidRPr="00916CCA" w:rsidRDefault="00216942" w:rsidP="00FC78C7">
            <w:pPr>
              <w:pStyle w:val="Akapitzlist"/>
              <w:numPr>
                <w:ilvl w:val="0"/>
                <w:numId w:val="42"/>
              </w:numPr>
              <w:rPr>
                <w:u w:val="single"/>
              </w:rPr>
            </w:pPr>
            <w:r w:rsidRPr="00875DBE">
              <w:t>Fundacji im. Stefana Batorego;</w:t>
            </w:r>
          </w:p>
          <w:p w14:paraId="42F01E77" w14:textId="77777777" w:rsidR="00216942" w:rsidRPr="00916CCA" w:rsidRDefault="00216942" w:rsidP="00FC78C7">
            <w:pPr>
              <w:pStyle w:val="Akapitzlist"/>
              <w:numPr>
                <w:ilvl w:val="0"/>
                <w:numId w:val="42"/>
              </w:numPr>
              <w:rPr>
                <w:u w:val="single"/>
              </w:rPr>
            </w:pPr>
            <w:r w:rsidRPr="00875DBE">
              <w:t xml:space="preserve">Fundacji Instytut </w:t>
            </w:r>
            <w:proofErr w:type="spellStart"/>
            <w:r w:rsidRPr="00875DBE">
              <w:t>Mikromakro</w:t>
            </w:r>
            <w:proofErr w:type="spellEnd"/>
            <w:r w:rsidRPr="00875DBE">
              <w:t>;</w:t>
            </w:r>
          </w:p>
          <w:p w14:paraId="10CD97B2" w14:textId="77777777" w:rsidR="00216942" w:rsidRPr="00916CCA" w:rsidRDefault="00216942" w:rsidP="00FC78C7">
            <w:pPr>
              <w:pStyle w:val="Akapitzlist"/>
              <w:numPr>
                <w:ilvl w:val="0"/>
                <w:numId w:val="42"/>
              </w:numPr>
              <w:rPr>
                <w:u w:val="single"/>
              </w:rPr>
            </w:pPr>
            <w:r w:rsidRPr="00875DBE">
              <w:t>Fundacji My Pacjenci;</w:t>
            </w:r>
          </w:p>
          <w:p w14:paraId="3A4140AF" w14:textId="77777777" w:rsidR="00216942" w:rsidRPr="00103ABB" w:rsidRDefault="00216942" w:rsidP="00FC78C7">
            <w:pPr>
              <w:pStyle w:val="Akapitzlist"/>
              <w:numPr>
                <w:ilvl w:val="0"/>
                <w:numId w:val="42"/>
              </w:numPr>
              <w:rPr>
                <w:u w:val="single"/>
              </w:rPr>
            </w:pPr>
            <w:r w:rsidRPr="00875DBE">
              <w:t>Fundacji Nowoczesna Polska;</w:t>
            </w:r>
          </w:p>
          <w:p w14:paraId="745B5C2D" w14:textId="77777777" w:rsidR="00216942" w:rsidRPr="00103ABB" w:rsidRDefault="00216942" w:rsidP="00FC78C7">
            <w:pPr>
              <w:pStyle w:val="Akapitzlist"/>
              <w:numPr>
                <w:ilvl w:val="0"/>
                <w:numId w:val="42"/>
              </w:numPr>
              <w:rPr>
                <w:u w:val="single"/>
              </w:rPr>
            </w:pPr>
            <w:r w:rsidRPr="00875DBE">
              <w:t>Fundacji Panoptykon</w:t>
            </w:r>
            <w:r>
              <w:t>;</w:t>
            </w:r>
          </w:p>
          <w:p w14:paraId="6FEC2C0C" w14:textId="77777777" w:rsidR="00216942" w:rsidRPr="00103ABB" w:rsidRDefault="00216942" w:rsidP="00FC78C7">
            <w:pPr>
              <w:pStyle w:val="Akapitzlist"/>
              <w:numPr>
                <w:ilvl w:val="0"/>
                <w:numId w:val="42"/>
              </w:numPr>
              <w:rPr>
                <w:u w:val="single"/>
              </w:rPr>
            </w:pPr>
            <w:r w:rsidRPr="00875DBE">
              <w:t>Fundacji Projekt Polska;</w:t>
            </w:r>
          </w:p>
          <w:p w14:paraId="5262B262" w14:textId="77777777" w:rsidR="00216942" w:rsidRPr="00916CCA" w:rsidRDefault="00216942" w:rsidP="00FC78C7">
            <w:pPr>
              <w:pStyle w:val="Akapitzlist"/>
              <w:numPr>
                <w:ilvl w:val="0"/>
                <w:numId w:val="42"/>
              </w:numPr>
              <w:rPr>
                <w:u w:val="single"/>
              </w:rPr>
            </w:pPr>
            <w:r w:rsidRPr="00875DBE">
              <w:t xml:space="preserve">Fundacji Przedsiębiorców Polskich </w:t>
            </w:r>
            <w:proofErr w:type="spellStart"/>
            <w:r w:rsidRPr="00875DBE">
              <w:t>Archiwizjoner</w:t>
            </w:r>
            <w:proofErr w:type="spellEnd"/>
            <w:r w:rsidRPr="00875DBE">
              <w:t>;</w:t>
            </w:r>
          </w:p>
          <w:p w14:paraId="2F623457" w14:textId="77777777" w:rsidR="00216942" w:rsidRPr="00916CCA" w:rsidRDefault="00216942" w:rsidP="00FC78C7">
            <w:pPr>
              <w:pStyle w:val="Akapitzlist"/>
              <w:numPr>
                <w:ilvl w:val="0"/>
                <w:numId w:val="42"/>
              </w:numPr>
              <w:rPr>
                <w:u w:val="single"/>
              </w:rPr>
            </w:pPr>
            <w:r w:rsidRPr="00875DBE">
              <w:t>Fundacji Pułaskiego;</w:t>
            </w:r>
          </w:p>
          <w:p w14:paraId="657EC62B" w14:textId="4139D49B" w:rsidR="00216942" w:rsidRDefault="00216942" w:rsidP="12126F7D">
            <w:pPr>
              <w:pStyle w:val="Akapitzlist"/>
              <w:numPr>
                <w:ilvl w:val="0"/>
                <w:numId w:val="42"/>
              </w:numPr>
              <w:rPr>
                <w:rFonts w:eastAsia="Times New Roman"/>
                <w:color w:val="000000" w:themeColor="text1"/>
              </w:rPr>
            </w:pPr>
            <w:r w:rsidRPr="12126F7D">
              <w:rPr>
                <w:rFonts w:eastAsia="Times New Roman"/>
                <w:color w:val="000000" w:themeColor="text1"/>
              </w:rPr>
              <w:t xml:space="preserve">Green </w:t>
            </w:r>
            <w:proofErr w:type="spellStart"/>
            <w:r w:rsidRPr="12126F7D">
              <w:rPr>
                <w:rFonts w:eastAsia="Times New Roman"/>
                <w:color w:val="000000" w:themeColor="text1"/>
              </w:rPr>
              <w:t>Rev</w:t>
            </w:r>
            <w:proofErr w:type="spellEnd"/>
            <w:r w:rsidRPr="12126F7D">
              <w:rPr>
                <w:rFonts w:eastAsia="Times New Roman"/>
                <w:color w:val="000000" w:themeColor="text1"/>
              </w:rPr>
              <w:t xml:space="preserve"> </w:t>
            </w:r>
            <w:proofErr w:type="spellStart"/>
            <w:r w:rsidRPr="12126F7D">
              <w:rPr>
                <w:rFonts w:eastAsia="Times New Roman"/>
                <w:color w:val="000000" w:themeColor="text1"/>
              </w:rPr>
              <w:t>Institute</w:t>
            </w:r>
            <w:proofErr w:type="spellEnd"/>
            <w:r w:rsidR="002306F0">
              <w:rPr>
                <w:rFonts w:eastAsia="Times New Roman"/>
                <w:color w:val="000000" w:themeColor="text1"/>
              </w:rPr>
              <w:t>;</w:t>
            </w:r>
          </w:p>
          <w:p w14:paraId="4B855449" w14:textId="77777777" w:rsidR="00216942" w:rsidRPr="00916CCA" w:rsidRDefault="00216942" w:rsidP="00FC78C7">
            <w:pPr>
              <w:pStyle w:val="Akapitzlist"/>
              <w:numPr>
                <w:ilvl w:val="0"/>
                <w:numId w:val="42"/>
              </w:numPr>
              <w:rPr>
                <w:u w:val="single"/>
              </w:rPr>
            </w:pPr>
            <w:r w:rsidRPr="00916CCA">
              <w:rPr>
                <w:lang w:val="en-GB"/>
              </w:rPr>
              <w:t>Internet Society Poland Chapter</w:t>
            </w:r>
            <w:r>
              <w:rPr>
                <w:lang w:val="en-GB"/>
              </w:rPr>
              <w:t>;</w:t>
            </w:r>
          </w:p>
          <w:p w14:paraId="54FF473D" w14:textId="77777777" w:rsidR="00216942" w:rsidRPr="00103ABB" w:rsidRDefault="00216942" w:rsidP="00FC78C7">
            <w:pPr>
              <w:pStyle w:val="Akapitzlist"/>
              <w:numPr>
                <w:ilvl w:val="0"/>
                <w:numId w:val="42"/>
              </w:numPr>
              <w:rPr>
                <w:u w:val="single"/>
              </w:rPr>
            </w:pPr>
            <w:r w:rsidRPr="00875DBE">
              <w:t xml:space="preserve">Internet </w:t>
            </w:r>
            <w:proofErr w:type="spellStart"/>
            <w:r w:rsidRPr="00875DBE">
              <w:t>Society</w:t>
            </w:r>
            <w:proofErr w:type="spellEnd"/>
            <w:r w:rsidRPr="00875DBE">
              <w:t xml:space="preserve"> Poland;</w:t>
            </w:r>
          </w:p>
          <w:p w14:paraId="605CDD61" w14:textId="77777777" w:rsidR="00216942" w:rsidRPr="00916CCA" w:rsidRDefault="00216942" w:rsidP="00FC78C7">
            <w:pPr>
              <w:pStyle w:val="Akapitzlist"/>
              <w:numPr>
                <w:ilvl w:val="0"/>
                <w:numId w:val="42"/>
              </w:numPr>
              <w:rPr>
                <w:u w:val="single"/>
              </w:rPr>
            </w:pPr>
            <w:r w:rsidRPr="00916CCA">
              <w:rPr>
                <w:lang w:val="en-GB"/>
              </w:rPr>
              <w:t>ISAC-GIG;</w:t>
            </w:r>
          </w:p>
          <w:p w14:paraId="65A5B37E" w14:textId="77777777" w:rsidR="00216942" w:rsidRPr="00916CCA" w:rsidRDefault="00216942" w:rsidP="00FC78C7">
            <w:pPr>
              <w:pStyle w:val="Akapitzlist"/>
              <w:numPr>
                <w:ilvl w:val="0"/>
                <w:numId w:val="42"/>
              </w:numPr>
              <w:rPr>
                <w:u w:val="single"/>
              </w:rPr>
            </w:pPr>
            <w:r w:rsidRPr="00875DBE">
              <w:t>ISAC-Kolej;</w:t>
            </w:r>
          </w:p>
          <w:p w14:paraId="20E3E023" w14:textId="526CDC03" w:rsidR="00216942" w:rsidRPr="00F00A96" w:rsidRDefault="00216942" w:rsidP="00460DE9">
            <w:pPr>
              <w:pStyle w:val="Akapitzlist"/>
              <w:numPr>
                <w:ilvl w:val="0"/>
                <w:numId w:val="42"/>
              </w:numPr>
              <w:rPr>
                <w:u w:val="single"/>
              </w:rPr>
            </w:pPr>
            <w:r w:rsidRPr="00875DBE">
              <w:t>ISAC-Lotniczy</w:t>
            </w:r>
            <w:r w:rsidR="00537DC9">
              <w:t>;</w:t>
            </w:r>
          </w:p>
          <w:p w14:paraId="2770B3C3" w14:textId="2D57D101" w:rsidR="00F00A96" w:rsidRPr="00F00A96" w:rsidRDefault="00F00A96" w:rsidP="00460DE9">
            <w:pPr>
              <w:pStyle w:val="Akapitzlist"/>
              <w:numPr>
                <w:ilvl w:val="0"/>
                <w:numId w:val="42"/>
              </w:numPr>
            </w:pPr>
            <w:r w:rsidRPr="00F00A96">
              <w:lastRenderedPageBreak/>
              <w:t>Izby Domów Maklerskich;</w:t>
            </w:r>
          </w:p>
          <w:p w14:paraId="611A5FC0" w14:textId="62B6F111" w:rsidR="00216942" w:rsidRPr="00916CCA" w:rsidRDefault="00216942" w:rsidP="00217657">
            <w:pPr>
              <w:pStyle w:val="Akapitzlist"/>
              <w:numPr>
                <w:ilvl w:val="0"/>
                <w:numId w:val="42"/>
              </w:numPr>
              <w:rPr>
                <w:u w:val="single"/>
              </w:rPr>
            </w:pPr>
            <w:r>
              <w:t>Izby Gospodarczej Towarzystw Emerytalnych;</w:t>
            </w:r>
          </w:p>
          <w:p w14:paraId="4BD83C10" w14:textId="77777777" w:rsidR="00216942" w:rsidRPr="00103ABB" w:rsidRDefault="00216942" w:rsidP="00FC78C7">
            <w:pPr>
              <w:pStyle w:val="Akapitzlist"/>
              <w:numPr>
                <w:ilvl w:val="0"/>
                <w:numId w:val="42"/>
              </w:numPr>
              <w:rPr>
                <w:u w:val="single"/>
              </w:rPr>
            </w:pPr>
            <w:r w:rsidRPr="00875DBE">
              <w:t>Izby Gospodarki Elektronicznej;</w:t>
            </w:r>
          </w:p>
          <w:p w14:paraId="4185208F" w14:textId="77777777" w:rsidR="00216942" w:rsidRPr="00916CCA" w:rsidRDefault="00216942" w:rsidP="00FC78C7">
            <w:pPr>
              <w:pStyle w:val="Akapitzlist"/>
              <w:numPr>
                <w:ilvl w:val="0"/>
                <w:numId w:val="42"/>
              </w:numPr>
              <w:rPr>
                <w:u w:val="single"/>
              </w:rPr>
            </w:pPr>
            <w:r w:rsidRPr="00916CCA">
              <w:rPr>
                <w:lang w:val="en-GB"/>
              </w:rPr>
              <w:t>Konfederacji Lewiatan;</w:t>
            </w:r>
          </w:p>
          <w:p w14:paraId="2B3ED342" w14:textId="1F4AF664" w:rsidR="00216942" w:rsidRDefault="00216942" w:rsidP="00217657">
            <w:pPr>
              <w:pStyle w:val="Akapitzlist"/>
              <w:numPr>
                <w:ilvl w:val="0"/>
                <w:numId w:val="42"/>
              </w:numPr>
            </w:pPr>
            <w:r>
              <w:t>Krajowego Związku Banków Spółdzielczych;</w:t>
            </w:r>
          </w:p>
          <w:p w14:paraId="243B657E" w14:textId="19DB0C4F" w:rsidR="00216942" w:rsidRPr="00103ABB" w:rsidRDefault="00216942" w:rsidP="00FC78C7">
            <w:pPr>
              <w:pStyle w:val="Akapitzlist"/>
              <w:numPr>
                <w:ilvl w:val="0"/>
                <w:numId w:val="42"/>
              </w:numPr>
              <w:rPr>
                <w:u w:val="single"/>
              </w:rPr>
            </w:pPr>
            <w:r w:rsidRPr="00875DBE">
              <w:t>Krajowej Izby Gospodarczej Elektroniki i Telekomunikacji;</w:t>
            </w:r>
          </w:p>
          <w:p w14:paraId="15B15670" w14:textId="0373EC19" w:rsidR="00216942" w:rsidRPr="00103ABB" w:rsidRDefault="00216942" w:rsidP="00FC78C7">
            <w:pPr>
              <w:pStyle w:val="Akapitzlist"/>
              <w:numPr>
                <w:ilvl w:val="0"/>
                <w:numId w:val="42"/>
              </w:numPr>
              <w:rPr>
                <w:u w:val="single"/>
              </w:rPr>
            </w:pPr>
            <w:r w:rsidRPr="00875DBE">
              <w:t>Krajowej Izby Gospodarczej;</w:t>
            </w:r>
          </w:p>
          <w:p w14:paraId="4F4DBAFD" w14:textId="113533CE" w:rsidR="00216942" w:rsidRPr="00103ABB" w:rsidRDefault="00216942" w:rsidP="00FC78C7">
            <w:pPr>
              <w:pStyle w:val="Akapitzlist"/>
              <w:numPr>
                <w:ilvl w:val="0"/>
                <w:numId w:val="42"/>
              </w:numPr>
              <w:rPr>
                <w:u w:val="single"/>
              </w:rPr>
            </w:pPr>
            <w:r w:rsidRPr="00875DBE">
              <w:t>Krajowej Izby Gospodarki Cyfrowej;</w:t>
            </w:r>
          </w:p>
          <w:p w14:paraId="740B4D81" w14:textId="77777777" w:rsidR="00216942" w:rsidRPr="00916CCA" w:rsidRDefault="00216942" w:rsidP="00FC78C7">
            <w:pPr>
              <w:pStyle w:val="Akapitzlist"/>
              <w:numPr>
                <w:ilvl w:val="0"/>
                <w:numId w:val="42"/>
              </w:numPr>
              <w:rPr>
                <w:u w:val="single"/>
              </w:rPr>
            </w:pPr>
            <w:r w:rsidRPr="00875DBE">
              <w:t>Krajowej Izby Gospodarki Morskiej;</w:t>
            </w:r>
          </w:p>
          <w:p w14:paraId="70A946A5" w14:textId="77777777" w:rsidR="00216942" w:rsidRPr="00103ABB" w:rsidRDefault="00216942" w:rsidP="00FC78C7">
            <w:pPr>
              <w:pStyle w:val="Akapitzlist"/>
              <w:numPr>
                <w:ilvl w:val="0"/>
                <w:numId w:val="42"/>
              </w:numPr>
              <w:rPr>
                <w:u w:val="single"/>
              </w:rPr>
            </w:pPr>
            <w:r w:rsidRPr="00875DBE">
              <w:t xml:space="preserve">Krajowej Izby Komunikacji </w:t>
            </w:r>
            <w:proofErr w:type="spellStart"/>
            <w:r w:rsidRPr="00875DBE">
              <w:t>Ethernetowej</w:t>
            </w:r>
            <w:proofErr w:type="spellEnd"/>
            <w:r w:rsidRPr="00875DBE">
              <w:t>;</w:t>
            </w:r>
          </w:p>
          <w:p w14:paraId="290820A7" w14:textId="77777777" w:rsidR="00216942" w:rsidRPr="00916CCA" w:rsidRDefault="00216942" w:rsidP="00FC78C7">
            <w:pPr>
              <w:pStyle w:val="Akapitzlist"/>
              <w:numPr>
                <w:ilvl w:val="0"/>
                <w:numId w:val="42"/>
              </w:numPr>
              <w:rPr>
                <w:u w:val="single"/>
              </w:rPr>
            </w:pPr>
            <w:r w:rsidRPr="00875DBE">
              <w:t>Krajowej Izby Rozliczeniowej;</w:t>
            </w:r>
          </w:p>
          <w:p w14:paraId="37D9721F" w14:textId="41112C92" w:rsidR="00216942" w:rsidRDefault="00216942" w:rsidP="00217657">
            <w:pPr>
              <w:pStyle w:val="Akapitzlist"/>
              <w:numPr>
                <w:ilvl w:val="0"/>
                <w:numId w:val="42"/>
              </w:numPr>
            </w:pPr>
            <w:r>
              <w:t>Krajowej Spółdzielczej Kasy Oszczędnościowo-Kredytowej;</w:t>
            </w:r>
          </w:p>
          <w:p w14:paraId="2BFBE5BB" w14:textId="77777777" w:rsidR="00216942" w:rsidRPr="00103ABB" w:rsidRDefault="00216942" w:rsidP="00FC78C7">
            <w:pPr>
              <w:pStyle w:val="Akapitzlist"/>
              <w:numPr>
                <w:ilvl w:val="0"/>
                <w:numId w:val="42"/>
              </w:numPr>
              <w:rPr>
                <w:u w:val="single"/>
              </w:rPr>
            </w:pPr>
            <w:r w:rsidRPr="00875DBE">
              <w:t>Naczelnej Organizacji Technicznej;</w:t>
            </w:r>
          </w:p>
          <w:p w14:paraId="79A901EF" w14:textId="77777777" w:rsidR="00216942" w:rsidRPr="00103ABB" w:rsidRDefault="00216942" w:rsidP="00FC78C7">
            <w:pPr>
              <w:pStyle w:val="Akapitzlist"/>
              <w:numPr>
                <w:ilvl w:val="0"/>
                <w:numId w:val="42"/>
              </w:numPr>
              <w:rPr>
                <w:u w:val="single"/>
              </w:rPr>
            </w:pPr>
            <w:r w:rsidRPr="00875DBE">
              <w:t>Naczelnej Rady Zrzeszeń Handlu i Usług;</w:t>
            </w:r>
          </w:p>
          <w:p w14:paraId="63BC2735" w14:textId="77777777" w:rsidR="00216942" w:rsidRPr="00103ABB" w:rsidRDefault="00216942" w:rsidP="00FC78C7">
            <w:pPr>
              <w:pStyle w:val="Akapitzlist"/>
              <w:numPr>
                <w:ilvl w:val="0"/>
                <w:numId w:val="42"/>
              </w:numPr>
              <w:rPr>
                <w:u w:val="single"/>
              </w:rPr>
            </w:pPr>
            <w:r w:rsidRPr="00875DBE">
              <w:t>Ogólnopolskiego Porozumienia Organizacji Radioamatorskich;</w:t>
            </w:r>
          </w:p>
          <w:p w14:paraId="4438FFFC" w14:textId="77777777" w:rsidR="00216942" w:rsidRPr="00103ABB" w:rsidRDefault="00216942" w:rsidP="00FC78C7">
            <w:pPr>
              <w:pStyle w:val="Akapitzlist"/>
              <w:numPr>
                <w:ilvl w:val="0"/>
                <w:numId w:val="42"/>
              </w:numPr>
              <w:rPr>
                <w:u w:val="single"/>
              </w:rPr>
            </w:pPr>
            <w:r w:rsidRPr="00875DBE">
              <w:t>Polskiego Centrum Badań i Certyfikacji S.A.;</w:t>
            </w:r>
          </w:p>
          <w:p w14:paraId="59C13751" w14:textId="77777777" w:rsidR="00216942" w:rsidRPr="00103ABB" w:rsidRDefault="00216942" w:rsidP="00FC78C7">
            <w:pPr>
              <w:pStyle w:val="Akapitzlist"/>
              <w:numPr>
                <w:ilvl w:val="0"/>
                <w:numId w:val="42"/>
              </w:numPr>
              <w:rPr>
                <w:u w:val="single"/>
              </w:rPr>
            </w:pPr>
            <w:r w:rsidRPr="00875DBE">
              <w:t>Polskiego Stowarzyszenia Marketingu SMB;</w:t>
            </w:r>
          </w:p>
          <w:p w14:paraId="64741749" w14:textId="77777777" w:rsidR="00216942" w:rsidRPr="00103ABB" w:rsidRDefault="00216942" w:rsidP="00FC78C7">
            <w:pPr>
              <w:pStyle w:val="Akapitzlist"/>
              <w:numPr>
                <w:ilvl w:val="0"/>
                <w:numId w:val="42"/>
              </w:numPr>
              <w:rPr>
                <w:u w:val="single"/>
              </w:rPr>
            </w:pPr>
            <w:r w:rsidRPr="00875DBE">
              <w:t>Polskiego Towarzystwa Informatycznego;</w:t>
            </w:r>
          </w:p>
          <w:p w14:paraId="54AE24D5" w14:textId="77777777" w:rsidR="00216942" w:rsidRPr="00916CCA" w:rsidRDefault="00216942" w:rsidP="00FC78C7">
            <w:pPr>
              <w:pStyle w:val="Akapitzlist"/>
              <w:numPr>
                <w:ilvl w:val="0"/>
                <w:numId w:val="42"/>
              </w:numPr>
              <w:rPr>
                <w:u w:val="single"/>
              </w:rPr>
            </w:pPr>
            <w:r w:rsidRPr="00875DBE">
              <w:t>Polskiego Związku Krótkofalowców;</w:t>
            </w:r>
          </w:p>
          <w:p w14:paraId="37C7ED00" w14:textId="4AE7A27F" w:rsidR="00216942" w:rsidRDefault="00216942" w:rsidP="00217657">
            <w:pPr>
              <w:pStyle w:val="Akapitzlist"/>
              <w:numPr>
                <w:ilvl w:val="0"/>
                <w:numId w:val="42"/>
              </w:numPr>
            </w:pPr>
            <w:r>
              <w:t>Polskiej Izby Brokerów Ubezpieczeniowych i Reasekuracyjnych;</w:t>
            </w:r>
          </w:p>
          <w:p w14:paraId="0BDBE8E1" w14:textId="77777777" w:rsidR="00216942" w:rsidRPr="00103ABB" w:rsidRDefault="00216942" w:rsidP="00FC78C7">
            <w:pPr>
              <w:pStyle w:val="Akapitzlist"/>
              <w:numPr>
                <w:ilvl w:val="0"/>
                <w:numId w:val="42"/>
              </w:numPr>
              <w:rPr>
                <w:u w:val="single"/>
              </w:rPr>
            </w:pPr>
            <w:r w:rsidRPr="00875DBE">
              <w:t>Polskiej Izby Handlu;</w:t>
            </w:r>
          </w:p>
          <w:p w14:paraId="0E81A4FB" w14:textId="77777777" w:rsidR="00216942" w:rsidRPr="00103ABB" w:rsidRDefault="00216942" w:rsidP="00FC78C7">
            <w:pPr>
              <w:pStyle w:val="Akapitzlist"/>
              <w:numPr>
                <w:ilvl w:val="0"/>
                <w:numId w:val="42"/>
              </w:numPr>
              <w:rPr>
                <w:u w:val="single"/>
              </w:rPr>
            </w:pPr>
            <w:r w:rsidRPr="00875DBE">
              <w:t>Polskiej Izby Informatyki i Telekomunikacji;</w:t>
            </w:r>
          </w:p>
          <w:p w14:paraId="1EA2EF3A" w14:textId="77777777" w:rsidR="00216942" w:rsidRPr="00103ABB" w:rsidRDefault="00216942" w:rsidP="00FC78C7">
            <w:pPr>
              <w:pStyle w:val="Akapitzlist"/>
              <w:numPr>
                <w:ilvl w:val="0"/>
                <w:numId w:val="42"/>
              </w:numPr>
              <w:rPr>
                <w:u w:val="single"/>
              </w:rPr>
            </w:pPr>
            <w:r w:rsidRPr="00875DBE">
              <w:t>Polskiej Izby Komunikacji Elektronicznej;</w:t>
            </w:r>
          </w:p>
          <w:p w14:paraId="6BC046D4" w14:textId="77777777" w:rsidR="00216942" w:rsidRPr="00103ABB" w:rsidRDefault="00216942" w:rsidP="00FC78C7">
            <w:pPr>
              <w:pStyle w:val="Akapitzlist"/>
              <w:numPr>
                <w:ilvl w:val="0"/>
                <w:numId w:val="42"/>
              </w:numPr>
              <w:rPr>
                <w:u w:val="single"/>
              </w:rPr>
            </w:pPr>
            <w:r w:rsidRPr="00875DBE">
              <w:t>Polskiej Izby Producentów Urządzeń i Usług na rzecz Kolei;</w:t>
            </w:r>
          </w:p>
          <w:p w14:paraId="4A6A2D26" w14:textId="77777777" w:rsidR="00216942" w:rsidRPr="00103ABB" w:rsidRDefault="00216942" w:rsidP="00FC78C7">
            <w:pPr>
              <w:pStyle w:val="Akapitzlist"/>
              <w:numPr>
                <w:ilvl w:val="0"/>
                <w:numId w:val="42"/>
              </w:numPr>
              <w:rPr>
                <w:u w:val="single"/>
              </w:rPr>
            </w:pPr>
            <w:r w:rsidRPr="00875DBE">
              <w:t>Polskiej Izby Radiodyfuzji Cyfrowej;</w:t>
            </w:r>
          </w:p>
          <w:p w14:paraId="6652E7A4" w14:textId="3351CA96" w:rsidR="00216942" w:rsidRDefault="00216942" w:rsidP="00217657">
            <w:pPr>
              <w:pStyle w:val="Akapitzlist"/>
              <w:numPr>
                <w:ilvl w:val="0"/>
                <w:numId w:val="42"/>
              </w:numPr>
            </w:pPr>
            <w:r>
              <w:t>Polskiej Izby Ubezpieczeń;</w:t>
            </w:r>
          </w:p>
          <w:p w14:paraId="158D5A71" w14:textId="77777777" w:rsidR="00216942" w:rsidRPr="00F00A96" w:rsidRDefault="00216942" w:rsidP="00FC78C7">
            <w:pPr>
              <w:pStyle w:val="Akapitzlist"/>
              <w:numPr>
                <w:ilvl w:val="0"/>
                <w:numId w:val="42"/>
              </w:numPr>
              <w:rPr>
                <w:u w:val="single"/>
              </w:rPr>
            </w:pPr>
            <w:r w:rsidRPr="00875DBE">
              <w:t>Polskiej Organizacji Handlu i Dystrybucji;</w:t>
            </w:r>
          </w:p>
          <w:p w14:paraId="554C5D6E" w14:textId="75996A61" w:rsidR="00F00A96" w:rsidRPr="00F00A96" w:rsidRDefault="00F00A96" w:rsidP="00FC78C7">
            <w:pPr>
              <w:pStyle w:val="Akapitzlist"/>
              <w:numPr>
                <w:ilvl w:val="0"/>
                <w:numId w:val="42"/>
              </w:numPr>
            </w:pPr>
            <w:r w:rsidRPr="00F00A96">
              <w:t>Polsk</w:t>
            </w:r>
            <w:r>
              <w:t>iej</w:t>
            </w:r>
            <w:r w:rsidRPr="00F00A96">
              <w:t xml:space="preserve"> Organizacj</w:t>
            </w:r>
            <w:r>
              <w:t>i</w:t>
            </w:r>
            <w:r w:rsidRPr="00F00A96">
              <w:t xml:space="preserve"> </w:t>
            </w:r>
            <w:proofErr w:type="spellStart"/>
            <w:r w:rsidRPr="00F00A96">
              <w:t>Niebankowych</w:t>
            </w:r>
            <w:proofErr w:type="spellEnd"/>
            <w:r w:rsidRPr="00F00A96">
              <w:t xml:space="preserve"> Instytucji Płatności;</w:t>
            </w:r>
          </w:p>
          <w:p w14:paraId="6AD36F0D" w14:textId="77777777" w:rsidR="00216942" w:rsidRPr="00103ABB" w:rsidRDefault="00216942" w:rsidP="00FC78C7">
            <w:pPr>
              <w:pStyle w:val="Akapitzlist"/>
              <w:numPr>
                <w:ilvl w:val="0"/>
                <w:numId w:val="42"/>
              </w:numPr>
              <w:rPr>
                <w:u w:val="single"/>
              </w:rPr>
            </w:pPr>
            <w:r w:rsidRPr="00875DBE">
              <w:t>Polskiej Rady Biznesu;</w:t>
            </w:r>
          </w:p>
          <w:p w14:paraId="4C5822EF" w14:textId="77777777" w:rsidR="00216942" w:rsidRPr="00916CCA" w:rsidRDefault="00216942" w:rsidP="00FC78C7">
            <w:pPr>
              <w:pStyle w:val="Akapitzlist"/>
              <w:numPr>
                <w:ilvl w:val="0"/>
                <w:numId w:val="42"/>
              </w:numPr>
              <w:rPr>
                <w:u w:val="single"/>
              </w:rPr>
            </w:pPr>
            <w:r w:rsidRPr="00875DBE">
              <w:t>Polskiej Wytwórni Papierów Wartościowych;</w:t>
            </w:r>
          </w:p>
          <w:p w14:paraId="6C41032A" w14:textId="77777777" w:rsidR="00216942" w:rsidRPr="00916CCA" w:rsidRDefault="00216942" w:rsidP="00FC78C7">
            <w:pPr>
              <w:pStyle w:val="Akapitzlist"/>
              <w:numPr>
                <w:ilvl w:val="0"/>
                <w:numId w:val="42"/>
              </w:numPr>
              <w:rPr>
                <w:u w:val="single"/>
              </w:rPr>
            </w:pPr>
            <w:r w:rsidRPr="00875DBE">
              <w:t>Sektorowej Rady ds. Kompetencji – Telekomunikacja i </w:t>
            </w:r>
            <w:proofErr w:type="spellStart"/>
            <w:r w:rsidRPr="00875DBE">
              <w:t>Cyberbezpieczeństwo</w:t>
            </w:r>
            <w:proofErr w:type="spellEnd"/>
            <w:r w:rsidRPr="00875DBE">
              <w:t>;</w:t>
            </w:r>
          </w:p>
          <w:p w14:paraId="15234205" w14:textId="77777777" w:rsidR="00216942" w:rsidRPr="00103ABB" w:rsidRDefault="00216942" w:rsidP="00FC78C7">
            <w:pPr>
              <w:pStyle w:val="Akapitzlist"/>
              <w:numPr>
                <w:ilvl w:val="0"/>
                <w:numId w:val="42"/>
              </w:numPr>
              <w:rPr>
                <w:u w:val="single"/>
              </w:rPr>
            </w:pPr>
            <w:r w:rsidRPr="00875DBE">
              <w:t>Stowarzyszenia Inżynierów Telekomunikacji;</w:t>
            </w:r>
          </w:p>
          <w:p w14:paraId="04A872B1" w14:textId="63D5BE46" w:rsidR="00216942" w:rsidRDefault="00216942" w:rsidP="00217657">
            <w:pPr>
              <w:pStyle w:val="Akapitzlist"/>
              <w:numPr>
                <w:ilvl w:val="0"/>
                <w:numId w:val="42"/>
              </w:numPr>
            </w:pPr>
            <w:r>
              <w:t>Stowarzyszenia Polskich Brokerów Ubezpieczeniowych i Reasekuracyjnych;</w:t>
            </w:r>
          </w:p>
          <w:p w14:paraId="4D449E9B" w14:textId="77777777" w:rsidR="00216942" w:rsidRPr="00916CCA" w:rsidRDefault="00216942" w:rsidP="00FC78C7">
            <w:pPr>
              <w:pStyle w:val="Akapitzlist"/>
              <w:numPr>
                <w:ilvl w:val="0"/>
                <w:numId w:val="42"/>
              </w:numPr>
              <w:rPr>
                <w:u w:val="single"/>
              </w:rPr>
            </w:pPr>
            <w:r w:rsidRPr="00875DBE">
              <w:t>Towarzystwa Gospodarczego Polskie Elektrownie;</w:t>
            </w:r>
          </w:p>
          <w:p w14:paraId="5C8583E3" w14:textId="19F15ED8" w:rsidR="00216942" w:rsidRDefault="00216942" w:rsidP="00840807">
            <w:pPr>
              <w:pStyle w:val="Akapitzlist"/>
              <w:numPr>
                <w:ilvl w:val="0"/>
                <w:numId w:val="42"/>
              </w:numPr>
              <w:ind w:right="118"/>
            </w:pPr>
            <w:r>
              <w:t>Związku Banków Polskich;</w:t>
            </w:r>
          </w:p>
          <w:p w14:paraId="092184AB" w14:textId="77777777" w:rsidR="00216942" w:rsidRPr="00103ABB" w:rsidRDefault="00216942" w:rsidP="00840807">
            <w:pPr>
              <w:pStyle w:val="Akapitzlist"/>
              <w:numPr>
                <w:ilvl w:val="0"/>
                <w:numId w:val="42"/>
              </w:numPr>
              <w:ind w:right="118"/>
              <w:rPr>
                <w:u w:val="single"/>
              </w:rPr>
            </w:pPr>
            <w:r w:rsidRPr="00875DBE">
              <w:t>Związku Importerów i Producentów Sprzętu Elektrycznego i Elektronicznego Branży RTV i IT – ZIPSEE „Cyfrowa Polska”;</w:t>
            </w:r>
          </w:p>
          <w:p w14:paraId="65EB487E" w14:textId="77777777" w:rsidR="00216942" w:rsidRPr="00103ABB" w:rsidRDefault="00216942" w:rsidP="00FC78C7">
            <w:pPr>
              <w:pStyle w:val="Akapitzlist"/>
              <w:numPr>
                <w:ilvl w:val="0"/>
                <w:numId w:val="42"/>
              </w:numPr>
              <w:rPr>
                <w:u w:val="single"/>
              </w:rPr>
            </w:pPr>
            <w:r w:rsidRPr="00875DBE">
              <w:t>Związku Pracodawców Branży Internetowej IAB Polska;</w:t>
            </w:r>
          </w:p>
          <w:p w14:paraId="0E4908B5" w14:textId="5BD04F05" w:rsidR="00216942" w:rsidRPr="00103ABB" w:rsidRDefault="00216942" w:rsidP="00FC78C7">
            <w:pPr>
              <w:pStyle w:val="Akapitzlist"/>
              <w:numPr>
                <w:ilvl w:val="0"/>
                <w:numId w:val="42"/>
              </w:numPr>
              <w:rPr>
                <w:u w:val="single"/>
              </w:rPr>
            </w:pPr>
            <w:r w:rsidRPr="00875DBE">
              <w:t xml:space="preserve">Związku Pracodawców Mediów Elektronicznych i Telekomunikacji </w:t>
            </w:r>
            <w:proofErr w:type="spellStart"/>
            <w:r w:rsidRPr="00875DBE">
              <w:t>Mediakom</w:t>
            </w:r>
            <w:proofErr w:type="spellEnd"/>
            <w:r w:rsidRPr="00875DBE">
              <w:t>;</w:t>
            </w:r>
          </w:p>
          <w:p w14:paraId="22DFAFB1" w14:textId="617468C0" w:rsidR="00216942" w:rsidRPr="00103ABB" w:rsidRDefault="00216942" w:rsidP="00FC78C7">
            <w:pPr>
              <w:pStyle w:val="Akapitzlist"/>
              <w:numPr>
                <w:ilvl w:val="0"/>
                <w:numId w:val="42"/>
              </w:numPr>
              <w:rPr>
                <w:u w:val="single"/>
              </w:rPr>
            </w:pPr>
            <w:r w:rsidRPr="00875DBE">
              <w:t>Związku Pracodawców Mediów Publicznych;</w:t>
            </w:r>
          </w:p>
          <w:p w14:paraId="7A63EC05" w14:textId="77777777" w:rsidR="00216942" w:rsidRPr="00103ABB" w:rsidRDefault="00216942" w:rsidP="00FC78C7">
            <w:pPr>
              <w:pStyle w:val="Akapitzlist"/>
              <w:numPr>
                <w:ilvl w:val="0"/>
                <w:numId w:val="42"/>
              </w:numPr>
              <w:rPr>
                <w:u w:val="single"/>
              </w:rPr>
            </w:pPr>
            <w:r w:rsidRPr="00875DBE">
              <w:t>Związku Przemysłu Motoryzacyjnego;</w:t>
            </w:r>
          </w:p>
          <w:p w14:paraId="66626A09" w14:textId="49E38A35" w:rsidR="00216942" w:rsidRPr="00103ABB" w:rsidRDefault="00216942" w:rsidP="00FC78C7">
            <w:pPr>
              <w:pStyle w:val="Akapitzlist"/>
              <w:numPr>
                <w:ilvl w:val="0"/>
                <w:numId w:val="42"/>
              </w:numPr>
              <w:rPr>
                <w:u w:val="single"/>
              </w:rPr>
            </w:pPr>
            <w:r w:rsidRPr="00875DBE">
              <w:t>Związku Telewizji Kablowych w Polsce Izb</w:t>
            </w:r>
            <w:r w:rsidR="007B510C">
              <w:t>a</w:t>
            </w:r>
            <w:r w:rsidRPr="00875DBE">
              <w:t xml:space="preserve"> Gospodarcza</w:t>
            </w:r>
            <w:r w:rsidR="00B34951">
              <w:t>.</w:t>
            </w:r>
          </w:p>
          <w:p w14:paraId="34DB6E20" w14:textId="77777777" w:rsidR="008A708D" w:rsidRPr="00875DBE" w:rsidRDefault="008A708D" w:rsidP="00460DE9"/>
          <w:p w14:paraId="2F5FA1FB" w14:textId="59B9F73A" w:rsidR="00A530B3" w:rsidRDefault="00A530B3" w:rsidP="00460DE9">
            <w:pPr>
              <w:rPr>
                <w:u w:val="single"/>
              </w:rPr>
            </w:pPr>
            <w:r w:rsidRPr="00875DBE">
              <w:rPr>
                <w:u w:val="single"/>
              </w:rPr>
              <w:t xml:space="preserve">W ramach </w:t>
            </w:r>
            <w:r w:rsidR="00563F17" w:rsidRPr="00875DBE">
              <w:rPr>
                <w:u w:val="single"/>
              </w:rPr>
              <w:t>30</w:t>
            </w:r>
            <w:r w:rsidR="00840807">
              <w:rPr>
                <w:u w:val="single"/>
              </w:rPr>
              <w:t>-</w:t>
            </w:r>
            <w:r w:rsidR="00563F17" w:rsidRPr="00875DBE">
              <w:rPr>
                <w:u w:val="single"/>
              </w:rPr>
              <w:t xml:space="preserve">dniowego </w:t>
            </w:r>
            <w:r w:rsidRPr="00875DBE">
              <w:rPr>
                <w:u w:val="single"/>
              </w:rPr>
              <w:t xml:space="preserve">opiniowania </w:t>
            </w:r>
            <w:r w:rsidR="00AA4ECB" w:rsidRPr="00875DBE">
              <w:rPr>
                <w:u w:val="single"/>
              </w:rPr>
              <w:t xml:space="preserve">projekt </w:t>
            </w:r>
            <w:r w:rsidR="008379E2" w:rsidRPr="00875DBE">
              <w:rPr>
                <w:u w:val="single"/>
              </w:rPr>
              <w:t>zosta</w:t>
            </w:r>
            <w:r w:rsidR="008379E2">
              <w:rPr>
                <w:u w:val="single"/>
              </w:rPr>
              <w:t>ł</w:t>
            </w:r>
            <w:r w:rsidR="008379E2" w:rsidRPr="00875DBE">
              <w:rPr>
                <w:u w:val="single"/>
              </w:rPr>
              <w:t xml:space="preserve"> </w:t>
            </w:r>
            <w:r w:rsidRPr="00875DBE">
              <w:rPr>
                <w:u w:val="single"/>
              </w:rPr>
              <w:t>skierowan</w:t>
            </w:r>
            <w:r w:rsidR="00AA4ECB" w:rsidRPr="00875DBE">
              <w:rPr>
                <w:u w:val="single"/>
              </w:rPr>
              <w:t>y</w:t>
            </w:r>
            <w:r w:rsidRPr="00875DBE">
              <w:rPr>
                <w:u w:val="single"/>
              </w:rPr>
              <w:t xml:space="preserve"> do</w:t>
            </w:r>
            <w:r w:rsidR="00972B36" w:rsidRPr="00875DBE">
              <w:rPr>
                <w:u w:val="single"/>
              </w:rPr>
              <w:t xml:space="preserve"> następujących podmiotów</w:t>
            </w:r>
            <w:r w:rsidRPr="00875DBE">
              <w:rPr>
                <w:u w:val="single"/>
              </w:rPr>
              <w:t>:</w:t>
            </w:r>
          </w:p>
          <w:p w14:paraId="6656C786" w14:textId="77777777" w:rsidR="00291600" w:rsidRPr="00916CCA" w:rsidRDefault="00291600" w:rsidP="00FC78C7">
            <w:pPr>
              <w:pStyle w:val="Akapitzlist"/>
              <w:numPr>
                <w:ilvl w:val="0"/>
                <w:numId w:val="43"/>
              </w:numPr>
              <w:rPr>
                <w:u w:val="single"/>
              </w:rPr>
            </w:pPr>
            <w:r w:rsidRPr="00875DBE">
              <w:t>Agencji Bezpieczeństwa Wewnętrznego;</w:t>
            </w:r>
          </w:p>
          <w:p w14:paraId="2A3142E3" w14:textId="77777777" w:rsidR="00291600" w:rsidRPr="00916CCA" w:rsidRDefault="00291600" w:rsidP="00FC78C7">
            <w:pPr>
              <w:pStyle w:val="Akapitzlist"/>
              <w:numPr>
                <w:ilvl w:val="0"/>
                <w:numId w:val="43"/>
              </w:numPr>
              <w:rPr>
                <w:u w:val="single"/>
              </w:rPr>
            </w:pPr>
            <w:r w:rsidRPr="00875DBE">
              <w:t>Agencji Wywiadu;</w:t>
            </w:r>
          </w:p>
          <w:p w14:paraId="3EDFC4D3" w14:textId="77777777" w:rsidR="00291600" w:rsidRPr="00916CCA" w:rsidRDefault="00291600" w:rsidP="00FC78C7">
            <w:pPr>
              <w:pStyle w:val="Akapitzlist"/>
              <w:numPr>
                <w:ilvl w:val="0"/>
                <w:numId w:val="43"/>
              </w:numPr>
              <w:rPr>
                <w:u w:val="single"/>
              </w:rPr>
            </w:pPr>
            <w:r w:rsidRPr="00875DBE">
              <w:t>Biura Bezpieczeństwa Narodowego;</w:t>
            </w:r>
          </w:p>
          <w:p w14:paraId="298E9BA2" w14:textId="77777777" w:rsidR="00291600" w:rsidRPr="00916CCA" w:rsidRDefault="00291600" w:rsidP="00FC78C7">
            <w:pPr>
              <w:pStyle w:val="Akapitzlist"/>
              <w:numPr>
                <w:ilvl w:val="0"/>
                <w:numId w:val="43"/>
              </w:numPr>
              <w:rPr>
                <w:u w:val="single"/>
              </w:rPr>
            </w:pPr>
            <w:r w:rsidRPr="00875DBE">
              <w:t>Centralnego Biura Antykorupcyjnego;</w:t>
            </w:r>
          </w:p>
          <w:p w14:paraId="5EF56C8B" w14:textId="77777777" w:rsidR="00291600" w:rsidRPr="00916CCA" w:rsidRDefault="00291600" w:rsidP="00FC78C7">
            <w:pPr>
              <w:pStyle w:val="Akapitzlist"/>
              <w:numPr>
                <w:ilvl w:val="0"/>
                <w:numId w:val="43"/>
              </w:numPr>
              <w:rPr>
                <w:u w:val="single"/>
              </w:rPr>
            </w:pPr>
            <w:r w:rsidRPr="00875DBE">
              <w:t>Komisji Nadzoru Finansowego;</w:t>
            </w:r>
          </w:p>
          <w:p w14:paraId="0851F068" w14:textId="77777777" w:rsidR="00291600" w:rsidRPr="00916CCA" w:rsidRDefault="00291600" w:rsidP="00FC78C7">
            <w:pPr>
              <w:pStyle w:val="Akapitzlist"/>
              <w:numPr>
                <w:ilvl w:val="0"/>
                <w:numId w:val="43"/>
              </w:numPr>
              <w:rPr>
                <w:u w:val="single"/>
              </w:rPr>
            </w:pPr>
            <w:r w:rsidRPr="00875DBE">
              <w:t>Krajowej Rady Radiofonii i Telewizji;</w:t>
            </w:r>
          </w:p>
          <w:p w14:paraId="4A808C70" w14:textId="77777777" w:rsidR="00291600" w:rsidRPr="00916CCA" w:rsidRDefault="00291600" w:rsidP="00FC78C7">
            <w:pPr>
              <w:pStyle w:val="Akapitzlist"/>
              <w:numPr>
                <w:ilvl w:val="0"/>
                <w:numId w:val="43"/>
              </w:numPr>
              <w:rPr>
                <w:u w:val="single"/>
              </w:rPr>
            </w:pPr>
            <w:r w:rsidRPr="00875DBE">
              <w:t>Najwyższej Izby Kontroli;</w:t>
            </w:r>
          </w:p>
          <w:p w14:paraId="4098898B" w14:textId="77777777" w:rsidR="00291600" w:rsidRPr="00916CCA" w:rsidRDefault="00291600" w:rsidP="00FC78C7">
            <w:pPr>
              <w:pStyle w:val="Akapitzlist"/>
              <w:numPr>
                <w:ilvl w:val="0"/>
                <w:numId w:val="43"/>
              </w:numPr>
              <w:rPr>
                <w:u w:val="single"/>
              </w:rPr>
            </w:pPr>
            <w:r w:rsidRPr="00875DBE">
              <w:t>Polskiego Komitetu Normalizacyjnego;</w:t>
            </w:r>
          </w:p>
          <w:p w14:paraId="36E15FB4" w14:textId="77777777" w:rsidR="00291600" w:rsidRPr="00916CCA" w:rsidRDefault="00291600" w:rsidP="00FC78C7">
            <w:pPr>
              <w:pStyle w:val="Akapitzlist"/>
              <w:numPr>
                <w:ilvl w:val="0"/>
                <w:numId w:val="43"/>
              </w:numPr>
              <w:rPr>
                <w:u w:val="single"/>
              </w:rPr>
            </w:pPr>
            <w:r w:rsidRPr="00875DBE">
              <w:t>Prezesa Głównego Urzędu Statystycznego;</w:t>
            </w:r>
          </w:p>
          <w:p w14:paraId="7F215DCB" w14:textId="77777777" w:rsidR="00291600" w:rsidRPr="00916CCA" w:rsidRDefault="00291600" w:rsidP="00FC78C7">
            <w:pPr>
              <w:pStyle w:val="Akapitzlist"/>
              <w:numPr>
                <w:ilvl w:val="0"/>
                <w:numId w:val="43"/>
              </w:numPr>
              <w:rPr>
                <w:u w:val="single"/>
              </w:rPr>
            </w:pPr>
            <w:r w:rsidRPr="00875DBE">
              <w:t>Prezesa Urzędu Komunikacji Elektronicznej;</w:t>
            </w:r>
          </w:p>
          <w:p w14:paraId="3E183A0B" w14:textId="77777777" w:rsidR="00291600" w:rsidRPr="00916CCA" w:rsidRDefault="00291600" w:rsidP="00FC78C7">
            <w:pPr>
              <w:pStyle w:val="Akapitzlist"/>
              <w:numPr>
                <w:ilvl w:val="0"/>
                <w:numId w:val="43"/>
              </w:numPr>
              <w:rPr>
                <w:u w:val="single"/>
              </w:rPr>
            </w:pPr>
            <w:r w:rsidRPr="00875DBE">
              <w:t>Prezesa Urzędu Ochrony Danych Osobowych;</w:t>
            </w:r>
          </w:p>
          <w:p w14:paraId="4277973B" w14:textId="77777777" w:rsidR="00291600" w:rsidRPr="00916CCA" w:rsidRDefault="00291600" w:rsidP="00FC78C7">
            <w:pPr>
              <w:pStyle w:val="Akapitzlist"/>
              <w:numPr>
                <w:ilvl w:val="0"/>
                <w:numId w:val="43"/>
              </w:numPr>
              <w:rPr>
                <w:u w:val="single"/>
              </w:rPr>
            </w:pPr>
            <w:r w:rsidRPr="00875DBE">
              <w:t>Prezesa Urzędu Ochrony Konkurencji i Konsumentów;</w:t>
            </w:r>
          </w:p>
          <w:p w14:paraId="00F1871B" w14:textId="722624CE" w:rsidR="00291600" w:rsidRPr="00916CCA" w:rsidRDefault="00291600" w:rsidP="00916CCA">
            <w:pPr>
              <w:pStyle w:val="Akapitzlist"/>
              <w:numPr>
                <w:ilvl w:val="0"/>
                <w:numId w:val="43"/>
              </w:numPr>
              <w:rPr>
                <w:u w:val="single"/>
              </w:rPr>
            </w:pPr>
            <w:r>
              <w:t>Prokuratorii Generalnej Rzeczypospolitej Polskiej</w:t>
            </w:r>
            <w:r w:rsidR="00B34951">
              <w:t>;</w:t>
            </w:r>
          </w:p>
          <w:p w14:paraId="4CD8D406" w14:textId="77777777" w:rsidR="00291600" w:rsidRPr="006148BE" w:rsidRDefault="00291600" w:rsidP="00916CCA">
            <w:pPr>
              <w:pStyle w:val="Akapitzlist"/>
              <w:numPr>
                <w:ilvl w:val="0"/>
                <w:numId w:val="43"/>
              </w:numPr>
              <w:rPr>
                <w:u w:val="single"/>
              </w:rPr>
            </w:pPr>
            <w:r w:rsidRPr="00875DBE">
              <w:t>Rady Dialogu Społecznego</w:t>
            </w:r>
            <w:r>
              <w:t>;</w:t>
            </w:r>
          </w:p>
          <w:p w14:paraId="354AD362" w14:textId="77777777" w:rsidR="00291600" w:rsidRPr="00916CCA" w:rsidRDefault="00291600" w:rsidP="00FC78C7">
            <w:pPr>
              <w:pStyle w:val="Akapitzlist"/>
              <w:numPr>
                <w:ilvl w:val="0"/>
                <w:numId w:val="43"/>
              </w:numPr>
              <w:rPr>
                <w:u w:val="single"/>
              </w:rPr>
            </w:pPr>
            <w:r w:rsidRPr="00875DBE">
              <w:lastRenderedPageBreak/>
              <w:t>Rządowego Centrum Bezpieczeństwa;</w:t>
            </w:r>
          </w:p>
          <w:p w14:paraId="129C1672" w14:textId="77777777" w:rsidR="00291600" w:rsidRPr="00916CCA" w:rsidRDefault="00291600" w:rsidP="00FC78C7">
            <w:pPr>
              <w:pStyle w:val="Akapitzlist"/>
              <w:numPr>
                <w:ilvl w:val="0"/>
                <w:numId w:val="43"/>
              </w:numPr>
              <w:rPr>
                <w:u w:val="single"/>
              </w:rPr>
            </w:pPr>
            <w:r w:rsidRPr="00875DBE">
              <w:t>Rzecznika Małych i Średnich Przedsiębiorców;</w:t>
            </w:r>
          </w:p>
          <w:p w14:paraId="0915BD9A" w14:textId="77777777" w:rsidR="00291600" w:rsidRPr="00916CCA" w:rsidRDefault="00291600" w:rsidP="00FC78C7">
            <w:pPr>
              <w:pStyle w:val="Akapitzlist"/>
              <w:numPr>
                <w:ilvl w:val="0"/>
                <w:numId w:val="43"/>
              </w:numPr>
              <w:rPr>
                <w:u w:val="single"/>
              </w:rPr>
            </w:pPr>
            <w:r w:rsidRPr="00875DBE">
              <w:t>Rzecznika Praw Obywatelskich;</w:t>
            </w:r>
          </w:p>
          <w:p w14:paraId="22177A8A" w14:textId="77777777" w:rsidR="00291600" w:rsidRPr="00916CCA" w:rsidRDefault="00291600" w:rsidP="00FC78C7">
            <w:pPr>
              <w:pStyle w:val="Akapitzlist"/>
              <w:numPr>
                <w:ilvl w:val="0"/>
                <w:numId w:val="43"/>
              </w:numPr>
              <w:rPr>
                <w:u w:val="single"/>
              </w:rPr>
            </w:pPr>
            <w:r w:rsidRPr="00875DBE">
              <w:t>Służby Kontrwywiadu Wojskowego;</w:t>
            </w:r>
          </w:p>
          <w:p w14:paraId="79C4BF72" w14:textId="77777777" w:rsidR="00291600" w:rsidRPr="00916CCA" w:rsidRDefault="00291600" w:rsidP="00FC78C7">
            <w:pPr>
              <w:pStyle w:val="Akapitzlist"/>
              <w:numPr>
                <w:ilvl w:val="0"/>
                <w:numId w:val="43"/>
              </w:numPr>
              <w:rPr>
                <w:u w:val="single"/>
              </w:rPr>
            </w:pPr>
            <w:r w:rsidRPr="00875DBE">
              <w:t>Służby Ochrony Państwa;</w:t>
            </w:r>
          </w:p>
          <w:p w14:paraId="0BF164EA" w14:textId="77777777" w:rsidR="00291600" w:rsidRPr="00916CCA" w:rsidRDefault="00291600" w:rsidP="00FC78C7">
            <w:pPr>
              <w:pStyle w:val="Akapitzlist"/>
              <w:numPr>
                <w:ilvl w:val="0"/>
                <w:numId w:val="43"/>
              </w:numPr>
              <w:rPr>
                <w:u w:val="single"/>
              </w:rPr>
            </w:pPr>
            <w:r w:rsidRPr="00875DBE">
              <w:t>Służby Wywiadu Wojskowego;</w:t>
            </w:r>
          </w:p>
          <w:p w14:paraId="46B91915" w14:textId="1931A1A0" w:rsidR="00291600" w:rsidRPr="00916CCA" w:rsidRDefault="00291600" w:rsidP="00FC78C7">
            <w:pPr>
              <w:pStyle w:val="Akapitzlist"/>
              <w:numPr>
                <w:ilvl w:val="0"/>
                <w:numId w:val="43"/>
              </w:numPr>
              <w:rPr>
                <w:u w:val="single"/>
              </w:rPr>
            </w:pPr>
            <w:r w:rsidRPr="00875DBE">
              <w:t>Urzędu Zamówień Publicznych;</w:t>
            </w:r>
          </w:p>
          <w:p w14:paraId="46041DAF" w14:textId="6A94E802" w:rsidR="00291600" w:rsidRPr="00916CCA" w:rsidRDefault="00291600" w:rsidP="00FC78C7">
            <w:pPr>
              <w:pStyle w:val="Akapitzlist"/>
              <w:numPr>
                <w:ilvl w:val="0"/>
                <w:numId w:val="43"/>
              </w:numPr>
              <w:rPr>
                <w:u w:val="single"/>
              </w:rPr>
            </w:pPr>
            <w:r w:rsidRPr="00875DBE">
              <w:t>Wojskowego Biura Zarządzania Częstotliwościami</w:t>
            </w:r>
            <w:r w:rsidR="00B34951">
              <w:t>.</w:t>
            </w:r>
          </w:p>
          <w:p w14:paraId="6F1C5E71" w14:textId="1A5B8CCC" w:rsidR="00964C1D" w:rsidRPr="00875DBE" w:rsidRDefault="00335EED" w:rsidP="00460DE9">
            <w:r>
              <w:t xml:space="preserve">Wyniki ww. procesów zostaną omówione w raporcie z konsultacji. </w:t>
            </w:r>
          </w:p>
        </w:tc>
      </w:tr>
      <w:tr w:rsidR="006A701A" w:rsidRPr="00875DBE" w14:paraId="4DB332B1" w14:textId="77777777" w:rsidTr="006148BE">
        <w:trPr>
          <w:trHeight w:val="363"/>
        </w:trPr>
        <w:tc>
          <w:tcPr>
            <w:tcW w:w="5000" w:type="pct"/>
            <w:gridSpan w:val="28"/>
            <w:shd w:val="clear" w:color="auto" w:fill="99CCFF"/>
            <w:vAlign w:val="center"/>
          </w:tcPr>
          <w:p w14:paraId="35F9DD7F" w14:textId="6C80C502" w:rsidR="006A701A" w:rsidRPr="00875DBE" w:rsidRDefault="00972B36" w:rsidP="0072636A">
            <w:pPr>
              <w:numPr>
                <w:ilvl w:val="0"/>
                <w:numId w:val="3"/>
              </w:numPr>
              <w:spacing w:before="60" w:after="60"/>
              <w:ind w:left="318" w:hanging="284"/>
              <w:rPr>
                <w:b/>
                <w:color w:val="000000"/>
              </w:rPr>
            </w:pPr>
            <w:r w:rsidRPr="00875DBE">
              <w:rPr>
                <w:b/>
                <w:color w:val="000000"/>
              </w:rPr>
              <w:lastRenderedPageBreak/>
              <w:t>Wpływ na sektor finansów publicznych</w:t>
            </w:r>
          </w:p>
        </w:tc>
      </w:tr>
      <w:tr w:rsidR="00CF3BF7" w:rsidRPr="00875DBE" w14:paraId="4C02A75E" w14:textId="77777777" w:rsidTr="00E625E7">
        <w:trPr>
          <w:trHeight w:val="142"/>
        </w:trPr>
        <w:tc>
          <w:tcPr>
            <w:tcW w:w="515" w:type="pct"/>
            <w:vMerge w:val="restart"/>
            <w:shd w:val="clear" w:color="auto" w:fill="FFFFFF" w:themeFill="background1"/>
          </w:tcPr>
          <w:p w14:paraId="6EAC9D2B" w14:textId="7AFF0108" w:rsidR="00260F33" w:rsidRPr="006148BE" w:rsidRDefault="00821717" w:rsidP="00821717">
            <w:pPr>
              <w:spacing w:before="40" w:after="40"/>
              <w:rPr>
                <w:i/>
                <w:color w:val="000000"/>
                <w:sz w:val="16"/>
                <w:szCs w:val="16"/>
              </w:rPr>
            </w:pPr>
            <w:r w:rsidRPr="006148BE">
              <w:rPr>
                <w:color w:val="000000"/>
                <w:sz w:val="16"/>
                <w:szCs w:val="16"/>
              </w:rPr>
              <w:t xml:space="preserve">(ceny </w:t>
            </w:r>
            <w:r w:rsidR="00CF5F4F" w:rsidRPr="006148BE">
              <w:rPr>
                <w:color w:val="000000"/>
                <w:sz w:val="16"/>
                <w:szCs w:val="16"/>
              </w:rPr>
              <w:t>stałe</w:t>
            </w:r>
            <w:r w:rsidR="00E32125" w:rsidRPr="006148BE">
              <w:rPr>
                <w:color w:val="000000"/>
                <w:sz w:val="16"/>
                <w:szCs w:val="16"/>
              </w:rPr>
              <w:t xml:space="preserve"> z </w:t>
            </w:r>
            <w:r w:rsidRPr="006148BE">
              <w:rPr>
                <w:color w:val="000000"/>
                <w:sz w:val="16"/>
                <w:szCs w:val="16"/>
              </w:rPr>
              <w:t>…… r.)</w:t>
            </w:r>
          </w:p>
        </w:tc>
        <w:tc>
          <w:tcPr>
            <w:tcW w:w="4485" w:type="pct"/>
            <w:gridSpan w:val="27"/>
            <w:shd w:val="clear" w:color="auto" w:fill="FFFFFF" w:themeFill="background1"/>
          </w:tcPr>
          <w:p w14:paraId="6F1677E6" w14:textId="1E3685B7" w:rsidR="00260F33" w:rsidRPr="006148BE" w:rsidRDefault="00260F33" w:rsidP="00260F33">
            <w:pPr>
              <w:spacing w:before="40" w:after="40"/>
              <w:jc w:val="center"/>
              <w:rPr>
                <w:i/>
                <w:color w:val="000000"/>
                <w:spacing w:val="-2"/>
                <w:sz w:val="16"/>
                <w:szCs w:val="16"/>
              </w:rPr>
            </w:pPr>
            <w:r w:rsidRPr="006148BE">
              <w:rPr>
                <w:color w:val="000000"/>
                <w:sz w:val="16"/>
                <w:szCs w:val="16"/>
              </w:rPr>
              <w:t>Skutki</w:t>
            </w:r>
            <w:r w:rsidR="00E32125" w:rsidRPr="006148BE">
              <w:rPr>
                <w:color w:val="000000"/>
                <w:sz w:val="16"/>
                <w:szCs w:val="16"/>
              </w:rPr>
              <w:t xml:space="preserve"> w </w:t>
            </w:r>
            <w:r w:rsidRPr="006148BE">
              <w:rPr>
                <w:color w:val="000000"/>
                <w:sz w:val="16"/>
                <w:szCs w:val="16"/>
              </w:rPr>
              <w:t>okresie 10 lat od wejścia</w:t>
            </w:r>
            <w:r w:rsidR="00E32125" w:rsidRPr="006148BE">
              <w:rPr>
                <w:color w:val="000000"/>
                <w:sz w:val="16"/>
                <w:szCs w:val="16"/>
              </w:rPr>
              <w:t xml:space="preserve"> w </w:t>
            </w:r>
            <w:r w:rsidRPr="006148BE">
              <w:rPr>
                <w:color w:val="000000"/>
                <w:sz w:val="16"/>
                <w:szCs w:val="16"/>
              </w:rPr>
              <w:t>życie zmian [</w:t>
            </w:r>
            <w:r w:rsidR="00A056CB" w:rsidRPr="006148BE">
              <w:rPr>
                <w:color w:val="000000"/>
                <w:sz w:val="16"/>
                <w:szCs w:val="16"/>
              </w:rPr>
              <w:t xml:space="preserve">mln </w:t>
            </w:r>
            <w:r w:rsidRPr="006148BE">
              <w:rPr>
                <w:color w:val="000000"/>
                <w:sz w:val="16"/>
                <w:szCs w:val="16"/>
              </w:rPr>
              <w:t>zł]</w:t>
            </w:r>
          </w:p>
        </w:tc>
      </w:tr>
      <w:tr w:rsidR="00D54FC8" w:rsidRPr="00875DBE" w14:paraId="5FDE35F5" w14:textId="77777777" w:rsidTr="00FF2F5D">
        <w:trPr>
          <w:trHeight w:val="142"/>
        </w:trPr>
        <w:tc>
          <w:tcPr>
            <w:tcW w:w="515" w:type="pct"/>
            <w:vMerge/>
          </w:tcPr>
          <w:p w14:paraId="1CDBA1E2" w14:textId="77777777" w:rsidR="0057668E" w:rsidRPr="006148BE" w:rsidRDefault="0057668E" w:rsidP="00A52ADB">
            <w:pPr>
              <w:spacing w:before="40" w:after="40"/>
              <w:rPr>
                <w:i/>
                <w:color w:val="000000"/>
                <w:sz w:val="16"/>
                <w:szCs w:val="16"/>
              </w:rPr>
            </w:pPr>
          </w:p>
        </w:tc>
        <w:tc>
          <w:tcPr>
            <w:tcW w:w="209" w:type="pct"/>
            <w:gridSpan w:val="2"/>
            <w:shd w:val="clear" w:color="auto" w:fill="FFFFFF" w:themeFill="background1"/>
          </w:tcPr>
          <w:p w14:paraId="30DE21AF" w14:textId="77777777" w:rsidR="0057668E" w:rsidRPr="006148BE" w:rsidRDefault="0057668E" w:rsidP="001D6A3C">
            <w:pPr>
              <w:jc w:val="center"/>
              <w:rPr>
                <w:color w:val="000000"/>
                <w:sz w:val="16"/>
                <w:szCs w:val="16"/>
              </w:rPr>
            </w:pPr>
            <w:r w:rsidRPr="006148BE">
              <w:rPr>
                <w:color w:val="000000"/>
                <w:sz w:val="16"/>
                <w:szCs w:val="16"/>
              </w:rPr>
              <w:t>0</w:t>
            </w:r>
          </w:p>
        </w:tc>
        <w:tc>
          <w:tcPr>
            <w:tcW w:w="460" w:type="pct"/>
            <w:gridSpan w:val="2"/>
            <w:shd w:val="clear" w:color="auto" w:fill="FFFFFF" w:themeFill="background1"/>
          </w:tcPr>
          <w:p w14:paraId="54BF1475" w14:textId="77777777" w:rsidR="0057668E" w:rsidRPr="006148BE" w:rsidRDefault="0057668E" w:rsidP="001D6A3C">
            <w:pPr>
              <w:jc w:val="center"/>
              <w:rPr>
                <w:color w:val="000000"/>
                <w:sz w:val="16"/>
                <w:szCs w:val="16"/>
              </w:rPr>
            </w:pPr>
            <w:r w:rsidRPr="006148BE">
              <w:rPr>
                <w:color w:val="000000"/>
                <w:sz w:val="16"/>
                <w:szCs w:val="16"/>
              </w:rPr>
              <w:t>1</w:t>
            </w:r>
          </w:p>
        </w:tc>
        <w:tc>
          <w:tcPr>
            <w:tcW w:w="373" w:type="pct"/>
            <w:gridSpan w:val="2"/>
            <w:shd w:val="clear" w:color="auto" w:fill="FFFFFF" w:themeFill="background1"/>
          </w:tcPr>
          <w:p w14:paraId="4180BD32" w14:textId="77777777" w:rsidR="0057668E" w:rsidRPr="006148BE" w:rsidRDefault="0057668E" w:rsidP="001D6A3C">
            <w:pPr>
              <w:jc w:val="center"/>
              <w:rPr>
                <w:color w:val="000000"/>
                <w:sz w:val="16"/>
                <w:szCs w:val="16"/>
              </w:rPr>
            </w:pPr>
            <w:r w:rsidRPr="006148BE">
              <w:rPr>
                <w:color w:val="000000"/>
                <w:sz w:val="16"/>
                <w:szCs w:val="16"/>
              </w:rPr>
              <w:t>2</w:t>
            </w:r>
          </w:p>
        </w:tc>
        <w:tc>
          <w:tcPr>
            <w:tcW w:w="375" w:type="pct"/>
            <w:gridSpan w:val="2"/>
            <w:shd w:val="clear" w:color="auto" w:fill="FFFFFF" w:themeFill="background1"/>
          </w:tcPr>
          <w:p w14:paraId="02E70833" w14:textId="77777777" w:rsidR="0057668E" w:rsidRPr="006148BE" w:rsidRDefault="0057668E" w:rsidP="001D6A3C">
            <w:pPr>
              <w:jc w:val="center"/>
              <w:rPr>
                <w:color w:val="000000"/>
                <w:sz w:val="16"/>
                <w:szCs w:val="16"/>
              </w:rPr>
            </w:pPr>
            <w:r w:rsidRPr="006148BE">
              <w:rPr>
                <w:color w:val="000000"/>
                <w:sz w:val="16"/>
                <w:szCs w:val="16"/>
              </w:rPr>
              <w:t>3</w:t>
            </w:r>
          </w:p>
        </w:tc>
        <w:tc>
          <w:tcPr>
            <w:tcW w:w="375" w:type="pct"/>
            <w:gridSpan w:val="2"/>
            <w:shd w:val="clear" w:color="auto" w:fill="FFFFFF" w:themeFill="background1"/>
          </w:tcPr>
          <w:p w14:paraId="7432489E" w14:textId="77777777" w:rsidR="0057668E" w:rsidRPr="006148BE" w:rsidRDefault="0057668E" w:rsidP="001D6A3C">
            <w:pPr>
              <w:jc w:val="center"/>
              <w:rPr>
                <w:color w:val="000000"/>
                <w:sz w:val="16"/>
                <w:szCs w:val="16"/>
              </w:rPr>
            </w:pPr>
            <w:r w:rsidRPr="006148BE">
              <w:rPr>
                <w:color w:val="000000"/>
                <w:sz w:val="16"/>
                <w:szCs w:val="16"/>
              </w:rPr>
              <w:t>4</w:t>
            </w:r>
          </w:p>
        </w:tc>
        <w:tc>
          <w:tcPr>
            <w:tcW w:w="373" w:type="pct"/>
            <w:gridSpan w:val="3"/>
            <w:shd w:val="clear" w:color="auto" w:fill="FFFFFF" w:themeFill="background1"/>
          </w:tcPr>
          <w:p w14:paraId="4818C92A" w14:textId="77777777" w:rsidR="0057668E" w:rsidRPr="006148BE" w:rsidRDefault="0057668E" w:rsidP="001D6A3C">
            <w:pPr>
              <w:jc w:val="center"/>
              <w:rPr>
                <w:color w:val="000000"/>
                <w:sz w:val="16"/>
                <w:szCs w:val="16"/>
              </w:rPr>
            </w:pPr>
            <w:r w:rsidRPr="006148BE">
              <w:rPr>
                <w:color w:val="000000"/>
                <w:sz w:val="16"/>
                <w:szCs w:val="16"/>
              </w:rPr>
              <w:t>5</w:t>
            </w:r>
          </w:p>
        </w:tc>
        <w:tc>
          <w:tcPr>
            <w:tcW w:w="377" w:type="pct"/>
            <w:gridSpan w:val="2"/>
            <w:shd w:val="clear" w:color="auto" w:fill="FFFFFF" w:themeFill="background1"/>
          </w:tcPr>
          <w:p w14:paraId="79EA3316" w14:textId="77777777" w:rsidR="0057668E" w:rsidRPr="006148BE" w:rsidRDefault="0057668E" w:rsidP="001D6A3C">
            <w:pPr>
              <w:jc w:val="center"/>
              <w:rPr>
                <w:color w:val="000000"/>
                <w:sz w:val="16"/>
                <w:szCs w:val="16"/>
              </w:rPr>
            </w:pPr>
            <w:r w:rsidRPr="006148BE">
              <w:rPr>
                <w:color w:val="000000"/>
                <w:sz w:val="16"/>
                <w:szCs w:val="16"/>
              </w:rPr>
              <w:t>6</w:t>
            </w:r>
          </w:p>
        </w:tc>
        <w:tc>
          <w:tcPr>
            <w:tcW w:w="375" w:type="pct"/>
            <w:gridSpan w:val="3"/>
            <w:shd w:val="clear" w:color="auto" w:fill="FFFFFF" w:themeFill="background1"/>
          </w:tcPr>
          <w:p w14:paraId="28B6C33D" w14:textId="77777777" w:rsidR="0057668E" w:rsidRPr="006148BE" w:rsidRDefault="0057668E" w:rsidP="001D6A3C">
            <w:pPr>
              <w:jc w:val="center"/>
              <w:rPr>
                <w:color w:val="000000"/>
                <w:sz w:val="16"/>
                <w:szCs w:val="16"/>
              </w:rPr>
            </w:pPr>
            <w:r w:rsidRPr="006148BE">
              <w:rPr>
                <w:color w:val="000000"/>
                <w:sz w:val="16"/>
                <w:szCs w:val="16"/>
              </w:rPr>
              <w:t>7</w:t>
            </w:r>
          </w:p>
        </w:tc>
        <w:tc>
          <w:tcPr>
            <w:tcW w:w="373" w:type="pct"/>
            <w:gridSpan w:val="4"/>
            <w:shd w:val="clear" w:color="auto" w:fill="FFFFFF" w:themeFill="background1"/>
          </w:tcPr>
          <w:p w14:paraId="066CB289" w14:textId="77777777" w:rsidR="0057668E" w:rsidRPr="006148BE" w:rsidRDefault="0057668E" w:rsidP="001D6A3C">
            <w:pPr>
              <w:jc w:val="center"/>
              <w:rPr>
                <w:color w:val="000000"/>
                <w:sz w:val="16"/>
                <w:szCs w:val="16"/>
              </w:rPr>
            </w:pPr>
            <w:r w:rsidRPr="006148BE">
              <w:rPr>
                <w:color w:val="000000"/>
                <w:sz w:val="16"/>
                <w:szCs w:val="16"/>
              </w:rPr>
              <w:t>8</w:t>
            </w:r>
          </w:p>
        </w:tc>
        <w:tc>
          <w:tcPr>
            <w:tcW w:w="376" w:type="pct"/>
            <w:gridSpan w:val="2"/>
            <w:shd w:val="clear" w:color="auto" w:fill="FFFFFF" w:themeFill="background1"/>
          </w:tcPr>
          <w:p w14:paraId="1309EE2A" w14:textId="77777777" w:rsidR="0057668E" w:rsidRPr="006148BE" w:rsidRDefault="0057668E" w:rsidP="001D6A3C">
            <w:pPr>
              <w:jc w:val="center"/>
              <w:rPr>
                <w:color w:val="000000"/>
                <w:sz w:val="16"/>
                <w:szCs w:val="16"/>
              </w:rPr>
            </w:pPr>
            <w:r w:rsidRPr="006148BE">
              <w:rPr>
                <w:color w:val="000000"/>
                <w:sz w:val="16"/>
                <w:szCs w:val="16"/>
              </w:rPr>
              <w:t>9</w:t>
            </w:r>
          </w:p>
        </w:tc>
        <w:tc>
          <w:tcPr>
            <w:tcW w:w="379" w:type="pct"/>
            <w:shd w:val="clear" w:color="auto" w:fill="FFFFFF" w:themeFill="background1"/>
          </w:tcPr>
          <w:p w14:paraId="7F02842A" w14:textId="77777777" w:rsidR="0057668E" w:rsidRPr="006148BE" w:rsidRDefault="0057668E" w:rsidP="001D6A3C">
            <w:pPr>
              <w:jc w:val="center"/>
              <w:rPr>
                <w:color w:val="000000"/>
                <w:sz w:val="16"/>
                <w:szCs w:val="16"/>
              </w:rPr>
            </w:pPr>
            <w:r w:rsidRPr="006148BE">
              <w:rPr>
                <w:color w:val="000000"/>
                <w:sz w:val="16"/>
                <w:szCs w:val="16"/>
              </w:rPr>
              <w:t>10</w:t>
            </w:r>
          </w:p>
        </w:tc>
        <w:tc>
          <w:tcPr>
            <w:tcW w:w="440" w:type="pct"/>
            <w:gridSpan w:val="2"/>
            <w:shd w:val="clear" w:color="auto" w:fill="FFFFFF" w:themeFill="background1"/>
          </w:tcPr>
          <w:p w14:paraId="1E954754" w14:textId="77777777" w:rsidR="0057668E" w:rsidRPr="006148BE" w:rsidRDefault="0057668E" w:rsidP="00A52ADB">
            <w:pPr>
              <w:spacing w:before="40" w:after="40"/>
              <w:jc w:val="center"/>
              <w:rPr>
                <w:i/>
                <w:color w:val="000000"/>
                <w:spacing w:val="-2"/>
                <w:sz w:val="16"/>
                <w:szCs w:val="16"/>
              </w:rPr>
            </w:pPr>
            <w:r w:rsidRPr="006148BE">
              <w:rPr>
                <w:i/>
                <w:color w:val="000000"/>
                <w:spacing w:val="-2"/>
                <w:sz w:val="16"/>
                <w:szCs w:val="16"/>
              </w:rPr>
              <w:t>Łącznie</w:t>
            </w:r>
            <w:r w:rsidR="00CF5F4F" w:rsidRPr="006148BE">
              <w:rPr>
                <w:i/>
                <w:color w:val="000000"/>
                <w:spacing w:val="-2"/>
                <w:sz w:val="16"/>
                <w:szCs w:val="16"/>
              </w:rPr>
              <w:t xml:space="preserve"> (0-10)</w:t>
            </w:r>
          </w:p>
        </w:tc>
      </w:tr>
      <w:tr w:rsidR="00D54FC8" w:rsidRPr="00875DBE" w14:paraId="301F19DD" w14:textId="77777777" w:rsidTr="00FF2F5D">
        <w:trPr>
          <w:trHeight w:val="321"/>
        </w:trPr>
        <w:tc>
          <w:tcPr>
            <w:tcW w:w="515" w:type="pct"/>
            <w:shd w:val="clear" w:color="auto" w:fill="FFFFFF" w:themeFill="background1"/>
            <w:vAlign w:val="center"/>
          </w:tcPr>
          <w:p w14:paraId="6AC8ED0A" w14:textId="77777777" w:rsidR="0035509B" w:rsidRPr="006148BE" w:rsidRDefault="0035509B" w:rsidP="006148BE">
            <w:pPr>
              <w:ind w:left="-30"/>
              <w:rPr>
                <w:color w:val="000000"/>
                <w:sz w:val="16"/>
                <w:szCs w:val="16"/>
              </w:rPr>
            </w:pPr>
            <w:r w:rsidRPr="006148BE">
              <w:rPr>
                <w:b/>
                <w:color w:val="000000"/>
                <w:sz w:val="16"/>
                <w:szCs w:val="16"/>
              </w:rPr>
              <w:t>Dochody ogółem</w:t>
            </w:r>
          </w:p>
        </w:tc>
        <w:tc>
          <w:tcPr>
            <w:tcW w:w="209" w:type="pct"/>
            <w:gridSpan w:val="2"/>
            <w:shd w:val="clear" w:color="auto" w:fill="FFFFFF" w:themeFill="background1"/>
          </w:tcPr>
          <w:p w14:paraId="393A8E32" w14:textId="0BA38709"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166DEDDB" w14:textId="1B801A4C" w:rsidR="0035509B" w:rsidRPr="006148BE" w:rsidRDefault="0035509B" w:rsidP="0035509B">
            <w:pPr>
              <w:rPr>
                <w:color w:val="000000"/>
                <w:sz w:val="16"/>
                <w:szCs w:val="16"/>
              </w:rPr>
            </w:pPr>
            <w:r w:rsidRPr="001A00B0">
              <w:rPr>
                <w:sz w:val="16"/>
                <w:szCs w:val="16"/>
              </w:rPr>
              <w:t>54,517</w:t>
            </w:r>
          </w:p>
        </w:tc>
        <w:tc>
          <w:tcPr>
            <w:tcW w:w="373" w:type="pct"/>
            <w:gridSpan w:val="2"/>
            <w:shd w:val="clear" w:color="auto" w:fill="FFFFFF" w:themeFill="background1"/>
          </w:tcPr>
          <w:p w14:paraId="124AAE4C" w14:textId="1C7D87AA" w:rsidR="0035509B" w:rsidRPr="006148BE" w:rsidRDefault="0035509B" w:rsidP="0035509B">
            <w:pPr>
              <w:rPr>
                <w:color w:val="000000"/>
                <w:sz w:val="16"/>
                <w:szCs w:val="16"/>
              </w:rPr>
            </w:pPr>
            <w:r w:rsidRPr="001A00B0">
              <w:rPr>
                <w:sz w:val="16"/>
                <w:szCs w:val="16"/>
              </w:rPr>
              <w:t>65,731</w:t>
            </w:r>
          </w:p>
        </w:tc>
        <w:tc>
          <w:tcPr>
            <w:tcW w:w="375" w:type="pct"/>
            <w:gridSpan w:val="2"/>
            <w:shd w:val="clear" w:color="auto" w:fill="FFFFFF" w:themeFill="background1"/>
          </w:tcPr>
          <w:p w14:paraId="560D54E0" w14:textId="16CA4520" w:rsidR="0035509B" w:rsidRPr="006148BE" w:rsidRDefault="0035509B" w:rsidP="0035509B">
            <w:pPr>
              <w:rPr>
                <w:color w:val="000000"/>
                <w:sz w:val="16"/>
                <w:szCs w:val="16"/>
              </w:rPr>
            </w:pPr>
            <w:r w:rsidRPr="001A00B0">
              <w:rPr>
                <w:sz w:val="16"/>
                <w:szCs w:val="16"/>
              </w:rPr>
              <w:t>71,496</w:t>
            </w:r>
          </w:p>
        </w:tc>
        <w:tc>
          <w:tcPr>
            <w:tcW w:w="375" w:type="pct"/>
            <w:gridSpan w:val="2"/>
            <w:shd w:val="clear" w:color="auto" w:fill="FFFFFF" w:themeFill="background1"/>
          </w:tcPr>
          <w:p w14:paraId="587E0937" w14:textId="68CA9139" w:rsidR="0035509B" w:rsidRPr="006148BE" w:rsidRDefault="0035509B" w:rsidP="0035509B">
            <w:pPr>
              <w:rPr>
                <w:color w:val="000000"/>
                <w:sz w:val="16"/>
                <w:szCs w:val="16"/>
              </w:rPr>
            </w:pPr>
            <w:r w:rsidRPr="001A00B0">
              <w:rPr>
                <w:sz w:val="16"/>
                <w:szCs w:val="16"/>
              </w:rPr>
              <w:t>77,664</w:t>
            </w:r>
          </w:p>
        </w:tc>
        <w:tc>
          <w:tcPr>
            <w:tcW w:w="373" w:type="pct"/>
            <w:gridSpan w:val="3"/>
            <w:shd w:val="clear" w:color="auto" w:fill="FFFFFF" w:themeFill="background1"/>
          </w:tcPr>
          <w:p w14:paraId="763455C6" w14:textId="3E32252D" w:rsidR="0035509B" w:rsidRPr="006148BE" w:rsidRDefault="0035509B" w:rsidP="0035509B">
            <w:pPr>
              <w:rPr>
                <w:color w:val="000000"/>
                <w:sz w:val="16"/>
                <w:szCs w:val="16"/>
              </w:rPr>
            </w:pPr>
            <w:r w:rsidRPr="001A00B0">
              <w:rPr>
                <w:sz w:val="16"/>
                <w:szCs w:val="16"/>
              </w:rPr>
              <w:t>84,266</w:t>
            </w:r>
          </w:p>
        </w:tc>
        <w:tc>
          <w:tcPr>
            <w:tcW w:w="377" w:type="pct"/>
            <w:gridSpan w:val="2"/>
            <w:shd w:val="clear" w:color="auto" w:fill="FFFFFF" w:themeFill="background1"/>
          </w:tcPr>
          <w:p w14:paraId="50CB821E" w14:textId="24C917A6" w:rsidR="0035509B" w:rsidRPr="006148BE" w:rsidRDefault="0035509B" w:rsidP="0035509B">
            <w:pPr>
              <w:rPr>
                <w:color w:val="000000"/>
                <w:sz w:val="16"/>
                <w:szCs w:val="16"/>
              </w:rPr>
            </w:pPr>
            <w:r w:rsidRPr="001A00B0">
              <w:rPr>
                <w:sz w:val="16"/>
                <w:szCs w:val="16"/>
              </w:rPr>
              <w:t>90,995</w:t>
            </w:r>
          </w:p>
        </w:tc>
        <w:tc>
          <w:tcPr>
            <w:tcW w:w="375" w:type="pct"/>
            <w:gridSpan w:val="3"/>
            <w:shd w:val="clear" w:color="auto" w:fill="FFFFFF" w:themeFill="background1"/>
          </w:tcPr>
          <w:p w14:paraId="2A4B9609" w14:textId="519D0F26" w:rsidR="0035509B" w:rsidRPr="006148BE" w:rsidRDefault="0035509B" w:rsidP="0035509B">
            <w:pPr>
              <w:rPr>
                <w:color w:val="000000"/>
                <w:sz w:val="16"/>
                <w:szCs w:val="16"/>
              </w:rPr>
            </w:pPr>
            <w:r w:rsidRPr="001A00B0">
              <w:rPr>
                <w:sz w:val="16"/>
                <w:szCs w:val="16"/>
              </w:rPr>
              <w:t>98,055</w:t>
            </w:r>
          </w:p>
        </w:tc>
        <w:tc>
          <w:tcPr>
            <w:tcW w:w="373" w:type="pct"/>
            <w:gridSpan w:val="4"/>
            <w:shd w:val="clear" w:color="auto" w:fill="FFFFFF" w:themeFill="background1"/>
          </w:tcPr>
          <w:p w14:paraId="30C7A8A5" w14:textId="115B0876" w:rsidR="0035509B" w:rsidRPr="006148BE" w:rsidRDefault="0035509B" w:rsidP="0035509B">
            <w:pPr>
              <w:rPr>
                <w:color w:val="000000"/>
                <w:sz w:val="16"/>
                <w:szCs w:val="16"/>
              </w:rPr>
            </w:pPr>
            <w:r w:rsidRPr="001A00B0">
              <w:rPr>
                <w:sz w:val="16"/>
                <w:szCs w:val="16"/>
              </w:rPr>
              <w:t>105,728</w:t>
            </w:r>
          </w:p>
        </w:tc>
        <w:tc>
          <w:tcPr>
            <w:tcW w:w="376" w:type="pct"/>
            <w:gridSpan w:val="2"/>
            <w:shd w:val="clear" w:color="auto" w:fill="FFFFFF" w:themeFill="background1"/>
          </w:tcPr>
          <w:p w14:paraId="769D7F74" w14:textId="6C6060AB" w:rsidR="0035509B" w:rsidRPr="006148BE" w:rsidRDefault="0035509B" w:rsidP="0035509B">
            <w:pPr>
              <w:rPr>
                <w:color w:val="000000"/>
                <w:sz w:val="16"/>
                <w:szCs w:val="16"/>
              </w:rPr>
            </w:pPr>
            <w:r w:rsidRPr="001A00B0">
              <w:rPr>
                <w:sz w:val="16"/>
                <w:szCs w:val="16"/>
              </w:rPr>
              <w:t>114,295</w:t>
            </w:r>
          </w:p>
        </w:tc>
        <w:tc>
          <w:tcPr>
            <w:tcW w:w="379" w:type="pct"/>
            <w:shd w:val="clear" w:color="auto" w:fill="FFFFFF" w:themeFill="background1"/>
          </w:tcPr>
          <w:p w14:paraId="132F8A37" w14:textId="48697D1A" w:rsidR="0035509B" w:rsidRPr="006148BE" w:rsidRDefault="0035509B" w:rsidP="0035509B">
            <w:pPr>
              <w:rPr>
                <w:color w:val="000000"/>
                <w:sz w:val="16"/>
                <w:szCs w:val="16"/>
              </w:rPr>
            </w:pPr>
            <w:r w:rsidRPr="001A00B0">
              <w:rPr>
                <w:sz w:val="16"/>
                <w:szCs w:val="16"/>
              </w:rPr>
              <w:t>122,537</w:t>
            </w:r>
          </w:p>
        </w:tc>
        <w:tc>
          <w:tcPr>
            <w:tcW w:w="440" w:type="pct"/>
            <w:gridSpan w:val="2"/>
            <w:shd w:val="clear" w:color="auto" w:fill="FFFFFF" w:themeFill="background1"/>
          </w:tcPr>
          <w:p w14:paraId="21D62A3D" w14:textId="579DBC86" w:rsidR="0035509B" w:rsidRPr="006148BE" w:rsidRDefault="0035509B" w:rsidP="0035509B">
            <w:pPr>
              <w:rPr>
                <w:sz w:val="16"/>
                <w:szCs w:val="16"/>
              </w:rPr>
            </w:pPr>
            <w:r w:rsidRPr="006148BE">
              <w:rPr>
                <w:sz w:val="16"/>
                <w:szCs w:val="16"/>
              </w:rPr>
              <w:t>885,284</w:t>
            </w:r>
          </w:p>
        </w:tc>
      </w:tr>
      <w:tr w:rsidR="00D54FC8" w:rsidRPr="00875DBE" w14:paraId="71A827AB" w14:textId="77777777" w:rsidTr="00FF2F5D">
        <w:trPr>
          <w:trHeight w:val="321"/>
        </w:trPr>
        <w:tc>
          <w:tcPr>
            <w:tcW w:w="515" w:type="pct"/>
            <w:shd w:val="clear" w:color="auto" w:fill="FFFFFF" w:themeFill="background1"/>
            <w:vAlign w:val="center"/>
          </w:tcPr>
          <w:p w14:paraId="342FF380" w14:textId="77777777" w:rsidR="0035509B" w:rsidRPr="006148BE" w:rsidRDefault="0035509B" w:rsidP="006148BE">
            <w:pPr>
              <w:ind w:left="-30"/>
              <w:rPr>
                <w:color w:val="000000"/>
                <w:sz w:val="16"/>
                <w:szCs w:val="16"/>
              </w:rPr>
            </w:pPr>
            <w:r w:rsidRPr="006148BE">
              <w:rPr>
                <w:color w:val="000000"/>
                <w:sz w:val="16"/>
                <w:szCs w:val="16"/>
              </w:rPr>
              <w:t>budżet państwa</w:t>
            </w:r>
          </w:p>
        </w:tc>
        <w:tc>
          <w:tcPr>
            <w:tcW w:w="209" w:type="pct"/>
            <w:gridSpan w:val="2"/>
            <w:shd w:val="clear" w:color="auto" w:fill="FFFFFF" w:themeFill="background1"/>
          </w:tcPr>
          <w:p w14:paraId="2E9D4287" w14:textId="11F12763"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620E0464" w14:textId="6B80CBBE" w:rsidR="0035509B" w:rsidRPr="006148BE" w:rsidRDefault="0035509B" w:rsidP="0035509B">
            <w:pPr>
              <w:rPr>
                <w:color w:val="000000"/>
                <w:sz w:val="16"/>
                <w:szCs w:val="16"/>
              </w:rPr>
            </w:pPr>
            <w:r w:rsidRPr="001A00B0">
              <w:rPr>
                <w:sz w:val="16"/>
                <w:szCs w:val="16"/>
              </w:rPr>
              <w:t>15,674</w:t>
            </w:r>
          </w:p>
        </w:tc>
        <w:tc>
          <w:tcPr>
            <w:tcW w:w="373" w:type="pct"/>
            <w:gridSpan w:val="2"/>
            <w:shd w:val="clear" w:color="auto" w:fill="FFFFFF" w:themeFill="background1"/>
          </w:tcPr>
          <w:p w14:paraId="4ECB57E1" w14:textId="47151C81" w:rsidR="0035509B" w:rsidRPr="006148BE" w:rsidRDefault="0035509B" w:rsidP="0035509B">
            <w:pPr>
              <w:rPr>
                <w:color w:val="000000"/>
                <w:sz w:val="16"/>
                <w:szCs w:val="16"/>
              </w:rPr>
            </w:pPr>
            <w:r w:rsidRPr="001A00B0">
              <w:rPr>
                <w:sz w:val="16"/>
                <w:szCs w:val="16"/>
              </w:rPr>
              <w:t>20,857</w:t>
            </w:r>
          </w:p>
        </w:tc>
        <w:tc>
          <w:tcPr>
            <w:tcW w:w="375" w:type="pct"/>
            <w:gridSpan w:val="2"/>
            <w:shd w:val="clear" w:color="auto" w:fill="FFFFFF" w:themeFill="background1"/>
          </w:tcPr>
          <w:p w14:paraId="69F72DA0" w14:textId="0FF34AAC" w:rsidR="0035509B" w:rsidRPr="006148BE" w:rsidRDefault="0035509B" w:rsidP="0035509B">
            <w:pPr>
              <w:rPr>
                <w:color w:val="000000"/>
                <w:sz w:val="16"/>
                <w:szCs w:val="16"/>
              </w:rPr>
            </w:pPr>
            <w:r w:rsidRPr="001A00B0">
              <w:rPr>
                <w:sz w:val="16"/>
                <w:szCs w:val="16"/>
              </w:rPr>
              <w:t>23,476</w:t>
            </w:r>
          </w:p>
        </w:tc>
        <w:tc>
          <w:tcPr>
            <w:tcW w:w="375" w:type="pct"/>
            <w:gridSpan w:val="2"/>
            <w:shd w:val="clear" w:color="auto" w:fill="FFFFFF" w:themeFill="background1"/>
          </w:tcPr>
          <w:p w14:paraId="4A9E39A0" w14:textId="038458BE" w:rsidR="0035509B" w:rsidRPr="006148BE" w:rsidRDefault="0035509B" w:rsidP="0035509B">
            <w:pPr>
              <w:rPr>
                <w:color w:val="000000"/>
                <w:sz w:val="16"/>
                <w:szCs w:val="16"/>
              </w:rPr>
            </w:pPr>
            <w:r w:rsidRPr="001A00B0">
              <w:rPr>
                <w:sz w:val="16"/>
                <w:szCs w:val="16"/>
              </w:rPr>
              <w:t>26,279</w:t>
            </w:r>
          </w:p>
        </w:tc>
        <w:tc>
          <w:tcPr>
            <w:tcW w:w="373" w:type="pct"/>
            <w:gridSpan w:val="3"/>
            <w:shd w:val="clear" w:color="auto" w:fill="FFFFFF" w:themeFill="background1"/>
          </w:tcPr>
          <w:p w14:paraId="33159B8C" w14:textId="074D239B" w:rsidR="0035509B" w:rsidRPr="006148BE" w:rsidRDefault="0035509B" w:rsidP="0035509B">
            <w:pPr>
              <w:rPr>
                <w:color w:val="000000"/>
                <w:sz w:val="16"/>
                <w:szCs w:val="16"/>
              </w:rPr>
            </w:pPr>
            <w:r w:rsidRPr="001A00B0">
              <w:rPr>
                <w:sz w:val="16"/>
                <w:szCs w:val="16"/>
              </w:rPr>
              <w:t>29,278</w:t>
            </w:r>
          </w:p>
        </w:tc>
        <w:tc>
          <w:tcPr>
            <w:tcW w:w="377" w:type="pct"/>
            <w:gridSpan w:val="2"/>
            <w:shd w:val="clear" w:color="auto" w:fill="FFFFFF" w:themeFill="background1"/>
          </w:tcPr>
          <w:p w14:paraId="5EFD1D54" w14:textId="355B95BA" w:rsidR="0035509B" w:rsidRPr="006148BE" w:rsidRDefault="0035509B" w:rsidP="0035509B">
            <w:pPr>
              <w:rPr>
                <w:color w:val="000000"/>
                <w:sz w:val="16"/>
                <w:szCs w:val="16"/>
              </w:rPr>
            </w:pPr>
            <w:r w:rsidRPr="001A00B0">
              <w:rPr>
                <w:sz w:val="16"/>
                <w:szCs w:val="16"/>
              </w:rPr>
              <w:t>32,487</w:t>
            </w:r>
          </w:p>
        </w:tc>
        <w:tc>
          <w:tcPr>
            <w:tcW w:w="375" w:type="pct"/>
            <w:gridSpan w:val="3"/>
            <w:shd w:val="clear" w:color="auto" w:fill="FFFFFF" w:themeFill="background1"/>
          </w:tcPr>
          <w:p w14:paraId="2F5B06B1" w14:textId="158BBEB0" w:rsidR="0035509B" w:rsidRPr="006148BE" w:rsidRDefault="0035509B" w:rsidP="0035509B">
            <w:pPr>
              <w:rPr>
                <w:color w:val="000000"/>
                <w:sz w:val="16"/>
                <w:szCs w:val="16"/>
              </w:rPr>
            </w:pPr>
            <w:r w:rsidRPr="001A00B0">
              <w:rPr>
                <w:sz w:val="16"/>
                <w:szCs w:val="16"/>
              </w:rPr>
              <w:t>35,922</w:t>
            </w:r>
          </w:p>
        </w:tc>
        <w:tc>
          <w:tcPr>
            <w:tcW w:w="373" w:type="pct"/>
            <w:gridSpan w:val="4"/>
            <w:shd w:val="clear" w:color="auto" w:fill="FFFFFF" w:themeFill="background1"/>
          </w:tcPr>
          <w:p w14:paraId="521C92B6" w14:textId="2D1F2FAB" w:rsidR="0035509B" w:rsidRPr="006148BE" w:rsidRDefault="0035509B" w:rsidP="0035509B">
            <w:pPr>
              <w:rPr>
                <w:color w:val="000000"/>
                <w:sz w:val="16"/>
                <w:szCs w:val="16"/>
              </w:rPr>
            </w:pPr>
            <w:r w:rsidRPr="001A00B0">
              <w:rPr>
                <w:sz w:val="16"/>
                <w:szCs w:val="16"/>
              </w:rPr>
              <w:t>39,597</w:t>
            </w:r>
          </w:p>
        </w:tc>
        <w:tc>
          <w:tcPr>
            <w:tcW w:w="376" w:type="pct"/>
            <w:gridSpan w:val="2"/>
            <w:shd w:val="clear" w:color="auto" w:fill="FFFFFF" w:themeFill="background1"/>
          </w:tcPr>
          <w:p w14:paraId="2D3524DD" w14:textId="207482C6" w:rsidR="0035509B" w:rsidRPr="006148BE" w:rsidRDefault="0035509B" w:rsidP="0035509B">
            <w:pPr>
              <w:rPr>
                <w:color w:val="000000"/>
                <w:sz w:val="16"/>
                <w:szCs w:val="16"/>
              </w:rPr>
            </w:pPr>
            <w:r w:rsidRPr="001A00B0">
              <w:rPr>
                <w:sz w:val="16"/>
                <w:szCs w:val="16"/>
              </w:rPr>
              <w:t>43,529</w:t>
            </w:r>
          </w:p>
        </w:tc>
        <w:tc>
          <w:tcPr>
            <w:tcW w:w="379" w:type="pct"/>
            <w:shd w:val="clear" w:color="auto" w:fill="FFFFFF" w:themeFill="background1"/>
          </w:tcPr>
          <w:p w14:paraId="6AD3F678" w14:textId="30C99CA1" w:rsidR="0035509B" w:rsidRPr="006148BE" w:rsidRDefault="0035509B" w:rsidP="0035509B">
            <w:pPr>
              <w:rPr>
                <w:color w:val="000000"/>
                <w:sz w:val="16"/>
                <w:szCs w:val="16"/>
              </w:rPr>
            </w:pPr>
            <w:r w:rsidRPr="001A00B0">
              <w:rPr>
                <w:sz w:val="16"/>
                <w:szCs w:val="16"/>
              </w:rPr>
              <w:t>47,738</w:t>
            </w:r>
          </w:p>
        </w:tc>
        <w:tc>
          <w:tcPr>
            <w:tcW w:w="440" w:type="pct"/>
            <w:gridSpan w:val="2"/>
            <w:shd w:val="clear" w:color="auto" w:fill="FFFFFF" w:themeFill="background1"/>
          </w:tcPr>
          <w:p w14:paraId="60A33EAC" w14:textId="59564CF3" w:rsidR="0035509B" w:rsidRPr="006148BE" w:rsidRDefault="0035509B" w:rsidP="0035509B">
            <w:pPr>
              <w:rPr>
                <w:sz w:val="16"/>
                <w:szCs w:val="16"/>
              </w:rPr>
            </w:pPr>
            <w:r w:rsidRPr="006148BE">
              <w:rPr>
                <w:sz w:val="16"/>
                <w:szCs w:val="16"/>
              </w:rPr>
              <w:t>314,836</w:t>
            </w:r>
          </w:p>
        </w:tc>
      </w:tr>
      <w:tr w:rsidR="00D54FC8" w:rsidRPr="00875DBE" w14:paraId="7EE7DDF8" w14:textId="77777777" w:rsidTr="00FF2F5D">
        <w:trPr>
          <w:trHeight w:val="344"/>
        </w:trPr>
        <w:tc>
          <w:tcPr>
            <w:tcW w:w="515" w:type="pct"/>
            <w:shd w:val="clear" w:color="auto" w:fill="FFFFFF" w:themeFill="background1"/>
            <w:vAlign w:val="center"/>
          </w:tcPr>
          <w:p w14:paraId="5B06CD7F" w14:textId="77777777" w:rsidR="0035509B" w:rsidRPr="006148BE" w:rsidRDefault="0035509B" w:rsidP="006148BE">
            <w:pPr>
              <w:ind w:left="-30"/>
              <w:rPr>
                <w:color w:val="000000"/>
                <w:sz w:val="16"/>
                <w:szCs w:val="16"/>
              </w:rPr>
            </w:pPr>
            <w:r w:rsidRPr="006148BE">
              <w:rPr>
                <w:color w:val="000000"/>
                <w:sz w:val="16"/>
                <w:szCs w:val="16"/>
              </w:rPr>
              <w:t>JST</w:t>
            </w:r>
          </w:p>
        </w:tc>
        <w:tc>
          <w:tcPr>
            <w:tcW w:w="209" w:type="pct"/>
            <w:gridSpan w:val="2"/>
            <w:shd w:val="clear" w:color="auto" w:fill="FFFFFF" w:themeFill="background1"/>
          </w:tcPr>
          <w:p w14:paraId="2F065D13" w14:textId="418A96E4"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222D76E0" w14:textId="7CCB90D3" w:rsidR="0035509B" w:rsidRPr="006148BE" w:rsidRDefault="0035509B" w:rsidP="0035509B">
            <w:pPr>
              <w:rPr>
                <w:color w:val="000000"/>
                <w:sz w:val="16"/>
                <w:szCs w:val="16"/>
              </w:rPr>
            </w:pPr>
            <w:r w:rsidRPr="001A00B0">
              <w:rPr>
                <w:sz w:val="16"/>
                <w:szCs w:val="16"/>
              </w:rPr>
              <w:t>0</w:t>
            </w:r>
          </w:p>
        </w:tc>
        <w:tc>
          <w:tcPr>
            <w:tcW w:w="373" w:type="pct"/>
            <w:gridSpan w:val="2"/>
            <w:shd w:val="clear" w:color="auto" w:fill="FFFFFF" w:themeFill="background1"/>
          </w:tcPr>
          <w:p w14:paraId="4536221A" w14:textId="287FF35A" w:rsidR="0035509B" w:rsidRPr="006148BE" w:rsidRDefault="0035509B" w:rsidP="0035509B">
            <w:pPr>
              <w:rPr>
                <w:color w:val="000000"/>
                <w:sz w:val="16"/>
                <w:szCs w:val="16"/>
              </w:rPr>
            </w:pPr>
            <w:r w:rsidRPr="001A00B0">
              <w:rPr>
                <w:sz w:val="16"/>
                <w:szCs w:val="16"/>
              </w:rPr>
              <w:t>0</w:t>
            </w:r>
          </w:p>
        </w:tc>
        <w:tc>
          <w:tcPr>
            <w:tcW w:w="375" w:type="pct"/>
            <w:gridSpan w:val="2"/>
            <w:shd w:val="clear" w:color="auto" w:fill="FFFFFF" w:themeFill="background1"/>
          </w:tcPr>
          <w:p w14:paraId="48C71829" w14:textId="4FA7918C" w:rsidR="0035509B" w:rsidRPr="006148BE" w:rsidRDefault="0035509B" w:rsidP="0035509B">
            <w:pPr>
              <w:rPr>
                <w:color w:val="000000"/>
                <w:sz w:val="16"/>
                <w:szCs w:val="16"/>
              </w:rPr>
            </w:pPr>
            <w:r w:rsidRPr="001A00B0">
              <w:rPr>
                <w:sz w:val="16"/>
                <w:szCs w:val="16"/>
              </w:rPr>
              <w:t>0</w:t>
            </w:r>
          </w:p>
        </w:tc>
        <w:tc>
          <w:tcPr>
            <w:tcW w:w="375" w:type="pct"/>
            <w:gridSpan w:val="2"/>
            <w:shd w:val="clear" w:color="auto" w:fill="FFFFFF" w:themeFill="background1"/>
          </w:tcPr>
          <w:p w14:paraId="18F6B922" w14:textId="6A877722" w:rsidR="0035509B" w:rsidRPr="006148BE" w:rsidRDefault="0035509B" w:rsidP="0035509B">
            <w:pPr>
              <w:rPr>
                <w:color w:val="000000"/>
                <w:sz w:val="16"/>
                <w:szCs w:val="16"/>
              </w:rPr>
            </w:pPr>
            <w:r w:rsidRPr="001A00B0">
              <w:rPr>
                <w:sz w:val="16"/>
                <w:szCs w:val="16"/>
              </w:rPr>
              <w:t>0</w:t>
            </w:r>
          </w:p>
        </w:tc>
        <w:tc>
          <w:tcPr>
            <w:tcW w:w="373" w:type="pct"/>
            <w:gridSpan w:val="3"/>
            <w:shd w:val="clear" w:color="auto" w:fill="FFFFFF" w:themeFill="background1"/>
          </w:tcPr>
          <w:p w14:paraId="4C2917D4" w14:textId="69F233EF" w:rsidR="0035509B" w:rsidRPr="006148BE" w:rsidRDefault="0035509B" w:rsidP="0035509B">
            <w:pPr>
              <w:rPr>
                <w:color w:val="000000"/>
                <w:sz w:val="16"/>
                <w:szCs w:val="16"/>
              </w:rPr>
            </w:pPr>
            <w:r w:rsidRPr="001A00B0">
              <w:rPr>
                <w:sz w:val="16"/>
                <w:szCs w:val="16"/>
              </w:rPr>
              <w:t>0</w:t>
            </w:r>
          </w:p>
        </w:tc>
        <w:tc>
          <w:tcPr>
            <w:tcW w:w="377" w:type="pct"/>
            <w:gridSpan w:val="2"/>
            <w:shd w:val="clear" w:color="auto" w:fill="FFFFFF" w:themeFill="background1"/>
          </w:tcPr>
          <w:p w14:paraId="5F840EFC" w14:textId="0BBF36D6" w:rsidR="0035509B" w:rsidRPr="006148BE" w:rsidRDefault="0035509B" w:rsidP="0035509B">
            <w:pPr>
              <w:rPr>
                <w:color w:val="000000"/>
                <w:sz w:val="16"/>
                <w:szCs w:val="16"/>
              </w:rPr>
            </w:pPr>
            <w:r w:rsidRPr="001A00B0">
              <w:rPr>
                <w:sz w:val="16"/>
                <w:szCs w:val="16"/>
              </w:rPr>
              <w:t>0</w:t>
            </w:r>
          </w:p>
        </w:tc>
        <w:tc>
          <w:tcPr>
            <w:tcW w:w="375" w:type="pct"/>
            <w:gridSpan w:val="3"/>
            <w:shd w:val="clear" w:color="auto" w:fill="FFFFFF" w:themeFill="background1"/>
          </w:tcPr>
          <w:p w14:paraId="683FB3C2" w14:textId="41A76F82" w:rsidR="0035509B" w:rsidRPr="006148BE" w:rsidRDefault="0035509B" w:rsidP="0035509B">
            <w:pPr>
              <w:rPr>
                <w:color w:val="000000"/>
                <w:sz w:val="16"/>
                <w:szCs w:val="16"/>
              </w:rPr>
            </w:pPr>
            <w:r w:rsidRPr="001A00B0">
              <w:rPr>
                <w:sz w:val="16"/>
                <w:szCs w:val="16"/>
              </w:rPr>
              <w:t>0</w:t>
            </w:r>
          </w:p>
        </w:tc>
        <w:tc>
          <w:tcPr>
            <w:tcW w:w="373" w:type="pct"/>
            <w:gridSpan w:val="4"/>
            <w:shd w:val="clear" w:color="auto" w:fill="FFFFFF" w:themeFill="background1"/>
          </w:tcPr>
          <w:p w14:paraId="6EE00DFD" w14:textId="4F6D97CE" w:rsidR="0035509B" w:rsidRPr="006148BE" w:rsidRDefault="0035509B" w:rsidP="0035509B">
            <w:pPr>
              <w:rPr>
                <w:color w:val="000000"/>
                <w:sz w:val="16"/>
                <w:szCs w:val="16"/>
              </w:rPr>
            </w:pPr>
            <w:r w:rsidRPr="001A00B0">
              <w:rPr>
                <w:sz w:val="16"/>
                <w:szCs w:val="16"/>
              </w:rPr>
              <w:t>0</w:t>
            </w:r>
          </w:p>
        </w:tc>
        <w:tc>
          <w:tcPr>
            <w:tcW w:w="376" w:type="pct"/>
            <w:gridSpan w:val="2"/>
            <w:shd w:val="clear" w:color="auto" w:fill="FFFFFF" w:themeFill="background1"/>
          </w:tcPr>
          <w:p w14:paraId="24858E0F" w14:textId="3A65A1E9" w:rsidR="0035509B" w:rsidRPr="006148BE" w:rsidRDefault="0035509B" w:rsidP="0035509B">
            <w:pPr>
              <w:rPr>
                <w:color w:val="000000"/>
                <w:sz w:val="16"/>
                <w:szCs w:val="16"/>
              </w:rPr>
            </w:pPr>
            <w:r w:rsidRPr="001A00B0">
              <w:rPr>
                <w:sz w:val="16"/>
                <w:szCs w:val="16"/>
              </w:rPr>
              <w:t>0</w:t>
            </w:r>
          </w:p>
        </w:tc>
        <w:tc>
          <w:tcPr>
            <w:tcW w:w="379" w:type="pct"/>
            <w:shd w:val="clear" w:color="auto" w:fill="FFFFFF" w:themeFill="background1"/>
          </w:tcPr>
          <w:p w14:paraId="32A7A5B3" w14:textId="68014CF2" w:rsidR="0035509B" w:rsidRPr="006148BE" w:rsidRDefault="0035509B" w:rsidP="0035509B">
            <w:pPr>
              <w:rPr>
                <w:color w:val="000000"/>
                <w:sz w:val="16"/>
                <w:szCs w:val="16"/>
              </w:rPr>
            </w:pPr>
            <w:r w:rsidRPr="001A00B0">
              <w:rPr>
                <w:sz w:val="16"/>
                <w:szCs w:val="16"/>
              </w:rPr>
              <w:t>0</w:t>
            </w:r>
          </w:p>
        </w:tc>
        <w:tc>
          <w:tcPr>
            <w:tcW w:w="440" w:type="pct"/>
            <w:gridSpan w:val="2"/>
            <w:shd w:val="clear" w:color="auto" w:fill="FFFFFF" w:themeFill="background1"/>
          </w:tcPr>
          <w:p w14:paraId="648C8C1B" w14:textId="5ED2F22C" w:rsidR="0035509B" w:rsidRPr="006148BE" w:rsidRDefault="0035509B" w:rsidP="0035509B">
            <w:pPr>
              <w:rPr>
                <w:sz w:val="16"/>
                <w:szCs w:val="16"/>
              </w:rPr>
            </w:pPr>
            <w:r w:rsidRPr="006148BE">
              <w:rPr>
                <w:sz w:val="16"/>
                <w:szCs w:val="16"/>
              </w:rPr>
              <w:t>0</w:t>
            </w:r>
          </w:p>
        </w:tc>
      </w:tr>
      <w:tr w:rsidR="00D54FC8" w:rsidRPr="00875DBE" w14:paraId="4D38700F" w14:textId="77777777" w:rsidTr="00FF2F5D">
        <w:trPr>
          <w:trHeight w:val="344"/>
        </w:trPr>
        <w:tc>
          <w:tcPr>
            <w:tcW w:w="515" w:type="pct"/>
            <w:shd w:val="clear" w:color="auto" w:fill="FFFFFF" w:themeFill="background1"/>
          </w:tcPr>
          <w:p w14:paraId="203B5E18" w14:textId="14F1CFEF" w:rsidR="0035509B" w:rsidRPr="006148BE" w:rsidRDefault="0035509B" w:rsidP="006148BE">
            <w:pPr>
              <w:ind w:left="-30"/>
              <w:rPr>
                <w:color w:val="000000"/>
                <w:sz w:val="16"/>
                <w:szCs w:val="16"/>
              </w:rPr>
            </w:pPr>
            <w:r w:rsidRPr="006148BE">
              <w:rPr>
                <w:sz w:val="16"/>
                <w:szCs w:val="16"/>
              </w:rPr>
              <w:t>Fundusz Pracy</w:t>
            </w:r>
          </w:p>
        </w:tc>
        <w:tc>
          <w:tcPr>
            <w:tcW w:w="209" w:type="pct"/>
            <w:gridSpan w:val="2"/>
            <w:shd w:val="clear" w:color="auto" w:fill="FFFFFF" w:themeFill="background1"/>
          </w:tcPr>
          <w:p w14:paraId="209580E2" w14:textId="1BC2CC82"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227E207D" w14:textId="1B2C520C" w:rsidR="0035509B" w:rsidRPr="006148BE" w:rsidRDefault="0035509B" w:rsidP="0035509B">
            <w:pPr>
              <w:rPr>
                <w:color w:val="000000"/>
                <w:sz w:val="16"/>
                <w:szCs w:val="16"/>
              </w:rPr>
            </w:pPr>
            <w:r w:rsidRPr="001A00B0">
              <w:rPr>
                <w:sz w:val="16"/>
                <w:szCs w:val="16"/>
              </w:rPr>
              <w:t>1,006</w:t>
            </w:r>
          </w:p>
        </w:tc>
        <w:tc>
          <w:tcPr>
            <w:tcW w:w="373" w:type="pct"/>
            <w:gridSpan w:val="2"/>
            <w:shd w:val="clear" w:color="auto" w:fill="FFFFFF" w:themeFill="background1"/>
          </w:tcPr>
          <w:p w14:paraId="5BB132B3" w14:textId="0E546064" w:rsidR="0035509B" w:rsidRPr="006148BE" w:rsidRDefault="0035509B" w:rsidP="0035509B">
            <w:pPr>
              <w:rPr>
                <w:color w:val="000000"/>
                <w:sz w:val="16"/>
                <w:szCs w:val="16"/>
              </w:rPr>
            </w:pPr>
            <w:r w:rsidRPr="001A00B0">
              <w:rPr>
                <w:sz w:val="16"/>
                <w:szCs w:val="16"/>
              </w:rPr>
              <w:t>1,076</w:t>
            </w:r>
          </w:p>
        </w:tc>
        <w:tc>
          <w:tcPr>
            <w:tcW w:w="375" w:type="pct"/>
            <w:gridSpan w:val="2"/>
            <w:shd w:val="clear" w:color="auto" w:fill="FFFFFF" w:themeFill="background1"/>
          </w:tcPr>
          <w:p w14:paraId="37F2EE52" w14:textId="5602A17C" w:rsidR="0035509B" w:rsidRPr="006148BE" w:rsidRDefault="0035509B" w:rsidP="0035509B">
            <w:pPr>
              <w:rPr>
                <w:color w:val="000000"/>
                <w:sz w:val="16"/>
                <w:szCs w:val="16"/>
              </w:rPr>
            </w:pPr>
            <w:r w:rsidRPr="001A00B0">
              <w:rPr>
                <w:sz w:val="16"/>
                <w:szCs w:val="16"/>
              </w:rPr>
              <w:t>1,152</w:t>
            </w:r>
          </w:p>
        </w:tc>
        <w:tc>
          <w:tcPr>
            <w:tcW w:w="375" w:type="pct"/>
            <w:gridSpan w:val="2"/>
            <w:shd w:val="clear" w:color="auto" w:fill="FFFFFF" w:themeFill="background1"/>
          </w:tcPr>
          <w:p w14:paraId="7DAD8BD6" w14:textId="3DFA04FD" w:rsidR="0035509B" w:rsidRPr="006148BE" w:rsidRDefault="0035509B" w:rsidP="0035509B">
            <w:pPr>
              <w:rPr>
                <w:color w:val="000000"/>
                <w:sz w:val="16"/>
                <w:szCs w:val="16"/>
              </w:rPr>
            </w:pPr>
            <w:r w:rsidRPr="001A00B0">
              <w:rPr>
                <w:sz w:val="16"/>
                <w:szCs w:val="16"/>
              </w:rPr>
              <w:t>1,232</w:t>
            </w:r>
          </w:p>
        </w:tc>
        <w:tc>
          <w:tcPr>
            <w:tcW w:w="373" w:type="pct"/>
            <w:gridSpan w:val="3"/>
            <w:shd w:val="clear" w:color="auto" w:fill="FFFFFF" w:themeFill="background1"/>
          </w:tcPr>
          <w:p w14:paraId="05DA9EF6" w14:textId="3B9E29D0" w:rsidR="0035509B" w:rsidRPr="006148BE" w:rsidRDefault="0035509B" w:rsidP="0035509B">
            <w:pPr>
              <w:rPr>
                <w:color w:val="000000"/>
                <w:sz w:val="16"/>
                <w:szCs w:val="16"/>
              </w:rPr>
            </w:pPr>
            <w:r w:rsidRPr="001A00B0">
              <w:rPr>
                <w:sz w:val="16"/>
                <w:szCs w:val="16"/>
              </w:rPr>
              <w:t>1,319</w:t>
            </w:r>
          </w:p>
        </w:tc>
        <w:tc>
          <w:tcPr>
            <w:tcW w:w="377" w:type="pct"/>
            <w:gridSpan w:val="2"/>
            <w:shd w:val="clear" w:color="auto" w:fill="FFFFFF" w:themeFill="background1"/>
          </w:tcPr>
          <w:p w14:paraId="2F10ED8E" w14:textId="3DB6EA7A" w:rsidR="0035509B" w:rsidRPr="006148BE" w:rsidRDefault="0035509B" w:rsidP="0035509B">
            <w:pPr>
              <w:rPr>
                <w:color w:val="000000"/>
                <w:sz w:val="16"/>
                <w:szCs w:val="16"/>
              </w:rPr>
            </w:pPr>
            <w:r w:rsidRPr="001A00B0">
              <w:rPr>
                <w:sz w:val="16"/>
                <w:szCs w:val="16"/>
              </w:rPr>
              <w:t>1,411</w:t>
            </w:r>
          </w:p>
        </w:tc>
        <w:tc>
          <w:tcPr>
            <w:tcW w:w="375" w:type="pct"/>
            <w:gridSpan w:val="3"/>
            <w:shd w:val="clear" w:color="auto" w:fill="FFFFFF" w:themeFill="background1"/>
          </w:tcPr>
          <w:p w14:paraId="37761E2E" w14:textId="2D4E22F6" w:rsidR="0035509B" w:rsidRPr="006148BE" w:rsidRDefault="0035509B" w:rsidP="0035509B">
            <w:pPr>
              <w:rPr>
                <w:color w:val="000000"/>
                <w:sz w:val="16"/>
                <w:szCs w:val="16"/>
              </w:rPr>
            </w:pPr>
            <w:r w:rsidRPr="001A00B0">
              <w:rPr>
                <w:sz w:val="16"/>
                <w:szCs w:val="16"/>
              </w:rPr>
              <w:t>1,510</w:t>
            </w:r>
          </w:p>
        </w:tc>
        <w:tc>
          <w:tcPr>
            <w:tcW w:w="373" w:type="pct"/>
            <w:gridSpan w:val="4"/>
            <w:shd w:val="clear" w:color="auto" w:fill="FFFFFF" w:themeFill="background1"/>
          </w:tcPr>
          <w:p w14:paraId="49708A06" w14:textId="29A00CA3" w:rsidR="0035509B" w:rsidRPr="006148BE" w:rsidRDefault="0035509B" w:rsidP="0035509B">
            <w:pPr>
              <w:rPr>
                <w:color w:val="000000"/>
                <w:sz w:val="16"/>
                <w:szCs w:val="16"/>
              </w:rPr>
            </w:pPr>
            <w:r w:rsidRPr="001A00B0">
              <w:rPr>
                <w:sz w:val="16"/>
                <w:szCs w:val="16"/>
              </w:rPr>
              <w:t>1,616</w:t>
            </w:r>
          </w:p>
        </w:tc>
        <w:tc>
          <w:tcPr>
            <w:tcW w:w="376" w:type="pct"/>
            <w:gridSpan w:val="2"/>
            <w:shd w:val="clear" w:color="auto" w:fill="FFFFFF" w:themeFill="background1"/>
          </w:tcPr>
          <w:p w14:paraId="7D6BF4AC" w14:textId="7C1197D0" w:rsidR="0035509B" w:rsidRPr="006148BE" w:rsidRDefault="0035509B" w:rsidP="0035509B">
            <w:pPr>
              <w:rPr>
                <w:color w:val="000000"/>
                <w:sz w:val="16"/>
                <w:szCs w:val="16"/>
              </w:rPr>
            </w:pPr>
            <w:r w:rsidRPr="001A00B0">
              <w:rPr>
                <w:sz w:val="16"/>
                <w:szCs w:val="16"/>
              </w:rPr>
              <w:t>1,729</w:t>
            </w:r>
          </w:p>
        </w:tc>
        <w:tc>
          <w:tcPr>
            <w:tcW w:w="379" w:type="pct"/>
            <w:shd w:val="clear" w:color="auto" w:fill="FFFFFF" w:themeFill="background1"/>
          </w:tcPr>
          <w:p w14:paraId="31966B4A" w14:textId="49F9F528" w:rsidR="0035509B" w:rsidRPr="006148BE" w:rsidRDefault="0035509B" w:rsidP="0035509B">
            <w:pPr>
              <w:rPr>
                <w:color w:val="000000"/>
                <w:sz w:val="16"/>
                <w:szCs w:val="16"/>
              </w:rPr>
            </w:pPr>
            <w:r w:rsidRPr="001A00B0">
              <w:rPr>
                <w:sz w:val="16"/>
                <w:szCs w:val="16"/>
              </w:rPr>
              <w:t>1,850</w:t>
            </w:r>
          </w:p>
        </w:tc>
        <w:tc>
          <w:tcPr>
            <w:tcW w:w="440" w:type="pct"/>
            <w:gridSpan w:val="2"/>
            <w:shd w:val="clear" w:color="auto" w:fill="FFFFFF" w:themeFill="background1"/>
          </w:tcPr>
          <w:p w14:paraId="729EB2A6" w14:textId="5DA17167" w:rsidR="0035509B" w:rsidRPr="006148BE" w:rsidRDefault="0035509B" w:rsidP="0035509B">
            <w:pPr>
              <w:rPr>
                <w:sz w:val="16"/>
                <w:szCs w:val="16"/>
              </w:rPr>
            </w:pPr>
            <w:r w:rsidRPr="006148BE">
              <w:rPr>
                <w:sz w:val="16"/>
                <w:szCs w:val="16"/>
              </w:rPr>
              <w:t>13,900</w:t>
            </w:r>
          </w:p>
        </w:tc>
      </w:tr>
      <w:tr w:rsidR="00D54FC8" w:rsidRPr="00875DBE" w14:paraId="2958A86C" w14:textId="77777777" w:rsidTr="00FF2F5D">
        <w:trPr>
          <w:trHeight w:val="344"/>
        </w:trPr>
        <w:tc>
          <w:tcPr>
            <w:tcW w:w="515" w:type="pct"/>
            <w:shd w:val="clear" w:color="auto" w:fill="FFFFFF" w:themeFill="background1"/>
          </w:tcPr>
          <w:p w14:paraId="78C6ABB0" w14:textId="0D8FC781" w:rsidR="0035509B" w:rsidRPr="006148BE" w:rsidDel="004A77CC" w:rsidRDefault="0035509B" w:rsidP="006148BE">
            <w:pPr>
              <w:ind w:left="-30"/>
              <w:rPr>
                <w:color w:val="000000"/>
                <w:sz w:val="16"/>
                <w:szCs w:val="16"/>
              </w:rPr>
            </w:pPr>
            <w:r w:rsidRPr="006148BE">
              <w:rPr>
                <w:sz w:val="16"/>
                <w:szCs w:val="16"/>
              </w:rPr>
              <w:t>FS</w:t>
            </w:r>
          </w:p>
        </w:tc>
        <w:tc>
          <w:tcPr>
            <w:tcW w:w="209" w:type="pct"/>
            <w:gridSpan w:val="2"/>
            <w:shd w:val="clear" w:color="auto" w:fill="FFFFFF" w:themeFill="background1"/>
          </w:tcPr>
          <w:p w14:paraId="78B56A62" w14:textId="620BEECC" w:rsidR="0035509B" w:rsidRPr="006148BE" w:rsidRDefault="0035509B" w:rsidP="0035509B">
            <w:pPr>
              <w:rPr>
                <w:sz w:val="16"/>
                <w:szCs w:val="16"/>
              </w:rPr>
            </w:pPr>
            <w:r w:rsidRPr="006148BE">
              <w:rPr>
                <w:sz w:val="16"/>
                <w:szCs w:val="16"/>
              </w:rPr>
              <w:t>0</w:t>
            </w:r>
          </w:p>
        </w:tc>
        <w:tc>
          <w:tcPr>
            <w:tcW w:w="460" w:type="pct"/>
            <w:gridSpan w:val="2"/>
            <w:shd w:val="clear" w:color="auto" w:fill="FFFFFF" w:themeFill="background1"/>
          </w:tcPr>
          <w:p w14:paraId="62BF1DB9" w14:textId="23333F11" w:rsidR="0035509B" w:rsidRPr="006148BE" w:rsidRDefault="0035509B" w:rsidP="0035509B">
            <w:pPr>
              <w:rPr>
                <w:sz w:val="16"/>
                <w:szCs w:val="16"/>
              </w:rPr>
            </w:pPr>
            <w:r w:rsidRPr="001A00B0">
              <w:rPr>
                <w:sz w:val="16"/>
                <w:szCs w:val="16"/>
              </w:rPr>
              <w:t>1,458</w:t>
            </w:r>
          </w:p>
        </w:tc>
        <w:tc>
          <w:tcPr>
            <w:tcW w:w="373" w:type="pct"/>
            <w:gridSpan w:val="2"/>
            <w:shd w:val="clear" w:color="auto" w:fill="FFFFFF" w:themeFill="background1"/>
          </w:tcPr>
          <w:p w14:paraId="58E4203E" w14:textId="000722BB" w:rsidR="0035509B" w:rsidRPr="006148BE" w:rsidRDefault="0035509B" w:rsidP="0035509B">
            <w:pPr>
              <w:rPr>
                <w:sz w:val="16"/>
                <w:szCs w:val="16"/>
              </w:rPr>
            </w:pPr>
            <w:r w:rsidRPr="001A00B0">
              <w:rPr>
                <w:sz w:val="16"/>
                <w:szCs w:val="16"/>
              </w:rPr>
              <w:t>1,560</w:t>
            </w:r>
          </w:p>
        </w:tc>
        <w:tc>
          <w:tcPr>
            <w:tcW w:w="375" w:type="pct"/>
            <w:gridSpan w:val="2"/>
            <w:shd w:val="clear" w:color="auto" w:fill="FFFFFF" w:themeFill="background1"/>
          </w:tcPr>
          <w:p w14:paraId="42B5C2CA" w14:textId="2CCC2099" w:rsidR="0035509B" w:rsidRPr="006148BE" w:rsidRDefault="0035509B" w:rsidP="0035509B">
            <w:pPr>
              <w:rPr>
                <w:sz w:val="16"/>
                <w:szCs w:val="16"/>
              </w:rPr>
            </w:pPr>
            <w:r w:rsidRPr="001A00B0">
              <w:rPr>
                <w:sz w:val="16"/>
                <w:szCs w:val="16"/>
              </w:rPr>
              <w:t>1,670</w:t>
            </w:r>
          </w:p>
        </w:tc>
        <w:tc>
          <w:tcPr>
            <w:tcW w:w="375" w:type="pct"/>
            <w:gridSpan w:val="2"/>
            <w:shd w:val="clear" w:color="auto" w:fill="FFFFFF" w:themeFill="background1"/>
          </w:tcPr>
          <w:p w14:paraId="51FE982C" w14:textId="2E0B5E0F" w:rsidR="0035509B" w:rsidRPr="006148BE" w:rsidRDefault="0035509B" w:rsidP="0035509B">
            <w:pPr>
              <w:rPr>
                <w:sz w:val="16"/>
                <w:szCs w:val="16"/>
              </w:rPr>
            </w:pPr>
            <w:r w:rsidRPr="001A00B0">
              <w:rPr>
                <w:sz w:val="16"/>
                <w:szCs w:val="16"/>
              </w:rPr>
              <w:t>1,787</w:t>
            </w:r>
          </w:p>
        </w:tc>
        <w:tc>
          <w:tcPr>
            <w:tcW w:w="373" w:type="pct"/>
            <w:gridSpan w:val="3"/>
            <w:shd w:val="clear" w:color="auto" w:fill="FFFFFF" w:themeFill="background1"/>
          </w:tcPr>
          <w:p w14:paraId="2F20B331" w14:textId="052429B6" w:rsidR="0035509B" w:rsidRPr="006148BE" w:rsidRDefault="0035509B" w:rsidP="0035509B">
            <w:pPr>
              <w:rPr>
                <w:sz w:val="16"/>
                <w:szCs w:val="16"/>
              </w:rPr>
            </w:pPr>
            <w:r w:rsidRPr="001A00B0">
              <w:rPr>
                <w:sz w:val="16"/>
                <w:szCs w:val="16"/>
              </w:rPr>
              <w:t>1,912</w:t>
            </w:r>
          </w:p>
        </w:tc>
        <w:tc>
          <w:tcPr>
            <w:tcW w:w="377" w:type="pct"/>
            <w:gridSpan w:val="2"/>
            <w:shd w:val="clear" w:color="auto" w:fill="FFFFFF" w:themeFill="background1"/>
          </w:tcPr>
          <w:p w14:paraId="14872529" w14:textId="5760F0CD" w:rsidR="0035509B" w:rsidRPr="006148BE" w:rsidRDefault="0035509B" w:rsidP="0035509B">
            <w:pPr>
              <w:rPr>
                <w:sz w:val="16"/>
                <w:szCs w:val="16"/>
              </w:rPr>
            </w:pPr>
            <w:r w:rsidRPr="001A00B0">
              <w:rPr>
                <w:sz w:val="16"/>
                <w:szCs w:val="16"/>
              </w:rPr>
              <w:t>2,046</w:t>
            </w:r>
          </w:p>
        </w:tc>
        <w:tc>
          <w:tcPr>
            <w:tcW w:w="375" w:type="pct"/>
            <w:gridSpan w:val="3"/>
            <w:shd w:val="clear" w:color="auto" w:fill="FFFFFF" w:themeFill="background1"/>
          </w:tcPr>
          <w:p w14:paraId="1FA95EE1" w14:textId="3D02BF77" w:rsidR="0035509B" w:rsidRPr="006148BE" w:rsidRDefault="0035509B" w:rsidP="0035509B">
            <w:pPr>
              <w:rPr>
                <w:sz w:val="16"/>
                <w:szCs w:val="16"/>
              </w:rPr>
            </w:pPr>
            <w:r w:rsidRPr="001A00B0">
              <w:rPr>
                <w:sz w:val="16"/>
                <w:szCs w:val="16"/>
              </w:rPr>
              <w:t>2,189</w:t>
            </w:r>
          </w:p>
        </w:tc>
        <w:tc>
          <w:tcPr>
            <w:tcW w:w="373" w:type="pct"/>
            <w:gridSpan w:val="4"/>
            <w:shd w:val="clear" w:color="auto" w:fill="FFFFFF" w:themeFill="background1"/>
          </w:tcPr>
          <w:p w14:paraId="3FA98E11" w14:textId="2D780DA6" w:rsidR="0035509B" w:rsidRPr="006148BE" w:rsidRDefault="0035509B" w:rsidP="0035509B">
            <w:pPr>
              <w:rPr>
                <w:sz w:val="16"/>
                <w:szCs w:val="16"/>
              </w:rPr>
            </w:pPr>
            <w:r w:rsidRPr="001A00B0">
              <w:rPr>
                <w:sz w:val="16"/>
                <w:szCs w:val="16"/>
              </w:rPr>
              <w:t>2,343</w:t>
            </w:r>
          </w:p>
        </w:tc>
        <w:tc>
          <w:tcPr>
            <w:tcW w:w="376" w:type="pct"/>
            <w:gridSpan w:val="2"/>
            <w:shd w:val="clear" w:color="auto" w:fill="FFFFFF" w:themeFill="background1"/>
          </w:tcPr>
          <w:p w14:paraId="66BC0215" w14:textId="71B075D7" w:rsidR="0035509B" w:rsidRPr="006148BE" w:rsidRDefault="0035509B" w:rsidP="0035509B">
            <w:pPr>
              <w:rPr>
                <w:sz w:val="16"/>
                <w:szCs w:val="16"/>
              </w:rPr>
            </w:pPr>
            <w:r w:rsidRPr="001A00B0">
              <w:rPr>
                <w:sz w:val="16"/>
                <w:szCs w:val="16"/>
              </w:rPr>
              <w:t>2,507</w:t>
            </w:r>
          </w:p>
        </w:tc>
        <w:tc>
          <w:tcPr>
            <w:tcW w:w="379" w:type="pct"/>
            <w:shd w:val="clear" w:color="auto" w:fill="FFFFFF" w:themeFill="background1"/>
          </w:tcPr>
          <w:p w14:paraId="55A8CCA6" w14:textId="01E32A24" w:rsidR="0035509B" w:rsidRPr="006148BE" w:rsidRDefault="0035509B" w:rsidP="0035509B">
            <w:pPr>
              <w:rPr>
                <w:sz w:val="16"/>
                <w:szCs w:val="16"/>
              </w:rPr>
            </w:pPr>
            <w:r w:rsidRPr="001A00B0">
              <w:rPr>
                <w:sz w:val="16"/>
                <w:szCs w:val="16"/>
              </w:rPr>
              <w:t>2,683</w:t>
            </w:r>
          </w:p>
        </w:tc>
        <w:tc>
          <w:tcPr>
            <w:tcW w:w="440" w:type="pct"/>
            <w:gridSpan w:val="2"/>
            <w:shd w:val="clear" w:color="auto" w:fill="FFFFFF" w:themeFill="background1"/>
          </w:tcPr>
          <w:p w14:paraId="47BFE128" w14:textId="15885A15" w:rsidR="0035509B" w:rsidRPr="006148BE" w:rsidRDefault="0035509B" w:rsidP="0035509B">
            <w:pPr>
              <w:rPr>
                <w:sz w:val="16"/>
                <w:szCs w:val="16"/>
              </w:rPr>
            </w:pPr>
            <w:r w:rsidRPr="006148BE">
              <w:rPr>
                <w:sz w:val="16"/>
                <w:szCs w:val="16"/>
              </w:rPr>
              <w:t>20,155</w:t>
            </w:r>
          </w:p>
        </w:tc>
      </w:tr>
      <w:tr w:rsidR="00D54FC8" w:rsidRPr="00875DBE" w14:paraId="697D66A3" w14:textId="77777777" w:rsidTr="00FF2F5D">
        <w:trPr>
          <w:trHeight w:val="344"/>
        </w:trPr>
        <w:tc>
          <w:tcPr>
            <w:tcW w:w="515" w:type="pct"/>
            <w:shd w:val="clear" w:color="auto" w:fill="FFFFFF" w:themeFill="background1"/>
          </w:tcPr>
          <w:p w14:paraId="7C26B4CD" w14:textId="6D2D0079" w:rsidR="0035509B" w:rsidRPr="006148BE" w:rsidDel="004A77CC" w:rsidRDefault="0035509B" w:rsidP="006148BE">
            <w:pPr>
              <w:ind w:left="-30"/>
              <w:rPr>
                <w:color w:val="000000"/>
                <w:sz w:val="16"/>
                <w:szCs w:val="16"/>
              </w:rPr>
            </w:pPr>
            <w:r w:rsidRPr="006148BE">
              <w:rPr>
                <w:sz w:val="16"/>
                <w:szCs w:val="16"/>
              </w:rPr>
              <w:t>FUS</w:t>
            </w:r>
          </w:p>
        </w:tc>
        <w:tc>
          <w:tcPr>
            <w:tcW w:w="209" w:type="pct"/>
            <w:gridSpan w:val="2"/>
            <w:shd w:val="clear" w:color="auto" w:fill="FFFFFF" w:themeFill="background1"/>
          </w:tcPr>
          <w:p w14:paraId="73F31DDF" w14:textId="7ED4FC3F" w:rsidR="0035509B" w:rsidRPr="006148BE" w:rsidRDefault="0035509B" w:rsidP="0035509B">
            <w:pPr>
              <w:rPr>
                <w:sz w:val="16"/>
                <w:szCs w:val="16"/>
              </w:rPr>
            </w:pPr>
            <w:r w:rsidRPr="006148BE">
              <w:rPr>
                <w:sz w:val="16"/>
                <w:szCs w:val="16"/>
              </w:rPr>
              <w:t>0</w:t>
            </w:r>
          </w:p>
        </w:tc>
        <w:tc>
          <w:tcPr>
            <w:tcW w:w="460" w:type="pct"/>
            <w:gridSpan w:val="2"/>
            <w:shd w:val="clear" w:color="auto" w:fill="FFFFFF" w:themeFill="background1"/>
          </w:tcPr>
          <w:p w14:paraId="50CDE886" w14:textId="02D46A5E" w:rsidR="0035509B" w:rsidRPr="006148BE" w:rsidRDefault="0035509B" w:rsidP="0035509B">
            <w:pPr>
              <w:rPr>
                <w:sz w:val="16"/>
                <w:szCs w:val="16"/>
              </w:rPr>
            </w:pPr>
            <w:r w:rsidRPr="001A00B0">
              <w:rPr>
                <w:sz w:val="16"/>
                <w:szCs w:val="16"/>
              </w:rPr>
              <w:t>28,569</w:t>
            </w:r>
          </w:p>
        </w:tc>
        <w:tc>
          <w:tcPr>
            <w:tcW w:w="373" w:type="pct"/>
            <w:gridSpan w:val="2"/>
            <w:shd w:val="clear" w:color="auto" w:fill="FFFFFF" w:themeFill="background1"/>
          </w:tcPr>
          <w:p w14:paraId="065E47E8" w14:textId="2A014FF9" w:rsidR="0035509B" w:rsidRPr="006148BE" w:rsidRDefault="0035509B" w:rsidP="0035509B">
            <w:pPr>
              <w:rPr>
                <w:sz w:val="16"/>
                <w:szCs w:val="16"/>
              </w:rPr>
            </w:pPr>
            <w:r w:rsidRPr="001A00B0">
              <w:rPr>
                <w:sz w:val="16"/>
                <w:szCs w:val="16"/>
              </w:rPr>
              <w:t>33,170</w:t>
            </w:r>
          </w:p>
        </w:tc>
        <w:tc>
          <w:tcPr>
            <w:tcW w:w="375" w:type="pct"/>
            <w:gridSpan w:val="2"/>
            <w:shd w:val="clear" w:color="auto" w:fill="FFFFFF" w:themeFill="background1"/>
          </w:tcPr>
          <w:p w14:paraId="69F93FFB" w14:textId="0F65DA4C" w:rsidR="0035509B" w:rsidRPr="006148BE" w:rsidRDefault="0035509B" w:rsidP="0035509B">
            <w:pPr>
              <w:rPr>
                <w:sz w:val="16"/>
                <w:szCs w:val="16"/>
              </w:rPr>
            </w:pPr>
            <w:r w:rsidRPr="001A00B0">
              <w:rPr>
                <w:sz w:val="16"/>
                <w:szCs w:val="16"/>
              </w:rPr>
              <w:t>35,495</w:t>
            </w:r>
          </w:p>
        </w:tc>
        <w:tc>
          <w:tcPr>
            <w:tcW w:w="375" w:type="pct"/>
            <w:gridSpan w:val="2"/>
            <w:shd w:val="clear" w:color="auto" w:fill="FFFFFF" w:themeFill="background1"/>
          </w:tcPr>
          <w:p w14:paraId="1A1882F0" w14:textId="51745573" w:rsidR="0035509B" w:rsidRPr="006148BE" w:rsidRDefault="0035509B" w:rsidP="0035509B">
            <w:pPr>
              <w:rPr>
                <w:sz w:val="16"/>
                <w:szCs w:val="16"/>
              </w:rPr>
            </w:pPr>
            <w:r w:rsidRPr="001A00B0">
              <w:rPr>
                <w:sz w:val="16"/>
                <w:szCs w:val="16"/>
              </w:rPr>
              <w:t>37,984</w:t>
            </w:r>
          </w:p>
        </w:tc>
        <w:tc>
          <w:tcPr>
            <w:tcW w:w="373" w:type="pct"/>
            <w:gridSpan w:val="3"/>
            <w:shd w:val="clear" w:color="auto" w:fill="FFFFFF" w:themeFill="background1"/>
          </w:tcPr>
          <w:p w14:paraId="3963E33E" w14:textId="76FEED52" w:rsidR="0035509B" w:rsidRPr="006148BE" w:rsidRDefault="0035509B" w:rsidP="0035509B">
            <w:pPr>
              <w:rPr>
                <w:sz w:val="16"/>
                <w:szCs w:val="16"/>
              </w:rPr>
            </w:pPr>
            <w:r w:rsidRPr="001A00B0">
              <w:rPr>
                <w:sz w:val="16"/>
                <w:szCs w:val="16"/>
              </w:rPr>
              <w:t>40,646</w:t>
            </w:r>
          </w:p>
        </w:tc>
        <w:tc>
          <w:tcPr>
            <w:tcW w:w="377" w:type="pct"/>
            <w:gridSpan w:val="2"/>
            <w:shd w:val="clear" w:color="auto" w:fill="FFFFFF" w:themeFill="background1"/>
          </w:tcPr>
          <w:p w14:paraId="481181E3" w14:textId="2CE36D1C" w:rsidR="0035509B" w:rsidRPr="006148BE" w:rsidRDefault="0035509B" w:rsidP="0035509B">
            <w:pPr>
              <w:rPr>
                <w:sz w:val="16"/>
                <w:szCs w:val="16"/>
              </w:rPr>
            </w:pPr>
            <w:r w:rsidRPr="001A00B0">
              <w:rPr>
                <w:sz w:val="16"/>
                <w:szCs w:val="16"/>
              </w:rPr>
              <w:t>43,496</w:t>
            </w:r>
          </w:p>
        </w:tc>
        <w:tc>
          <w:tcPr>
            <w:tcW w:w="375" w:type="pct"/>
            <w:gridSpan w:val="3"/>
            <w:shd w:val="clear" w:color="auto" w:fill="FFFFFF" w:themeFill="background1"/>
          </w:tcPr>
          <w:p w14:paraId="62B0BC6D" w14:textId="2BDD8AA3" w:rsidR="0035509B" w:rsidRPr="006148BE" w:rsidRDefault="0035509B" w:rsidP="0035509B">
            <w:pPr>
              <w:rPr>
                <w:sz w:val="16"/>
                <w:szCs w:val="16"/>
              </w:rPr>
            </w:pPr>
            <w:r w:rsidRPr="001A00B0">
              <w:rPr>
                <w:sz w:val="16"/>
                <w:szCs w:val="16"/>
              </w:rPr>
              <w:t>46,545</w:t>
            </w:r>
          </w:p>
        </w:tc>
        <w:tc>
          <w:tcPr>
            <w:tcW w:w="373" w:type="pct"/>
            <w:gridSpan w:val="4"/>
            <w:shd w:val="clear" w:color="auto" w:fill="FFFFFF" w:themeFill="background1"/>
          </w:tcPr>
          <w:p w14:paraId="31398F12" w14:textId="6D1C6348" w:rsidR="0035509B" w:rsidRPr="006148BE" w:rsidRDefault="0035509B" w:rsidP="0035509B">
            <w:pPr>
              <w:rPr>
                <w:sz w:val="16"/>
                <w:szCs w:val="16"/>
              </w:rPr>
            </w:pPr>
            <w:r w:rsidRPr="001A00B0">
              <w:rPr>
                <w:sz w:val="16"/>
                <w:szCs w:val="16"/>
              </w:rPr>
              <w:t>49,808</w:t>
            </w:r>
          </w:p>
        </w:tc>
        <w:tc>
          <w:tcPr>
            <w:tcW w:w="376" w:type="pct"/>
            <w:gridSpan w:val="2"/>
            <w:shd w:val="clear" w:color="auto" w:fill="FFFFFF" w:themeFill="background1"/>
          </w:tcPr>
          <w:p w14:paraId="0832677B" w14:textId="7519B9B7" w:rsidR="0035509B" w:rsidRPr="006148BE" w:rsidRDefault="0035509B" w:rsidP="0035509B">
            <w:pPr>
              <w:rPr>
                <w:sz w:val="16"/>
                <w:szCs w:val="16"/>
              </w:rPr>
            </w:pPr>
            <w:r w:rsidRPr="001A00B0">
              <w:rPr>
                <w:sz w:val="16"/>
                <w:szCs w:val="16"/>
              </w:rPr>
              <w:t>53,299</w:t>
            </w:r>
          </w:p>
        </w:tc>
        <w:tc>
          <w:tcPr>
            <w:tcW w:w="379" w:type="pct"/>
            <w:shd w:val="clear" w:color="auto" w:fill="FFFFFF" w:themeFill="background1"/>
          </w:tcPr>
          <w:p w14:paraId="10B8872B" w14:textId="6A66F934" w:rsidR="0035509B" w:rsidRPr="006148BE" w:rsidRDefault="0035509B" w:rsidP="0035509B">
            <w:pPr>
              <w:rPr>
                <w:sz w:val="16"/>
                <w:szCs w:val="16"/>
              </w:rPr>
            </w:pPr>
            <w:r w:rsidRPr="001A00B0">
              <w:rPr>
                <w:sz w:val="16"/>
                <w:szCs w:val="16"/>
              </w:rPr>
              <w:t>57,035</w:t>
            </w:r>
          </w:p>
        </w:tc>
        <w:tc>
          <w:tcPr>
            <w:tcW w:w="440" w:type="pct"/>
            <w:gridSpan w:val="2"/>
            <w:shd w:val="clear" w:color="auto" w:fill="FFFFFF" w:themeFill="background1"/>
          </w:tcPr>
          <w:p w14:paraId="122639EA" w14:textId="2AF48D0E" w:rsidR="0035509B" w:rsidRPr="006148BE" w:rsidRDefault="0035509B" w:rsidP="0035509B">
            <w:pPr>
              <w:rPr>
                <w:sz w:val="16"/>
                <w:szCs w:val="16"/>
              </w:rPr>
            </w:pPr>
            <w:r w:rsidRPr="006148BE">
              <w:rPr>
                <w:sz w:val="16"/>
                <w:szCs w:val="16"/>
              </w:rPr>
              <w:t>426,047</w:t>
            </w:r>
          </w:p>
        </w:tc>
      </w:tr>
      <w:tr w:rsidR="00D54FC8" w:rsidRPr="00875DBE" w14:paraId="295361C0" w14:textId="77777777" w:rsidTr="00FF2F5D">
        <w:trPr>
          <w:trHeight w:val="344"/>
        </w:trPr>
        <w:tc>
          <w:tcPr>
            <w:tcW w:w="515" w:type="pct"/>
            <w:shd w:val="clear" w:color="auto" w:fill="FFFFFF" w:themeFill="background1"/>
          </w:tcPr>
          <w:p w14:paraId="4F3DF17D" w14:textId="245A7529" w:rsidR="0035509B" w:rsidRPr="006148BE" w:rsidDel="004A77CC" w:rsidRDefault="0035509B" w:rsidP="006148BE">
            <w:pPr>
              <w:ind w:left="-30"/>
              <w:rPr>
                <w:color w:val="000000"/>
                <w:sz w:val="16"/>
                <w:szCs w:val="16"/>
              </w:rPr>
            </w:pPr>
            <w:r w:rsidRPr="006148BE">
              <w:rPr>
                <w:sz w:val="16"/>
                <w:szCs w:val="16"/>
              </w:rPr>
              <w:t>NFZ</w:t>
            </w:r>
          </w:p>
        </w:tc>
        <w:tc>
          <w:tcPr>
            <w:tcW w:w="209" w:type="pct"/>
            <w:gridSpan w:val="2"/>
            <w:shd w:val="clear" w:color="auto" w:fill="FFFFFF" w:themeFill="background1"/>
          </w:tcPr>
          <w:p w14:paraId="16663416" w14:textId="4BDDEB8E" w:rsidR="0035509B" w:rsidRPr="006148BE" w:rsidRDefault="0035509B" w:rsidP="0035509B">
            <w:pPr>
              <w:rPr>
                <w:sz w:val="16"/>
                <w:szCs w:val="16"/>
              </w:rPr>
            </w:pPr>
            <w:r w:rsidRPr="006148BE">
              <w:rPr>
                <w:sz w:val="16"/>
                <w:szCs w:val="16"/>
              </w:rPr>
              <w:t>0</w:t>
            </w:r>
          </w:p>
        </w:tc>
        <w:tc>
          <w:tcPr>
            <w:tcW w:w="460" w:type="pct"/>
            <w:gridSpan w:val="2"/>
            <w:shd w:val="clear" w:color="auto" w:fill="FFFFFF" w:themeFill="background1"/>
          </w:tcPr>
          <w:p w14:paraId="69E8E424" w14:textId="0B73378E" w:rsidR="0035509B" w:rsidRPr="006148BE" w:rsidRDefault="0035509B" w:rsidP="0035509B">
            <w:pPr>
              <w:rPr>
                <w:sz w:val="16"/>
                <w:szCs w:val="16"/>
              </w:rPr>
            </w:pPr>
            <w:r w:rsidRPr="001A00B0">
              <w:rPr>
                <w:sz w:val="16"/>
                <w:szCs w:val="16"/>
              </w:rPr>
              <w:t>7,81</w:t>
            </w:r>
          </w:p>
        </w:tc>
        <w:tc>
          <w:tcPr>
            <w:tcW w:w="373" w:type="pct"/>
            <w:gridSpan w:val="2"/>
            <w:shd w:val="clear" w:color="auto" w:fill="FFFFFF" w:themeFill="background1"/>
          </w:tcPr>
          <w:p w14:paraId="2685231B" w14:textId="5E26F922" w:rsidR="0035509B" w:rsidRPr="006148BE" w:rsidRDefault="0035509B" w:rsidP="0035509B">
            <w:pPr>
              <w:rPr>
                <w:sz w:val="16"/>
                <w:szCs w:val="16"/>
              </w:rPr>
            </w:pPr>
            <w:r w:rsidRPr="001A00B0">
              <w:rPr>
                <w:sz w:val="16"/>
                <w:szCs w:val="16"/>
              </w:rPr>
              <w:t>9,07</w:t>
            </w:r>
          </w:p>
        </w:tc>
        <w:tc>
          <w:tcPr>
            <w:tcW w:w="375" w:type="pct"/>
            <w:gridSpan w:val="2"/>
            <w:shd w:val="clear" w:color="auto" w:fill="FFFFFF" w:themeFill="background1"/>
          </w:tcPr>
          <w:p w14:paraId="5CA0771B" w14:textId="1830702F" w:rsidR="0035509B" w:rsidRPr="006148BE" w:rsidRDefault="0035509B" w:rsidP="0035509B">
            <w:pPr>
              <w:rPr>
                <w:sz w:val="16"/>
                <w:szCs w:val="16"/>
              </w:rPr>
            </w:pPr>
            <w:r w:rsidRPr="001A00B0">
              <w:rPr>
                <w:sz w:val="16"/>
                <w:szCs w:val="16"/>
              </w:rPr>
              <w:t>9,70</w:t>
            </w:r>
          </w:p>
        </w:tc>
        <w:tc>
          <w:tcPr>
            <w:tcW w:w="375" w:type="pct"/>
            <w:gridSpan w:val="2"/>
            <w:shd w:val="clear" w:color="auto" w:fill="FFFFFF" w:themeFill="background1"/>
          </w:tcPr>
          <w:p w14:paraId="13063EC6" w14:textId="154C84F5" w:rsidR="0035509B" w:rsidRPr="006148BE" w:rsidRDefault="0035509B" w:rsidP="0035509B">
            <w:pPr>
              <w:rPr>
                <w:sz w:val="16"/>
                <w:szCs w:val="16"/>
              </w:rPr>
            </w:pPr>
            <w:r w:rsidRPr="001A00B0">
              <w:rPr>
                <w:sz w:val="16"/>
                <w:szCs w:val="16"/>
              </w:rPr>
              <w:t>10,38</w:t>
            </w:r>
          </w:p>
        </w:tc>
        <w:tc>
          <w:tcPr>
            <w:tcW w:w="373" w:type="pct"/>
            <w:gridSpan w:val="3"/>
            <w:shd w:val="clear" w:color="auto" w:fill="FFFFFF" w:themeFill="background1"/>
          </w:tcPr>
          <w:p w14:paraId="71A2DDFC" w14:textId="3395623A" w:rsidR="0035509B" w:rsidRPr="006148BE" w:rsidRDefault="0035509B" w:rsidP="0035509B">
            <w:pPr>
              <w:rPr>
                <w:sz w:val="16"/>
                <w:szCs w:val="16"/>
              </w:rPr>
            </w:pPr>
            <w:r w:rsidRPr="001A00B0">
              <w:rPr>
                <w:sz w:val="16"/>
                <w:szCs w:val="16"/>
              </w:rPr>
              <w:t>11,11</w:t>
            </w:r>
          </w:p>
        </w:tc>
        <w:tc>
          <w:tcPr>
            <w:tcW w:w="377" w:type="pct"/>
            <w:gridSpan w:val="2"/>
            <w:shd w:val="clear" w:color="auto" w:fill="FFFFFF" w:themeFill="background1"/>
          </w:tcPr>
          <w:p w14:paraId="102B0542" w14:textId="04E61FE5" w:rsidR="0035509B" w:rsidRPr="006148BE" w:rsidRDefault="0035509B" w:rsidP="0035509B">
            <w:pPr>
              <w:rPr>
                <w:sz w:val="16"/>
                <w:szCs w:val="16"/>
              </w:rPr>
            </w:pPr>
            <w:r w:rsidRPr="001A00B0">
              <w:rPr>
                <w:sz w:val="16"/>
                <w:szCs w:val="16"/>
              </w:rPr>
              <w:t>11,55</w:t>
            </w:r>
          </w:p>
        </w:tc>
        <w:tc>
          <w:tcPr>
            <w:tcW w:w="375" w:type="pct"/>
            <w:gridSpan w:val="3"/>
            <w:shd w:val="clear" w:color="auto" w:fill="FFFFFF" w:themeFill="background1"/>
          </w:tcPr>
          <w:p w14:paraId="5D75806E" w14:textId="0B6238FC" w:rsidR="0035509B" w:rsidRPr="006148BE" w:rsidRDefault="0035509B" w:rsidP="0035509B">
            <w:pPr>
              <w:rPr>
                <w:sz w:val="16"/>
                <w:szCs w:val="16"/>
              </w:rPr>
            </w:pPr>
            <w:r w:rsidRPr="001A00B0">
              <w:rPr>
                <w:sz w:val="16"/>
                <w:szCs w:val="16"/>
              </w:rPr>
              <w:t>11,89</w:t>
            </w:r>
          </w:p>
        </w:tc>
        <w:tc>
          <w:tcPr>
            <w:tcW w:w="373" w:type="pct"/>
            <w:gridSpan w:val="4"/>
            <w:shd w:val="clear" w:color="auto" w:fill="FFFFFF" w:themeFill="background1"/>
          </w:tcPr>
          <w:p w14:paraId="7FCCD26D" w14:textId="5230D624" w:rsidR="0035509B" w:rsidRPr="006148BE" w:rsidRDefault="0035509B" w:rsidP="0035509B">
            <w:pPr>
              <w:rPr>
                <w:sz w:val="16"/>
                <w:szCs w:val="16"/>
              </w:rPr>
            </w:pPr>
            <w:r w:rsidRPr="001A00B0">
              <w:rPr>
                <w:sz w:val="16"/>
                <w:szCs w:val="16"/>
              </w:rPr>
              <w:t>12,36</w:t>
            </w:r>
          </w:p>
        </w:tc>
        <w:tc>
          <w:tcPr>
            <w:tcW w:w="376" w:type="pct"/>
            <w:gridSpan w:val="2"/>
            <w:shd w:val="clear" w:color="auto" w:fill="FFFFFF" w:themeFill="background1"/>
          </w:tcPr>
          <w:p w14:paraId="6FB190F6" w14:textId="3693FE91" w:rsidR="0035509B" w:rsidRPr="006148BE" w:rsidRDefault="0035509B" w:rsidP="0035509B">
            <w:pPr>
              <w:rPr>
                <w:sz w:val="16"/>
                <w:szCs w:val="16"/>
              </w:rPr>
            </w:pPr>
            <w:r w:rsidRPr="001A00B0">
              <w:rPr>
                <w:sz w:val="16"/>
                <w:szCs w:val="16"/>
              </w:rPr>
              <w:t>13,23</w:t>
            </w:r>
          </w:p>
        </w:tc>
        <w:tc>
          <w:tcPr>
            <w:tcW w:w="379" w:type="pct"/>
            <w:shd w:val="clear" w:color="auto" w:fill="FFFFFF" w:themeFill="background1"/>
          </w:tcPr>
          <w:p w14:paraId="0A1326D4" w14:textId="3621B9FB" w:rsidR="0035509B" w:rsidRPr="006148BE" w:rsidRDefault="0035509B" w:rsidP="0035509B">
            <w:pPr>
              <w:rPr>
                <w:sz w:val="16"/>
                <w:szCs w:val="16"/>
              </w:rPr>
            </w:pPr>
            <w:r w:rsidRPr="001A00B0">
              <w:rPr>
                <w:sz w:val="16"/>
                <w:szCs w:val="16"/>
              </w:rPr>
              <w:t>13,23</w:t>
            </w:r>
          </w:p>
        </w:tc>
        <w:tc>
          <w:tcPr>
            <w:tcW w:w="440" w:type="pct"/>
            <w:gridSpan w:val="2"/>
            <w:shd w:val="clear" w:color="auto" w:fill="FFFFFF" w:themeFill="background1"/>
          </w:tcPr>
          <w:p w14:paraId="1BC5576D" w14:textId="02D4191F" w:rsidR="0035509B" w:rsidRPr="006148BE" w:rsidRDefault="0035509B" w:rsidP="0035509B">
            <w:pPr>
              <w:rPr>
                <w:sz w:val="16"/>
                <w:szCs w:val="16"/>
              </w:rPr>
            </w:pPr>
            <w:r w:rsidRPr="006148BE">
              <w:rPr>
                <w:sz w:val="16"/>
                <w:szCs w:val="16"/>
              </w:rPr>
              <w:t>110,34</w:t>
            </w:r>
          </w:p>
        </w:tc>
      </w:tr>
      <w:tr w:rsidR="00D54FC8" w:rsidRPr="00875DBE" w14:paraId="3AAAAF53" w14:textId="77777777" w:rsidTr="00FF2F5D">
        <w:trPr>
          <w:trHeight w:val="330"/>
        </w:trPr>
        <w:tc>
          <w:tcPr>
            <w:tcW w:w="515" w:type="pct"/>
            <w:shd w:val="clear" w:color="auto" w:fill="FFFFFF" w:themeFill="background1"/>
            <w:vAlign w:val="center"/>
          </w:tcPr>
          <w:p w14:paraId="092FBCB4" w14:textId="77777777" w:rsidR="0035509B" w:rsidRPr="006148BE" w:rsidRDefault="0035509B" w:rsidP="006148BE">
            <w:pPr>
              <w:ind w:left="-30"/>
              <w:rPr>
                <w:color w:val="000000"/>
                <w:sz w:val="16"/>
                <w:szCs w:val="16"/>
              </w:rPr>
            </w:pPr>
            <w:r w:rsidRPr="006148BE">
              <w:rPr>
                <w:b/>
                <w:color w:val="000000"/>
                <w:sz w:val="16"/>
                <w:szCs w:val="16"/>
              </w:rPr>
              <w:t>Wydatki ogółem</w:t>
            </w:r>
          </w:p>
        </w:tc>
        <w:tc>
          <w:tcPr>
            <w:tcW w:w="209" w:type="pct"/>
            <w:gridSpan w:val="2"/>
            <w:shd w:val="clear" w:color="auto" w:fill="FFFFFF" w:themeFill="background1"/>
          </w:tcPr>
          <w:p w14:paraId="07670349" w14:textId="153EDD45"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15F5BC59" w14:textId="27BB5C76" w:rsidR="0035509B" w:rsidRPr="006148BE" w:rsidRDefault="0035509B" w:rsidP="0035509B">
            <w:pPr>
              <w:rPr>
                <w:color w:val="000000"/>
                <w:sz w:val="16"/>
                <w:szCs w:val="16"/>
              </w:rPr>
            </w:pPr>
            <w:r w:rsidRPr="001A00B0">
              <w:rPr>
                <w:sz w:val="16"/>
                <w:szCs w:val="16"/>
              </w:rPr>
              <w:t>284,294</w:t>
            </w:r>
          </w:p>
        </w:tc>
        <w:tc>
          <w:tcPr>
            <w:tcW w:w="373" w:type="pct"/>
            <w:gridSpan w:val="2"/>
            <w:shd w:val="clear" w:color="auto" w:fill="FFFFFF" w:themeFill="background1"/>
          </w:tcPr>
          <w:p w14:paraId="0F4757FC" w14:textId="59D6DDC7" w:rsidR="0035509B" w:rsidRPr="006148BE" w:rsidRDefault="0035509B" w:rsidP="0035509B">
            <w:pPr>
              <w:rPr>
                <w:color w:val="000000"/>
                <w:sz w:val="16"/>
                <w:szCs w:val="16"/>
              </w:rPr>
            </w:pPr>
            <w:r w:rsidRPr="001A00B0">
              <w:rPr>
                <w:sz w:val="16"/>
                <w:szCs w:val="16"/>
              </w:rPr>
              <w:t>299,720</w:t>
            </w:r>
          </w:p>
        </w:tc>
        <w:tc>
          <w:tcPr>
            <w:tcW w:w="375" w:type="pct"/>
            <w:gridSpan w:val="2"/>
            <w:shd w:val="clear" w:color="auto" w:fill="FFFFFF" w:themeFill="background1"/>
          </w:tcPr>
          <w:p w14:paraId="3F07141F" w14:textId="2306FD00" w:rsidR="0035509B" w:rsidRPr="006148BE" w:rsidRDefault="0035509B" w:rsidP="0035509B">
            <w:pPr>
              <w:rPr>
                <w:color w:val="000000"/>
                <w:sz w:val="16"/>
                <w:szCs w:val="16"/>
              </w:rPr>
            </w:pPr>
            <w:r w:rsidRPr="001A00B0">
              <w:rPr>
                <w:sz w:val="16"/>
                <w:szCs w:val="16"/>
              </w:rPr>
              <w:t>318,587</w:t>
            </w:r>
          </w:p>
        </w:tc>
        <w:tc>
          <w:tcPr>
            <w:tcW w:w="375" w:type="pct"/>
            <w:gridSpan w:val="2"/>
            <w:shd w:val="clear" w:color="auto" w:fill="FFFFFF" w:themeFill="background1"/>
          </w:tcPr>
          <w:p w14:paraId="0D9BBE3C" w14:textId="5E24BD71" w:rsidR="0035509B" w:rsidRPr="006148BE" w:rsidRDefault="0035509B" w:rsidP="0035509B">
            <w:pPr>
              <w:rPr>
                <w:color w:val="000000"/>
                <w:sz w:val="16"/>
                <w:szCs w:val="16"/>
              </w:rPr>
            </w:pPr>
            <w:r w:rsidRPr="001A00B0">
              <w:rPr>
                <w:sz w:val="16"/>
                <w:szCs w:val="16"/>
              </w:rPr>
              <w:t>348,462</w:t>
            </w:r>
          </w:p>
        </w:tc>
        <w:tc>
          <w:tcPr>
            <w:tcW w:w="373" w:type="pct"/>
            <w:gridSpan w:val="3"/>
            <w:shd w:val="clear" w:color="auto" w:fill="FFFFFF" w:themeFill="background1"/>
          </w:tcPr>
          <w:p w14:paraId="2ADDB686" w14:textId="42848D17" w:rsidR="0035509B" w:rsidRPr="006148BE" w:rsidRDefault="0035509B" w:rsidP="0035509B">
            <w:pPr>
              <w:rPr>
                <w:color w:val="000000"/>
                <w:sz w:val="16"/>
                <w:szCs w:val="16"/>
              </w:rPr>
            </w:pPr>
            <w:r w:rsidRPr="001A00B0">
              <w:rPr>
                <w:sz w:val="16"/>
                <w:szCs w:val="16"/>
              </w:rPr>
              <w:t>381,684</w:t>
            </w:r>
          </w:p>
        </w:tc>
        <w:tc>
          <w:tcPr>
            <w:tcW w:w="377" w:type="pct"/>
            <w:gridSpan w:val="2"/>
            <w:shd w:val="clear" w:color="auto" w:fill="FFFFFF" w:themeFill="background1"/>
          </w:tcPr>
          <w:p w14:paraId="16B00B66" w14:textId="72257A8D" w:rsidR="0035509B" w:rsidRPr="006148BE" w:rsidRDefault="0035509B" w:rsidP="0035509B">
            <w:pPr>
              <w:rPr>
                <w:color w:val="000000"/>
                <w:sz w:val="16"/>
                <w:szCs w:val="16"/>
              </w:rPr>
            </w:pPr>
            <w:r w:rsidRPr="001A00B0">
              <w:rPr>
                <w:sz w:val="16"/>
                <w:szCs w:val="16"/>
              </w:rPr>
              <w:t>420,236</w:t>
            </w:r>
          </w:p>
        </w:tc>
        <w:tc>
          <w:tcPr>
            <w:tcW w:w="375" w:type="pct"/>
            <w:gridSpan w:val="3"/>
            <w:shd w:val="clear" w:color="auto" w:fill="FFFFFF" w:themeFill="background1"/>
          </w:tcPr>
          <w:p w14:paraId="7AB1FDED" w14:textId="22DB7334" w:rsidR="0035509B" w:rsidRPr="006148BE" w:rsidRDefault="0035509B" w:rsidP="0035509B">
            <w:pPr>
              <w:rPr>
                <w:color w:val="000000"/>
                <w:sz w:val="16"/>
                <w:szCs w:val="16"/>
              </w:rPr>
            </w:pPr>
            <w:r w:rsidRPr="001A00B0">
              <w:rPr>
                <w:sz w:val="16"/>
                <w:szCs w:val="16"/>
              </w:rPr>
              <w:t>437,681</w:t>
            </w:r>
          </w:p>
        </w:tc>
        <w:tc>
          <w:tcPr>
            <w:tcW w:w="373" w:type="pct"/>
            <w:gridSpan w:val="4"/>
            <w:shd w:val="clear" w:color="auto" w:fill="FFFFFF" w:themeFill="background1"/>
          </w:tcPr>
          <w:p w14:paraId="19675DF1" w14:textId="57DF4EA8" w:rsidR="0035509B" w:rsidRPr="006148BE" w:rsidRDefault="0035509B" w:rsidP="0035509B">
            <w:pPr>
              <w:rPr>
                <w:color w:val="000000"/>
                <w:sz w:val="16"/>
                <w:szCs w:val="16"/>
              </w:rPr>
            </w:pPr>
            <w:r w:rsidRPr="001A00B0">
              <w:rPr>
                <w:sz w:val="16"/>
                <w:szCs w:val="16"/>
              </w:rPr>
              <w:t>479,161</w:t>
            </w:r>
          </w:p>
        </w:tc>
        <w:tc>
          <w:tcPr>
            <w:tcW w:w="376" w:type="pct"/>
            <w:gridSpan w:val="2"/>
            <w:shd w:val="clear" w:color="auto" w:fill="FFFFFF" w:themeFill="background1"/>
          </w:tcPr>
          <w:p w14:paraId="2D8BAF4F" w14:textId="2CD968C9" w:rsidR="0035509B" w:rsidRPr="006148BE" w:rsidRDefault="0035509B" w:rsidP="0035509B">
            <w:pPr>
              <w:rPr>
                <w:color w:val="000000"/>
                <w:sz w:val="16"/>
                <w:szCs w:val="16"/>
              </w:rPr>
            </w:pPr>
            <w:r w:rsidRPr="001A00B0">
              <w:rPr>
                <w:sz w:val="16"/>
                <w:szCs w:val="16"/>
              </w:rPr>
              <w:t>527,836</w:t>
            </w:r>
          </w:p>
        </w:tc>
        <w:tc>
          <w:tcPr>
            <w:tcW w:w="379" w:type="pct"/>
            <w:shd w:val="clear" w:color="auto" w:fill="FFFFFF" w:themeFill="background1"/>
          </w:tcPr>
          <w:p w14:paraId="62D12B7C" w14:textId="2B95B41F" w:rsidR="0035509B" w:rsidRPr="006148BE" w:rsidRDefault="0035509B" w:rsidP="0035509B">
            <w:pPr>
              <w:rPr>
                <w:color w:val="000000"/>
                <w:sz w:val="16"/>
                <w:szCs w:val="16"/>
              </w:rPr>
            </w:pPr>
            <w:r w:rsidRPr="001A00B0">
              <w:rPr>
                <w:sz w:val="16"/>
                <w:szCs w:val="16"/>
              </w:rPr>
              <w:t>587,999</w:t>
            </w:r>
          </w:p>
        </w:tc>
        <w:tc>
          <w:tcPr>
            <w:tcW w:w="440" w:type="pct"/>
            <w:gridSpan w:val="2"/>
            <w:shd w:val="clear" w:color="auto" w:fill="FFFFFF" w:themeFill="background1"/>
          </w:tcPr>
          <w:p w14:paraId="0D7E2052" w14:textId="292BDF95" w:rsidR="0035509B" w:rsidRPr="006148BE" w:rsidRDefault="0035509B" w:rsidP="0035509B">
            <w:pPr>
              <w:rPr>
                <w:sz w:val="16"/>
                <w:szCs w:val="16"/>
              </w:rPr>
            </w:pPr>
            <w:r w:rsidRPr="006148BE">
              <w:rPr>
                <w:sz w:val="16"/>
                <w:szCs w:val="16"/>
              </w:rPr>
              <w:t>1660,223</w:t>
            </w:r>
          </w:p>
        </w:tc>
      </w:tr>
      <w:tr w:rsidR="00D54FC8" w:rsidRPr="00875DBE" w14:paraId="4DF1E2E2" w14:textId="77777777" w:rsidTr="00FF2F5D">
        <w:trPr>
          <w:trHeight w:val="330"/>
        </w:trPr>
        <w:tc>
          <w:tcPr>
            <w:tcW w:w="515" w:type="pct"/>
            <w:shd w:val="clear" w:color="auto" w:fill="FFFFFF" w:themeFill="background1"/>
            <w:vAlign w:val="center"/>
          </w:tcPr>
          <w:p w14:paraId="4114CC35" w14:textId="77777777" w:rsidR="0035509B" w:rsidRPr="006148BE" w:rsidRDefault="0035509B" w:rsidP="006148BE">
            <w:pPr>
              <w:ind w:left="-30"/>
              <w:rPr>
                <w:color w:val="000000"/>
                <w:sz w:val="16"/>
                <w:szCs w:val="16"/>
              </w:rPr>
            </w:pPr>
            <w:r w:rsidRPr="006148BE">
              <w:rPr>
                <w:color w:val="000000"/>
                <w:sz w:val="16"/>
                <w:szCs w:val="16"/>
              </w:rPr>
              <w:t>budżet państwa</w:t>
            </w:r>
          </w:p>
        </w:tc>
        <w:tc>
          <w:tcPr>
            <w:tcW w:w="209" w:type="pct"/>
            <w:gridSpan w:val="2"/>
            <w:shd w:val="clear" w:color="auto" w:fill="FFFFFF" w:themeFill="background1"/>
          </w:tcPr>
          <w:p w14:paraId="55EAEAEA" w14:textId="132D1433"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3042EECC" w14:textId="436C9D6D" w:rsidR="0035509B" w:rsidRPr="006148BE" w:rsidRDefault="0035509B" w:rsidP="0035509B">
            <w:pPr>
              <w:rPr>
                <w:color w:val="000000"/>
                <w:sz w:val="16"/>
                <w:szCs w:val="16"/>
              </w:rPr>
            </w:pPr>
            <w:r w:rsidRPr="001A00B0">
              <w:rPr>
                <w:sz w:val="16"/>
                <w:szCs w:val="16"/>
              </w:rPr>
              <w:t>284,294</w:t>
            </w:r>
          </w:p>
        </w:tc>
        <w:tc>
          <w:tcPr>
            <w:tcW w:w="373" w:type="pct"/>
            <w:gridSpan w:val="2"/>
            <w:shd w:val="clear" w:color="auto" w:fill="FFFFFF" w:themeFill="background1"/>
          </w:tcPr>
          <w:p w14:paraId="12CFCF25" w14:textId="38E04194" w:rsidR="0035509B" w:rsidRPr="006148BE" w:rsidRDefault="0035509B" w:rsidP="0035509B">
            <w:pPr>
              <w:rPr>
                <w:color w:val="000000"/>
                <w:sz w:val="16"/>
                <w:szCs w:val="16"/>
              </w:rPr>
            </w:pPr>
            <w:r w:rsidRPr="001A00B0">
              <w:rPr>
                <w:sz w:val="16"/>
                <w:szCs w:val="16"/>
              </w:rPr>
              <w:t>299,720</w:t>
            </w:r>
          </w:p>
        </w:tc>
        <w:tc>
          <w:tcPr>
            <w:tcW w:w="375" w:type="pct"/>
            <w:gridSpan w:val="2"/>
            <w:shd w:val="clear" w:color="auto" w:fill="FFFFFF" w:themeFill="background1"/>
          </w:tcPr>
          <w:p w14:paraId="494A7969" w14:textId="0E40A296" w:rsidR="0035509B" w:rsidRPr="006148BE" w:rsidRDefault="0035509B" w:rsidP="0035509B">
            <w:pPr>
              <w:rPr>
                <w:color w:val="000000"/>
                <w:sz w:val="16"/>
                <w:szCs w:val="16"/>
              </w:rPr>
            </w:pPr>
            <w:r w:rsidRPr="001A00B0">
              <w:rPr>
                <w:sz w:val="16"/>
                <w:szCs w:val="16"/>
              </w:rPr>
              <w:t>318,587</w:t>
            </w:r>
          </w:p>
        </w:tc>
        <w:tc>
          <w:tcPr>
            <w:tcW w:w="375" w:type="pct"/>
            <w:gridSpan w:val="2"/>
            <w:shd w:val="clear" w:color="auto" w:fill="FFFFFF" w:themeFill="background1"/>
          </w:tcPr>
          <w:p w14:paraId="4920891C" w14:textId="60AA0378" w:rsidR="0035509B" w:rsidRPr="006148BE" w:rsidRDefault="0035509B" w:rsidP="0035509B">
            <w:pPr>
              <w:rPr>
                <w:color w:val="000000"/>
                <w:sz w:val="16"/>
                <w:szCs w:val="16"/>
              </w:rPr>
            </w:pPr>
            <w:r w:rsidRPr="001A00B0">
              <w:rPr>
                <w:sz w:val="16"/>
                <w:szCs w:val="16"/>
              </w:rPr>
              <w:t>348,462</w:t>
            </w:r>
          </w:p>
        </w:tc>
        <w:tc>
          <w:tcPr>
            <w:tcW w:w="373" w:type="pct"/>
            <w:gridSpan w:val="3"/>
            <w:shd w:val="clear" w:color="auto" w:fill="FFFFFF" w:themeFill="background1"/>
          </w:tcPr>
          <w:p w14:paraId="0038DA75" w14:textId="75540E86" w:rsidR="0035509B" w:rsidRPr="006148BE" w:rsidRDefault="0035509B" w:rsidP="0035509B">
            <w:pPr>
              <w:rPr>
                <w:color w:val="000000"/>
                <w:sz w:val="16"/>
                <w:szCs w:val="16"/>
              </w:rPr>
            </w:pPr>
            <w:r w:rsidRPr="001A00B0">
              <w:rPr>
                <w:sz w:val="16"/>
                <w:szCs w:val="16"/>
              </w:rPr>
              <w:t>381,684</w:t>
            </w:r>
          </w:p>
        </w:tc>
        <w:tc>
          <w:tcPr>
            <w:tcW w:w="377" w:type="pct"/>
            <w:gridSpan w:val="2"/>
            <w:shd w:val="clear" w:color="auto" w:fill="FFFFFF" w:themeFill="background1"/>
          </w:tcPr>
          <w:p w14:paraId="20216178" w14:textId="34BE1527" w:rsidR="0035509B" w:rsidRPr="006148BE" w:rsidRDefault="0035509B" w:rsidP="0035509B">
            <w:pPr>
              <w:rPr>
                <w:color w:val="000000"/>
                <w:sz w:val="16"/>
                <w:szCs w:val="16"/>
              </w:rPr>
            </w:pPr>
            <w:r w:rsidRPr="001A00B0">
              <w:rPr>
                <w:sz w:val="16"/>
                <w:szCs w:val="16"/>
              </w:rPr>
              <w:t>420,236</w:t>
            </w:r>
          </w:p>
        </w:tc>
        <w:tc>
          <w:tcPr>
            <w:tcW w:w="375" w:type="pct"/>
            <w:gridSpan w:val="3"/>
            <w:shd w:val="clear" w:color="auto" w:fill="FFFFFF" w:themeFill="background1"/>
          </w:tcPr>
          <w:p w14:paraId="3BA4FD74" w14:textId="7B3E5759" w:rsidR="0035509B" w:rsidRPr="006148BE" w:rsidRDefault="0035509B" w:rsidP="0035509B">
            <w:pPr>
              <w:rPr>
                <w:color w:val="000000"/>
                <w:sz w:val="16"/>
                <w:szCs w:val="16"/>
              </w:rPr>
            </w:pPr>
            <w:r w:rsidRPr="001A00B0">
              <w:rPr>
                <w:sz w:val="16"/>
                <w:szCs w:val="16"/>
              </w:rPr>
              <w:t>437,681</w:t>
            </w:r>
          </w:p>
        </w:tc>
        <w:tc>
          <w:tcPr>
            <w:tcW w:w="373" w:type="pct"/>
            <w:gridSpan w:val="4"/>
            <w:shd w:val="clear" w:color="auto" w:fill="FFFFFF" w:themeFill="background1"/>
          </w:tcPr>
          <w:p w14:paraId="439C3098" w14:textId="21A9FDE6" w:rsidR="0035509B" w:rsidRPr="006148BE" w:rsidRDefault="0035509B" w:rsidP="0035509B">
            <w:pPr>
              <w:rPr>
                <w:color w:val="000000"/>
                <w:sz w:val="16"/>
                <w:szCs w:val="16"/>
              </w:rPr>
            </w:pPr>
            <w:r w:rsidRPr="001A00B0">
              <w:rPr>
                <w:sz w:val="16"/>
                <w:szCs w:val="16"/>
              </w:rPr>
              <w:t>479,161</w:t>
            </w:r>
          </w:p>
        </w:tc>
        <w:tc>
          <w:tcPr>
            <w:tcW w:w="376" w:type="pct"/>
            <w:gridSpan w:val="2"/>
            <w:shd w:val="clear" w:color="auto" w:fill="FFFFFF" w:themeFill="background1"/>
          </w:tcPr>
          <w:p w14:paraId="5A010ECF" w14:textId="117E311B" w:rsidR="0035509B" w:rsidRPr="006148BE" w:rsidRDefault="0035509B" w:rsidP="0035509B">
            <w:pPr>
              <w:rPr>
                <w:color w:val="000000"/>
                <w:sz w:val="16"/>
                <w:szCs w:val="16"/>
              </w:rPr>
            </w:pPr>
            <w:r w:rsidRPr="001A00B0">
              <w:rPr>
                <w:sz w:val="16"/>
                <w:szCs w:val="16"/>
              </w:rPr>
              <w:t>527,836</w:t>
            </w:r>
          </w:p>
        </w:tc>
        <w:tc>
          <w:tcPr>
            <w:tcW w:w="379" w:type="pct"/>
            <w:shd w:val="clear" w:color="auto" w:fill="FFFFFF" w:themeFill="background1"/>
          </w:tcPr>
          <w:p w14:paraId="75A201FF" w14:textId="312E9667" w:rsidR="0035509B" w:rsidRPr="006148BE" w:rsidRDefault="0035509B" w:rsidP="0035509B">
            <w:pPr>
              <w:rPr>
                <w:color w:val="000000"/>
                <w:sz w:val="16"/>
                <w:szCs w:val="16"/>
              </w:rPr>
            </w:pPr>
            <w:r w:rsidRPr="001A00B0">
              <w:rPr>
                <w:sz w:val="16"/>
                <w:szCs w:val="16"/>
              </w:rPr>
              <w:t>587,999</w:t>
            </w:r>
          </w:p>
        </w:tc>
        <w:tc>
          <w:tcPr>
            <w:tcW w:w="440" w:type="pct"/>
            <w:gridSpan w:val="2"/>
            <w:shd w:val="clear" w:color="auto" w:fill="FFFFFF" w:themeFill="background1"/>
          </w:tcPr>
          <w:p w14:paraId="63339BEE" w14:textId="634CACBB" w:rsidR="0035509B" w:rsidRPr="006148BE" w:rsidRDefault="0035509B" w:rsidP="0035509B">
            <w:pPr>
              <w:rPr>
                <w:sz w:val="16"/>
                <w:szCs w:val="16"/>
              </w:rPr>
            </w:pPr>
            <w:r w:rsidRPr="006148BE">
              <w:rPr>
                <w:sz w:val="16"/>
                <w:szCs w:val="16"/>
              </w:rPr>
              <w:t>4085,660</w:t>
            </w:r>
          </w:p>
        </w:tc>
      </w:tr>
      <w:tr w:rsidR="00D54FC8" w:rsidRPr="00875DBE" w14:paraId="5AAFB420" w14:textId="77777777" w:rsidTr="00FF2F5D">
        <w:trPr>
          <w:trHeight w:val="351"/>
        </w:trPr>
        <w:tc>
          <w:tcPr>
            <w:tcW w:w="515" w:type="pct"/>
            <w:shd w:val="clear" w:color="auto" w:fill="FFFFFF" w:themeFill="background1"/>
            <w:vAlign w:val="center"/>
          </w:tcPr>
          <w:p w14:paraId="5399E7BE" w14:textId="77777777" w:rsidR="0035509B" w:rsidRPr="006148BE" w:rsidRDefault="0035509B" w:rsidP="006148BE">
            <w:pPr>
              <w:ind w:left="-30"/>
              <w:rPr>
                <w:color w:val="000000"/>
                <w:sz w:val="16"/>
                <w:szCs w:val="16"/>
              </w:rPr>
            </w:pPr>
            <w:r w:rsidRPr="006148BE">
              <w:rPr>
                <w:color w:val="000000"/>
                <w:sz w:val="16"/>
                <w:szCs w:val="16"/>
              </w:rPr>
              <w:t>JST</w:t>
            </w:r>
          </w:p>
        </w:tc>
        <w:tc>
          <w:tcPr>
            <w:tcW w:w="209" w:type="pct"/>
            <w:gridSpan w:val="2"/>
            <w:shd w:val="clear" w:color="auto" w:fill="FFFFFF" w:themeFill="background1"/>
          </w:tcPr>
          <w:p w14:paraId="525C5697" w14:textId="57B73F7E"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3B72AE48" w14:textId="1A37E5DA" w:rsidR="0035509B" w:rsidRPr="006148BE" w:rsidRDefault="0035509B" w:rsidP="0035509B">
            <w:pPr>
              <w:rPr>
                <w:color w:val="000000"/>
                <w:sz w:val="16"/>
                <w:szCs w:val="16"/>
              </w:rPr>
            </w:pPr>
            <w:r w:rsidRPr="001A00B0">
              <w:rPr>
                <w:sz w:val="16"/>
                <w:szCs w:val="16"/>
              </w:rPr>
              <w:t>0</w:t>
            </w:r>
          </w:p>
        </w:tc>
        <w:tc>
          <w:tcPr>
            <w:tcW w:w="373" w:type="pct"/>
            <w:gridSpan w:val="2"/>
            <w:shd w:val="clear" w:color="auto" w:fill="FFFFFF" w:themeFill="background1"/>
          </w:tcPr>
          <w:p w14:paraId="3994C850" w14:textId="6D79894D" w:rsidR="0035509B" w:rsidRPr="006148BE" w:rsidRDefault="0035509B" w:rsidP="0035509B">
            <w:pPr>
              <w:rPr>
                <w:color w:val="000000"/>
                <w:sz w:val="16"/>
                <w:szCs w:val="16"/>
              </w:rPr>
            </w:pPr>
            <w:r w:rsidRPr="001A00B0">
              <w:rPr>
                <w:sz w:val="16"/>
                <w:szCs w:val="16"/>
              </w:rPr>
              <w:t>0</w:t>
            </w:r>
          </w:p>
        </w:tc>
        <w:tc>
          <w:tcPr>
            <w:tcW w:w="375" w:type="pct"/>
            <w:gridSpan w:val="2"/>
            <w:shd w:val="clear" w:color="auto" w:fill="FFFFFF" w:themeFill="background1"/>
          </w:tcPr>
          <w:p w14:paraId="1BD57BD5" w14:textId="6A953626" w:rsidR="0035509B" w:rsidRPr="006148BE" w:rsidRDefault="0035509B" w:rsidP="0035509B">
            <w:pPr>
              <w:rPr>
                <w:color w:val="000000"/>
                <w:sz w:val="16"/>
                <w:szCs w:val="16"/>
              </w:rPr>
            </w:pPr>
            <w:r w:rsidRPr="001A00B0">
              <w:rPr>
                <w:sz w:val="16"/>
                <w:szCs w:val="16"/>
              </w:rPr>
              <w:t>0</w:t>
            </w:r>
          </w:p>
        </w:tc>
        <w:tc>
          <w:tcPr>
            <w:tcW w:w="375" w:type="pct"/>
            <w:gridSpan w:val="2"/>
            <w:shd w:val="clear" w:color="auto" w:fill="FFFFFF" w:themeFill="background1"/>
          </w:tcPr>
          <w:p w14:paraId="67FC5AE4" w14:textId="794B2E49" w:rsidR="0035509B" w:rsidRPr="006148BE" w:rsidRDefault="0035509B" w:rsidP="0035509B">
            <w:pPr>
              <w:rPr>
                <w:color w:val="000000"/>
                <w:sz w:val="16"/>
                <w:szCs w:val="16"/>
              </w:rPr>
            </w:pPr>
            <w:r w:rsidRPr="001A00B0">
              <w:rPr>
                <w:sz w:val="16"/>
                <w:szCs w:val="16"/>
              </w:rPr>
              <w:t>0</w:t>
            </w:r>
          </w:p>
        </w:tc>
        <w:tc>
          <w:tcPr>
            <w:tcW w:w="373" w:type="pct"/>
            <w:gridSpan w:val="3"/>
            <w:shd w:val="clear" w:color="auto" w:fill="FFFFFF" w:themeFill="background1"/>
          </w:tcPr>
          <w:p w14:paraId="5737C5BA" w14:textId="543BA898" w:rsidR="0035509B" w:rsidRPr="006148BE" w:rsidRDefault="0035509B" w:rsidP="0035509B">
            <w:pPr>
              <w:rPr>
                <w:color w:val="000000"/>
                <w:sz w:val="16"/>
                <w:szCs w:val="16"/>
              </w:rPr>
            </w:pPr>
            <w:r w:rsidRPr="001A00B0">
              <w:rPr>
                <w:sz w:val="16"/>
                <w:szCs w:val="16"/>
              </w:rPr>
              <w:t>0</w:t>
            </w:r>
          </w:p>
        </w:tc>
        <w:tc>
          <w:tcPr>
            <w:tcW w:w="377" w:type="pct"/>
            <w:gridSpan w:val="2"/>
            <w:shd w:val="clear" w:color="auto" w:fill="FFFFFF" w:themeFill="background1"/>
          </w:tcPr>
          <w:p w14:paraId="11A955CD" w14:textId="0FBFB5A6" w:rsidR="0035509B" w:rsidRPr="006148BE" w:rsidRDefault="0035509B" w:rsidP="0035509B">
            <w:pPr>
              <w:rPr>
                <w:color w:val="000000"/>
                <w:sz w:val="16"/>
                <w:szCs w:val="16"/>
              </w:rPr>
            </w:pPr>
            <w:r w:rsidRPr="001A00B0">
              <w:rPr>
                <w:sz w:val="16"/>
                <w:szCs w:val="16"/>
              </w:rPr>
              <w:t>0</w:t>
            </w:r>
          </w:p>
        </w:tc>
        <w:tc>
          <w:tcPr>
            <w:tcW w:w="375" w:type="pct"/>
            <w:gridSpan w:val="3"/>
            <w:shd w:val="clear" w:color="auto" w:fill="FFFFFF" w:themeFill="background1"/>
          </w:tcPr>
          <w:p w14:paraId="284D5C29" w14:textId="48A86065" w:rsidR="0035509B" w:rsidRPr="006148BE" w:rsidRDefault="0035509B" w:rsidP="0035509B">
            <w:pPr>
              <w:rPr>
                <w:color w:val="000000"/>
                <w:sz w:val="16"/>
                <w:szCs w:val="16"/>
              </w:rPr>
            </w:pPr>
            <w:r w:rsidRPr="001A00B0">
              <w:rPr>
                <w:sz w:val="16"/>
                <w:szCs w:val="16"/>
              </w:rPr>
              <w:t>0</w:t>
            </w:r>
          </w:p>
        </w:tc>
        <w:tc>
          <w:tcPr>
            <w:tcW w:w="373" w:type="pct"/>
            <w:gridSpan w:val="4"/>
            <w:shd w:val="clear" w:color="auto" w:fill="FFFFFF" w:themeFill="background1"/>
          </w:tcPr>
          <w:p w14:paraId="3AD55DB2" w14:textId="7E86DA47" w:rsidR="0035509B" w:rsidRPr="006148BE" w:rsidRDefault="0035509B" w:rsidP="0035509B">
            <w:pPr>
              <w:rPr>
                <w:color w:val="000000"/>
                <w:sz w:val="16"/>
                <w:szCs w:val="16"/>
              </w:rPr>
            </w:pPr>
            <w:r w:rsidRPr="001A00B0">
              <w:rPr>
                <w:sz w:val="16"/>
                <w:szCs w:val="16"/>
              </w:rPr>
              <w:t>0</w:t>
            </w:r>
          </w:p>
        </w:tc>
        <w:tc>
          <w:tcPr>
            <w:tcW w:w="376" w:type="pct"/>
            <w:gridSpan w:val="2"/>
            <w:shd w:val="clear" w:color="auto" w:fill="FFFFFF" w:themeFill="background1"/>
          </w:tcPr>
          <w:p w14:paraId="26785679" w14:textId="1670E2F6" w:rsidR="0035509B" w:rsidRPr="006148BE" w:rsidRDefault="0035509B" w:rsidP="0035509B">
            <w:pPr>
              <w:rPr>
                <w:color w:val="000000"/>
                <w:sz w:val="16"/>
                <w:szCs w:val="16"/>
              </w:rPr>
            </w:pPr>
            <w:r w:rsidRPr="001A00B0">
              <w:rPr>
                <w:sz w:val="16"/>
                <w:szCs w:val="16"/>
              </w:rPr>
              <w:t>0</w:t>
            </w:r>
          </w:p>
        </w:tc>
        <w:tc>
          <w:tcPr>
            <w:tcW w:w="379" w:type="pct"/>
            <w:shd w:val="clear" w:color="auto" w:fill="FFFFFF" w:themeFill="background1"/>
          </w:tcPr>
          <w:p w14:paraId="719A2D81" w14:textId="6C40642C" w:rsidR="0035509B" w:rsidRPr="006148BE" w:rsidRDefault="0035509B" w:rsidP="0035509B">
            <w:pPr>
              <w:rPr>
                <w:color w:val="000000"/>
                <w:sz w:val="16"/>
                <w:szCs w:val="16"/>
              </w:rPr>
            </w:pPr>
            <w:r w:rsidRPr="001A00B0">
              <w:rPr>
                <w:sz w:val="16"/>
                <w:szCs w:val="16"/>
              </w:rPr>
              <w:t>0</w:t>
            </w:r>
          </w:p>
        </w:tc>
        <w:tc>
          <w:tcPr>
            <w:tcW w:w="440" w:type="pct"/>
            <w:gridSpan w:val="2"/>
            <w:shd w:val="clear" w:color="auto" w:fill="FFFFFF" w:themeFill="background1"/>
          </w:tcPr>
          <w:p w14:paraId="42D0ADFE" w14:textId="164E0E56" w:rsidR="0035509B" w:rsidRPr="006148BE" w:rsidRDefault="0035509B" w:rsidP="0035509B">
            <w:pPr>
              <w:rPr>
                <w:sz w:val="16"/>
                <w:szCs w:val="16"/>
              </w:rPr>
            </w:pPr>
            <w:r w:rsidRPr="006148BE">
              <w:rPr>
                <w:sz w:val="16"/>
                <w:szCs w:val="16"/>
              </w:rPr>
              <w:t>0</w:t>
            </w:r>
          </w:p>
        </w:tc>
      </w:tr>
      <w:tr w:rsidR="00D54FC8" w:rsidRPr="00875DBE" w14:paraId="442104F7" w14:textId="77777777" w:rsidTr="00FF2F5D">
        <w:trPr>
          <w:trHeight w:val="351"/>
        </w:trPr>
        <w:tc>
          <w:tcPr>
            <w:tcW w:w="515" w:type="pct"/>
            <w:shd w:val="clear" w:color="auto" w:fill="FFFFFF" w:themeFill="background1"/>
          </w:tcPr>
          <w:p w14:paraId="219E1B13" w14:textId="0F8B6E6F" w:rsidR="0035509B" w:rsidRPr="006148BE" w:rsidRDefault="0035509B" w:rsidP="006148BE">
            <w:pPr>
              <w:ind w:left="-30"/>
              <w:rPr>
                <w:color w:val="000000"/>
                <w:sz w:val="16"/>
                <w:szCs w:val="16"/>
              </w:rPr>
            </w:pPr>
            <w:r w:rsidRPr="006148BE">
              <w:rPr>
                <w:sz w:val="16"/>
                <w:szCs w:val="16"/>
              </w:rPr>
              <w:t>Fundusz Pracy</w:t>
            </w:r>
          </w:p>
        </w:tc>
        <w:tc>
          <w:tcPr>
            <w:tcW w:w="209" w:type="pct"/>
            <w:gridSpan w:val="2"/>
            <w:tcBorders>
              <w:bottom w:val="single" w:sz="4" w:space="0" w:color="auto"/>
            </w:tcBorders>
            <w:shd w:val="clear" w:color="auto" w:fill="FFFFFF" w:themeFill="background1"/>
          </w:tcPr>
          <w:p w14:paraId="49816D83" w14:textId="2C0BA356" w:rsidR="0035509B" w:rsidRPr="006148BE" w:rsidRDefault="0035509B" w:rsidP="0035509B">
            <w:pPr>
              <w:rPr>
                <w:color w:val="000000"/>
                <w:sz w:val="16"/>
                <w:szCs w:val="16"/>
              </w:rPr>
            </w:pPr>
            <w:r w:rsidRPr="006148BE">
              <w:rPr>
                <w:sz w:val="16"/>
                <w:szCs w:val="16"/>
              </w:rPr>
              <w:t>0</w:t>
            </w:r>
          </w:p>
        </w:tc>
        <w:tc>
          <w:tcPr>
            <w:tcW w:w="460" w:type="pct"/>
            <w:gridSpan w:val="2"/>
            <w:tcBorders>
              <w:bottom w:val="single" w:sz="4" w:space="0" w:color="auto"/>
            </w:tcBorders>
            <w:shd w:val="clear" w:color="auto" w:fill="FFFFFF" w:themeFill="background1"/>
          </w:tcPr>
          <w:p w14:paraId="05530A9E" w14:textId="7D4FD4A8" w:rsidR="0035509B" w:rsidRPr="006148BE" w:rsidRDefault="0035509B" w:rsidP="0035509B">
            <w:pPr>
              <w:rPr>
                <w:color w:val="000000"/>
                <w:sz w:val="16"/>
                <w:szCs w:val="16"/>
              </w:rPr>
            </w:pPr>
            <w:r w:rsidRPr="001A00B0">
              <w:rPr>
                <w:sz w:val="16"/>
                <w:szCs w:val="16"/>
              </w:rPr>
              <w:t>0</w:t>
            </w:r>
          </w:p>
        </w:tc>
        <w:tc>
          <w:tcPr>
            <w:tcW w:w="373" w:type="pct"/>
            <w:gridSpan w:val="2"/>
            <w:tcBorders>
              <w:bottom w:val="single" w:sz="4" w:space="0" w:color="auto"/>
            </w:tcBorders>
            <w:shd w:val="clear" w:color="auto" w:fill="FFFFFF" w:themeFill="background1"/>
          </w:tcPr>
          <w:p w14:paraId="5DCB0293" w14:textId="7A9E27CA" w:rsidR="0035509B" w:rsidRPr="006148BE" w:rsidRDefault="0035509B" w:rsidP="0035509B">
            <w:pPr>
              <w:rPr>
                <w:color w:val="000000"/>
                <w:sz w:val="16"/>
                <w:szCs w:val="16"/>
              </w:rPr>
            </w:pPr>
            <w:r w:rsidRPr="001A00B0">
              <w:rPr>
                <w:sz w:val="16"/>
                <w:szCs w:val="16"/>
              </w:rPr>
              <w:t>0</w:t>
            </w:r>
          </w:p>
        </w:tc>
        <w:tc>
          <w:tcPr>
            <w:tcW w:w="375" w:type="pct"/>
            <w:gridSpan w:val="2"/>
            <w:tcBorders>
              <w:bottom w:val="single" w:sz="4" w:space="0" w:color="auto"/>
            </w:tcBorders>
            <w:shd w:val="clear" w:color="auto" w:fill="FFFFFF" w:themeFill="background1"/>
          </w:tcPr>
          <w:p w14:paraId="502E9D90" w14:textId="20696CD7" w:rsidR="0035509B" w:rsidRPr="006148BE" w:rsidRDefault="0035509B" w:rsidP="0035509B">
            <w:pPr>
              <w:rPr>
                <w:color w:val="000000"/>
                <w:sz w:val="16"/>
                <w:szCs w:val="16"/>
              </w:rPr>
            </w:pPr>
            <w:r w:rsidRPr="001A00B0">
              <w:rPr>
                <w:sz w:val="16"/>
                <w:szCs w:val="16"/>
              </w:rPr>
              <w:t>0</w:t>
            </w:r>
          </w:p>
        </w:tc>
        <w:tc>
          <w:tcPr>
            <w:tcW w:w="375" w:type="pct"/>
            <w:gridSpan w:val="2"/>
            <w:tcBorders>
              <w:bottom w:val="single" w:sz="4" w:space="0" w:color="auto"/>
            </w:tcBorders>
            <w:shd w:val="clear" w:color="auto" w:fill="FFFFFF" w:themeFill="background1"/>
          </w:tcPr>
          <w:p w14:paraId="275F8730" w14:textId="078142B6" w:rsidR="0035509B" w:rsidRPr="006148BE" w:rsidRDefault="0035509B" w:rsidP="0035509B">
            <w:pPr>
              <w:rPr>
                <w:color w:val="000000"/>
                <w:sz w:val="16"/>
                <w:szCs w:val="16"/>
              </w:rPr>
            </w:pPr>
            <w:r w:rsidRPr="001A00B0">
              <w:rPr>
                <w:sz w:val="16"/>
                <w:szCs w:val="16"/>
              </w:rPr>
              <w:t>0</w:t>
            </w:r>
          </w:p>
        </w:tc>
        <w:tc>
          <w:tcPr>
            <w:tcW w:w="373" w:type="pct"/>
            <w:gridSpan w:val="3"/>
            <w:tcBorders>
              <w:bottom w:val="single" w:sz="4" w:space="0" w:color="auto"/>
            </w:tcBorders>
            <w:shd w:val="clear" w:color="auto" w:fill="FFFFFF" w:themeFill="background1"/>
          </w:tcPr>
          <w:p w14:paraId="16D2092B" w14:textId="04E8E1FD" w:rsidR="0035509B" w:rsidRPr="006148BE" w:rsidRDefault="0035509B" w:rsidP="0035509B">
            <w:pPr>
              <w:rPr>
                <w:color w:val="000000"/>
                <w:sz w:val="16"/>
                <w:szCs w:val="16"/>
              </w:rPr>
            </w:pPr>
            <w:r w:rsidRPr="001A00B0">
              <w:rPr>
                <w:sz w:val="16"/>
                <w:szCs w:val="16"/>
              </w:rPr>
              <w:t>0</w:t>
            </w:r>
          </w:p>
        </w:tc>
        <w:tc>
          <w:tcPr>
            <w:tcW w:w="377" w:type="pct"/>
            <w:gridSpan w:val="2"/>
            <w:tcBorders>
              <w:bottom w:val="single" w:sz="4" w:space="0" w:color="auto"/>
            </w:tcBorders>
            <w:shd w:val="clear" w:color="auto" w:fill="FFFFFF" w:themeFill="background1"/>
          </w:tcPr>
          <w:p w14:paraId="12B66A1A" w14:textId="75325E47" w:rsidR="0035509B" w:rsidRPr="006148BE" w:rsidRDefault="0035509B" w:rsidP="0035509B">
            <w:pPr>
              <w:rPr>
                <w:color w:val="000000"/>
                <w:sz w:val="16"/>
                <w:szCs w:val="16"/>
              </w:rPr>
            </w:pPr>
            <w:r w:rsidRPr="001A00B0">
              <w:rPr>
                <w:sz w:val="16"/>
                <w:szCs w:val="16"/>
              </w:rPr>
              <w:t>0</w:t>
            </w:r>
          </w:p>
        </w:tc>
        <w:tc>
          <w:tcPr>
            <w:tcW w:w="375" w:type="pct"/>
            <w:gridSpan w:val="3"/>
            <w:tcBorders>
              <w:bottom w:val="single" w:sz="4" w:space="0" w:color="auto"/>
            </w:tcBorders>
            <w:shd w:val="clear" w:color="auto" w:fill="FFFFFF" w:themeFill="background1"/>
          </w:tcPr>
          <w:p w14:paraId="7B1112C0" w14:textId="2857D2EA" w:rsidR="0035509B" w:rsidRPr="006148BE" w:rsidRDefault="0035509B" w:rsidP="0035509B">
            <w:pPr>
              <w:rPr>
                <w:color w:val="000000"/>
                <w:sz w:val="16"/>
                <w:szCs w:val="16"/>
              </w:rPr>
            </w:pPr>
            <w:r w:rsidRPr="001A00B0">
              <w:rPr>
                <w:sz w:val="16"/>
                <w:szCs w:val="16"/>
              </w:rPr>
              <w:t>0</w:t>
            </w:r>
          </w:p>
        </w:tc>
        <w:tc>
          <w:tcPr>
            <w:tcW w:w="373" w:type="pct"/>
            <w:gridSpan w:val="4"/>
            <w:tcBorders>
              <w:bottom w:val="single" w:sz="4" w:space="0" w:color="auto"/>
            </w:tcBorders>
            <w:shd w:val="clear" w:color="auto" w:fill="FFFFFF" w:themeFill="background1"/>
          </w:tcPr>
          <w:p w14:paraId="59094F80" w14:textId="4C431E11" w:rsidR="0035509B" w:rsidRPr="006148BE" w:rsidRDefault="0035509B" w:rsidP="0035509B">
            <w:pPr>
              <w:rPr>
                <w:color w:val="000000"/>
                <w:sz w:val="16"/>
                <w:szCs w:val="16"/>
              </w:rPr>
            </w:pPr>
            <w:r w:rsidRPr="001A00B0">
              <w:rPr>
                <w:sz w:val="16"/>
                <w:szCs w:val="16"/>
              </w:rPr>
              <w:t>0</w:t>
            </w:r>
          </w:p>
        </w:tc>
        <w:tc>
          <w:tcPr>
            <w:tcW w:w="376" w:type="pct"/>
            <w:gridSpan w:val="2"/>
            <w:tcBorders>
              <w:bottom w:val="single" w:sz="4" w:space="0" w:color="auto"/>
            </w:tcBorders>
            <w:shd w:val="clear" w:color="auto" w:fill="FFFFFF" w:themeFill="background1"/>
          </w:tcPr>
          <w:p w14:paraId="553BD62A" w14:textId="45E561D2" w:rsidR="0035509B" w:rsidRPr="006148BE" w:rsidRDefault="0035509B" w:rsidP="0035509B">
            <w:pPr>
              <w:rPr>
                <w:color w:val="000000"/>
                <w:sz w:val="16"/>
                <w:szCs w:val="16"/>
              </w:rPr>
            </w:pPr>
            <w:r w:rsidRPr="001A00B0">
              <w:rPr>
                <w:sz w:val="16"/>
                <w:szCs w:val="16"/>
              </w:rPr>
              <w:t>0</w:t>
            </w:r>
          </w:p>
        </w:tc>
        <w:tc>
          <w:tcPr>
            <w:tcW w:w="379" w:type="pct"/>
            <w:tcBorders>
              <w:bottom w:val="single" w:sz="4" w:space="0" w:color="auto"/>
            </w:tcBorders>
            <w:shd w:val="clear" w:color="auto" w:fill="FFFFFF" w:themeFill="background1"/>
          </w:tcPr>
          <w:p w14:paraId="7393DBFA" w14:textId="25028E33" w:rsidR="0035509B" w:rsidRPr="006148BE" w:rsidRDefault="0035509B" w:rsidP="0035509B">
            <w:pPr>
              <w:rPr>
                <w:color w:val="000000"/>
                <w:sz w:val="16"/>
                <w:szCs w:val="16"/>
              </w:rPr>
            </w:pPr>
            <w:r w:rsidRPr="001A00B0">
              <w:rPr>
                <w:sz w:val="16"/>
                <w:szCs w:val="16"/>
              </w:rPr>
              <w:t>0</w:t>
            </w:r>
          </w:p>
        </w:tc>
        <w:tc>
          <w:tcPr>
            <w:tcW w:w="440" w:type="pct"/>
            <w:gridSpan w:val="2"/>
            <w:tcBorders>
              <w:bottom w:val="single" w:sz="4" w:space="0" w:color="auto"/>
            </w:tcBorders>
            <w:shd w:val="clear" w:color="auto" w:fill="FFFFFF" w:themeFill="background1"/>
          </w:tcPr>
          <w:p w14:paraId="0A6AF40B" w14:textId="4B88AA05" w:rsidR="0035509B" w:rsidRPr="006148BE" w:rsidRDefault="0035509B" w:rsidP="0035509B">
            <w:pPr>
              <w:rPr>
                <w:sz w:val="16"/>
                <w:szCs w:val="16"/>
              </w:rPr>
            </w:pPr>
            <w:r w:rsidRPr="006148BE">
              <w:rPr>
                <w:sz w:val="16"/>
                <w:szCs w:val="16"/>
              </w:rPr>
              <w:t>0</w:t>
            </w:r>
          </w:p>
        </w:tc>
      </w:tr>
      <w:tr w:rsidR="00D54FC8" w:rsidRPr="00875DBE" w14:paraId="00776523" w14:textId="77777777" w:rsidTr="00FF2F5D">
        <w:trPr>
          <w:trHeight w:val="351"/>
        </w:trPr>
        <w:tc>
          <w:tcPr>
            <w:tcW w:w="515" w:type="pct"/>
            <w:shd w:val="clear" w:color="auto" w:fill="FFFFFF" w:themeFill="background1"/>
          </w:tcPr>
          <w:p w14:paraId="09483A7C" w14:textId="1EB4FA1D" w:rsidR="0035509B" w:rsidRPr="006148BE" w:rsidDel="00F63D09" w:rsidRDefault="0035509B" w:rsidP="006148BE">
            <w:pPr>
              <w:ind w:left="-30"/>
              <w:rPr>
                <w:color w:val="000000"/>
                <w:sz w:val="16"/>
                <w:szCs w:val="16"/>
              </w:rPr>
            </w:pPr>
            <w:r w:rsidRPr="006148BE">
              <w:rPr>
                <w:sz w:val="16"/>
                <w:szCs w:val="16"/>
              </w:rPr>
              <w:t>Fundusz Solidarnościowy</w:t>
            </w:r>
          </w:p>
        </w:tc>
        <w:tc>
          <w:tcPr>
            <w:tcW w:w="209" w:type="pct"/>
            <w:gridSpan w:val="2"/>
            <w:tcBorders>
              <w:bottom w:val="single" w:sz="4" w:space="0" w:color="auto"/>
            </w:tcBorders>
            <w:shd w:val="clear" w:color="auto" w:fill="FFFFFF" w:themeFill="background1"/>
          </w:tcPr>
          <w:p w14:paraId="32F858CD" w14:textId="5585D68F" w:rsidR="0035509B" w:rsidRPr="006148BE" w:rsidRDefault="0035509B" w:rsidP="0035509B">
            <w:pPr>
              <w:rPr>
                <w:color w:val="000000"/>
                <w:sz w:val="16"/>
                <w:szCs w:val="16"/>
              </w:rPr>
            </w:pPr>
            <w:r w:rsidRPr="006148BE">
              <w:rPr>
                <w:sz w:val="16"/>
                <w:szCs w:val="16"/>
              </w:rPr>
              <w:t>0</w:t>
            </w:r>
          </w:p>
        </w:tc>
        <w:tc>
          <w:tcPr>
            <w:tcW w:w="460" w:type="pct"/>
            <w:gridSpan w:val="2"/>
            <w:tcBorders>
              <w:bottom w:val="single" w:sz="4" w:space="0" w:color="auto"/>
            </w:tcBorders>
            <w:shd w:val="clear" w:color="auto" w:fill="FFFFFF" w:themeFill="background1"/>
          </w:tcPr>
          <w:p w14:paraId="7C737B53" w14:textId="6E1602AE" w:rsidR="0035509B" w:rsidRPr="006148BE" w:rsidRDefault="0035509B" w:rsidP="0035509B">
            <w:pPr>
              <w:rPr>
                <w:color w:val="000000"/>
                <w:sz w:val="16"/>
                <w:szCs w:val="16"/>
              </w:rPr>
            </w:pPr>
            <w:r w:rsidRPr="001A00B0">
              <w:rPr>
                <w:sz w:val="16"/>
                <w:szCs w:val="16"/>
              </w:rPr>
              <w:t>0</w:t>
            </w:r>
          </w:p>
        </w:tc>
        <w:tc>
          <w:tcPr>
            <w:tcW w:w="373" w:type="pct"/>
            <w:gridSpan w:val="2"/>
            <w:tcBorders>
              <w:bottom w:val="single" w:sz="4" w:space="0" w:color="auto"/>
            </w:tcBorders>
            <w:shd w:val="clear" w:color="auto" w:fill="FFFFFF" w:themeFill="background1"/>
          </w:tcPr>
          <w:p w14:paraId="754F0A99" w14:textId="5D71CA57" w:rsidR="0035509B" w:rsidRPr="006148BE" w:rsidRDefault="0035509B" w:rsidP="0035509B">
            <w:pPr>
              <w:rPr>
                <w:color w:val="000000"/>
                <w:sz w:val="16"/>
                <w:szCs w:val="16"/>
              </w:rPr>
            </w:pPr>
            <w:r w:rsidRPr="001A00B0">
              <w:rPr>
                <w:sz w:val="16"/>
                <w:szCs w:val="16"/>
              </w:rPr>
              <w:t>0</w:t>
            </w:r>
          </w:p>
        </w:tc>
        <w:tc>
          <w:tcPr>
            <w:tcW w:w="375" w:type="pct"/>
            <w:gridSpan w:val="2"/>
            <w:tcBorders>
              <w:bottom w:val="single" w:sz="4" w:space="0" w:color="auto"/>
            </w:tcBorders>
            <w:shd w:val="clear" w:color="auto" w:fill="FFFFFF" w:themeFill="background1"/>
          </w:tcPr>
          <w:p w14:paraId="74567BB3" w14:textId="716C52A1" w:rsidR="0035509B" w:rsidRPr="006148BE" w:rsidRDefault="0035509B" w:rsidP="0035509B">
            <w:pPr>
              <w:rPr>
                <w:color w:val="000000"/>
                <w:sz w:val="16"/>
                <w:szCs w:val="16"/>
              </w:rPr>
            </w:pPr>
            <w:r w:rsidRPr="001A00B0">
              <w:rPr>
                <w:sz w:val="16"/>
                <w:szCs w:val="16"/>
              </w:rPr>
              <w:t>0</w:t>
            </w:r>
          </w:p>
        </w:tc>
        <w:tc>
          <w:tcPr>
            <w:tcW w:w="375" w:type="pct"/>
            <w:gridSpan w:val="2"/>
            <w:tcBorders>
              <w:bottom w:val="single" w:sz="4" w:space="0" w:color="auto"/>
            </w:tcBorders>
            <w:shd w:val="clear" w:color="auto" w:fill="FFFFFF" w:themeFill="background1"/>
          </w:tcPr>
          <w:p w14:paraId="34D4866D" w14:textId="63AAE153" w:rsidR="0035509B" w:rsidRPr="006148BE" w:rsidRDefault="0035509B" w:rsidP="0035509B">
            <w:pPr>
              <w:rPr>
                <w:color w:val="000000"/>
                <w:sz w:val="16"/>
                <w:szCs w:val="16"/>
              </w:rPr>
            </w:pPr>
            <w:r w:rsidRPr="001A00B0">
              <w:rPr>
                <w:sz w:val="16"/>
                <w:szCs w:val="16"/>
              </w:rPr>
              <w:t>0</w:t>
            </w:r>
          </w:p>
        </w:tc>
        <w:tc>
          <w:tcPr>
            <w:tcW w:w="373" w:type="pct"/>
            <w:gridSpan w:val="3"/>
            <w:tcBorders>
              <w:bottom w:val="single" w:sz="4" w:space="0" w:color="auto"/>
            </w:tcBorders>
            <w:shd w:val="clear" w:color="auto" w:fill="FFFFFF" w:themeFill="background1"/>
          </w:tcPr>
          <w:p w14:paraId="5835DBF0" w14:textId="2D930A4A" w:rsidR="0035509B" w:rsidRPr="006148BE" w:rsidRDefault="0035509B" w:rsidP="0035509B">
            <w:pPr>
              <w:rPr>
                <w:color w:val="000000"/>
                <w:sz w:val="16"/>
                <w:szCs w:val="16"/>
              </w:rPr>
            </w:pPr>
            <w:r w:rsidRPr="001A00B0">
              <w:rPr>
                <w:sz w:val="16"/>
                <w:szCs w:val="16"/>
              </w:rPr>
              <w:t>0</w:t>
            </w:r>
          </w:p>
        </w:tc>
        <w:tc>
          <w:tcPr>
            <w:tcW w:w="377" w:type="pct"/>
            <w:gridSpan w:val="2"/>
            <w:tcBorders>
              <w:bottom w:val="single" w:sz="4" w:space="0" w:color="auto"/>
            </w:tcBorders>
            <w:shd w:val="clear" w:color="auto" w:fill="FFFFFF" w:themeFill="background1"/>
          </w:tcPr>
          <w:p w14:paraId="254365F3" w14:textId="7CFE8A40" w:rsidR="0035509B" w:rsidRPr="006148BE" w:rsidRDefault="0035509B" w:rsidP="0035509B">
            <w:pPr>
              <w:rPr>
                <w:color w:val="000000"/>
                <w:sz w:val="16"/>
                <w:szCs w:val="16"/>
              </w:rPr>
            </w:pPr>
            <w:r w:rsidRPr="001A00B0">
              <w:rPr>
                <w:sz w:val="16"/>
                <w:szCs w:val="16"/>
              </w:rPr>
              <w:t>0</w:t>
            </w:r>
          </w:p>
        </w:tc>
        <w:tc>
          <w:tcPr>
            <w:tcW w:w="375" w:type="pct"/>
            <w:gridSpan w:val="3"/>
            <w:tcBorders>
              <w:bottom w:val="single" w:sz="4" w:space="0" w:color="auto"/>
            </w:tcBorders>
            <w:shd w:val="clear" w:color="auto" w:fill="FFFFFF" w:themeFill="background1"/>
          </w:tcPr>
          <w:p w14:paraId="25AAD400" w14:textId="4C0AC37E" w:rsidR="0035509B" w:rsidRPr="006148BE" w:rsidRDefault="0035509B" w:rsidP="0035509B">
            <w:pPr>
              <w:rPr>
                <w:color w:val="000000"/>
                <w:sz w:val="16"/>
                <w:szCs w:val="16"/>
              </w:rPr>
            </w:pPr>
            <w:r w:rsidRPr="001A00B0">
              <w:rPr>
                <w:sz w:val="16"/>
                <w:szCs w:val="16"/>
              </w:rPr>
              <w:t>0</w:t>
            </w:r>
          </w:p>
        </w:tc>
        <w:tc>
          <w:tcPr>
            <w:tcW w:w="373" w:type="pct"/>
            <w:gridSpan w:val="4"/>
            <w:tcBorders>
              <w:bottom w:val="single" w:sz="4" w:space="0" w:color="auto"/>
            </w:tcBorders>
            <w:shd w:val="clear" w:color="auto" w:fill="FFFFFF" w:themeFill="background1"/>
          </w:tcPr>
          <w:p w14:paraId="2593CABC" w14:textId="53FA978F" w:rsidR="0035509B" w:rsidRPr="006148BE" w:rsidRDefault="0035509B" w:rsidP="0035509B">
            <w:pPr>
              <w:rPr>
                <w:color w:val="000000"/>
                <w:sz w:val="16"/>
                <w:szCs w:val="16"/>
              </w:rPr>
            </w:pPr>
            <w:r w:rsidRPr="001A00B0">
              <w:rPr>
                <w:sz w:val="16"/>
                <w:szCs w:val="16"/>
              </w:rPr>
              <w:t>0</w:t>
            </w:r>
          </w:p>
        </w:tc>
        <w:tc>
          <w:tcPr>
            <w:tcW w:w="376" w:type="pct"/>
            <w:gridSpan w:val="2"/>
            <w:tcBorders>
              <w:bottom w:val="single" w:sz="4" w:space="0" w:color="auto"/>
            </w:tcBorders>
            <w:shd w:val="clear" w:color="auto" w:fill="FFFFFF" w:themeFill="background1"/>
          </w:tcPr>
          <w:p w14:paraId="31D553C2" w14:textId="4F951A2C" w:rsidR="0035509B" w:rsidRPr="006148BE" w:rsidRDefault="0035509B" w:rsidP="0035509B">
            <w:pPr>
              <w:rPr>
                <w:color w:val="000000"/>
                <w:sz w:val="16"/>
                <w:szCs w:val="16"/>
              </w:rPr>
            </w:pPr>
            <w:r w:rsidRPr="001A00B0">
              <w:rPr>
                <w:sz w:val="16"/>
                <w:szCs w:val="16"/>
              </w:rPr>
              <w:t>0</w:t>
            </w:r>
          </w:p>
        </w:tc>
        <w:tc>
          <w:tcPr>
            <w:tcW w:w="379" w:type="pct"/>
            <w:tcBorders>
              <w:bottom w:val="single" w:sz="4" w:space="0" w:color="auto"/>
            </w:tcBorders>
            <w:shd w:val="clear" w:color="auto" w:fill="FFFFFF" w:themeFill="background1"/>
          </w:tcPr>
          <w:p w14:paraId="5FFAFB90" w14:textId="49B06E0D" w:rsidR="0035509B" w:rsidRPr="006148BE" w:rsidRDefault="0035509B" w:rsidP="0035509B">
            <w:pPr>
              <w:rPr>
                <w:color w:val="000000"/>
                <w:sz w:val="16"/>
                <w:szCs w:val="16"/>
              </w:rPr>
            </w:pPr>
            <w:r w:rsidRPr="001A00B0">
              <w:rPr>
                <w:sz w:val="16"/>
                <w:szCs w:val="16"/>
              </w:rPr>
              <w:t>0</w:t>
            </w:r>
          </w:p>
        </w:tc>
        <w:tc>
          <w:tcPr>
            <w:tcW w:w="440" w:type="pct"/>
            <w:gridSpan w:val="2"/>
            <w:tcBorders>
              <w:bottom w:val="single" w:sz="4" w:space="0" w:color="auto"/>
            </w:tcBorders>
            <w:shd w:val="clear" w:color="auto" w:fill="FFFFFF" w:themeFill="background1"/>
          </w:tcPr>
          <w:p w14:paraId="3A91A518" w14:textId="54EF652C" w:rsidR="0035509B" w:rsidRPr="006148BE" w:rsidRDefault="0035509B" w:rsidP="0035509B">
            <w:pPr>
              <w:rPr>
                <w:sz w:val="16"/>
                <w:szCs w:val="16"/>
              </w:rPr>
            </w:pPr>
            <w:r w:rsidRPr="006148BE">
              <w:rPr>
                <w:sz w:val="16"/>
                <w:szCs w:val="16"/>
              </w:rPr>
              <w:t>0</w:t>
            </w:r>
          </w:p>
        </w:tc>
      </w:tr>
      <w:tr w:rsidR="00D54FC8" w:rsidRPr="00875DBE" w14:paraId="62A52BA3" w14:textId="77777777" w:rsidTr="00FF2F5D">
        <w:trPr>
          <w:trHeight w:val="351"/>
        </w:trPr>
        <w:tc>
          <w:tcPr>
            <w:tcW w:w="515" w:type="pct"/>
            <w:shd w:val="clear" w:color="auto" w:fill="FFFFFF" w:themeFill="background1"/>
          </w:tcPr>
          <w:p w14:paraId="0E0E16FA" w14:textId="1FEBDEFD" w:rsidR="0035509B" w:rsidRPr="006148BE" w:rsidDel="00F63D09" w:rsidRDefault="0035509B" w:rsidP="006148BE">
            <w:pPr>
              <w:ind w:left="-30"/>
              <w:rPr>
                <w:color w:val="000000"/>
                <w:sz w:val="16"/>
                <w:szCs w:val="16"/>
              </w:rPr>
            </w:pPr>
            <w:r w:rsidRPr="006148BE">
              <w:rPr>
                <w:sz w:val="16"/>
                <w:szCs w:val="16"/>
              </w:rPr>
              <w:t>Fundusz Ubezpieczeń Społecznych</w:t>
            </w:r>
          </w:p>
        </w:tc>
        <w:tc>
          <w:tcPr>
            <w:tcW w:w="209" w:type="pct"/>
            <w:gridSpan w:val="2"/>
            <w:tcBorders>
              <w:bottom w:val="single" w:sz="4" w:space="0" w:color="auto"/>
            </w:tcBorders>
            <w:shd w:val="clear" w:color="auto" w:fill="FFFFFF" w:themeFill="background1"/>
          </w:tcPr>
          <w:p w14:paraId="4D941EA1" w14:textId="0A850E42" w:rsidR="0035509B" w:rsidRPr="006148BE" w:rsidRDefault="0035509B" w:rsidP="0035509B">
            <w:pPr>
              <w:rPr>
                <w:color w:val="000000"/>
                <w:sz w:val="16"/>
                <w:szCs w:val="16"/>
              </w:rPr>
            </w:pPr>
            <w:r w:rsidRPr="006148BE">
              <w:rPr>
                <w:sz w:val="16"/>
                <w:szCs w:val="16"/>
              </w:rPr>
              <w:t>0</w:t>
            </w:r>
          </w:p>
        </w:tc>
        <w:tc>
          <w:tcPr>
            <w:tcW w:w="460" w:type="pct"/>
            <w:gridSpan w:val="2"/>
            <w:tcBorders>
              <w:bottom w:val="single" w:sz="4" w:space="0" w:color="auto"/>
            </w:tcBorders>
            <w:shd w:val="clear" w:color="auto" w:fill="FFFFFF" w:themeFill="background1"/>
          </w:tcPr>
          <w:p w14:paraId="4667EDF7" w14:textId="107AB23B" w:rsidR="0035509B" w:rsidRPr="006148BE" w:rsidRDefault="0035509B" w:rsidP="0035509B">
            <w:pPr>
              <w:rPr>
                <w:color w:val="000000"/>
                <w:sz w:val="16"/>
                <w:szCs w:val="16"/>
              </w:rPr>
            </w:pPr>
            <w:r w:rsidRPr="001A00B0">
              <w:rPr>
                <w:sz w:val="16"/>
                <w:szCs w:val="16"/>
              </w:rPr>
              <w:t>0</w:t>
            </w:r>
          </w:p>
        </w:tc>
        <w:tc>
          <w:tcPr>
            <w:tcW w:w="373" w:type="pct"/>
            <w:gridSpan w:val="2"/>
            <w:tcBorders>
              <w:bottom w:val="single" w:sz="4" w:space="0" w:color="auto"/>
            </w:tcBorders>
            <w:shd w:val="clear" w:color="auto" w:fill="FFFFFF" w:themeFill="background1"/>
          </w:tcPr>
          <w:p w14:paraId="1C20F0A7" w14:textId="4E143C2D" w:rsidR="0035509B" w:rsidRPr="006148BE" w:rsidRDefault="0035509B" w:rsidP="0035509B">
            <w:pPr>
              <w:rPr>
                <w:color w:val="000000"/>
                <w:sz w:val="16"/>
                <w:szCs w:val="16"/>
              </w:rPr>
            </w:pPr>
            <w:r w:rsidRPr="001A00B0">
              <w:rPr>
                <w:sz w:val="16"/>
                <w:szCs w:val="16"/>
              </w:rPr>
              <w:t>0</w:t>
            </w:r>
          </w:p>
        </w:tc>
        <w:tc>
          <w:tcPr>
            <w:tcW w:w="375" w:type="pct"/>
            <w:gridSpan w:val="2"/>
            <w:tcBorders>
              <w:bottom w:val="single" w:sz="4" w:space="0" w:color="auto"/>
            </w:tcBorders>
            <w:shd w:val="clear" w:color="auto" w:fill="FFFFFF" w:themeFill="background1"/>
          </w:tcPr>
          <w:p w14:paraId="36BCFAEE" w14:textId="795573C5" w:rsidR="0035509B" w:rsidRPr="006148BE" w:rsidRDefault="0035509B" w:rsidP="0035509B">
            <w:pPr>
              <w:rPr>
                <w:color w:val="000000"/>
                <w:sz w:val="16"/>
                <w:szCs w:val="16"/>
              </w:rPr>
            </w:pPr>
            <w:r w:rsidRPr="001A00B0">
              <w:rPr>
                <w:sz w:val="16"/>
                <w:szCs w:val="16"/>
              </w:rPr>
              <w:t>0</w:t>
            </w:r>
          </w:p>
        </w:tc>
        <w:tc>
          <w:tcPr>
            <w:tcW w:w="375" w:type="pct"/>
            <w:gridSpan w:val="2"/>
            <w:tcBorders>
              <w:bottom w:val="single" w:sz="4" w:space="0" w:color="auto"/>
            </w:tcBorders>
            <w:shd w:val="clear" w:color="auto" w:fill="FFFFFF" w:themeFill="background1"/>
          </w:tcPr>
          <w:p w14:paraId="0AF34226" w14:textId="5E473C35" w:rsidR="0035509B" w:rsidRPr="006148BE" w:rsidRDefault="0035509B" w:rsidP="0035509B">
            <w:pPr>
              <w:rPr>
                <w:color w:val="000000"/>
                <w:sz w:val="16"/>
                <w:szCs w:val="16"/>
              </w:rPr>
            </w:pPr>
            <w:r w:rsidRPr="001A00B0">
              <w:rPr>
                <w:sz w:val="16"/>
                <w:szCs w:val="16"/>
              </w:rPr>
              <w:t>0</w:t>
            </w:r>
          </w:p>
        </w:tc>
        <w:tc>
          <w:tcPr>
            <w:tcW w:w="373" w:type="pct"/>
            <w:gridSpan w:val="3"/>
            <w:tcBorders>
              <w:bottom w:val="single" w:sz="4" w:space="0" w:color="auto"/>
            </w:tcBorders>
            <w:shd w:val="clear" w:color="auto" w:fill="FFFFFF" w:themeFill="background1"/>
          </w:tcPr>
          <w:p w14:paraId="313D5C6F" w14:textId="6DDDAFF7" w:rsidR="0035509B" w:rsidRPr="006148BE" w:rsidRDefault="0035509B" w:rsidP="0035509B">
            <w:pPr>
              <w:rPr>
                <w:color w:val="000000"/>
                <w:sz w:val="16"/>
                <w:szCs w:val="16"/>
              </w:rPr>
            </w:pPr>
            <w:r w:rsidRPr="001A00B0">
              <w:rPr>
                <w:sz w:val="16"/>
                <w:szCs w:val="16"/>
              </w:rPr>
              <w:t>0</w:t>
            </w:r>
          </w:p>
        </w:tc>
        <w:tc>
          <w:tcPr>
            <w:tcW w:w="377" w:type="pct"/>
            <w:gridSpan w:val="2"/>
            <w:tcBorders>
              <w:bottom w:val="single" w:sz="4" w:space="0" w:color="auto"/>
            </w:tcBorders>
            <w:shd w:val="clear" w:color="auto" w:fill="FFFFFF" w:themeFill="background1"/>
          </w:tcPr>
          <w:p w14:paraId="1A0FE3BF" w14:textId="6CB49A74" w:rsidR="0035509B" w:rsidRPr="006148BE" w:rsidRDefault="0035509B" w:rsidP="0035509B">
            <w:pPr>
              <w:rPr>
                <w:color w:val="000000"/>
                <w:sz w:val="16"/>
                <w:szCs w:val="16"/>
              </w:rPr>
            </w:pPr>
            <w:r w:rsidRPr="001A00B0">
              <w:rPr>
                <w:sz w:val="16"/>
                <w:szCs w:val="16"/>
              </w:rPr>
              <w:t>0</w:t>
            </w:r>
          </w:p>
        </w:tc>
        <w:tc>
          <w:tcPr>
            <w:tcW w:w="375" w:type="pct"/>
            <w:gridSpan w:val="3"/>
            <w:tcBorders>
              <w:bottom w:val="single" w:sz="4" w:space="0" w:color="auto"/>
            </w:tcBorders>
            <w:shd w:val="clear" w:color="auto" w:fill="FFFFFF" w:themeFill="background1"/>
          </w:tcPr>
          <w:p w14:paraId="6EA0CC8F" w14:textId="67963A91" w:rsidR="0035509B" w:rsidRPr="006148BE" w:rsidRDefault="0035509B" w:rsidP="0035509B">
            <w:pPr>
              <w:rPr>
                <w:color w:val="000000"/>
                <w:sz w:val="16"/>
                <w:szCs w:val="16"/>
              </w:rPr>
            </w:pPr>
            <w:r w:rsidRPr="001A00B0">
              <w:rPr>
                <w:sz w:val="16"/>
                <w:szCs w:val="16"/>
              </w:rPr>
              <w:t>0</w:t>
            </w:r>
          </w:p>
        </w:tc>
        <w:tc>
          <w:tcPr>
            <w:tcW w:w="373" w:type="pct"/>
            <w:gridSpan w:val="4"/>
            <w:tcBorders>
              <w:bottom w:val="single" w:sz="4" w:space="0" w:color="auto"/>
            </w:tcBorders>
            <w:shd w:val="clear" w:color="auto" w:fill="FFFFFF" w:themeFill="background1"/>
          </w:tcPr>
          <w:p w14:paraId="29D4704E" w14:textId="0951B235" w:rsidR="0035509B" w:rsidRPr="006148BE" w:rsidRDefault="0035509B" w:rsidP="0035509B">
            <w:pPr>
              <w:rPr>
                <w:color w:val="000000"/>
                <w:sz w:val="16"/>
                <w:szCs w:val="16"/>
              </w:rPr>
            </w:pPr>
            <w:r w:rsidRPr="001A00B0">
              <w:rPr>
                <w:sz w:val="16"/>
                <w:szCs w:val="16"/>
              </w:rPr>
              <w:t>0</w:t>
            </w:r>
          </w:p>
        </w:tc>
        <w:tc>
          <w:tcPr>
            <w:tcW w:w="376" w:type="pct"/>
            <w:gridSpan w:val="2"/>
            <w:tcBorders>
              <w:bottom w:val="single" w:sz="4" w:space="0" w:color="auto"/>
            </w:tcBorders>
            <w:shd w:val="clear" w:color="auto" w:fill="FFFFFF" w:themeFill="background1"/>
          </w:tcPr>
          <w:p w14:paraId="55E5189B" w14:textId="1E2E5374" w:rsidR="0035509B" w:rsidRPr="006148BE" w:rsidRDefault="0035509B" w:rsidP="0035509B">
            <w:pPr>
              <w:rPr>
                <w:color w:val="000000"/>
                <w:sz w:val="16"/>
                <w:szCs w:val="16"/>
              </w:rPr>
            </w:pPr>
            <w:r w:rsidRPr="001A00B0">
              <w:rPr>
                <w:sz w:val="16"/>
                <w:szCs w:val="16"/>
              </w:rPr>
              <w:t>0</w:t>
            </w:r>
          </w:p>
        </w:tc>
        <w:tc>
          <w:tcPr>
            <w:tcW w:w="379" w:type="pct"/>
            <w:tcBorders>
              <w:bottom w:val="single" w:sz="4" w:space="0" w:color="auto"/>
            </w:tcBorders>
            <w:shd w:val="clear" w:color="auto" w:fill="FFFFFF" w:themeFill="background1"/>
          </w:tcPr>
          <w:p w14:paraId="50EDDBF5" w14:textId="40297BCF" w:rsidR="0035509B" w:rsidRPr="006148BE" w:rsidRDefault="0035509B" w:rsidP="0035509B">
            <w:pPr>
              <w:rPr>
                <w:color w:val="000000"/>
                <w:sz w:val="16"/>
                <w:szCs w:val="16"/>
              </w:rPr>
            </w:pPr>
            <w:r w:rsidRPr="001A00B0">
              <w:rPr>
                <w:sz w:val="16"/>
                <w:szCs w:val="16"/>
              </w:rPr>
              <w:t>0</w:t>
            </w:r>
          </w:p>
        </w:tc>
        <w:tc>
          <w:tcPr>
            <w:tcW w:w="440" w:type="pct"/>
            <w:gridSpan w:val="2"/>
            <w:tcBorders>
              <w:bottom w:val="single" w:sz="4" w:space="0" w:color="auto"/>
            </w:tcBorders>
            <w:shd w:val="clear" w:color="auto" w:fill="FFFFFF" w:themeFill="background1"/>
          </w:tcPr>
          <w:p w14:paraId="501C2430" w14:textId="7F091D46" w:rsidR="0035509B" w:rsidRPr="006148BE" w:rsidRDefault="0035509B" w:rsidP="0035509B">
            <w:pPr>
              <w:rPr>
                <w:sz w:val="16"/>
                <w:szCs w:val="16"/>
              </w:rPr>
            </w:pPr>
            <w:r w:rsidRPr="006148BE">
              <w:rPr>
                <w:sz w:val="16"/>
                <w:szCs w:val="16"/>
              </w:rPr>
              <w:t>0</w:t>
            </w:r>
          </w:p>
        </w:tc>
      </w:tr>
      <w:tr w:rsidR="00D54FC8" w:rsidRPr="00875DBE" w14:paraId="5E2D4973" w14:textId="77777777" w:rsidTr="00FF2F5D">
        <w:trPr>
          <w:trHeight w:val="351"/>
        </w:trPr>
        <w:tc>
          <w:tcPr>
            <w:tcW w:w="515" w:type="pct"/>
            <w:shd w:val="clear" w:color="auto" w:fill="FFFFFF" w:themeFill="background1"/>
          </w:tcPr>
          <w:p w14:paraId="5854D2FE" w14:textId="36D64915" w:rsidR="0035509B" w:rsidRPr="006148BE" w:rsidDel="00F63D09" w:rsidRDefault="0035509B" w:rsidP="006148BE">
            <w:pPr>
              <w:ind w:left="-30"/>
              <w:rPr>
                <w:color w:val="000000"/>
                <w:sz w:val="16"/>
                <w:szCs w:val="16"/>
              </w:rPr>
            </w:pPr>
            <w:r w:rsidRPr="006148BE">
              <w:rPr>
                <w:sz w:val="16"/>
                <w:szCs w:val="16"/>
              </w:rPr>
              <w:t>Narodowy Fundusz Zdrowia</w:t>
            </w:r>
          </w:p>
        </w:tc>
        <w:tc>
          <w:tcPr>
            <w:tcW w:w="209" w:type="pct"/>
            <w:gridSpan w:val="2"/>
            <w:tcBorders>
              <w:bottom w:val="single" w:sz="4" w:space="0" w:color="auto"/>
            </w:tcBorders>
            <w:shd w:val="clear" w:color="auto" w:fill="FFFFFF" w:themeFill="background1"/>
          </w:tcPr>
          <w:p w14:paraId="492F42B9" w14:textId="2D80B971" w:rsidR="0035509B" w:rsidRPr="006148BE" w:rsidRDefault="0035509B" w:rsidP="0035509B">
            <w:pPr>
              <w:rPr>
                <w:color w:val="000000"/>
                <w:sz w:val="16"/>
                <w:szCs w:val="16"/>
              </w:rPr>
            </w:pPr>
            <w:r w:rsidRPr="006148BE">
              <w:rPr>
                <w:sz w:val="16"/>
                <w:szCs w:val="16"/>
              </w:rPr>
              <w:t>0</w:t>
            </w:r>
          </w:p>
        </w:tc>
        <w:tc>
          <w:tcPr>
            <w:tcW w:w="460" w:type="pct"/>
            <w:gridSpan w:val="2"/>
            <w:tcBorders>
              <w:bottom w:val="single" w:sz="4" w:space="0" w:color="auto"/>
            </w:tcBorders>
            <w:shd w:val="clear" w:color="auto" w:fill="FFFFFF" w:themeFill="background1"/>
          </w:tcPr>
          <w:p w14:paraId="351F94FD" w14:textId="127F9A08" w:rsidR="0035509B" w:rsidRPr="006148BE" w:rsidRDefault="0035509B" w:rsidP="0035509B">
            <w:pPr>
              <w:rPr>
                <w:color w:val="000000"/>
                <w:sz w:val="16"/>
                <w:szCs w:val="16"/>
              </w:rPr>
            </w:pPr>
            <w:r w:rsidRPr="001A00B0">
              <w:rPr>
                <w:sz w:val="16"/>
                <w:szCs w:val="16"/>
              </w:rPr>
              <w:t>0</w:t>
            </w:r>
          </w:p>
        </w:tc>
        <w:tc>
          <w:tcPr>
            <w:tcW w:w="373" w:type="pct"/>
            <w:gridSpan w:val="2"/>
            <w:tcBorders>
              <w:bottom w:val="single" w:sz="4" w:space="0" w:color="auto"/>
            </w:tcBorders>
            <w:shd w:val="clear" w:color="auto" w:fill="FFFFFF" w:themeFill="background1"/>
          </w:tcPr>
          <w:p w14:paraId="17A38953" w14:textId="4444D29D" w:rsidR="0035509B" w:rsidRPr="006148BE" w:rsidRDefault="0035509B" w:rsidP="0035509B">
            <w:pPr>
              <w:rPr>
                <w:color w:val="000000"/>
                <w:sz w:val="16"/>
                <w:szCs w:val="16"/>
              </w:rPr>
            </w:pPr>
            <w:r w:rsidRPr="001A00B0">
              <w:rPr>
                <w:sz w:val="16"/>
                <w:szCs w:val="16"/>
              </w:rPr>
              <w:t>0</w:t>
            </w:r>
          </w:p>
        </w:tc>
        <w:tc>
          <w:tcPr>
            <w:tcW w:w="375" w:type="pct"/>
            <w:gridSpan w:val="2"/>
            <w:tcBorders>
              <w:bottom w:val="single" w:sz="4" w:space="0" w:color="auto"/>
            </w:tcBorders>
            <w:shd w:val="clear" w:color="auto" w:fill="FFFFFF" w:themeFill="background1"/>
          </w:tcPr>
          <w:p w14:paraId="77D7FFB4" w14:textId="1F50A33C" w:rsidR="0035509B" w:rsidRPr="006148BE" w:rsidRDefault="0035509B" w:rsidP="0035509B">
            <w:pPr>
              <w:rPr>
                <w:color w:val="000000"/>
                <w:sz w:val="16"/>
                <w:szCs w:val="16"/>
              </w:rPr>
            </w:pPr>
            <w:r w:rsidRPr="001A00B0">
              <w:rPr>
                <w:sz w:val="16"/>
                <w:szCs w:val="16"/>
              </w:rPr>
              <w:t>0</w:t>
            </w:r>
          </w:p>
        </w:tc>
        <w:tc>
          <w:tcPr>
            <w:tcW w:w="375" w:type="pct"/>
            <w:gridSpan w:val="2"/>
            <w:tcBorders>
              <w:bottom w:val="single" w:sz="4" w:space="0" w:color="auto"/>
            </w:tcBorders>
            <w:shd w:val="clear" w:color="auto" w:fill="FFFFFF" w:themeFill="background1"/>
          </w:tcPr>
          <w:p w14:paraId="34799254" w14:textId="7392F23C" w:rsidR="0035509B" w:rsidRPr="006148BE" w:rsidRDefault="0035509B" w:rsidP="0035509B">
            <w:pPr>
              <w:rPr>
                <w:color w:val="000000"/>
                <w:sz w:val="16"/>
                <w:szCs w:val="16"/>
              </w:rPr>
            </w:pPr>
            <w:r w:rsidRPr="001A00B0">
              <w:rPr>
                <w:sz w:val="16"/>
                <w:szCs w:val="16"/>
              </w:rPr>
              <w:t>0</w:t>
            </w:r>
          </w:p>
        </w:tc>
        <w:tc>
          <w:tcPr>
            <w:tcW w:w="373" w:type="pct"/>
            <w:gridSpan w:val="3"/>
            <w:tcBorders>
              <w:bottom w:val="single" w:sz="4" w:space="0" w:color="auto"/>
            </w:tcBorders>
            <w:shd w:val="clear" w:color="auto" w:fill="FFFFFF" w:themeFill="background1"/>
          </w:tcPr>
          <w:p w14:paraId="36EF76C2" w14:textId="6763E5E6" w:rsidR="0035509B" w:rsidRPr="006148BE" w:rsidRDefault="0035509B" w:rsidP="0035509B">
            <w:pPr>
              <w:rPr>
                <w:color w:val="000000"/>
                <w:sz w:val="16"/>
                <w:szCs w:val="16"/>
              </w:rPr>
            </w:pPr>
            <w:r w:rsidRPr="001A00B0">
              <w:rPr>
                <w:sz w:val="16"/>
                <w:szCs w:val="16"/>
              </w:rPr>
              <w:t>0</w:t>
            </w:r>
          </w:p>
        </w:tc>
        <w:tc>
          <w:tcPr>
            <w:tcW w:w="377" w:type="pct"/>
            <w:gridSpan w:val="2"/>
            <w:tcBorders>
              <w:bottom w:val="single" w:sz="4" w:space="0" w:color="auto"/>
            </w:tcBorders>
            <w:shd w:val="clear" w:color="auto" w:fill="FFFFFF" w:themeFill="background1"/>
          </w:tcPr>
          <w:p w14:paraId="1BABCCF1" w14:textId="7E779D5D" w:rsidR="0035509B" w:rsidRPr="006148BE" w:rsidRDefault="0035509B" w:rsidP="0035509B">
            <w:pPr>
              <w:rPr>
                <w:color w:val="000000"/>
                <w:sz w:val="16"/>
                <w:szCs w:val="16"/>
              </w:rPr>
            </w:pPr>
            <w:r w:rsidRPr="001A00B0">
              <w:rPr>
                <w:sz w:val="16"/>
                <w:szCs w:val="16"/>
              </w:rPr>
              <w:t>0</w:t>
            </w:r>
          </w:p>
        </w:tc>
        <w:tc>
          <w:tcPr>
            <w:tcW w:w="375" w:type="pct"/>
            <w:gridSpan w:val="3"/>
            <w:tcBorders>
              <w:bottom w:val="single" w:sz="4" w:space="0" w:color="auto"/>
            </w:tcBorders>
            <w:shd w:val="clear" w:color="auto" w:fill="FFFFFF" w:themeFill="background1"/>
          </w:tcPr>
          <w:p w14:paraId="28E1F293" w14:textId="4DDCFFCE" w:rsidR="0035509B" w:rsidRPr="006148BE" w:rsidRDefault="0035509B" w:rsidP="0035509B">
            <w:pPr>
              <w:rPr>
                <w:color w:val="000000"/>
                <w:sz w:val="16"/>
                <w:szCs w:val="16"/>
              </w:rPr>
            </w:pPr>
            <w:r w:rsidRPr="001A00B0">
              <w:rPr>
                <w:sz w:val="16"/>
                <w:szCs w:val="16"/>
              </w:rPr>
              <w:t>0</w:t>
            </w:r>
          </w:p>
        </w:tc>
        <w:tc>
          <w:tcPr>
            <w:tcW w:w="373" w:type="pct"/>
            <w:gridSpan w:val="4"/>
            <w:tcBorders>
              <w:bottom w:val="single" w:sz="4" w:space="0" w:color="auto"/>
            </w:tcBorders>
            <w:shd w:val="clear" w:color="auto" w:fill="FFFFFF" w:themeFill="background1"/>
          </w:tcPr>
          <w:p w14:paraId="7F23ADA4" w14:textId="324E67F7" w:rsidR="0035509B" w:rsidRPr="006148BE" w:rsidRDefault="0035509B" w:rsidP="0035509B">
            <w:pPr>
              <w:rPr>
                <w:color w:val="000000"/>
                <w:sz w:val="16"/>
                <w:szCs w:val="16"/>
              </w:rPr>
            </w:pPr>
            <w:r w:rsidRPr="001A00B0">
              <w:rPr>
                <w:sz w:val="16"/>
                <w:szCs w:val="16"/>
              </w:rPr>
              <w:t>0</w:t>
            </w:r>
          </w:p>
        </w:tc>
        <w:tc>
          <w:tcPr>
            <w:tcW w:w="376" w:type="pct"/>
            <w:gridSpan w:val="2"/>
            <w:tcBorders>
              <w:bottom w:val="single" w:sz="4" w:space="0" w:color="auto"/>
            </w:tcBorders>
            <w:shd w:val="clear" w:color="auto" w:fill="FFFFFF" w:themeFill="background1"/>
          </w:tcPr>
          <w:p w14:paraId="16C96E48" w14:textId="04F73850" w:rsidR="0035509B" w:rsidRPr="006148BE" w:rsidRDefault="0035509B" w:rsidP="0035509B">
            <w:pPr>
              <w:rPr>
                <w:color w:val="000000"/>
                <w:sz w:val="16"/>
                <w:szCs w:val="16"/>
              </w:rPr>
            </w:pPr>
            <w:r w:rsidRPr="001A00B0">
              <w:rPr>
                <w:sz w:val="16"/>
                <w:szCs w:val="16"/>
              </w:rPr>
              <w:t>0</w:t>
            </w:r>
          </w:p>
        </w:tc>
        <w:tc>
          <w:tcPr>
            <w:tcW w:w="379" w:type="pct"/>
            <w:tcBorders>
              <w:bottom w:val="single" w:sz="4" w:space="0" w:color="auto"/>
            </w:tcBorders>
            <w:shd w:val="clear" w:color="auto" w:fill="FFFFFF" w:themeFill="background1"/>
          </w:tcPr>
          <w:p w14:paraId="489883D1" w14:textId="51CE8F3B" w:rsidR="0035509B" w:rsidRPr="006148BE" w:rsidRDefault="0035509B" w:rsidP="0035509B">
            <w:pPr>
              <w:rPr>
                <w:color w:val="000000"/>
                <w:sz w:val="16"/>
                <w:szCs w:val="16"/>
              </w:rPr>
            </w:pPr>
            <w:r w:rsidRPr="001A00B0">
              <w:rPr>
                <w:sz w:val="16"/>
                <w:szCs w:val="16"/>
              </w:rPr>
              <w:t>0</w:t>
            </w:r>
          </w:p>
        </w:tc>
        <w:tc>
          <w:tcPr>
            <w:tcW w:w="440" w:type="pct"/>
            <w:gridSpan w:val="2"/>
            <w:tcBorders>
              <w:bottom w:val="single" w:sz="4" w:space="0" w:color="auto"/>
            </w:tcBorders>
            <w:shd w:val="clear" w:color="auto" w:fill="FFFFFF" w:themeFill="background1"/>
          </w:tcPr>
          <w:p w14:paraId="1E05C397" w14:textId="1BB513E6" w:rsidR="0035509B" w:rsidRPr="006148BE" w:rsidRDefault="0035509B" w:rsidP="0035509B">
            <w:pPr>
              <w:rPr>
                <w:sz w:val="16"/>
                <w:szCs w:val="16"/>
              </w:rPr>
            </w:pPr>
            <w:r w:rsidRPr="006148BE">
              <w:rPr>
                <w:sz w:val="16"/>
                <w:szCs w:val="16"/>
              </w:rPr>
              <w:t>0</w:t>
            </w:r>
          </w:p>
        </w:tc>
      </w:tr>
      <w:tr w:rsidR="0035509B" w:rsidRPr="00875DBE" w14:paraId="7B15B004" w14:textId="77777777" w:rsidTr="00E625E7">
        <w:trPr>
          <w:trHeight w:val="360"/>
        </w:trPr>
        <w:tc>
          <w:tcPr>
            <w:tcW w:w="515" w:type="pct"/>
            <w:shd w:val="clear" w:color="auto" w:fill="FFFFFF" w:themeFill="background1"/>
            <w:vAlign w:val="center"/>
          </w:tcPr>
          <w:p w14:paraId="41C84FB2" w14:textId="77777777" w:rsidR="0035509B" w:rsidRPr="006148BE" w:rsidRDefault="0035509B" w:rsidP="006148BE">
            <w:pPr>
              <w:ind w:left="-30"/>
              <w:rPr>
                <w:color w:val="000000"/>
                <w:sz w:val="16"/>
                <w:szCs w:val="16"/>
              </w:rPr>
            </w:pPr>
            <w:r w:rsidRPr="006148BE">
              <w:rPr>
                <w:b/>
                <w:color w:val="000000"/>
                <w:sz w:val="16"/>
                <w:szCs w:val="16"/>
              </w:rPr>
              <w:t>Saldo ogółem</w:t>
            </w:r>
          </w:p>
        </w:tc>
        <w:tc>
          <w:tcPr>
            <w:tcW w:w="209" w:type="pct"/>
            <w:gridSpan w:val="2"/>
            <w:tcBorders>
              <w:top w:val="single" w:sz="4" w:space="0" w:color="auto"/>
              <w:left w:val="nil"/>
              <w:bottom w:val="single" w:sz="4" w:space="0" w:color="auto"/>
              <w:right w:val="single" w:sz="4" w:space="0" w:color="auto"/>
            </w:tcBorders>
            <w:shd w:val="clear" w:color="auto" w:fill="auto"/>
          </w:tcPr>
          <w:p w14:paraId="3CA642F2" w14:textId="73184C66" w:rsidR="0035509B" w:rsidRPr="006148BE" w:rsidRDefault="0035509B" w:rsidP="0035509B">
            <w:pPr>
              <w:rPr>
                <w:color w:val="000000"/>
                <w:sz w:val="16"/>
                <w:szCs w:val="16"/>
              </w:rPr>
            </w:pPr>
            <w:r w:rsidRPr="006148BE">
              <w:rPr>
                <w:sz w:val="16"/>
                <w:szCs w:val="16"/>
              </w:rPr>
              <w:t>0</w:t>
            </w:r>
          </w:p>
        </w:tc>
        <w:tc>
          <w:tcPr>
            <w:tcW w:w="460" w:type="pct"/>
            <w:gridSpan w:val="2"/>
            <w:tcBorders>
              <w:top w:val="single" w:sz="4" w:space="0" w:color="auto"/>
              <w:left w:val="single" w:sz="4" w:space="0" w:color="auto"/>
              <w:bottom w:val="single" w:sz="4" w:space="0" w:color="auto"/>
              <w:right w:val="single" w:sz="4" w:space="0" w:color="auto"/>
            </w:tcBorders>
            <w:shd w:val="clear" w:color="auto" w:fill="auto"/>
          </w:tcPr>
          <w:p w14:paraId="51630B3D" w14:textId="0637C81D" w:rsidR="0035509B" w:rsidRPr="006148BE" w:rsidRDefault="0035509B" w:rsidP="0035509B">
            <w:pPr>
              <w:rPr>
                <w:color w:val="000000"/>
                <w:sz w:val="16"/>
                <w:szCs w:val="16"/>
              </w:rPr>
            </w:pPr>
            <w:r w:rsidRPr="001A00B0">
              <w:rPr>
                <w:sz w:val="16"/>
                <w:szCs w:val="16"/>
              </w:rPr>
              <w:t>-229,778</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tcPr>
          <w:p w14:paraId="5FB30E62" w14:textId="2504B91C" w:rsidR="0035509B" w:rsidRPr="006148BE" w:rsidRDefault="0035509B" w:rsidP="0035509B">
            <w:pPr>
              <w:rPr>
                <w:color w:val="000000"/>
                <w:sz w:val="16"/>
                <w:szCs w:val="16"/>
              </w:rPr>
            </w:pPr>
            <w:r w:rsidRPr="001A00B0">
              <w:rPr>
                <w:sz w:val="16"/>
                <w:szCs w:val="16"/>
              </w:rPr>
              <w:t>-233,989</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14:paraId="733B9CAA" w14:textId="413E1FF8" w:rsidR="0035509B" w:rsidRPr="006148BE" w:rsidRDefault="0035509B" w:rsidP="0035509B">
            <w:pPr>
              <w:rPr>
                <w:color w:val="000000"/>
                <w:sz w:val="16"/>
                <w:szCs w:val="16"/>
              </w:rPr>
            </w:pPr>
            <w:r w:rsidRPr="001A00B0">
              <w:rPr>
                <w:sz w:val="16"/>
                <w:szCs w:val="16"/>
              </w:rPr>
              <w:t>-247,091</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14:paraId="50F62882" w14:textId="075D3ACC" w:rsidR="0035509B" w:rsidRPr="006148BE" w:rsidRDefault="0035509B" w:rsidP="0035509B">
            <w:pPr>
              <w:rPr>
                <w:color w:val="000000"/>
                <w:sz w:val="16"/>
                <w:szCs w:val="16"/>
              </w:rPr>
            </w:pPr>
            <w:r w:rsidRPr="001A00B0">
              <w:rPr>
                <w:sz w:val="16"/>
                <w:szCs w:val="16"/>
              </w:rPr>
              <w:t>-270,798</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14:paraId="0E7CDBB8" w14:textId="1EA56573" w:rsidR="0035509B" w:rsidRPr="006148BE" w:rsidRDefault="0035509B" w:rsidP="0035509B">
            <w:pPr>
              <w:rPr>
                <w:color w:val="000000"/>
                <w:sz w:val="16"/>
                <w:szCs w:val="16"/>
              </w:rPr>
            </w:pPr>
            <w:r w:rsidRPr="001A00B0">
              <w:rPr>
                <w:sz w:val="16"/>
                <w:szCs w:val="16"/>
              </w:rPr>
              <w:t>-297,418</w:t>
            </w:r>
          </w:p>
        </w:tc>
        <w:tc>
          <w:tcPr>
            <w:tcW w:w="377" w:type="pct"/>
            <w:gridSpan w:val="2"/>
            <w:tcBorders>
              <w:top w:val="single" w:sz="4" w:space="0" w:color="auto"/>
              <w:left w:val="single" w:sz="4" w:space="0" w:color="auto"/>
              <w:bottom w:val="single" w:sz="4" w:space="0" w:color="auto"/>
              <w:right w:val="single" w:sz="4" w:space="0" w:color="auto"/>
            </w:tcBorders>
            <w:shd w:val="clear" w:color="auto" w:fill="auto"/>
          </w:tcPr>
          <w:p w14:paraId="6705E92C" w14:textId="4A31AF3D" w:rsidR="0035509B" w:rsidRPr="006148BE" w:rsidRDefault="0035509B" w:rsidP="0035509B">
            <w:pPr>
              <w:rPr>
                <w:color w:val="000000"/>
                <w:sz w:val="16"/>
                <w:szCs w:val="16"/>
              </w:rPr>
            </w:pPr>
            <w:r w:rsidRPr="001A00B0">
              <w:rPr>
                <w:sz w:val="16"/>
                <w:szCs w:val="16"/>
              </w:rPr>
              <w:t>-329,241</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tcPr>
          <w:p w14:paraId="68CF3A30" w14:textId="6F1C956B" w:rsidR="0035509B" w:rsidRPr="006148BE" w:rsidRDefault="0035509B" w:rsidP="0035509B">
            <w:pPr>
              <w:rPr>
                <w:color w:val="000000"/>
                <w:sz w:val="16"/>
                <w:szCs w:val="16"/>
              </w:rPr>
            </w:pPr>
            <w:r w:rsidRPr="001A00B0">
              <w:rPr>
                <w:sz w:val="16"/>
                <w:szCs w:val="16"/>
              </w:rPr>
              <w:t>-339,625</w:t>
            </w:r>
          </w:p>
        </w:tc>
        <w:tc>
          <w:tcPr>
            <w:tcW w:w="373" w:type="pct"/>
            <w:gridSpan w:val="4"/>
            <w:tcBorders>
              <w:top w:val="single" w:sz="4" w:space="0" w:color="auto"/>
              <w:left w:val="single" w:sz="4" w:space="0" w:color="auto"/>
              <w:bottom w:val="single" w:sz="4" w:space="0" w:color="auto"/>
              <w:right w:val="single" w:sz="4" w:space="0" w:color="auto"/>
            </w:tcBorders>
            <w:shd w:val="clear" w:color="auto" w:fill="auto"/>
          </w:tcPr>
          <w:p w14:paraId="70F83148" w14:textId="369D170B" w:rsidR="0035509B" w:rsidRPr="006148BE" w:rsidRDefault="0035509B" w:rsidP="0035509B">
            <w:pPr>
              <w:rPr>
                <w:color w:val="000000"/>
                <w:sz w:val="16"/>
                <w:szCs w:val="16"/>
              </w:rPr>
            </w:pPr>
            <w:r w:rsidRPr="001A00B0">
              <w:rPr>
                <w:sz w:val="16"/>
                <w:szCs w:val="16"/>
              </w:rPr>
              <w:t>-373,433</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tcPr>
          <w:p w14:paraId="7C877BEE" w14:textId="4389CD7F" w:rsidR="0035509B" w:rsidRPr="006148BE" w:rsidRDefault="0035509B" w:rsidP="0035509B">
            <w:pPr>
              <w:rPr>
                <w:color w:val="000000"/>
                <w:sz w:val="16"/>
                <w:szCs w:val="16"/>
              </w:rPr>
            </w:pPr>
            <w:r w:rsidRPr="001A00B0">
              <w:rPr>
                <w:sz w:val="16"/>
                <w:szCs w:val="16"/>
              </w:rPr>
              <w:t>-413,541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4AA6580" w14:textId="189D6C70" w:rsidR="0035509B" w:rsidRPr="006148BE" w:rsidRDefault="0035509B" w:rsidP="0035509B">
            <w:pPr>
              <w:rPr>
                <w:color w:val="000000"/>
                <w:sz w:val="16"/>
                <w:szCs w:val="16"/>
              </w:rPr>
            </w:pPr>
            <w:r w:rsidRPr="001A00B0">
              <w:rPr>
                <w:sz w:val="16"/>
                <w:szCs w:val="16"/>
              </w:rPr>
              <w:t>-465,462</w:t>
            </w:r>
          </w:p>
        </w:tc>
        <w:tc>
          <w:tcPr>
            <w:tcW w:w="440" w:type="pct"/>
            <w:gridSpan w:val="2"/>
            <w:tcBorders>
              <w:top w:val="single" w:sz="4" w:space="0" w:color="auto"/>
              <w:left w:val="single" w:sz="4" w:space="0" w:color="auto"/>
              <w:bottom w:val="single" w:sz="4" w:space="0" w:color="auto"/>
              <w:right w:val="single" w:sz="4" w:space="0" w:color="auto"/>
            </w:tcBorders>
            <w:shd w:val="clear" w:color="auto" w:fill="auto"/>
          </w:tcPr>
          <w:p w14:paraId="4804CC12" w14:textId="6A55BC5B" w:rsidR="0035509B" w:rsidRPr="006148BE" w:rsidRDefault="0035509B" w:rsidP="0035509B">
            <w:pPr>
              <w:rPr>
                <w:sz w:val="16"/>
                <w:szCs w:val="16"/>
              </w:rPr>
            </w:pPr>
            <w:r w:rsidRPr="006148BE">
              <w:rPr>
                <w:sz w:val="16"/>
                <w:szCs w:val="16"/>
              </w:rPr>
              <w:t>-3200,376</w:t>
            </w:r>
          </w:p>
        </w:tc>
      </w:tr>
      <w:tr w:rsidR="0035509B" w:rsidRPr="00875DBE" w14:paraId="46067D62" w14:textId="77777777" w:rsidTr="00E625E7">
        <w:trPr>
          <w:trHeight w:val="360"/>
        </w:trPr>
        <w:tc>
          <w:tcPr>
            <w:tcW w:w="515" w:type="pct"/>
            <w:shd w:val="clear" w:color="auto" w:fill="FFFFFF" w:themeFill="background1"/>
            <w:vAlign w:val="center"/>
          </w:tcPr>
          <w:p w14:paraId="0A0E95B9" w14:textId="77777777" w:rsidR="0035509B" w:rsidRPr="006148BE" w:rsidRDefault="0035509B" w:rsidP="006148BE">
            <w:pPr>
              <w:ind w:left="-30"/>
              <w:rPr>
                <w:color w:val="000000"/>
                <w:sz w:val="16"/>
                <w:szCs w:val="16"/>
              </w:rPr>
            </w:pPr>
            <w:r w:rsidRPr="006148BE">
              <w:rPr>
                <w:color w:val="000000"/>
                <w:sz w:val="16"/>
                <w:szCs w:val="16"/>
              </w:rPr>
              <w:t>budżet państwa</w:t>
            </w:r>
          </w:p>
        </w:tc>
        <w:tc>
          <w:tcPr>
            <w:tcW w:w="209" w:type="pct"/>
            <w:gridSpan w:val="2"/>
            <w:tcBorders>
              <w:top w:val="single" w:sz="4" w:space="0" w:color="auto"/>
              <w:left w:val="nil"/>
              <w:bottom w:val="single" w:sz="4" w:space="0" w:color="auto"/>
              <w:right w:val="single" w:sz="4" w:space="0" w:color="auto"/>
            </w:tcBorders>
            <w:shd w:val="clear" w:color="auto" w:fill="auto"/>
          </w:tcPr>
          <w:p w14:paraId="6C928EE1" w14:textId="7627EDAF" w:rsidR="0035509B" w:rsidRPr="006148BE" w:rsidRDefault="0035509B" w:rsidP="0035509B">
            <w:pPr>
              <w:rPr>
                <w:color w:val="000000"/>
                <w:sz w:val="16"/>
                <w:szCs w:val="16"/>
              </w:rPr>
            </w:pPr>
            <w:r w:rsidRPr="006148BE">
              <w:rPr>
                <w:sz w:val="16"/>
                <w:szCs w:val="16"/>
              </w:rPr>
              <w:t>0</w:t>
            </w:r>
          </w:p>
        </w:tc>
        <w:tc>
          <w:tcPr>
            <w:tcW w:w="460" w:type="pct"/>
            <w:gridSpan w:val="2"/>
            <w:tcBorders>
              <w:top w:val="single" w:sz="4" w:space="0" w:color="auto"/>
              <w:left w:val="single" w:sz="4" w:space="0" w:color="auto"/>
              <w:bottom w:val="single" w:sz="4" w:space="0" w:color="auto"/>
              <w:right w:val="single" w:sz="4" w:space="0" w:color="auto"/>
            </w:tcBorders>
            <w:shd w:val="clear" w:color="auto" w:fill="auto"/>
          </w:tcPr>
          <w:p w14:paraId="4D80422D" w14:textId="74D651BA" w:rsidR="0035509B" w:rsidRPr="006148BE" w:rsidRDefault="0035509B" w:rsidP="0035509B">
            <w:pPr>
              <w:rPr>
                <w:color w:val="000000"/>
                <w:sz w:val="16"/>
                <w:szCs w:val="16"/>
              </w:rPr>
            </w:pPr>
            <w:r w:rsidRPr="001A00B0">
              <w:rPr>
                <w:sz w:val="16"/>
                <w:szCs w:val="16"/>
              </w:rPr>
              <w:t>-268,620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tcPr>
          <w:p w14:paraId="4C779CAD" w14:textId="5D0A2FD9" w:rsidR="0035509B" w:rsidRPr="006148BE" w:rsidRDefault="0035509B" w:rsidP="0035509B">
            <w:pPr>
              <w:rPr>
                <w:color w:val="000000"/>
                <w:sz w:val="16"/>
                <w:szCs w:val="16"/>
              </w:rPr>
            </w:pPr>
            <w:r w:rsidRPr="001A00B0">
              <w:rPr>
                <w:sz w:val="16"/>
                <w:szCs w:val="16"/>
              </w:rPr>
              <w:t>-278,863</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14:paraId="23C27B01" w14:textId="6ADA8B98" w:rsidR="0035509B" w:rsidRPr="006148BE" w:rsidRDefault="0035509B" w:rsidP="0035509B">
            <w:pPr>
              <w:rPr>
                <w:color w:val="000000"/>
                <w:sz w:val="16"/>
                <w:szCs w:val="16"/>
              </w:rPr>
            </w:pPr>
            <w:r w:rsidRPr="001A00B0">
              <w:rPr>
                <w:sz w:val="16"/>
                <w:szCs w:val="16"/>
              </w:rPr>
              <w:t>-295,111</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14:paraId="76F5AD40" w14:textId="5D2A3868" w:rsidR="0035509B" w:rsidRPr="006148BE" w:rsidRDefault="0035509B" w:rsidP="0035509B">
            <w:pPr>
              <w:rPr>
                <w:color w:val="000000"/>
                <w:sz w:val="16"/>
                <w:szCs w:val="16"/>
              </w:rPr>
            </w:pPr>
            <w:r w:rsidRPr="001A00B0">
              <w:rPr>
                <w:sz w:val="16"/>
                <w:szCs w:val="16"/>
              </w:rPr>
              <w:t>-322,183</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14:paraId="4A0472ED" w14:textId="37C2E717" w:rsidR="0035509B" w:rsidRPr="006148BE" w:rsidRDefault="0035509B" w:rsidP="0035509B">
            <w:pPr>
              <w:rPr>
                <w:color w:val="000000"/>
                <w:sz w:val="16"/>
                <w:szCs w:val="16"/>
              </w:rPr>
            </w:pPr>
            <w:r w:rsidRPr="001A00B0">
              <w:rPr>
                <w:sz w:val="16"/>
                <w:szCs w:val="16"/>
              </w:rPr>
              <w:t>-352,406</w:t>
            </w:r>
          </w:p>
        </w:tc>
        <w:tc>
          <w:tcPr>
            <w:tcW w:w="377" w:type="pct"/>
            <w:gridSpan w:val="2"/>
            <w:tcBorders>
              <w:top w:val="single" w:sz="4" w:space="0" w:color="auto"/>
              <w:left w:val="single" w:sz="4" w:space="0" w:color="auto"/>
              <w:bottom w:val="single" w:sz="4" w:space="0" w:color="auto"/>
              <w:right w:val="single" w:sz="4" w:space="0" w:color="auto"/>
            </w:tcBorders>
            <w:shd w:val="clear" w:color="auto" w:fill="auto"/>
          </w:tcPr>
          <w:p w14:paraId="27B9BF8C" w14:textId="4B283A1E" w:rsidR="0035509B" w:rsidRPr="006148BE" w:rsidRDefault="0035509B" w:rsidP="0035509B">
            <w:pPr>
              <w:rPr>
                <w:color w:val="000000"/>
                <w:sz w:val="16"/>
                <w:szCs w:val="16"/>
              </w:rPr>
            </w:pPr>
            <w:r w:rsidRPr="001A00B0">
              <w:rPr>
                <w:sz w:val="16"/>
                <w:szCs w:val="16"/>
              </w:rPr>
              <w:t>-387,749</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tcPr>
          <w:p w14:paraId="1BF62259" w14:textId="614A65CA" w:rsidR="0035509B" w:rsidRPr="006148BE" w:rsidRDefault="0035509B" w:rsidP="0035509B">
            <w:pPr>
              <w:rPr>
                <w:color w:val="000000"/>
                <w:sz w:val="16"/>
                <w:szCs w:val="16"/>
              </w:rPr>
            </w:pPr>
            <w:r w:rsidRPr="001A00B0">
              <w:rPr>
                <w:sz w:val="16"/>
                <w:szCs w:val="16"/>
              </w:rPr>
              <w:t>-401,759</w:t>
            </w:r>
          </w:p>
        </w:tc>
        <w:tc>
          <w:tcPr>
            <w:tcW w:w="373" w:type="pct"/>
            <w:gridSpan w:val="4"/>
            <w:tcBorders>
              <w:top w:val="single" w:sz="4" w:space="0" w:color="auto"/>
              <w:left w:val="single" w:sz="4" w:space="0" w:color="auto"/>
              <w:bottom w:val="single" w:sz="4" w:space="0" w:color="auto"/>
              <w:right w:val="single" w:sz="4" w:space="0" w:color="auto"/>
            </w:tcBorders>
            <w:shd w:val="clear" w:color="auto" w:fill="auto"/>
          </w:tcPr>
          <w:p w14:paraId="4C90648E" w14:textId="7E2FEEDD" w:rsidR="0035509B" w:rsidRPr="006148BE" w:rsidRDefault="0035509B" w:rsidP="0035509B">
            <w:pPr>
              <w:rPr>
                <w:color w:val="000000"/>
                <w:sz w:val="16"/>
                <w:szCs w:val="16"/>
              </w:rPr>
            </w:pPr>
            <w:r w:rsidRPr="001A00B0">
              <w:rPr>
                <w:sz w:val="16"/>
                <w:szCs w:val="16"/>
              </w:rPr>
              <w:t>-439,564</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tcPr>
          <w:p w14:paraId="5A6E8C94" w14:textId="0FEB977D" w:rsidR="0035509B" w:rsidRPr="006148BE" w:rsidRDefault="0035509B" w:rsidP="0035509B">
            <w:pPr>
              <w:rPr>
                <w:color w:val="000000"/>
                <w:sz w:val="16"/>
                <w:szCs w:val="16"/>
              </w:rPr>
            </w:pPr>
            <w:r w:rsidRPr="001A00B0">
              <w:rPr>
                <w:sz w:val="16"/>
                <w:szCs w:val="16"/>
              </w:rPr>
              <w:t>-484,307</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5E13E04E" w14:textId="5C1F4BFC" w:rsidR="0035509B" w:rsidRPr="006148BE" w:rsidRDefault="0035509B" w:rsidP="0035509B">
            <w:pPr>
              <w:rPr>
                <w:color w:val="000000"/>
                <w:sz w:val="16"/>
                <w:szCs w:val="16"/>
              </w:rPr>
            </w:pPr>
            <w:r w:rsidRPr="001A00B0">
              <w:rPr>
                <w:sz w:val="16"/>
                <w:szCs w:val="16"/>
              </w:rPr>
              <w:t>-540,261</w:t>
            </w:r>
          </w:p>
        </w:tc>
        <w:tc>
          <w:tcPr>
            <w:tcW w:w="440" w:type="pct"/>
            <w:gridSpan w:val="2"/>
            <w:tcBorders>
              <w:top w:val="single" w:sz="4" w:space="0" w:color="auto"/>
              <w:left w:val="single" w:sz="4" w:space="0" w:color="auto"/>
              <w:bottom w:val="single" w:sz="4" w:space="0" w:color="auto"/>
              <w:right w:val="single" w:sz="4" w:space="0" w:color="auto"/>
            </w:tcBorders>
            <w:shd w:val="clear" w:color="auto" w:fill="auto"/>
          </w:tcPr>
          <w:p w14:paraId="3B9108AC" w14:textId="37B2D784" w:rsidR="0035509B" w:rsidRPr="006148BE" w:rsidRDefault="0035509B" w:rsidP="0035509B">
            <w:pPr>
              <w:rPr>
                <w:sz w:val="16"/>
                <w:szCs w:val="16"/>
              </w:rPr>
            </w:pPr>
            <w:r w:rsidRPr="006148BE">
              <w:rPr>
                <w:sz w:val="16"/>
                <w:szCs w:val="16"/>
              </w:rPr>
              <w:t>-3770,824</w:t>
            </w:r>
          </w:p>
        </w:tc>
      </w:tr>
      <w:tr w:rsidR="00D54FC8" w:rsidRPr="00875DBE" w14:paraId="71DCB511" w14:textId="77777777" w:rsidTr="00FF2F5D">
        <w:trPr>
          <w:trHeight w:val="357"/>
        </w:trPr>
        <w:tc>
          <w:tcPr>
            <w:tcW w:w="515" w:type="pct"/>
            <w:shd w:val="clear" w:color="auto" w:fill="FFFFFF" w:themeFill="background1"/>
            <w:vAlign w:val="center"/>
          </w:tcPr>
          <w:p w14:paraId="0204FCB6" w14:textId="77777777" w:rsidR="0035509B" w:rsidRPr="006148BE" w:rsidRDefault="0035509B" w:rsidP="006148BE">
            <w:pPr>
              <w:ind w:left="-30"/>
              <w:rPr>
                <w:color w:val="000000"/>
                <w:sz w:val="16"/>
                <w:szCs w:val="16"/>
              </w:rPr>
            </w:pPr>
            <w:r w:rsidRPr="006148BE">
              <w:rPr>
                <w:color w:val="000000"/>
                <w:sz w:val="16"/>
                <w:szCs w:val="16"/>
              </w:rPr>
              <w:t>JST</w:t>
            </w:r>
          </w:p>
        </w:tc>
        <w:tc>
          <w:tcPr>
            <w:tcW w:w="209" w:type="pct"/>
            <w:gridSpan w:val="2"/>
            <w:tcBorders>
              <w:top w:val="single" w:sz="4" w:space="0" w:color="auto"/>
            </w:tcBorders>
            <w:shd w:val="clear" w:color="auto" w:fill="FFFFFF" w:themeFill="background1"/>
          </w:tcPr>
          <w:p w14:paraId="145F7902" w14:textId="37815F4F" w:rsidR="0035509B" w:rsidRPr="006148BE" w:rsidRDefault="0035509B" w:rsidP="0035509B">
            <w:pPr>
              <w:rPr>
                <w:color w:val="000000"/>
                <w:sz w:val="16"/>
                <w:szCs w:val="16"/>
              </w:rPr>
            </w:pPr>
            <w:r w:rsidRPr="006148BE">
              <w:rPr>
                <w:sz w:val="16"/>
                <w:szCs w:val="16"/>
              </w:rPr>
              <w:t>0</w:t>
            </w:r>
          </w:p>
        </w:tc>
        <w:tc>
          <w:tcPr>
            <w:tcW w:w="460" w:type="pct"/>
            <w:gridSpan w:val="2"/>
            <w:tcBorders>
              <w:top w:val="single" w:sz="4" w:space="0" w:color="auto"/>
            </w:tcBorders>
            <w:shd w:val="clear" w:color="auto" w:fill="FFFFFF" w:themeFill="background1"/>
          </w:tcPr>
          <w:p w14:paraId="2DB1FF9F" w14:textId="393B6834" w:rsidR="0035509B" w:rsidRPr="006148BE" w:rsidRDefault="0035509B" w:rsidP="0035509B">
            <w:pPr>
              <w:rPr>
                <w:color w:val="000000"/>
                <w:sz w:val="16"/>
                <w:szCs w:val="16"/>
              </w:rPr>
            </w:pPr>
            <w:r w:rsidRPr="001A00B0">
              <w:rPr>
                <w:sz w:val="16"/>
                <w:szCs w:val="16"/>
              </w:rPr>
              <w:t>0</w:t>
            </w:r>
          </w:p>
        </w:tc>
        <w:tc>
          <w:tcPr>
            <w:tcW w:w="373" w:type="pct"/>
            <w:gridSpan w:val="2"/>
            <w:tcBorders>
              <w:top w:val="single" w:sz="4" w:space="0" w:color="auto"/>
            </w:tcBorders>
            <w:shd w:val="clear" w:color="auto" w:fill="FFFFFF" w:themeFill="background1"/>
          </w:tcPr>
          <w:p w14:paraId="20A84297" w14:textId="371962EA" w:rsidR="0035509B" w:rsidRPr="006148BE" w:rsidRDefault="0035509B" w:rsidP="0035509B">
            <w:pPr>
              <w:rPr>
                <w:color w:val="000000"/>
                <w:sz w:val="16"/>
                <w:szCs w:val="16"/>
              </w:rPr>
            </w:pPr>
            <w:r w:rsidRPr="001A00B0">
              <w:rPr>
                <w:sz w:val="16"/>
                <w:szCs w:val="16"/>
              </w:rPr>
              <w:t>0</w:t>
            </w:r>
          </w:p>
        </w:tc>
        <w:tc>
          <w:tcPr>
            <w:tcW w:w="375" w:type="pct"/>
            <w:gridSpan w:val="2"/>
            <w:tcBorders>
              <w:top w:val="single" w:sz="4" w:space="0" w:color="auto"/>
            </w:tcBorders>
            <w:shd w:val="clear" w:color="auto" w:fill="FFFFFF" w:themeFill="background1"/>
          </w:tcPr>
          <w:p w14:paraId="720F6DCC" w14:textId="63F4848C" w:rsidR="0035509B" w:rsidRPr="006148BE" w:rsidRDefault="0035509B" w:rsidP="0035509B">
            <w:pPr>
              <w:rPr>
                <w:color w:val="000000"/>
                <w:sz w:val="16"/>
                <w:szCs w:val="16"/>
              </w:rPr>
            </w:pPr>
            <w:r w:rsidRPr="001A00B0">
              <w:rPr>
                <w:sz w:val="16"/>
                <w:szCs w:val="16"/>
              </w:rPr>
              <w:t>0</w:t>
            </w:r>
          </w:p>
        </w:tc>
        <w:tc>
          <w:tcPr>
            <w:tcW w:w="375" w:type="pct"/>
            <w:gridSpan w:val="2"/>
            <w:tcBorders>
              <w:top w:val="single" w:sz="4" w:space="0" w:color="auto"/>
            </w:tcBorders>
            <w:shd w:val="clear" w:color="auto" w:fill="FFFFFF" w:themeFill="background1"/>
          </w:tcPr>
          <w:p w14:paraId="54F42E3C" w14:textId="368DCB06" w:rsidR="0035509B" w:rsidRPr="006148BE" w:rsidRDefault="0035509B" w:rsidP="0035509B">
            <w:pPr>
              <w:rPr>
                <w:color w:val="000000"/>
                <w:sz w:val="16"/>
                <w:szCs w:val="16"/>
              </w:rPr>
            </w:pPr>
            <w:r w:rsidRPr="001A00B0">
              <w:rPr>
                <w:sz w:val="16"/>
                <w:szCs w:val="16"/>
              </w:rPr>
              <w:t>0</w:t>
            </w:r>
          </w:p>
        </w:tc>
        <w:tc>
          <w:tcPr>
            <w:tcW w:w="373" w:type="pct"/>
            <w:gridSpan w:val="3"/>
            <w:tcBorders>
              <w:top w:val="single" w:sz="4" w:space="0" w:color="auto"/>
            </w:tcBorders>
            <w:shd w:val="clear" w:color="auto" w:fill="FFFFFF" w:themeFill="background1"/>
          </w:tcPr>
          <w:p w14:paraId="369E88D7" w14:textId="78B268B0" w:rsidR="0035509B" w:rsidRPr="006148BE" w:rsidRDefault="0035509B" w:rsidP="0035509B">
            <w:pPr>
              <w:rPr>
                <w:color w:val="000000"/>
                <w:sz w:val="16"/>
                <w:szCs w:val="16"/>
              </w:rPr>
            </w:pPr>
            <w:r w:rsidRPr="001A00B0">
              <w:rPr>
                <w:sz w:val="16"/>
                <w:szCs w:val="16"/>
              </w:rPr>
              <w:t>0</w:t>
            </w:r>
          </w:p>
        </w:tc>
        <w:tc>
          <w:tcPr>
            <w:tcW w:w="377" w:type="pct"/>
            <w:gridSpan w:val="2"/>
            <w:tcBorders>
              <w:top w:val="single" w:sz="4" w:space="0" w:color="auto"/>
            </w:tcBorders>
            <w:shd w:val="clear" w:color="auto" w:fill="FFFFFF" w:themeFill="background1"/>
          </w:tcPr>
          <w:p w14:paraId="7AF48029" w14:textId="6F671B06" w:rsidR="0035509B" w:rsidRPr="006148BE" w:rsidRDefault="0035509B" w:rsidP="0035509B">
            <w:pPr>
              <w:rPr>
                <w:color w:val="000000"/>
                <w:sz w:val="16"/>
                <w:szCs w:val="16"/>
              </w:rPr>
            </w:pPr>
            <w:r w:rsidRPr="001A00B0">
              <w:rPr>
                <w:sz w:val="16"/>
                <w:szCs w:val="16"/>
              </w:rPr>
              <w:t>0</w:t>
            </w:r>
          </w:p>
        </w:tc>
        <w:tc>
          <w:tcPr>
            <w:tcW w:w="375" w:type="pct"/>
            <w:gridSpan w:val="3"/>
            <w:tcBorders>
              <w:top w:val="single" w:sz="4" w:space="0" w:color="auto"/>
            </w:tcBorders>
            <w:shd w:val="clear" w:color="auto" w:fill="FFFFFF" w:themeFill="background1"/>
          </w:tcPr>
          <w:p w14:paraId="10E59FDB" w14:textId="6184B561" w:rsidR="0035509B" w:rsidRPr="006148BE" w:rsidRDefault="0035509B" w:rsidP="0035509B">
            <w:pPr>
              <w:rPr>
                <w:color w:val="000000"/>
                <w:sz w:val="16"/>
                <w:szCs w:val="16"/>
              </w:rPr>
            </w:pPr>
            <w:r w:rsidRPr="001A00B0">
              <w:rPr>
                <w:sz w:val="16"/>
                <w:szCs w:val="16"/>
              </w:rPr>
              <w:t>0</w:t>
            </w:r>
          </w:p>
        </w:tc>
        <w:tc>
          <w:tcPr>
            <w:tcW w:w="373" w:type="pct"/>
            <w:gridSpan w:val="4"/>
            <w:tcBorders>
              <w:top w:val="single" w:sz="4" w:space="0" w:color="auto"/>
            </w:tcBorders>
            <w:shd w:val="clear" w:color="auto" w:fill="FFFFFF" w:themeFill="background1"/>
          </w:tcPr>
          <w:p w14:paraId="54324AE1" w14:textId="3B2F4259" w:rsidR="0035509B" w:rsidRPr="006148BE" w:rsidRDefault="0035509B" w:rsidP="0035509B">
            <w:pPr>
              <w:rPr>
                <w:color w:val="000000"/>
                <w:sz w:val="16"/>
                <w:szCs w:val="16"/>
              </w:rPr>
            </w:pPr>
            <w:r w:rsidRPr="001A00B0">
              <w:rPr>
                <w:sz w:val="16"/>
                <w:szCs w:val="16"/>
              </w:rPr>
              <w:t>0</w:t>
            </w:r>
          </w:p>
        </w:tc>
        <w:tc>
          <w:tcPr>
            <w:tcW w:w="376" w:type="pct"/>
            <w:gridSpan w:val="2"/>
            <w:tcBorders>
              <w:top w:val="single" w:sz="4" w:space="0" w:color="auto"/>
            </w:tcBorders>
            <w:shd w:val="clear" w:color="auto" w:fill="FFFFFF" w:themeFill="background1"/>
          </w:tcPr>
          <w:p w14:paraId="286F8E07" w14:textId="1F1130B1" w:rsidR="0035509B" w:rsidRPr="006148BE" w:rsidRDefault="0035509B" w:rsidP="0035509B">
            <w:pPr>
              <w:rPr>
                <w:color w:val="000000"/>
                <w:sz w:val="16"/>
                <w:szCs w:val="16"/>
              </w:rPr>
            </w:pPr>
            <w:r w:rsidRPr="001A00B0">
              <w:rPr>
                <w:sz w:val="16"/>
                <w:szCs w:val="16"/>
              </w:rPr>
              <w:t>0</w:t>
            </w:r>
          </w:p>
        </w:tc>
        <w:tc>
          <w:tcPr>
            <w:tcW w:w="379" w:type="pct"/>
            <w:tcBorders>
              <w:top w:val="single" w:sz="4" w:space="0" w:color="auto"/>
            </w:tcBorders>
            <w:shd w:val="clear" w:color="auto" w:fill="FFFFFF" w:themeFill="background1"/>
          </w:tcPr>
          <w:p w14:paraId="5AA878C9" w14:textId="333321E9" w:rsidR="0035509B" w:rsidRPr="006148BE" w:rsidRDefault="0035509B" w:rsidP="0035509B">
            <w:pPr>
              <w:rPr>
                <w:color w:val="000000"/>
                <w:sz w:val="16"/>
                <w:szCs w:val="16"/>
              </w:rPr>
            </w:pPr>
            <w:r w:rsidRPr="001A00B0">
              <w:rPr>
                <w:sz w:val="16"/>
                <w:szCs w:val="16"/>
              </w:rPr>
              <w:t>0</w:t>
            </w:r>
          </w:p>
        </w:tc>
        <w:tc>
          <w:tcPr>
            <w:tcW w:w="440" w:type="pct"/>
            <w:gridSpan w:val="2"/>
            <w:tcBorders>
              <w:top w:val="single" w:sz="4" w:space="0" w:color="auto"/>
            </w:tcBorders>
            <w:shd w:val="clear" w:color="auto" w:fill="FFFFFF" w:themeFill="background1"/>
          </w:tcPr>
          <w:p w14:paraId="0C2E937C" w14:textId="27A2536C" w:rsidR="0035509B" w:rsidRPr="006148BE" w:rsidRDefault="0035509B" w:rsidP="0035509B">
            <w:pPr>
              <w:rPr>
                <w:sz w:val="16"/>
                <w:szCs w:val="16"/>
              </w:rPr>
            </w:pPr>
            <w:r w:rsidRPr="006148BE">
              <w:rPr>
                <w:sz w:val="16"/>
                <w:szCs w:val="16"/>
              </w:rPr>
              <w:t>0</w:t>
            </w:r>
          </w:p>
        </w:tc>
      </w:tr>
      <w:tr w:rsidR="00D54FC8" w:rsidRPr="00875DBE" w14:paraId="4F8991C1" w14:textId="77777777" w:rsidTr="00FF2F5D">
        <w:trPr>
          <w:trHeight w:val="357"/>
        </w:trPr>
        <w:tc>
          <w:tcPr>
            <w:tcW w:w="515" w:type="pct"/>
            <w:shd w:val="clear" w:color="auto" w:fill="FFFFFF" w:themeFill="background1"/>
          </w:tcPr>
          <w:p w14:paraId="3B1B2FC8" w14:textId="6302BC0B" w:rsidR="0035509B" w:rsidRPr="006148BE" w:rsidRDefault="0035509B" w:rsidP="006148BE">
            <w:pPr>
              <w:ind w:left="-30"/>
              <w:rPr>
                <w:color w:val="000000"/>
                <w:sz w:val="16"/>
                <w:szCs w:val="16"/>
              </w:rPr>
            </w:pPr>
            <w:r w:rsidRPr="006148BE">
              <w:rPr>
                <w:sz w:val="16"/>
                <w:szCs w:val="16"/>
              </w:rPr>
              <w:t>Fundusz Pracy</w:t>
            </w:r>
          </w:p>
        </w:tc>
        <w:tc>
          <w:tcPr>
            <w:tcW w:w="209" w:type="pct"/>
            <w:gridSpan w:val="2"/>
            <w:shd w:val="clear" w:color="auto" w:fill="FFFFFF" w:themeFill="background1"/>
          </w:tcPr>
          <w:p w14:paraId="1D04E6FF" w14:textId="79323170"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601E8838" w14:textId="4BA8B01A" w:rsidR="0035509B" w:rsidRPr="006148BE" w:rsidRDefault="0035509B" w:rsidP="0035509B">
            <w:pPr>
              <w:rPr>
                <w:color w:val="000000"/>
                <w:sz w:val="16"/>
                <w:szCs w:val="16"/>
              </w:rPr>
            </w:pPr>
            <w:r w:rsidRPr="001A00B0">
              <w:rPr>
                <w:sz w:val="16"/>
                <w:szCs w:val="16"/>
              </w:rPr>
              <w:t>1,006</w:t>
            </w:r>
          </w:p>
        </w:tc>
        <w:tc>
          <w:tcPr>
            <w:tcW w:w="373" w:type="pct"/>
            <w:gridSpan w:val="2"/>
            <w:shd w:val="clear" w:color="auto" w:fill="FFFFFF" w:themeFill="background1"/>
          </w:tcPr>
          <w:p w14:paraId="0E5CC668" w14:textId="2178A1B9" w:rsidR="0035509B" w:rsidRPr="006148BE" w:rsidRDefault="0035509B" w:rsidP="0035509B">
            <w:pPr>
              <w:rPr>
                <w:color w:val="000000"/>
                <w:sz w:val="16"/>
                <w:szCs w:val="16"/>
              </w:rPr>
            </w:pPr>
            <w:r w:rsidRPr="001A00B0">
              <w:rPr>
                <w:sz w:val="16"/>
                <w:szCs w:val="16"/>
              </w:rPr>
              <w:t>1,076</w:t>
            </w:r>
          </w:p>
        </w:tc>
        <w:tc>
          <w:tcPr>
            <w:tcW w:w="375" w:type="pct"/>
            <w:gridSpan w:val="2"/>
            <w:shd w:val="clear" w:color="auto" w:fill="FFFFFF" w:themeFill="background1"/>
          </w:tcPr>
          <w:p w14:paraId="18343324" w14:textId="2BE10C9A" w:rsidR="0035509B" w:rsidRPr="006148BE" w:rsidRDefault="0035509B" w:rsidP="0035509B">
            <w:pPr>
              <w:rPr>
                <w:color w:val="000000"/>
                <w:sz w:val="16"/>
                <w:szCs w:val="16"/>
              </w:rPr>
            </w:pPr>
            <w:r w:rsidRPr="001A00B0">
              <w:rPr>
                <w:sz w:val="16"/>
                <w:szCs w:val="16"/>
              </w:rPr>
              <w:t>1,152</w:t>
            </w:r>
          </w:p>
        </w:tc>
        <w:tc>
          <w:tcPr>
            <w:tcW w:w="375" w:type="pct"/>
            <w:gridSpan w:val="2"/>
            <w:shd w:val="clear" w:color="auto" w:fill="FFFFFF" w:themeFill="background1"/>
          </w:tcPr>
          <w:p w14:paraId="259A97C3" w14:textId="73AD33FA" w:rsidR="0035509B" w:rsidRPr="006148BE" w:rsidRDefault="0035509B" w:rsidP="0035509B">
            <w:pPr>
              <w:rPr>
                <w:color w:val="000000"/>
                <w:sz w:val="16"/>
                <w:szCs w:val="16"/>
              </w:rPr>
            </w:pPr>
            <w:r w:rsidRPr="001A00B0">
              <w:rPr>
                <w:sz w:val="16"/>
                <w:szCs w:val="16"/>
              </w:rPr>
              <w:t>1,232</w:t>
            </w:r>
          </w:p>
        </w:tc>
        <w:tc>
          <w:tcPr>
            <w:tcW w:w="373" w:type="pct"/>
            <w:gridSpan w:val="3"/>
            <w:shd w:val="clear" w:color="auto" w:fill="FFFFFF" w:themeFill="background1"/>
          </w:tcPr>
          <w:p w14:paraId="36BCE9B5" w14:textId="56AFFB53" w:rsidR="0035509B" w:rsidRPr="006148BE" w:rsidRDefault="0035509B" w:rsidP="0035509B">
            <w:pPr>
              <w:rPr>
                <w:color w:val="000000"/>
                <w:sz w:val="16"/>
                <w:szCs w:val="16"/>
              </w:rPr>
            </w:pPr>
            <w:r w:rsidRPr="001A00B0">
              <w:rPr>
                <w:sz w:val="16"/>
                <w:szCs w:val="16"/>
              </w:rPr>
              <w:t>1,319</w:t>
            </w:r>
          </w:p>
        </w:tc>
        <w:tc>
          <w:tcPr>
            <w:tcW w:w="377" w:type="pct"/>
            <w:gridSpan w:val="2"/>
            <w:shd w:val="clear" w:color="auto" w:fill="FFFFFF" w:themeFill="background1"/>
          </w:tcPr>
          <w:p w14:paraId="085EA4BE" w14:textId="38498295" w:rsidR="0035509B" w:rsidRPr="006148BE" w:rsidRDefault="0035509B" w:rsidP="0035509B">
            <w:pPr>
              <w:rPr>
                <w:color w:val="000000"/>
                <w:sz w:val="16"/>
                <w:szCs w:val="16"/>
              </w:rPr>
            </w:pPr>
            <w:r w:rsidRPr="001A00B0">
              <w:rPr>
                <w:sz w:val="16"/>
                <w:szCs w:val="16"/>
              </w:rPr>
              <w:t>1,411</w:t>
            </w:r>
          </w:p>
        </w:tc>
        <w:tc>
          <w:tcPr>
            <w:tcW w:w="375" w:type="pct"/>
            <w:gridSpan w:val="3"/>
            <w:shd w:val="clear" w:color="auto" w:fill="FFFFFF" w:themeFill="background1"/>
          </w:tcPr>
          <w:p w14:paraId="31E2B449" w14:textId="77236963" w:rsidR="0035509B" w:rsidRPr="006148BE" w:rsidRDefault="0035509B" w:rsidP="0035509B">
            <w:pPr>
              <w:rPr>
                <w:color w:val="000000"/>
                <w:sz w:val="16"/>
                <w:szCs w:val="16"/>
              </w:rPr>
            </w:pPr>
            <w:r w:rsidRPr="001A00B0">
              <w:rPr>
                <w:sz w:val="16"/>
                <w:szCs w:val="16"/>
              </w:rPr>
              <w:t>1,510</w:t>
            </w:r>
          </w:p>
        </w:tc>
        <w:tc>
          <w:tcPr>
            <w:tcW w:w="373" w:type="pct"/>
            <w:gridSpan w:val="4"/>
            <w:shd w:val="clear" w:color="auto" w:fill="FFFFFF" w:themeFill="background1"/>
          </w:tcPr>
          <w:p w14:paraId="612B3540" w14:textId="248F044F" w:rsidR="0035509B" w:rsidRPr="006148BE" w:rsidRDefault="0035509B" w:rsidP="0035509B">
            <w:pPr>
              <w:rPr>
                <w:color w:val="000000"/>
                <w:sz w:val="16"/>
                <w:szCs w:val="16"/>
              </w:rPr>
            </w:pPr>
            <w:r w:rsidRPr="001A00B0">
              <w:rPr>
                <w:sz w:val="16"/>
                <w:szCs w:val="16"/>
              </w:rPr>
              <w:t>1,616</w:t>
            </w:r>
          </w:p>
        </w:tc>
        <w:tc>
          <w:tcPr>
            <w:tcW w:w="376" w:type="pct"/>
            <w:gridSpan w:val="2"/>
            <w:shd w:val="clear" w:color="auto" w:fill="FFFFFF" w:themeFill="background1"/>
          </w:tcPr>
          <w:p w14:paraId="51A6C532" w14:textId="1DA52298" w:rsidR="0035509B" w:rsidRPr="006148BE" w:rsidRDefault="0035509B" w:rsidP="0035509B">
            <w:pPr>
              <w:rPr>
                <w:color w:val="000000"/>
                <w:sz w:val="16"/>
                <w:szCs w:val="16"/>
              </w:rPr>
            </w:pPr>
            <w:r w:rsidRPr="001A00B0">
              <w:rPr>
                <w:sz w:val="16"/>
                <w:szCs w:val="16"/>
              </w:rPr>
              <w:t>1,729</w:t>
            </w:r>
          </w:p>
        </w:tc>
        <w:tc>
          <w:tcPr>
            <w:tcW w:w="379" w:type="pct"/>
            <w:shd w:val="clear" w:color="auto" w:fill="FFFFFF" w:themeFill="background1"/>
          </w:tcPr>
          <w:p w14:paraId="05E7ED0E" w14:textId="4A475E11" w:rsidR="0035509B" w:rsidRPr="006148BE" w:rsidRDefault="0035509B" w:rsidP="0035509B">
            <w:pPr>
              <w:rPr>
                <w:color w:val="000000"/>
                <w:sz w:val="16"/>
                <w:szCs w:val="16"/>
              </w:rPr>
            </w:pPr>
            <w:r w:rsidRPr="001A00B0">
              <w:rPr>
                <w:sz w:val="16"/>
                <w:szCs w:val="16"/>
              </w:rPr>
              <w:t>1,850</w:t>
            </w:r>
          </w:p>
        </w:tc>
        <w:tc>
          <w:tcPr>
            <w:tcW w:w="440" w:type="pct"/>
            <w:gridSpan w:val="2"/>
            <w:shd w:val="clear" w:color="auto" w:fill="FFFFFF" w:themeFill="background1"/>
          </w:tcPr>
          <w:p w14:paraId="2D7DD60E" w14:textId="1967297B" w:rsidR="0035509B" w:rsidRPr="006148BE" w:rsidRDefault="0035509B" w:rsidP="0035509B">
            <w:pPr>
              <w:rPr>
                <w:sz w:val="16"/>
                <w:szCs w:val="16"/>
              </w:rPr>
            </w:pPr>
            <w:r w:rsidRPr="006148BE">
              <w:rPr>
                <w:sz w:val="16"/>
                <w:szCs w:val="16"/>
              </w:rPr>
              <w:t>13,900</w:t>
            </w:r>
          </w:p>
        </w:tc>
      </w:tr>
      <w:tr w:rsidR="00D54FC8" w:rsidRPr="00875DBE" w14:paraId="322B0507" w14:textId="77777777" w:rsidTr="00FF2F5D">
        <w:trPr>
          <w:trHeight w:val="357"/>
        </w:trPr>
        <w:tc>
          <w:tcPr>
            <w:tcW w:w="515" w:type="pct"/>
            <w:shd w:val="clear" w:color="auto" w:fill="FFFFFF" w:themeFill="background1"/>
          </w:tcPr>
          <w:p w14:paraId="382C63C0" w14:textId="1FA5A105" w:rsidR="0035509B" w:rsidRPr="006148BE" w:rsidDel="00F63D09" w:rsidRDefault="0035509B" w:rsidP="006148BE">
            <w:pPr>
              <w:ind w:left="-30"/>
              <w:rPr>
                <w:color w:val="000000"/>
                <w:sz w:val="16"/>
                <w:szCs w:val="16"/>
              </w:rPr>
            </w:pPr>
            <w:r w:rsidRPr="006148BE">
              <w:rPr>
                <w:sz w:val="16"/>
                <w:szCs w:val="16"/>
              </w:rPr>
              <w:t>Fundusz Solidarnościowy</w:t>
            </w:r>
          </w:p>
        </w:tc>
        <w:tc>
          <w:tcPr>
            <w:tcW w:w="209" w:type="pct"/>
            <w:gridSpan w:val="2"/>
            <w:shd w:val="clear" w:color="auto" w:fill="FFFFFF" w:themeFill="background1"/>
          </w:tcPr>
          <w:p w14:paraId="19FB8549" w14:textId="159F8A6E"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6134EE66" w14:textId="2EF09D06" w:rsidR="0035509B" w:rsidRPr="006148BE" w:rsidRDefault="0035509B" w:rsidP="0035509B">
            <w:pPr>
              <w:rPr>
                <w:color w:val="000000"/>
                <w:sz w:val="16"/>
                <w:szCs w:val="16"/>
              </w:rPr>
            </w:pPr>
            <w:r w:rsidRPr="001A00B0">
              <w:rPr>
                <w:sz w:val="16"/>
                <w:szCs w:val="16"/>
              </w:rPr>
              <w:t>1,458</w:t>
            </w:r>
          </w:p>
        </w:tc>
        <w:tc>
          <w:tcPr>
            <w:tcW w:w="373" w:type="pct"/>
            <w:gridSpan w:val="2"/>
            <w:shd w:val="clear" w:color="auto" w:fill="FFFFFF" w:themeFill="background1"/>
          </w:tcPr>
          <w:p w14:paraId="46AAB7B0" w14:textId="5FC4C9C4" w:rsidR="0035509B" w:rsidRPr="006148BE" w:rsidRDefault="0035509B" w:rsidP="0035509B">
            <w:pPr>
              <w:rPr>
                <w:color w:val="000000"/>
                <w:sz w:val="16"/>
                <w:szCs w:val="16"/>
              </w:rPr>
            </w:pPr>
            <w:r w:rsidRPr="001A00B0">
              <w:rPr>
                <w:sz w:val="16"/>
                <w:szCs w:val="16"/>
              </w:rPr>
              <w:t>1,560</w:t>
            </w:r>
          </w:p>
        </w:tc>
        <w:tc>
          <w:tcPr>
            <w:tcW w:w="375" w:type="pct"/>
            <w:gridSpan w:val="2"/>
            <w:shd w:val="clear" w:color="auto" w:fill="FFFFFF" w:themeFill="background1"/>
          </w:tcPr>
          <w:p w14:paraId="1E55C5B6" w14:textId="1B7D5533" w:rsidR="0035509B" w:rsidRPr="006148BE" w:rsidRDefault="0035509B" w:rsidP="0035509B">
            <w:pPr>
              <w:rPr>
                <w:color w:val="000000"/>
                <w:sz w:val="16"/>
                <w:szCs w:val="16"/>
              </w:rPr>
            </w:pPr>
            <w:r w:rsidRPr="001A00B0">
              <w:rPr>
                <w:sz w:val="16"/>
                <w:szCs w:val="16"/>
              </w:rPr>
              <w:t>1,670</w:t>
            </w:r>
          </w:p>
        </w:tc>
        <w:tc>
          <w:tcPr>
            <w:tcW w:w="375" w:type="pct"/>
            <w:gridSpan w:val="2"/>
            <w:shd w:val="clear" w:color="auto" w:fill="FFFFFF" w:themeFill="background1"/>
          </w:tcPr>
          <w:p w14:paraId="5B8EAABC" w14:textId="323A35B5" w:rsidR="0035509B" w:rsidRPr="006148BE" w:rsidRDefault="0035509B" w:rsidP="0035509B">
            <w:pPr>
              <w:rPr>
                <w:color w:val="000000"/>
                <w:sz w:val="16"/>
                <w:szCs w:val="16"/>
              </w:rPr>
            </w:pPr>
            <w:r w:rsidRPr="001A00B0">
              <w:rPr>
                <w:sz w:val="16"/>
                <w:szCs w:val="16"/>
              </w:rPr>
              <w:t>1,787</w:t>
            </w:r>
          </w:p>
        </w:tc>
        <w:tc>
          <w:tcPr>
            <w:tcW w:w="373" w:type="pct"/>
            <w:gridSpan w:val="3"/>
            <w:shd w:val="clear" w:color="auto" w:fill="FFFFFF" w:themeFill="background1"/>
          </w:tcPr>
          <w:p w14:paraId="0B38E36A" w14:textId="7E2B32B9" w:rsidR="0035509B" w:rsidRPr="006148BE" w:rsidRDefault="0035509B" w:rsidP="0035509B">
            <w:pPr>
              <w:rPr>
                <w:color w:val="000000"/>
                <w:sz w:val="16"/>
                <w:szCs w:val="16"/>
              </w:rPr>
            </w:pPr>
            <w:r w:rsidRPr="001A00B0">
              <w:rPr>
                <w:sz w:val="16"/>
                <w:szCs w:val="16"/>
              </w:rPr>
              <w:t>1,912</w:t>
            </w:r>
          </w:p>
        </w:tc>
        <w:tc>
          <w:tcPr>
            <w:tcW w:w="377" w:type="pct"/>
            <w:gridSpan w:val="2"/>
            <w:shd w:val="clear" w:color="auto" w:fill="FFFFFF" w:themeFill="background1"/>
          </w:tcPr>
          <w:p w14:paraId="20790950" w14:textId="5A45D878" w:rsidR="0035509B" w:rsidRPr="006148BE" w:rsidRDefault="0035509B" w:rsidP="0035509B">
            <w:pPr>
              <w:rPr>
                <w:color w:val="000000"/>
                <w:sz w:val="16"/>
                <w:szCs w:val="16"/>
              </w:rPr>
            </w:pPr>
            <w:r w:rsidRPr="001A00B0">
              <w:rPr>
                <w:sz w:val="16"/>
                <w:szCs w:val="16"/>
              </w:rPr>
              <w:t>2,046</w:t>
            </w:r>
          </w:p>
        </w:tc>
        <w:tc>
          <w:tcPr>
            <w:tcW w:w="375" w:type="pct"/>
            <w:gridSpan w:val="3"/>
            <w:shd w:val="clear" w:color="auto" w:fill="FFFFFF" w:themeFill="background1"/>
          </w:tcPr>
          <w:p w14:paraId="5E67178E" w14:textId="448E57C6" w:rsidR="0035509B" w:rsidRPr="006148BE" w:rsidRDefault="0035509B" w:rsidP="0035509B">
            <w:pPr>
              <w:rPr>
                <w:color w:val="000000"/>
                <w:sz w:val="16"/>
                <w:szCs w:val="16"/>
              </w:rPr>
            </w:pPr>
            <w:r w:rsidRPr="001A00B0">
              <w:rPr>
                <w:sz w:val="16"/>
                <w:szCs w:val="16"/>
              </w:rPr>
              <w:t>2,189</w:t>
            </w:r>
          </w:p>
        </w:tc>
        <w:tc>
          <w:tcPr>
            <w:tcW w:w="373" w:type="pct"/>
            <w:gridSpan w:val="4"/>
            <w:shd w:val="clear" w:color="auto" w:fill="FFFFFF" w:themeFill="background1"/>
          </w:tcPr>
          <w:p w14:paraId="33FF8617" w14:textId="23CA1B27" w:rsidR="0035509B" w:rsidRPr="006148BE" w:rsidRDefault="0035509B" w:rsidP="0035509B">
            <w:pPr>
              <w:rPr>
                <w:color w:val="000000"/>
                <w:sz w:val="16"/>
                <w:szCs w:val="16"/>
              </w:rPr>
            </w:pPr>
            <w:r w:rsidRPr="001A00B0">
              <w:rPr>
                <w:sz w:val="16"/>
                <w:szCs w:val="16"/>
              </w:rPr>
              <w:t>2,343</w:t>
            </w:r>
          </w:p>
        </w:tc>
        <w:tc>
          <w:tcPr>
            <w:tcW w:w="376" w:type="pct"/>
            <w:gridSpan w:val="2"/>
            <w:shd w:val="clear" w:color="auto" w:fill="FFFFFF" w:themeFill="background1"/>
          </w:tcPr>
          <w:p w14:paraId="6CC80296" w14:textId="1B8060F1" w:rsidR="0035509B" w:rsidRPr="006148BE" w:rsidRDefault="0035509B" w:rsidP="0035509B">
            <w:pPr>
              <w:rPr>
                <w:color w:val="000000"/>
                <w:sz w:val="16"/>
                <w:szCs w:val="16"/>
              </w:rPr>
            </w:pPr>
            <w:r w:rsidRPr="001A00B0">
              <w:rPr>
                <w:sz w:val="16"/>
                <w:szCs w:val="16"/>
              </w:rPr>
              <w:t>2,507</w:t>
            </w:r>
          </w:p>
        </w:tc>
        <w:tc>
          <w:tcPr>
            <w:tcW w:w="379" w:type="pct"/>
            <w:shd w:val="clear" w:color="auto" w:fill="FFFFFF" w:themeFill="background1"/>
          </w:tcPr>
          <w:p w14:paraId="5018135A" w14:textId="39BD483E" w:rsidR="0035509B" w:rsidRPr="006148BE" w:rsidRDefault="0035509B" w:rsidP="0035509B">
            <w:pPr>
              <w:rPr>
                <w:color w:val="000000"/>
                <w:sz w:val="16"/>
                <w:szCs w:val="16"/>
              </w:rPr>
            </w:pPr>
            <w:r w:rsidRPr="001A00B0">
              <w:rPr>
                <w:sz w:val="16"/>
                <w:szCs w:val="16"/>
              </w:rPr>
              <w:t>2,683</w:t>
            </w:r>
          </w:p>
        </w:tc>
        <w:tc>
          <w:tcPr>
            <w:tcW w:w="440" w:type="pct"/>
            <w:gridSpan w:val="2"/>
            <w:shd w:val="clear" w:color="auto" w:fill="FFFFFF" w:themeFill="background1"/>
          </w:tcPr>
          <w:p w14:paraId="46AB3C09" w14:textId="25AF25F5" w:rsidR="0035509B" w:rsidRPr="006148BE" w:rsidRDefault="0035509B" w:rsidP="0035509B">
            <w:pPr>
              <w:rPr>
                <w:sz w:val="16"/>
                <w:szCs w:val="16"/>
              </w:rPr>
            </w:pPr>
            <w:r w:rsidRPr="006148BE">
              <w:rPr>
                <w:sz w:val="16"/>
                <w:szCs w:val="16"/>
              </w:rPr>
              <w:t>20,155</w:t>
            </w:r>
          </w:p>
        </w:tc>
      </w:tr>
      <w:tr w:rsidR="00D54FC8" w:rsidRPr="00875DBE" w14:paraId="5CA1D422" w14:textId="77777777" w:rsidTr="00FF2F5D">
        <w:trPr>
          <w:trHeight w:val="357"/>
        </w:trPr>
        <w:tc>
          <w:tcPr>
            <w:tcW w:w="515" w:type="pct"/>
            <w:shd w:val="clear" w:color="auto" w:fill="FFFFFF" w:themeFill="background1"/>
          </w:tcPr>
          <w:p w14:paraId="6F4B711C" w14:textId="301F0BA4" w:rsidR="0035509B" w:rsidRPr="006148BE" w:rsidDel="00F63D09" w:rsidRDefault="0035509B" w:rsidP="006148BE">
            <w:pPr>
              <w:ind w:left="-30"/>
              <w:rPr>
                <w:color w:val="000000"/>
                <w:sz w:val="16"/>
                <w:szCs w:val="16"/>
              </w:rPr>
            </w:pPr>
            <w:r w:rsidRPr="006148BE">
              <w:rPr>
                <w:sz w:val="16"/>
                <w:szCs w:val="16"/>
              </w:rPr>
              <w:t>Fundusz Ubezpieczeń Społecznych</w:t>
            </w:r>
          </w:p>
        </w:tc>
        <w:tc>
          <w:tcPr>
            <w:tcW w:w="209" w:type="pct"/>
            <w:gridSpan w:val="2"/>
            <w:shd w:val="clear" w:color="auto" w:fill="FFFFFF" w:themeFill="background1"/>
          </w:tcPr>
          <w:p w14:paraId="3C3F36E8" w14:textId="248E5170"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602A464F" w14:textId="2D8939DB" w:rsidR="0035509B" w:rsidRPr="006148BE" w:rsidRDefault="0035509B" w:rsidP="0035509B">
            <w:pPr>
              <w:rPr>
                <w:color w:val="000000"/>
                <w:sz w:val="16"/>
                <w:szCs w:val="16"/>
              </w:rPr>
            </w:pPr>
            <w:r w:rsidRPr="001A00B0">
              <w:rPr>
                <w:sz w:val="16"/>
                <w:szCs w:val="16"/>
              </w:rPr>
              <w:t>28,569</w:t>
            </w:r>
          </w:p>
        </w:tc>
        <w:tc>
          <w:tcPr>
            <w:tcW w:w="373" w:type="pct"/>
            <w:gridSpan w:val="2"/>
            <w:shd w:val="clear" w:color="auto" w:fill="FFFFFF" w:themeFill="background1"/>
          </w:tcPr>
          <w:p w14:paraId="50D83158" w14:textId="047D5D68" w:rsidR="0035509B" w:rsidRPr="006148BE" w:rsidRDefault="0035509B" w:rsidP="0035509B">
            <w:pPr>
              <w:rPr>
                <w:color w:val="000000"/>
                <w:sz w:val="16"/>
                <w:szCs w:val="16"/>
              </w:rPr>
            </w:pPr>
            <w:r w:rsidRPr="001A00B0">
              <w:rPr>
                <w:sz w:val="16"/>
                <w:szCs w:val="16"/>
              </w:rPr>
              <w:t>33,170</w:t>
            </w:r>
          </w:p>
        </w:tc>
        <w:tc>
          <w:tcPr>
            <w:tcW w:w="375" w:type="pct"/>
            <w:gridSpan w:val="2"/>
            <w:shd w:val="clear" w:color="auto" w:fill="FFFFFF" w:themeFill="background1"/>
          </w:tcPr>
          <w:p w14:paraId="10E9E559" w14:textId="5874FFE6" w:rsidR="0035509B" w:rsidRPr="006148BE" w:rsidRDefault="0035509B" w:rsidP="0035509B">
            <w:pPr>
              <w:rPr>
                <w:color w:val="000000"/>
                <w:sz w:val="16"/>
                <w:szCs w:val="16"/>
              </w:rPr>
            </w:pPr>
            <w:r w:rsidRPr="001A00B0">
              <w:rPr>
                <w:sz w:val="16"/>
                <w:szCs w:val="16"/>
              </w:rPr>
              <w:t>35,495</w:t>
            </w:r>
          </w:p>
        </w:tc>
        <w:tc>
          <w:tcPr>
            <w:tcW w:w="375" w:type="pct"/>
            <w:gridSpan w:val="2"/>
            <w:shd w:val="clear" w:color="auto" w:fill="FFFFFF" w:themeFill="background1"/>
          </w:tcPr>
          <w:p w14:paraId="78103BC7" w14:textId="1B89FF56" w:rsidR="0035509B" w:rsidRPr="006148BE" w:rsidRDefault="0035509B" w:rsidP="0035509B">
            <w:pPr>
              <w:rPr>
                <w:color w:val="000000"/>
                <w:sz w:val="16"/>
                <w:szCs w:val="16"/>
              </w:rPr>
            </w:pPr>
            <w:r w:rsidRPr="001A00B0">
              <w:rPr>
                <w:sz w:val="16"/>
                <w:szCs w:val="16"/>
              </w:rPr>
              <w:t>37,984</w:t>
            </w:r>
          </w:p>
        </w:tc>
        <w:tc>
          <w:tcPr>
            <w:tcW w:w="373" w:type="pct"/>
            <w:gridSpan w:val="3"/>
            <w:shd w:val="clear" w:color="auto" w:fill="FFFFFF" w:themeFill="background1"/>
          </w:tcPr>
          <w:p w14:paraId="21D24731" w14:textId="1815457C" w:rsidR="0035509B" w:rsidRPr="006148BE" w:rsidRDefault="0035509B" w:rsidP="0035509B">
            <w:pPr>
              <w:rPr>
                <w:color w:val="000000"/>
                <w:sz w:val="16"/>
                <w:szCs w:val="16"/>
              </w:rPr>
            </w:pPr>
            <w:r w:rsidRPr="001A00B0">
              <w:rPr>
                <w:sz w:val="16"/>
                <w:szCs w:val="16"/>
              </w:rPr>
              <w:t>40,646</w:t>
            </w:r>
          </w:p>
        </w:tc>
        <w:tc>
          <w:tcPr>
            <w:tcW w:w="377" w:type="pct"/>
            <w:gridSpan w:val="2"/>
            <w:shd w:val="clear" w:color="auto" w:fill="FFFFFF" w:themeFill="background1"/>
          </w:tcPr>
          <w:p w14:paraId="1B01ED0F" w14:textId="03176537" w:rsidR="0035509B" w:rsidRPr="006148BE" w:rsidRDefault="0035509B" w:rsidP="0035509B">
            <w:pPr>
              <w:rPr>
                <w:color w:val="000000"/>
                <w:sz w:val="16"/>
                <w:szCs w:val="16"/>
              </w:rPr>
            </w:pPr>
            <w:r w:rsidRPr="001A00B0">
              <w:rPr>
                <w:sz w:val="16"/>
                <w:szCs w:val="16"/>
              </w:rPr>
              <w:t>43,496</w:t>
            </w:r>
          </w:p>
        </w:tc>
        <w:tc>
          <w:tcPr>
            <w:tcW w:w="375" w:type="pct"/>
            <w:gridSpan w:val="3"/>
            <w:shd w:val="clear" w:color="auto" w:fill="FFFFFF" w:themeFill="background1"/>
          </w:tcPr>
          <w:p w14:paraId="33F00C27" w14:textId="3392A72E" w:rsidR="0035509B" w:rsidRPr="006148BE" w:rsidRDefault="0035509B" w:rsidP="0035509B">
            <w:pPr>
              <w:rPr>
                <w:color w:val="000000"/>
                <w:sz w:val="16"/>
                <w:szCs w:val="16"/>
              </w:rPr>
            </w:pPr>
            <w:r w:rsidRPr="001A00B0">
              <w:rPr>
                <w:sz w:val="16"/>
                <w:szCs w:val="16"/>
              </w:rPr>
              <w:t>46,545</w:t>
            </w:r>
          </w:p>
        </w:tc>
        <w:tc>
          <w:tcPr>
            <w:tcW w:w="373" w:type="pct"/>
            <w:gridSpan w:val="4"/>
            <w:shd w:val="clear" w:color="auto" w:fill="FFFFFF" w:themeFill="background1"/>
          </w:tcPr>
          <w:p w14:paraId="1B0EF462" w14:textId="1C244C08" w:rsidR="0035509B" w:rsidRPr="006148BE" w:rsidRDefault="0035509B" w:rsidP="0035509B">
            <w:pPr>
              <w:rPr>
                <w:color w:val="000000"/>
                <w:sz w:val="16"/>
                <w:szCs w:val="16"/>
              </w:rPr>
            </w:pPr>
            <w:r w:rsidRPr="001A00B0">
              <w:rPr>
                <w:sz w:val="16"/>
                <w:szCs w:val="16"/>
              </w:rPr>
              <w:t>49,808</w:t>
            </w:r>
          </w:p>
        </w:tc>
        <w:tc>
          <w:tcPr>
            <w:tcW w:w="376" w:type="pct"/>
            <w:gridSpan w:val="2"/>
            <w:shd w:val="clear" w:color="auto" w:fill="FFFFFF" w:themeFill="background1"/>
          </w:tcPr>
          <w:p w14:paraId="27C220A1" w14:textId="3785A1DA" w:rsidR="0035509B" w:rsidRPr="006148BE" w:rsidRDefault="0035509B" w:rsidP="0035509B">
            <w:pPr>
              <w:rPr>
                <w:color w:val="000000"/>
                <w:sz w:val="16"/>
                <w:szCs w:val="16"/>
              </w:rPr>
            </w:pPr>
            <w:r w:rsidRPr="001A00B0">
              <w:rPr>
                <w:sz w:val="16"/>
                <w:szCs w:val="16"/>
              </w:rPr>
              <w:t>53,299</w:t>
            </w:r>
          </w:p>
        </w:tc>
        <w:tc>
          <w:tcPr>
            <w:tcW w:w="379" w:type="pct"/>
            <w:shd w:val="clear" w:color="auto" w:fill="FFFFFF" w:themeFill="background1"/>
          </w:tcPr>
          <w:p w14:paraId="5D6A8FD6" w14:textId="1B8DFFE6" w:rsidR="0035509B" w:rsidRPr="006148BE" w:rsidRDefault="0035509B" w:rsidP="0035509B">
            <w:pPr>
              <w:rPr>
                <w:color w:val="000000"/>
                <w:sz w:val="16"/>
                <w:szCs w:val="16"/>
              </w:rPr>
            </w:pPr>
            <w:r w:rsidRPr="001A00B0">
              <w:rPr>
                <w:sz w:val="16"/>
                <w:szCs w:val="16"/>
              </w:rPr>
              <w:t>57,035</w:t>
            </w:r>
          </w:p>
        </w:tc>
        <w:tc>
          <w:tcPr>
            <w:tcW w:w="440" w:type="pct"/>
            <w:gridSpan w:val="2"/>
            <w:shd w:val="clear" w:color="auto" w:fill="FFFFFF" w:themeFill="background1"/>
          </w:tcPr>
          <w:p w14:paraId="5C1CEC4B" w14:textId="4B4FEC6A" w:rsidR="0035509B" w:rsidRPr="006148BE" w:rsidRDefault="0035509B" w:rsidP="0035509B">
            <w:pPr>
              <w:rPr>
                <w:sz w:val="16"/>
                <w:szCs w:val="16"/>
              </w:rPr>
            </w:pPr>
            <w:r w:rsidRPr="006148BE">
              <w:rPr>
                <w:sz w:val="16"/>
                <w:szCs w:val="16"/>
              </w:rPr>
              <w:t>426,047</w:t>
            </w:r>
          </w:p>
        </w:tc>
      </w:tr>
      <w:tr w:rsidR="00D54FC8" w:rsidRPr="00875DBE" w14:paraId="427417B0" w14:textId="77777777" w:rsidTr="00FF2F5D">
        <w:trPr>
          <w:trHeight w:val="357"/>
        </w:trPr>
        <w:tc>
          <w:tcPr>
            <w:tcW w:w="515" w:type="pct"/>
            <w:shd w:val="clear" w:color="auto" w:fill="FFFFFF" w:themeFill="background1"/>
          </w:tcPr>
          <w:p w14:paraId="28303022" w14:textId="320E6FB7" w:rsidR="0035509B" w:rsidRPr="006148BE" w:rsidDel="00F63D09" w:rsidRDefault="0035509B" w:rsidP="006148BE">
            <w:pPr>
              <w:ind w:left="-30"/>
              <w:rPr>
                <w:color w:val="000000"/>
                <w:sz w:val="16"/>
                <w:szCs w:val="16"/>
              </w:rPr>
            </w:pPr>
            <w:r w:rsidRPr="006148BE">
              <w:rPr>
                <w:sz w:val="16"/>
                <w:szCs w:val="16"/>
              </w:rPr>
              <w:t>Narodowy Fundusz Zdrowia</w:t>
            </w:r>
          </w:p>
        </w:tc>
        <w:tc>
          <w:tcPr>
            <w:tcW w:w="209" w:type="pct"/>
            <w:gridSpan w:val="2"/>
            <w:shd w:val="clear" w:color="auto" w:fill="FFFFFF" w:themeFill="background1"/>
          </w:tcPr>
          <w:p w14:paraId="5BB35F31" w14:textId="02D7075D" w:rsidR="0035509B" w:rsidRPr="006148BE" w:rsidRDefault="0035509B" w:rsidP="0035509B">
            <w:pPr>
              <w:rPr>
                <w:color w:val="000000"/>
                <w:sz w:val="16"/>
                <w:szCs w:val="16"/>
              </w:rPr>
            </w:pPr>
            <w:r w:rsidRPr="006148BE">
              <w:rPr>
                <w:sz w:val="16"/>
                <w:szCs w:val="16"/>
              </w:rPr>
              <w:t>0</w:t>
            </w:r>
          </w:p>
        </w:tc>
        <w:tc>
          <w:tcPr>
            <w:tcW w:w="460" w:type="pct"/>
            <w:gridSpan w:val="2"/>
            <w:shd w:val="clear" w:color="auto" w:fill="FFFFFF" w:themeFill="background1"/>
          </w:tcPr>
          <w:p w14:paraId="0B57C8A6" w14:textId="319EECAD" w:rsidR="0035509B" w:rsidRPr="006148BE" w:rsidRDefault="0035509B" w:rsidP="0035509B">
            <w:pPr>
              <w:rPr>
                <w:color w:val="000000"/>
                <w:sz w:val="16"/>
                <w:szCs w:val="16"/>
              </w:rPr>
            </w:pPr>
            <w:r w:rsidRPr="001A00B0">
              <w:rPr>
                <w:sz w:val="16"/>
                <w:szCs w:val="16"/>
              </w:rPr>
              <w:t>7,81</w:t>
            </w:r>
          </w:p>
        </w:tc>
        <w:tc>
          <w:tcPr>
            <w:tcW w:w="373" w:type="pct"/>
            <w:gridSpan w:val="2"/>
            <w:shd w:val="clear" w:color="auto" w:fill="FFFFFF" w:themeFill="background1"/>
          </w:tcPr>
          <w:p w14:paraId="41B946B8" w14:textId="38EA85AF" w:rsidR="0035509B" w:rsidRPr="006148BE" w:rsidRDefault="0035509B" w:rsidP="0035509B">
            <w:pPr>
              <w:rPr>
                <w:color w:val="000000"/>
                <w:sz w:val="16"/>
                <w:szCs w:val="16"/>
              </w:rPr>
            </w:pPr>
            <w:r w:rsidRPr="001A00B0">
              <w:rPr>
                <w:sz w:val="16"/>
                <w:szCs w:val="16"/>
              </w:rPr>
              <w:t>9,07</w:t>
            </w:r>
          </w:p>
        </w:tc>
        <w:tc>
          <w:tcPr>
            <w:tcW w:w="375" w:type="pct"/>
            <w:gridSpan w:val="2"/>
            <w:shd w:val="clear" w:color="auto" w:fill="FFFFFF" w:themeFill="background1"/>
          </w:tcPr>
          <w:p w14:paraId="7BDAE671" w14:textId="18176670" w:rsidR="0035509B" w:rsidRPr="006148BE" w:rsidRDefault="0035509B" w:rsidP="0035509B">
            <w:pPr>
              <w:rPr>
                <w:color w:val="000000"/>
                <w:sz w:val="16"/>
                <w:szCs w:val="16"/>
              </w:rPr>
            </w:pPr>
            <w:r w:rsidRPr="001A00B0">
              <w:rPr>
                <w:sz w:val="16"/>
                <w:szCs w:val="16"/>
              </w:rPr>
              <w:t>9,70</w:t>
            </w:r>
          </w:p>
        </w:tc>
        <w:tc>
          <w:tcPr>
            <w:tcW w:w="375" w:type="pct"/>
            <w:gridSpan w:val="2"/>
            <w:shd w:val="clear" w:color="auto" w:fill="FFFFFF" w:themeFill="background1"/>
          </w:tcPr>
          <w:p w14:paraId="17C788F2" w14:textId="54C1A4B0" w:rsidR="0035509B" w:rsidRPr="006148BE" w:rsidRDefault="0035509B" w:rsidP="0035509B">
            <w:pPr>
              <w:rPr>
                <w:color w:val="000000"/>
                <w:sz w:val="16"/>
                <w:szCs w:val="16"/>
              </w:rPr>
            </w:pPr>
            <w:r w:rsidRPr="001A00B0">
              <w:rPr>
                <w:sz w:val="16"/>
                <w:szCs w:val="16"/>
              </w:rPr>
              <w:t>10,38</w:t>
            </w:r>
          </w:p>
        </w:tc>
        <w:tc>
          <w:tcPr>
            <w:tcW w:w="373" w:type="pct"/>
            <w:gridSpan w:val="3"/>
            <w:shd w:val="clear" w:color="auto" w:fill="FFFFFF" w:themeFill="background1"/>
          </w:tcPr>
          <w:p w14:paraId="5CDD642F" w14:textId="23D7D126" w:rsidR="0035509B" w:rsidRPr="006148BE" w:rsidRDefault="0035509B" w:rsidP="0035509B">
            <w:pPr>
              <w:rPr>
                <w:color w:val="000000"/>
                <w:sz w:val="16"/>
                <w:szCs w:val="16"/>
              </w:rPr>
            </w:pPr>
            <w:r w:rsidRPr="001A00B0">
              <w:rPr>
                <w:sz w:val="16"/>
                <w:szCs w:val="16"/>
              </w:rPr>
              <w:t>11,11</w:t>
            </w:r>
          </w:p>
        </w:tc>
        <w:tc>
          <w:tcPr>
            <w:tcW w:w="377" w:type="pct"/>
            <w:gridSpan w:val="2"/>
            <w:shd w:val="clear" w:color="auto" w:fill="FFFFFF" w:themeFill="background1"/>
          </w:tcPr>
          <w:p w14:paraId="345948B9" w14:textId="297F7726" w:rsidR="0035509B" w:rsidRPr="006148BE" w:rsidRDefault="0035509B" w:rsidP="0035509B">
            <w:pPr>
              <w:rPr>
                <w:color w:val="000000"/>
                <w:sz w:val="16"/>
                <w:szCs w:val="16"/>
              </w:rPr>
            </w:pPr>
            <w:r w:rsidRPr="001A00B0">
              <w:rPr>
                <w:sz w:val="16"/>
                <w:szCs w:val="16"/>
              </w:rPr>
              <w:t>11,55</w:t>
            </w:r>
          </w:p>
        </w:tc>
        <w:tc>
          <w:tcPr>
            <w:tcW w:w="375" w:type="pct"/>
            <w:gridSpan w:val="3"/>
            <w:shd w:val="clear" w:color="auto" w:fill="FFFFFF" w:themeFill="background1"/>
          </w:tcPr>
          <w:p w14:paraId="6047BF64" w14:textId="1A0AA634" w:rsidR="0035509B" w:rsidRPr="006148BE" w:rsidRDefault="0035509B" w:rsidP="0035509B">
            <w:pPr>
              <w:rPr>
                <w:color w:val="000000"/>
                <w:sz w:val="16"/>
                <w:szCs w:val="16"/>
              </w:rPr>
            </w:pPr>
            <w:r w:rsidRPr="001A00B0">
              <w:rPr>
                <w:sz w:val="16"/>
                <w:szCs w:val="16"/>
              </w:rPr>
              <w:t>11,89</w:t>
            </w:r>
          </w:p>
        </w:tc>
        <w:tc>
          <w:tcPr>
            <w:tcW w:w="373" w:type="pct"/>
            <w:gridSpan w:val="4"/>
            <w:shd w:val="clear" w:color="auto" w:fill="FFFFFF" w:themeFill="background1"/>
          </w:tcPr>
          <w:p w14:paraId="3B864588" w14:textId="2596D19D" w:rsidR="0035509B" w:rsidRPr="006148BE" w:rsidRDefault="0035509B" w:rsidP="0035509B">
            <w:pPr>
              <w:rPr>
                <w:color w:val="000000"/>
                <w:sz w:val="16"/>
                <w:szCs w:val="16"/>
              </w:rPr>
            </w:pPr>
            <w:r w:rsidRPr="001A00B0">
              <w:rPr>
                <w:sz w:val="16"/>
                <w:szCs w:val="16"/>
              </w:rPr>
              <w:t>12,36</w:t>
            </w:r>
          </w:p>
        </w:tc>
        <w:tc>
          <w:tcPr>
            <w:tcW w:w="376" w:type="pct"/>
            <w:gridSpan w:val="2"/>
            <w:shd w:val="clear" w:color="auto" w:fill="FFFFFF" w:themeFill="background1"/>
          </w:tcPr>
          <w:p w14:paraId="292642F5" w14:textId="25F43AC5" w:rsidR="0035509B" w:rsidRPr="006148BE" w:rsidRDefault="0035509B" w:rsidP="0035509B">
            <w:pPr>
              <w:rPr>
                <w:color w:val="000000"/>
                <w:sz w:val="16"/>
                <w:szCs w:val="16"/>
              </w:rPr>
            </w:pPr>
            <w:r w:rsidRPr="001A00B0">
              <w:rPr>
                <w:sz w:val="16"/>
                <w:szCs w:val="16"/>
              </w:rPr>
              <w:t>13,23</w:t>
            </w:r>
          </w:p>
        </w:tc>
        <w:tc>
          <w:tcPr>
            <w:tcW w:w="379" w:type="pct"/>
            <w:shd w:val="clear" w:color="auto" w:fill="FFFFFF" w:themeFill="background1"/>
          </w:tcPr>
          <w:p w14:paraId="3BE36E98" w14:textId="222097A2" w:rsidR="0035509B" w:rsidRPr="006148BE" w:rsidRDefault="0035509B" w:rsidP="0035509B">
            <w:pPr>
              <w:rPr>
                <w:color w:val="000000"/>
                <w:sz w:val="16"/>
                <w:szCs w:val="16"/>
              </w:rPr>
            </w:pPr>
            <w:r w:rsidRPr="001A00B0">
              <w:rPr>
                <w:sz w:val="16"/>
                <w:szCs w:val="16"/>
              </w:rPr>
              <w:t>13,23</w:t>
            </w:r>
          </w:p>
        </w:tc>
        <w:tc>
          <w:tcPr>
            <w:tcW w:w="440" w:type="pct"/>
            <w:gridSpan w:val="2"/>
            <w:shd w:val="clear" w:color="auto" w:fill="FFFFFF" w:themeFill="background1"/>
          </w:tcPr>
          <w:p w14:paraId="1F16A2E6" w14:textId="542D7220" w:rsidR="0035509B" w:rsidRPr="006148BE" w:rsidRDefault="0035509B" w:rsidP="0035509B">
            <w:pPr>
              <w:rPr>
                <w:sz w:val="16"/>
                <w:szCs w:val="16"/>
              </w:rPr>
            </w:pPr>
            <w:r w:rsidRPr="006148BE">
              <w:rPr>
                <w:sz w:val="16"/>
                <w:szCs w:val="16"/>
              </w:rPr>
              <w:t>110,34</w:t>
            </w:r>
          </w:p>
        </w:tc>
      </w:tr>
      <w:tr w:rsidR="00600D9B" w:rsidRPr="00875DBE" w14:paraId="53F27D3A" w14:textId="77777777" w:rsidTr="00E625E7">
        <w:trPr>
          <w:trHeight w:val="348"/>
        </w:trPr>
        <w:tc>
          <w:tcPr>
            <w:tcW w:w="759" w:type="pct"/>
            <w:gridSpan w:val="4"/>
            <w:shd w:val="clear" w:color="auto" w:fill="FFFFFF" w:themeFill="background1"/>
            <w:vAlign w:val="center"/>
          </w:tcPr>
          <w:p w14:paraId="6BA97B91" w14:textId="77777777" w:rsidR="00600D9B" w:rsidRPr="00875DBE" w:rsidRDefault="00600D9B" w:rsidP="00600D9B">
            <w:pPr>
              <w:rPr>
                <w:color w:val="000000"/>
              </w:rPr>
            </w:pPr>
            <w:r w:rsidRPr="00875DBE">
              <w:rPr>
                <w:color w:val="000000"/>
              </w:rPr>
              <w:t xml:space="preserve">Źródła finansowania </w:t>
            </w:r>
          </w:p>
        </w:tc>
        <w:tc>
          <w:tcPr>
            <w:tcW w:w="4241" w:type="pct"/>
            <w:gridSpan w:val="24"/>
            <w:shd w:val="clear" w:color="auto" w:fill="FFFFFF" w:themeFill="background1"/>
            <w:vAlign w:val="center"/>
          </w:tcPr>
          <w:p w14:paraId="34F0A36A" w14:textId="66F19826" w:rsidR="00600D9B" w:rsidRPr="00916CCA" w:rsidRDefault="00600D9B" w:rsidP="00600D9B">
            <w:pPr>
              <w:rPr>
                <w:color w:val="000000"/>
              </w:rPr>
            </w:pPr>
            <w:r w:rsidRPr="00916CCA">
              <w:rPr>
                <w:color w:val="000000"/>
              </w:rPr>
              <w:t>Budżet państwa w częściach:</w:t>
            </w:r>
          </w:p>
          <w:p w14:paraId="34E00249" w14:textId="40A92B58" w:rsidR="00600D9B" w:rsidRPr="00875DBE" w:rsidRDefault="00600D9B" w:rsidP="00600D9B">
            <w:pPr>
              <w:pStyle w:val="Akapitzlist"/>
              <w:numPr>
                <w:ilvl w:val="0"/>
                <w:numId w:val="29"/>
              </w:numPr>
              <w:rPr>
                <w:color w:val="000000"/>
              </w:rPr>
            </w:pPr>
            <w:r w:rsidRPr="00875DBE">
              <w:rPr>
                <w:color w:val="000000"/>
              </w:rPr>
              <w:t>16</w:t>
            </w:r>
            <w:r w:rsidRPr="00875DBE">
              <w:rPr>
                <w:color w:val="000000"/>
              </w:rPr>
              <w:tab/>
              <w:t>Kancelaria Prezesa Rady Ministrów</w:t>
            </w:r>
          </w:p>
          <w:p w14:paraId="5D1F5A37" w14:textId="77777777" w:rsidR="00600D9B" w:rsidRPr="00875DBE" w:rsidRDefault="00600D9B" w:rsidP="00600D9B">
            <w:pPr>
              <w:pStyle w:val="Akapitzlist"/>
              <w:numPr>
                <w:ilvl w:val="0"/>
                <w:numId w:val="29"/>
              </w:numPr>
              <w:rPr>
                <w:color w:val="000000"/>
              </w:rPr>
            </w:pPr>
            <w:r w:rsidRPr="00875DBE">
              <w:rPr>
                <w:color w:val="000000"/>
              </w:rPr>
              <w:t>20</w:t>
            </w:r>
            <w:r w:rsidRPr="00875DBE">
              <w:rPr>
                <w:color w:val="000000"/>
              </w:rPr>
              <w:tab/>
              <w:t>gospodarka</w:t>
            </w:r>
          </w:p>
          <w:p w14:paraId="7D9CBFF5" w14:textId="77777777" w:rsidR="00600D9B" w:rsidRPr="00875DBE" w:rsidRDefault="00600D9B" w:rsidP="00600D9B">
            <w:pPr>
              <w:pStyle w:val="Akapitzlist"/>
              <w:numPr>
                <w:ilvl w:val="0"/>
                <w:numId w:val="29"/>
              </w:numPr>
              <w:rPr>
                <w:color w:val="000000"/>
              </w:rPr>
            </w:pPr>
            <w:r w:rsidRPr="00875DBE">
              <w:rPr>
                <w:color w:val="000000"/>
              </w:rPr>
              <w:t>21</w:t>
            </w:r>
            <w:r w:rsidRPr="00875DBE">
              <w:rPr>
                <w:color w:val="000000"/>
              </w:rPr>
              <w:tab/>
              <w:t>gospodarka morska</w:t>
            </w:r>
          </w:p>
          <w:p w14:paraId="34AB944C" w14:textId="77777777" w:rsidR="00600D9B" w:rsidRPr="00875DBE" w:rsidRDefault="00600D9B" w:rsidP="00600D9B">
            <w:pPr>
              <w:pStyle w:val="Akapitzlist"/>
              <w:numPr>
                <w:ilvl w:val="0"/>
                <w:numId w:val="29"/>
              </w:numPr>
              <w:rPr>
                <w:color w:val="000000"/>
              </w:rPr>
            </w:pPr>
            <w:r w:rsidRPr="00875DBE">
              <w:rPr>
                <w:color w:val="000000"/>
              </w:rPr>
              <w:t>22</w:t>
            </w:r>
            <w:r w:rsidRPr="00875DBE">
              <w:rPr>
                <w:color w:val="000000"/>
              </w:rPr>
              <w:tab/>
              <w:t>gospodarka wodna</w:t>
            </w:r>
          </w:p>
          <w:p w14:paraId="7FE9CAF4" w14:textId="77777777" w:rsidR="00600D9B" w:rsidRPr="00875DBE" w:rsidRDefault="00600D9B" w:rsidP="00600D9B">
            <w:pPr>
              <w:pStyle w:val="Akapitzlist"/>
              <w:numPr>
                <w:ilvl w:val="0"/>
                <w:numId w:val="29"/>
              </w:numPr>
              <w:rPr>
                <w:color w:val="000000"/>
              </w:rPr>
            </w:pPr>
            <w:r w:rsidRPr="00875DBE">
              <w:rPr>
                <w:color w:val="000000"/>
              </w:rPr>
              <w:t>27</w:t>
            </w:r>
            <w:r w:rsidRPr="00875DBE">
              <w:rPr>
                <w:color w:val="000000"/>
              </w:rPr>
              <w:tab/>
              <w:t>informatyzacja</w:t>
            </w:r>
          </w:p>
          <w:p w14:paraId="50DA1826" w14:textId="538E698B" w:rsidR="00600D9B" w:rsidRPr="00875DBE" w:rsidRDefault="00600D9B" w:rsidP="00600D9B">
            <w:pPr>
              <w:pStyle w:val="Akapitzlist"/>
              <w:numPr>
                <w:ilvl w:val="0"/>
                <w:numId w:val="29"/>
              </w:numPr>
              <w:rPr>
                <w:color w:val="000000"/>
              </w:rPr>
            </w:pPr>
            <w:r w:rsidRPr="00875DBE">
              <w:rPr>
                <w:color w:val="000000"/>
              </w:rPr>
              <w:t>28</w:t>
            </w:r>
            <w:r w:rsidRPr="00875DBE">
              <w:rPr>
                <w:color w:val="000000"/>
              </w:rPr>
              <w:tab/>
              <w:t>szkolnictwo wyższe i nauka</w:t>
            </w:r>
          </w:p>
          <w:p w14:paraId="1B6440FE" w14:textId="77777777" w:rsidR="00600D9B" w:rsidRPr="00875DBE" w:rsidRDefault="00600D9B" w:rsidP="00600D9B">
            <w:pPr>
              <w:pStyle w:val="Akapitzlist"/>
              <w:numPr>
                <w:ilvl w:val="0"/>
                <w:numId w:val="29"/>
              </w:numPr>
              <w:rPr>
                <w:color w:val="000000"/>
              </w:rPr>
            </w:pPr>
            <w:r w:rsidRPr="00875DBE">
              <w:rPr>
                <w:color w:val="000000"/>
              </w:rPr>
              <w:lastRenderedPageBreak/>
              <w:t>32</w:t>
            </w:r>
            <w:r w:rsidRPr="00875DBE">
              <w:rPr>
                <w:color w:val="000000"/>
              </w:rPr>
              <w:tab/>
              <w:t>rolnictwo</w:t>
            </w:r>
          </w:p>
          <w:p w14:paraId="4AD8EA8B" w14:textId="77777777" w:rsidR="00600D9B" w:rsidRPr="00875DBE" w:rsidRDefault="00600D9B" w:rsidP="00600D9B">
            <w:pPr>
              <w:pStyle w:val="Akapitzlist"/>
              <w:numPr>
                <w:ilvl w:val="0"/>
                <w:numId w:val="29"/>
              </w:numPr>
              <w:rPr>
                <w:color w:val="000000"/>
              </w:rPr>
            </w:pPr>
            <w:r w:rsidRPr="00875DBE">
              <w:rPr>
                <w:color w:val="000000"/>
              </w:rPr>
              <w:t>39</w:t>
            </w:r>
            <w:r w:rsidRPr="00875DBE">
              <w:rPr>
                <w:color w:val="000000"/>
              </w:rPr>
              <w:tab/>
              <w:t>transport</w:t>
            </w:r>
          </w:p>
          <w:p w14:paraId="73E2B46E" w14:textId="77777777" w:rsidR="00600D9B" w:rsidRPr="00875DBE" w:rsidRDefault="00600D9B" w:rsidP="00600D9B">
            <w:pPr>
              <w:pStyle w:val="Akapitzlist"/>
              <w:numPr>
                <w:ilvl w:val="0"/>
                <w:numId w:val="29"/>
              </w:numPr>
              <w:rPr>
                <w:color w:val="000000"/>
              </w:rPr>
            </w:pPr>
            <w:r w:rsidRPr="00875DBE">
              <w:rPr>
                <w:color w:val="000000"/>
              </w:rPr>
              <w:t>46</w:t>
            </w:r>
            <w:r w:rsidRPr="00875DBE">
              <w:rPr>
                <w:color w:val="000000"/>
              </w:rPr>
              <w:tab/>
              <w:t>zdrowie</w:t>
            </w:r>
          </w:p>
          <w:p w14:paraId="7C6804C3" w14:textId="77777777" w:rsidR="00600D9B" w:rsidRPr="00875DBE" w:rsidRDefault="00600D9B" w:rsidP="00600D9B">
            <w:pPr>
              <w:pStyle w:val="Akapitzlist"/>
              <w:numPr>
                <w:ilvl w:val="0"/>
                <w:numId w:val="29"/>
              </w:numPr>
              <w:rPr>
                <w:color w:val="000000"/>
              </w:rPr>
            </w:pPr>
            <w:r w:rsidRPr="00875DBE">
              <w:rPr>
                <w:color w:val="000000"/>
              </w:rPr>
              <w:t>47</w:t>
            </w:r>
            <w:r w:rsidRPr="00875DBE">
              <w:rPr>
                <w:color w:val="000000"/>
              </w:rPr>
              <w:tab/>
              <w:t>energia</w:t>
            </w:r>
          </w:p>
          <w:p w14:paraId="30440A4C" w14:textId="77777777" w:rsidR="00600D9B" w:rsidRPr="00875DBE" w:rsidRDefault="00600D9B" w:rsidP="00600D9B">
            <w:pPr>
              <w:pStyle w:val="Akapitzlist"/>
              <w:numPr>
                <w:ilvl w:val="0"/>
                <w:numId w:val="29"/>
              </w:numPr>
              <w:rPr>
                <w:color w:val="000000"/>
              </w:rPr>
            </w:pPr>
            <w:r w:rsidRPr="00875DBE">
              <w:rPr>
                <w:color w:val="000000"/>
              </w:rPr>
              <w:t>51</w:t>
            </w:r>
            <w:r w:rsidRPr="00875DBE">
              <w:rPr>
                <w:color w:val="000000"/>
              </w:rPr>
              <w:tab/>
              <w:t>klimat</w:t>
            </w:r>
          </w:p>
          <w:p w14:paraId="6ED32FAF" w14:textId="7AF4CAB5" w:rsidR="00600D9B" w:rsidRPr="00875DBE" w:rsidRDefault="00600D9B" w:rsidP="00600D9B">
            <w:pPr>
              <w:pStyle w:val="Akapitzlist"/>
              <w:numPr>
                <w:ilvl w:val="0"/>
                <w:numId w:val="29"/>
              </w:numPr>
              <w:rPr>
                <w:color w:val="000000"/>
              </w:rPr>
            </w:pPr>
            <w:r w:rsidRPr="00875DBE">
              <w:rPr>
                <w:color w:val="000000"/>
              </w:rPr>
              <w:t>5</w:t>
            </w:r>
            <w:r>
              <w:rPr>
                <w:color w:val="000000"/>
              </w:rPr>
              <w:t>7</w:t>
            </w:r>
            <w:r w:rsidRPr="00875DBE">
              <w:rPr>
                <w:color w:val="000000"/>
              </w:rPr>
              <w:tab/>
              <w:t>Agencja Bezpieczeństwa Wewnętrznego</w:t>
            </w:r>
          </w:p>
          <w:p w14:paraId="1FFC50A7" w14:textId="5EA9EBE0" w:rsidR="00600D9B" w:rsidRPr="00875DBE" w:rsidRDefault="00600D9B" w:rsidP="00600D9B">
            <w:pPr>
              <w:pStyle w:val="Akapitzlist"/>
              <w:numPr>
                <w:ilvl w:val="0"/>
                <w:numId w:val="29"/>
              </w:numPr>
              <w:rPr>
                <w:color w:val="000000"/>
              </w:rPr>
            </w:pPr>
            <w:r w:rsidRPr="00875DBE">
              <w:rPr>
                <w:color w:val="000000"/>
              </w:rPr>
              <w:t>76</w:t>
            </w:r>
            <w:r w:rsidRPr="00875DBE">
              <w:rPr>
                <w:color w:val="000000"/>
              </w:rPr>
              <w:tab/>
              <w:t>Urząd Komunikacji Elektronicznej</w:t>
            </w:r>
          </w:p>
          <w:p w14:paraId="5632B743" w14:textId="1C11845B" w:rsidR="00600D9B" w:rsidRDefault="00600D9B" w:rsidP="00600D9B">
            <w:pPr>
              <w:rPr>
                <w:color w:val="000000"/>
              </w:rPr>
            </w:pPr>
            <w:r w:rsidRPr="00875DBE">
              <w:rPr>
                <w:color w:val="000000"/>
              </w:rPr>
              <w:t xml:space="preserve">Jako rok </w:t>
            </w:r>
            <w:r>
              <w:rPr>
                <w:color w:val="000000"/>
              </w:rPr>
              <w:t>1</w:t>
            </w:r>
            <w:r w:rsidRPr="00875DBE">
              <w:rPr>
                <w:color w:val="000000"/>
              </w:rPr>
              <w:t xml:space="preserve"> przyjęto 2025 – pierwszy pełny kalendarzowy rok funkcjonowania ustawy.</w:t>
            </w:r>
          </w:p>
          <w:p w14:paraId="22C7B6D2" w14:textId="4E4E4E9A" w:rsidR="00600D9B" w:rsidRDefault="00600D9B" w:rsidP="00840807">
            <w:pPr>
              <w:ind w:right="118"/>
              <w:rPr>
                <w:color w:val="000000"/>
              </w:rPr>
            </w:pPr>
            <w:r>
              <w:rPr>
                <w:color w:val="000000"/>
              </w:rPr>
              <w:t>Z</w:t>
            </w:r>
            <w:r w:rsidRPr="00002DE5">
              <w:rPr>
                <w:color w:val="000000"/>
              </w:rPr>
              <w:t>adania przewidziane w projekcie są zadaniami nowymi, które do tej pory nie były planowane w</w:t>
            </w:r>
            <w:r w:rsidR="00840807">
              <w:rPr>
                <w:color w:val="000000"/>
              </w:rPr>
              <w:t> </w:t>
            </w:r>
            <w:r w:rsidRPr="00002DE5">
              <w:rPr>
                <w:color w:val="000000"/>
              </w:rPr>
              <w:t>budżecie państwa, stąd też jest zasadne zwiększenie limitów wydatków w poszczególnych częściach budżetowych</w:t>
            </w:r>
            <w:r>
              <w:rPr>
                <w:color w:val="000000"/>
              </w:rPr>
              <w:t>.</w:t>
            </w:r>
          </w:p>
          <w:p w14:paraId="71D7F752" w14:textId="2D2A3E51" w:rsidR="00600D9B" w:rsidRDefault="00600D9B" w:rsidP="00840807">
            <w:pPr>
              <w:ind w:right="118"/>
              <w:rPr>
                <w:color w:val="000000"/>
              </w:rPr>
            </w:pPr>
            <w:r>
              <w:rPr>
                <w:color w:val="000000"/>
              </w:rPr>
              <w:t>E</w:t>
            </w:r>
            <w:r w:rsidRPr="00C544C0">
              <w:rPr>
                <w:color w:val="000000"/>
              </w:rPr>
              <w:t>wentualne skutki dla części 05 – Naczelny Sąd Administracyjny wynikające z wejścia w życie przedmiotowej ustawy zostaną sfinansowane w ramach dotychczasowych środków finansowych i</w:t>
            </w:r>
            <w:r w:rsidR="00840807">
              <w:rPr>
                <w:color w:val="000000"/>
              </w:rPr>
              <w:t> </w:t>
            </w:r>
            <w:r w:rsidRPr="00C544C0">
              <w:rPr>
                <w:color w:val="000000"/>
              </w:rPr>
              <w:t>nie będą stanowić podstawy do planowania oraz ubiegania się o dodatkowe środki z budżetu państwa w roku wejścia w życie ustawy oraz w latach kolejnych</w:t>
            </w:r>
            <w:r>
              <w:rPr>
                <w:color w:val="000000"/>
              </w:rPr>
              <w:t>.</w:t>
            </w:r>
          </w:p>
          <w:p w14:paraId="29CB2C49" w14:textId="0DF1F8AD" w:rsidR="00600D9B" w:rsidRDefault="00600D9B" w:rsidP="00840807">
            <w:pPr>
              <w:ind w:right="118"/>
              <w:rPr>
                <w:color w:val="000000"/>
              </w:rPr>
            </w:pPr>
            <w:r>
              <w:rPr>
                <w:color w:val="000000"/>
              </w:rPr>
              <w:t>W</w:t>
            </w:r>
            <w:r w:rsidRPr="00E8062C">
              <w:rPr>
                <w:color w:val="000000"/>
              </w:rPr>
              <w:t xml:space="preserve">szystkie skutki finansowe z tytułu realizacji niniejszej ustawy w części 46 </w:t>
            </w:r>
            <w:r w:rsidR="00C26CE4">
              <w:rPr>
                <w:color w:val="000000"/>
              </w:rPr>
              <w:t>–</w:t>
            </w:r>
            <w:r w:rsidRPr="00E8062C">
              <w:rPr>
                <w:color w:val="000000"/>
              </w:rPr>
              <w:t xml:space="preserve"> Zdrowie sfinansowane zostaną w ramach środków na ochronę zdrowia, w tym w ramach ustalonego funduszu wynagrodzeń (niezwiększonego z tytułu tej ustawy), określonych zgodnie z art. 131c ustawy o</w:t>
            </w:r>
            <w:r w:rsidR="00840807">
              <w:rPr>
                <w:color w:val="000000"/>
              </w:rPr>
              <w:t> </w:t>
            </w:r>
            <w:r w:rsidRPr="00E8062C">
              <w:rPr>
                <w:color w:val="000000"/>
              </w:rPr>
              <w:t>świadczeniach opieki zdrowotnej finansowanych ze środków publicznych, bez możliwości ubiegania się o dodatkowe środki ponad te kwoty</w:t>
            </w:r>
            <w:r>
              <w:rPr>
                <w:color w:val="000000"/>
              </w:rPr>
              <w:t>.</w:t>
            </w:r>
          </w:p>
          <w:p w14:paraId="7CB2018D" w14:textId="2DB93DEB" w:rsidR="00600D9B" w:rsidRPr="00875DBE" w:rsidRDefault="00600D9B" w:rsidP="00840807">
            <w:pPr>
              <w:ind w:right="118"/>
              <w:rPr>
                <w:color w:val="000000"/>
              </w:rPr>
            </w:pPr>
            <w:r>
              <w:rPr>
                <w:color w:val="000000"/>
              </w:rPr>
              <w:t xml:space="preserve">W tabeli powyżej przedstawiono dochody i wydatki w milionach </w:t>
            </w:r>
            <w:r w:rsidR="008F4ED7">
              <w:rPr>
                <w:color w:val="000000"/>
              </w:rPr>
              <w:t xml:space="preserve">zł </w:t>
            </w:r>
            <w:r>
              <w:rPr>
                <w:color w:val="000000"/>
              </w:rPr>
              <w:t>zaokrąglone do 3 miejsc po</w:t>
            </w:r>
            <w:r w:rsidR="00840807">
              <w:rPr>
                <w:color w:val="000000"/>
              </w:rPr>
              <w:t> </w:t>
            </w:r>
            <w:r>
              <w:rPr>
                <w:color w:val="000000"/>
              </w:rPr>
              <w:t>przecinku. Szczegółowe wykazanie wydatków bez zaokrąglenia znajduje się w załączniku nr</w:t>
            </w:r>
            <w:r w:rsidR="00840807">
              <w:rPr>
                <w:color w:val="000000"/>
              </w:rPr>
              <w:t> </w:t>
            </w:r>
            <w:r>
              <w:rPr>
                <w:color w:val="000000"/>
              </w:rPr>
              <w:t>4</w:t>
            </w:r>
            <w:r w:rsidR="00840807">
              <w:rPr>
                <w:color w:val="000000"/>
              </w:rPr>
              <w:t> </w:t>
            </w:r>
            <w:r>
              <w:rPr>
                <w:color w:val="000000"/>
              </w:rPr>
              <w:t>do OSR.</w:t>
            </w:r>
          </w:p>
        </w:tc>
      </w:tr>
      <w:tr w:rsidR="00600D9B" w:rsidRPr="00875DBE" w14:paraId="06A5E618" w14:textId="77777777" w:rsidTr="00E625E7">
        <w:trPr>
          <w:trHeight w:val="1926"/>
        </w:trPr>
        <w:tc>
          <w:tcPr>
            <w:tcW w:w="759" w:type="pct"/>
            <w:gridSpan w:val="4"/>
            <w:shd w:val="clear" w:color="auto" w:fill="FFFFFF" w:themeFill="background1"/>
          </w:tcPr>
          <w:p w14:paraId="18BAEF6B" w14:textId="21C2D427" w:rsidR="00600D9B" w:rsidRPr="00875DBE" w:rsidRDefault="00600D9B" w:rsidP="00600D9B">
            <w:pPr>
              <w:rPr>
                <w:color w:val="000000"/>
              </w:rPr>
            </w:pPr>
            <w:r w:rsidRPr="00875DBE">
              <w:rPr>
                <w:color w:val="000000"/>
              </w:rPr>
              <w:lastRenderedPageBreak/>
              <w:t>Dodatkowe informacje, w tym wskazanie źródeł danych i przyjętych do obliczeń założeń</w:t>
            </w:r>
          </w:p>
        </w:tc>
        <w:tc>
          <w:tcPr>
            <w:tcW w:w="4241" w:type="pct"/>
            <w:gridSpan w:val="24"/>
            <w:shd w:val="clear" w:color="auto" w:fill="FFFFFF" w:themeFill="background1"/>
          </w:tcPr>
          <w:p w14:paraId="567F8B13" w14:textId="0D04C70F" w:rsidR="00600D9B" w:rsidRPr="00875DBE" w:rsidRDefault="00600D9B" w:rsidP="00840807">
            <w:pPr>
              <w:pStyle w:val="Nagwek1"/>
              <w:spacing w:before="0"/>
              <w:ind w:right="118"/>
              <w:rPr>
                <w:rFonts w:cs="Times New Roman"/>
                <w:sz w:val="22"/>
                <w:szCs w:val="22"/>
              </w:rPr>
            </w:pPr>
            <w:r w:rsidRPr="00875DBE">
              <w:rPr>
                <w:rFonts w:cs="Times New Roman"/>
                <w:sz w:val="22"/>
                <w:szCs w:val="22"/>
              </w:rPr>
              <w:t xml:space="preserve">Wsparcie kadrowe organów właściwych do spraw </w:t>
            </w:r>
            <w:proofErr w:type="spellStart"/>
            <w:r w:rsidRPr="00875DBE">
              <w:rPr>
                <w:rFonts w:cs="Times New Roman"/>
                <w:sz w:val="22"/>
                <w:szCs w:val="22"/>
              </w:rPr>
              <w:t>cyberbezpieczeństwa</w:t>
            </w:r>
            <w:proofErr w:type="spellEnd"/>
            <w:r w:rsidRPr="00875DBE">
              <w:rPr>
                <w:rFonts w:cs="Times New Roman"/>
                <w:sz w:val="22"/>
                <w:szCs w:val="22"/>
              </w:rPr>
              <w:t xml:space="preserve"> w realizacji zadań nadzorczych na</w:t>
            </w:r>
            <w:r>
              <w:rPr>
                <w:rFonts w:cs="Times New Roman"/>
                <w:sz w:val="22"/>
                <w:szCs w:val="22"/>
              </w:rPr>
              <w:t>d</w:t>
            </w:r>
            <w:r w:rsidRPr="00875DBE">
              <w:rPr>
                <w:rFonts w:cs="Times New Roman"/>
                <w:sz w:val="22"/>
                <w:szCs w:val="22"/>
              </w:rPr>
              <w:t xml:space="preserve"> podmiotami kluczowymi i podmiotami ważnymi</w:t>
            </w:r>
          </w:p>
          <w:p w14:paraId="1257E5CC" w14:textId="475A7482" w:rsidR="00600D9B" w:rsidRPr="00875DBE" w:rsidRDefault="00600D9B" w:rsidP="00FF2F5D">
            <w:pPr>
              <w:ind w:right="118"/>
            </w:pPr>
            <w:r w:rsidRPr="00875DBE">
              <w:t xml:space="preserve">Proponowane zmiany mają zapewnić odpowiedni poziom finansowania działalności organów właściwych ds. </w:t>
            </w:r>
            <w:proofErr w:type="spellStart"/>
            <w:r w:rsidRPr="00875DBE">
              <w:t>cyberbezpieczeństwa</w:t>
            </w:r>
            <w:proofErr w:type="spellEnd"/>
            <w:r w:rsidRPr="00875DBE">
              <w:t>. Wspomniany poziom musi być adekwatny do zadań nałożonych na te organy wymaganiami procedowanej ustawy oraz dyrektywy NIS 2. Obecny poziom finansowania nie pozwala na zatrudnienie wystarczającej liczby specjalistów w stosunku do</w:t>
            </w:r>
            <w:r w:rsidR="00840807">
              <w:t> </w:t>
            </w:r>
            <w:r w:rsidRPr="00875DBE">
              <w:t xml:space="preserve">liczby obowiązków, a także liczby podmiotów jakie będą objęte nadzorem organów właściwych do spraw </w:t>
            </w:r>
            <w:proofErr w:type="spellStart"/>
            <w:r w:rsidRPr="00875DBE">
              <w:t>cyberbezpieczeństwa</w:t>
            </w:r>
            <w:proofErr w:type="spellEnd"/>
            <w:r w:rsidRPr="00875DBE">
              <w:t xml:space="preserve"> wraz z wejściem w życie przedmiotowej regulacji. Dodatkowo poprzez zwiększanie finansowania zostanie zapewniona nie tylko większa liczba etatów niezbędnych do efektywnej realizacji zadań organu właściwego ds. </w:t>
            </w:r>
            <w:proofErr w:type="spellStart"/>
            <w:r w:rsidRPr="00875DBE">
              <w:t>cyberbezpieczeństwa</w:t>
            </w:r>
            <w:proofErr w:type="spellEnd"/>
            <w:r w:rsidRPr="00875DBE">
              <w:t xml:space="preserve">, ale także zostanie zapewniona możliwość zaoferowania wynagrodzeń, które będą adekwatne i proporcjonalne do realiów panujących w sektorze prywatnym oraz do wymaganej wiedzy i umiejętności. </w:t>
            </w:r>
          </w:p>
          <w:p w14:paraId="51176C65" w14:textId="74347697" w:rsidR="00600D9B" w:rsidRPr="00875DBE" w:rsidRDefault="00600D9B" w:rsidP="00E625E7">
            <w:pPr>
              <w:ind w:right="118"/>
            </w:pPr>
            <w:r w:rsidRPr="00875DBE">
              <w:t>Dotychczas obowiązująca KSC zapewnia finansowanie na poziomie 789 000,00 zł rocznie, co na dzień wejścia ustawy w życie miał</w:t>
            </w:r>
            <w:r>
              <w:t>a</w:t>
            </w:r>
            <w:r w:rsidRPr="00875DBE">
              <w:t xml:space="preserve"> zapewnić – stworzenie 8 stanowisk pracy przy założeniach, że dla 1 etatu przyjęto mnożnik kwoty bazowej w wysokości 3,20, przy maksymalnym 20% dodatku stażowym. Dodatkowo, założenie obejmowało również trzynaste wynagrodzenie roczne. Jednakże powyższe obliczenia były realizowane dla kwoty bazowej wynoszącej 1 874,00 zł. Przez ostatnie lata kwota bazowa ulegała zwiększeniu i obecnie wynosi ona 2 628,54 zł, co powoduje, że pierwotne założenia dotyczące maksymalnego wynagrodzenia oraz liczby stanowisk pracy</w:t>
            </w:r>
            <w:r w:rsidR="00840807">
              <w:t>,</w:t>
            </w:r>
            <w:r w:rsidRPr="00875DBE">
              <w:t xml:space="preserve"> jakie miały być zapewnione – są nieaktualne. W dotychczasowej kwocie nie założono wzrostu kwoty bazowej przy zapewnieniu finansowania, co powinno zostać zmienione w powstającej regulacji. Dodatkowo dyrektywa NIS 2 w sposób diametralny zmienia metodę wyznaczania podmiotów, które zostaną objęte nadzorem organów właściwych do spraw </w:t>
            </w:r>
            <w:proofErr w:type="spellStart"/>
            <w:r w:rsidRPr="00875DBE">
              <w:t>cyberbezpieczeństwa</w:t>
            </w:r>
            <w:proofErr w:type="spellEnd"/>
            <w:r w:rsidRPr="00875DBE">
              <w:t xml:space="preserve"> oraz zakres podmiotowy regulacji, powodujący znaczny wzrost liczby tych podmiotów czy też znacznie zwiększa zakres obowiązków realizowanych przez organy właściwe, co również przekłada się na konieczność zapewnienia odpowiednich zasobów kadrowych. </w:t>
            </w:r>
          </w:p>
          <w:p w14:paraId="44B331AE" w14:textId="1BB6771E" w:rsidR="00600D9B" w:rsidRPr="00875DBE" w:rsidRDefault="00600D9B" w:rsidP="00E625E7">
            <w:pPr>
              <w:ind w:right="118"/>
            </w:pPr>
            <w:r w:rsidRPr="00875DBE">
              <w:t>Zgodnie z przepisami zawartymi w dyrektywie NIS 2 pojawia się zasada, która wskazuje, że</w:t>
            </w:r>
            <w:r w:rsidR="00840807">
              <w:t> </w:t>
            </w:r>
            <w:r w:rsidRPr="00875DBE">
              <w:t xml:space="preserve">przedsiębiorstwa automatycznie zostaną uznane za kluczowe lub ważne w procesie samoidentyfikacji, po spełnieniu kryteriów dla średniego przedsiębiorstwa wskazanych w art. 2 załącznika do zalecenia 2003/361/WE, w związku z tym, podmiotami kluczowymi będą podmioty z sektorów, o których mowa w załączniku nr I KSC, przekraczające pułapy dla średnich </w:t>
            </w:r>
            <w:r w:rsidRPr="00875DBE">
              <w:lastRenderedPageBreak/>
              <w:t xml:space="preserve">przedsiębiorców. Natomiast, podmioty ważne to podmioty z sektorów wymienionych w załączniku nr I lub nr II, które nie kwalifikują się jako podmioty kluczowe. </w:t>
            </w:r>
          </w:p>
          <w:p w14:paraId="693385BE" w14:textId="41F86A1D" w:rsidR="00600D9B" w:rsidRPr="00875DBE" w:rsidRDefault="00600D9B" w:rsidP="00E625E7">
            <w:pPr>
              <w:ind w:right="118"/>
              <w:rPr>
                <w:spacing w:val="-2"/>
              </w:rPr>
            </w:pPr>
            <w:r w:rsidRPr="00875DBE">
              <w:rPr>
                <w:spacing w:val="-2"/>
              </w:rPr>
              <w:t xml:space="preserve">W związku z tym, że główne zadania organu właściwego ds. </w:t>
            </w:r>
            <w:proofErr w:type="spellStart"/>
            <w:r w:rsidRPr="00875DBE">
              <w:rPr>
                <w:spacing w:val="-2"/>
              </w:rPr>
              <w:t>cyberbezpieczeństwa</w:t>
            </w:r>
            <w:proofErr w:type="spellEnd"/>
            <w:r w:rsidRPr="00875DBE">
              <w:rPr>
                <w:spacing w:val="-2"/>
              </w:rPr>
              <w:t xml:space="preserve"> skupiają się na</w:t>
            </w:r>
            <w:r w:rsidR="00840807">
              <w:rPr>
                <w:spacing w:val="-2"/>
              </w:rPr>
              <w:t> </w:t>
            </w:r>
            <w:r w:rsidRPr="00875DBE">
              <w:rPr>
                <w:spacing w:val="-2"/>
              </w:rPr>
              <w:t>czynnościach nadzorczych, w tym zadaniach kontrolnych, przyjęto następujące założenia do</w:t>
            </w:r>
            <w:r w:rsidR="00840807">
              <w:rPr>
                <w:spacing w:val="-2"/>
              </w:rPr>
              <w:t> </w:t>
            </w:r>
            <w:r w:rsidRPr="00875DBE">
              <w:rPr>
                <w:spacing w:val="-2"/>
              </w:rPr>
              <w:t xml:space="preserve">obliczenia wymaganej liczby pracowników, którzy będą realizować te zadania. Założono, że rocznie należy przeprowadzić kontrolę około 10% nadzorowanych podmiotów (kontrola o charakterze </w:t>
            </w:r>
            <w:r w:rsidRPr="00875DBE">
              <w:rPr>
                <w:i/>
                <w:iCs/>
                <w:spacing w:val="-2"/>
              </w:rPr>
              <w:t>ex-</w:t>
            </w:r>
            <w:proofErr w:type="spellStart"/>
            <w:r w:rsidRPr="00875DBE">
              <w:rPr>
                <w:i/>
                <w:iCs/>
                <w:spacing w:val="-2"/>
              </w:rPr>
              <w:t>ante</w:t>
            </w:r>
            <w:proofErr w:type="spellEnd"/>
            <w:r w:rsidRPr="00875DBE">
              <w:rPr>
                <w:spacing w:val="-2"/>
              </w:rPr>
              <w:t xml:space="preserve"> lub </w:t>
            </w:r>
            <w:r w:rsidRPr="00875DBE">
              <w:rPr>
                <w:i/>
                <w:iCs/>
                <w:spacing w:val="-2"/>
              </w:rPr>
              <w:t>ex-post</w:t>
            </w:r>
            <w:r w:rsidRPr="00875DBE">
              <w:rPr>
                <w:spacing w:val="-2"/>
              </w:rPr>
              <w:t>). Zespół kontrolny liczący 3 osoby jest w stanie przeprowadzić około 6 kontroli rocznie. W przypadku sektorów, gdzie jest znikoma liczba podmiotów, może to być mniejsza liczba osób. Założono przy tym, że niezależnie od wielkości sektora, maksymalna liczba nowych etatów nadzorujących sektor to 40 etatów.</w:t>
            </w:r>
          </w:p>
          <w:p w14:paraId="7996A03B" w14:textId="1830F23E" w:rsidR="00600D9B" w:rsidRPr="00875DBE" w:rsidRDefault="00600D9B" w:rsidP="00E625E7">
            <w:pPr>
              <w:ind w:right="118"/>
              <w:rPr>
                <w:spacing w:val="-2"/>
              </w:rPr>
            </w:pPr>
            <w:r w:rsidRPr="00875DBE">
              <w:rPr>
                <w:spacing w:val="-2"/>
              </w:rPr>
              <w:t>Należy podkreślić, że działania kontrolne są jednymi z wielu zadań wynikających z dyrektywy NIS 2, a co za tym idzie, wymienione wyżej zespoły kontrolne będą okresowo wyłączane z czynności kontrolnych, na rzecz innych działań.</w:t>
            </w:r>
          </w:p>
          <w:p w14:paraId="228DE0DC" w14:textId="720BA34A" w:rsidR="00600D9B" w:rsidRDefault="00600D9B" w:rsidP="00E625E7">
            <w:pPr>
              <w:ind w:right="118"/>
            </w:pPr>
            <w:r w:rsidRPr="00875DBE">
              <w:t>Oprócz czynności kontrolnych, niektóre inne kompetencje organu właściwego ds.</w:t>
            </w:r>
            <w:r w:rsidR="00840807">
              <w:t> </w:t>
            </w:r>
            <w:proofErr w:type="spellStart"/>
            <w:r w:rsidRPr="00875DBE">
              <w:t>cyberbezpieczeństwa</w:t>
            </w:r>
            <w:proofErr w:type="spellEnd"/>
            <w:r w:rsidRPr="00875DBE">
              <w:t xml:space="preserve"> to:</w:t>
            </w:r>
          </w:p>
          <w:p w14:paraId="37F82147" w14:textId="52AEBABB" w:rsidR="00600D9B" w:rsidRDefault="00600D9B" w:rsidP="00E625E7">
            <w:pPr>
              <w:pStyle w:val="Akapitzlist"/>
              <w:numPr>
                <w:ilvl w:val="0"/>
                <w:numId w:val="44"/>
              </w:numPr>
              <w:ind w:right="118"/>
            </w:pPr>
            <w:r w:rsidRPr="00875DBE">
              <w:t>prowadzenie bieżącej analizy podmiotów w danym sektorze lub podsektorze pod kątem uznania ich za podmiot kluczowy lub podmiot ważny;</w:t>
            </w:r>
          </w:p>
          <w:p w14:paraId="452173F7" w14:textId="2FD6495B" w:rsidR="00600D9B" w:rsidRDefault="00600D9B" w:rsidP="00E625E7">
            <w:pPr>
              <w:pStyle w:val="Akapitzlist"/>
              <w:numPr>
                <w:ilvl w:val="0"/>
                <w:numId w:val="44"/>
              </w:numPr>
              <w:ind w:right="118"/>
            </w:pPr>
            <w:r w:rsidRPr="00875DBE">
              <w:t>wpisywanie z urzędu podmiotów kluczowych lub podmiotów ważnych do wykazu podmiotów kluczowych i podmiotów ważnych;</w:t>
            </w:r>
          </w:p>
          <w:p w14:paraId="2F6A9609" w14:textId="03ACFBA4" w:rsidR="00600D9B" w:rsidRDefault="00600D9B" w:rsidP="00E625E7">
            <w:pPr>
              <w:pStyle w:val="Akapitzlist"/>
              <w:numPr>
                <w:ilvl w:val="0"/>
                <w:numId w:val="44"/>
              </w:numPr>
              <w:ind w:right="118"/>
            </w:pPr>
            <w:r w:rsidRPr="00875DBE">
              <w:t>monitorowanie stosowania przepisów ustawy przez podmioty kluczowe i podmioty ważne;</w:t>
            </w:r>
          </w:p>
          <w:p w14:paraId="270A9FCD" w14:textId="7A5AB7AA" w:rsidR="00600D9B" w:rsidRDefault="00600D9B" w:rsidP="00E625E7">
            <w:pPr>
              <w:pStyle w:val="Akapitzlist"/>
              <w:numPr>
                <w:ilvl w:val="0"/>
                <w:numId w:val="44"/>
              </w:numPr>
              <w:ind w:right="118"/>
            </w:pPr>
            <w:r w:rsidRPr="00875DBE">
              <w:t>wzywanie na wniosek CSIRT MON, CSIRT NASK lub CSIRT GOV podmiotów kluczowych i podmiotów ważnych do usunięcia w wyznaczonym terminie podatności, które doprowadziły lub mogły doprowadzić do incydentu poważnego lub krytycznego;</w:t>
            </w:r>
          </w:p>
          <w:p w14:paraId="5DA14EB7" w14:textId="1226B488" w:rsidR="00600D9B" w:rsidRDefault="00600D9B" w:rsidP="00E625E7">
            <w:pPr>
              <w:pStyle w:val="Akapitzlist"/>
              <w:numPr>
                <w:ilvl w:val="0"/>
                <w:numId w:val="44"/>
              </w:numPr>
              <w:ind w:right="118"/>
            </w:pPr>
            <w:r w:rsidRPr="00875DBE">
              <w:t>w uzasadnionych przypadkach współpraca z organami ścigania i organem właściwym do spraw ochrony danych osobowych;</w:t>
            </w:r>
          </w:p>
          <w:p w14:paraId="1055BB1E" w14:textId="4DAF6BD7" w:rsidR="00600D9B" w:rsidRDefault="00600D9B" w:rsidP="00E625E7">
            <w:pPr>
              <w:pStyle w:val="Akapitzlist"/>
              <w:numPr>
                <w:ilvl w:val="0"/>
                <w:numId w:val="44"/>
              </w:numPr>
              <w:ind w:right="118"/>
            </w:pPr>
            <w:r w:rsidRPr="00875DBE">
              <w:t xml:space="preserve">przygotowywanie we współpracy z CSIRT MON, CSIRT NASK, CSIRT GOV i sektorowymi zespołami </w:t>
            </w:r>
            <w:proofErr w:type="spellStart"/>
            <w:r w:rsidRPr="00875DBE">
              <w:t>cyberbezpieczeństwa</w:t>
            </w:r>
            <w:proofErr w:type="spellEnd"/>
            <w:r w:rsidRPr="00875DBE">
              <w:t xml:space="preserve"> rekomendacj</w:t>
            </w:r>
            <w:r w:rsidR="005C3460">
              <w:t>i</w:t>
            </w:r>
            <w:r w:rsidRPr="00875DBE">
              <w:t xml:space="preserve"> dotycząc</w:t>
            </w:r>
            <w:r w:rsidR="005C3460">
              <w:t>ych</w:t>
            </w:r>
            <w:r w:rsidRPr="00875DBE">
              <w:t xml:space="preserve"> działań mających na celu wzmocnienie </w:t>
            </w:r>
            <w:proofErr w:type="spellStart"/>
            <w:r w:rsidRPr="00875DBE">
              <w:t>cyberbezpieczeństwa</w:t>
            </w:r>
            <w:proofErr w:type="spellEnd"/>
            <w:r w:rsidRPr="00875DBE">
              <w:t>, w tym wytyczne sektorowe dotyczące zgłaszania incydentów;</w:t>
            </w:r>
          </w:p>
          <w:p w14:paraId="5ADF9756" w14:textId="4A82112D" w:rsidR="00600D9B" w:rsidRPr="00875DBE" w:rsidRDefault="00600D9B" w:rsidP="00E625E7">
            <w:pPr>
              <w:pStyle w:val="Akapitzlist"/>
              <w:numPr>
                <w:ilvl w:val="0"/>
                <w:numId w:val="44"/>
              </w:numPr>
              <w:ind w:right="118"/>
            </w:pPr>
            <w:r w:rsidRPr="00875DBE">
              <w:t>nakładanie administracyjnych kar pieniężnych.</w:t>
            </w:r>
          </w:p>
          <w:p w14:paraId="13290B33" w14:textId="4219BD54" w:rsidR="00600D9B" w:rsidRPr="00875DBE" w:rsidRDefault="00600D9B" w:rsidP="00E625E7">
            <w:pPr>
              <w:ind w:right="118"/>
            </w:pPr>
            <w:r w:rsidRPr="00875DBE">
              <w:t>W związku z powyższym, należy zapewnić finansowanie działania organu właściwego ds.</w:t>
            </w:r>
            <w:r w:rsidR="00840807">
              <w:t> </w:t>
            </w:r>
            <w:proofErr w:type="spellStart"/>
            <w:r w:rsidRPr="00875DBE">
              <w:t>cyberbezpieczeństwa</w:t>
            </w:r>
            <w:proofErr w:type="spellEnd"/>
            <w:r w:rsidRPr="00875DBE">
              <w:t xml:space="preserve">, na poziomie wystarczającym do niezakłóconego i efektywnego realizowania zadań, które bezpośrednio przełożą się na </w:t>
            </w:r>
            <w:proofErr w:type="spellStart"/>
            <w:r w:rsidRPr="00875DBE">
              <w:t>cyberbezpieczeństwo</w:t>
            </w:r>
            <w:proofErr w:type="spellEnd"/>
            <w:r w:rsidRPr="00875DBE">
              <w:t xml:space="preserve"> sektorów. Kwota powinna być systematycznie zwiększana w kolejnych latach. </w:t>
            </w:r>
          </w:p>
          <w:p w14:paraId="192CFA84" w14:textId="1BCDF4C4" w:rsidR="00600D9B" w:rsidRPr="00875DBE" w:rsidRDefault="00600D9B" w:rsidP="00E625E7">
            <w:pPr>
              <w:ind w:right="118"/>
            </w:pPr>
            <w:r w:rsidRPr="00875DBE">
              <w:t>Dla 1 etatu przyjęto maksymalny mnożnik kwoty bazowej w wysokości 4,0, przy maksymalnym 20% dodatku stażowym. Powyższy mnożnik maksymalny został ustalony na podstawie następujących założeń.</w:t>
            </w:r>
          </w:p>
          <w:p w14:paraId="4619F1A0" w14:textId="56AEFB78" w:rsidR="00600D9B" w:rsidRPr="00875DBE" w:rsidRDefault="00600D9B" w:rsidP="00E625E7">
            <w:pPr>
              <w:ind w:right="118"/>
            </w:pPr>
            <w:r w:rsidRPr="00875DBE">
              <w:t xml:space="preserve">Zgodnie z obwieszczeniem Prezesa Głównego Urzędu Statystycznego z dnia 22 stycznia 2024 r. w sprawie przeciętnego miesięcznego wynagrodzenia w sektorze przedsiębiorstw w grudniu 2023 r. przeciętne miesięczne wynagrodzenie w sektorze przedsiębiorstw wyniosło 8 032,96 zł. Dodatkowo, jak wynika z Raportu Płacowego 2023 r., udostępnionego przez Organizację Pracodawców Usług IT — </w:t>
            </w:r>
            <w:proofErr w:type="spellStart"/>
            <w:r w:rsidRPr="00875DBE">
              <w:t>SoDA</w:t>
            </w:r>
            <w:proofErr w:type="spellEnd"/>
            <w:r w:rsidRPr="00875DBE">
              <w:t>, średnia pensja specjalisty IT to 11 427,00 zł brutto. Uśredniona wartość wynagrodzenia IT jest więc o</w:t>
            </w:r>
            <w:r>
              <w:t> </w:t>
            </w:r>
            <w:r w:rsidRPr="00875DBE">
              <w:t xml:space="preserve">ponad 4 tys. wyższa niż mediana zarobków w kraju. W związku z powyższym, założono, że oferowane wynagrodzenie powinno być wyższe od średniego wynagrodzenia w sektorze prywatnym (średnia ze wszystkich branż gospodarki) jednak mieszczące się w uśrednionej wartości wynagrodzenia w branży IT w 2023 r. </w:t>
            </w:r>
          </w:p>
          <w:p w14:paraId="7607425F" w14:textId="708112FC" w:rsidR="00600D9B" w:rsidRPr="00875DBE" w:rsidRDefault="00600D9B" w:rsidP="00E625E7">
            <w:pPr>
              <w:ind w:right="118"/>
            </w:pPr>
            <w:r w:rsidRPr="00875DBE">
              <w:t>Ponadto zaproponowany mnożnik maksymalny został ustalony na takim poziomie, który daje możliwość pozyskania wysoko wykwalifikowanej kadry posiadającej specjalistyczną wiedzę.</w:t>
            </w:r>
          </w:p>
          <w:p w14:paraId="428F9C25" w14:textId="7CA9DB41" w:rsidR="00600D9B" w:rsidRPr="00875DBE" w:rsidRDefault="00600D9B" w:rsidP="00E625E7">
            <w:pPr>
              <w:ind w:right="118"/>
            </w:pPr>
            <w:r w:rsidRPr="00875DBE">
              <w:t xml:space="preserve">Należy ponownie podkreślić, że pozyskanie specjalistów z sektora prywatnego wymaga zaoferowania stawek konkurencyjnych względem tego właśnie sektora. </w:t>
            </w:r>
          </w:p>
          <w:p w14:paraId="5AD3F041" w14:textId="0D3F00E3" w:rsidR="00600D9B" w:rsidRPr="00875DBE" w:rsidRDefault="00600D9B" w:rsidP="00E625E7">
            <w:pPr>
              <w:ind w:right="118"/>
            </w:pPr>
            <w:r w:rsidRPr="00875DBE">
              <w:t xml:space="preserve">Dodatkowo, rekomenduje się rozwiązanie, które pozwoli zniwelować problem niewystarczającego poziomu finansowania w przypadku wzrostu kosztów zatrudnienia związanego z m.in. wzrostem kwoty bazowej czy wzrostem średniego wynagrodzenia w gospodarce w kolejnych 10 latach. </w:t>
            </w:r>
            <w:r w:rsidRPr="00875DBE">
              <w:lastRenderedPageBreak/>
              <w:t>Takiego mechanizmu zabrakło w obowiązującej ustawie KSC</w:t>
            </w:r>
            <w:r>
              <w:t>,</w:t>
            </w:r>
            <w:r w:rsidRPr="00875DBE">
              <w:t xml:space="preserve"> co spowodowało część opisanych wyżej problemów. </w:t>
            </w:r>
          </w:p>
          <w:p w14:paraId="28A75889" w14:textId="503FC6B1" w:rsidR="00600D9B" w:rsidRPr="00875DBE" w:rsidRDefault="00600D9B" w:rsidP="00E625E7">
            <w:pPr>
              <w:ind w:right="118"/>
            </w:pPr>
            <w:r w:rsidRPr="00875DBE">
              <w:t xml:space="preserve">Określenie tego w jaki sposób będzie kształtowała się kwota bazowa lub średnie wynagrodzenie w kolejnych 10 latach jest bardzo trudne. Wobec powyższego przyjęto mechanizm, który pozwoli oszacować wspomniany wzrost, bazując na danych historycznych. </w:t>
            </w:r>
          </w:p>
          <w:p w14:paraId="33CE1932" w14:textId="4511BB03" w:rsidR="00600D9B" w:rsidRPr="007A3BBA" w:rsidRDefault="00600D9B" w:rsidP="00E625E7">
            <w:pPr>
              <w:ind w:right="118"/>
            </w:pPr>
            <w:r w:rsidRPr="00875DBE">
              <w:t>Do prognozowania skutków finansowych ustawy dla kolejnych 10 lat wraz z uwzględnieniem konieczności wzrostu tego finansowania bazowano na danych historycznych z Zakładu Ubezpieczeń Społecznych.</w:t>
            </w:r>
          </w:p>
          <w:tbl>
            <w:tblPr>
              <w:tblStyle w:val="Tabela-Siatka"/>
              <w:tblW w:w="0" w:type="auto"/>
              <w:tblLook w:val="04A0" w:firstRow="1" w:lastRow="0" w:firstColumn="1" w:lastColumn="0" w:noHBand="0" w:noVBand="1"/>
            </w:tblPr>
            <w:tblGrid>
              <w:gridCol w:w="712"/>
              <w:gridCol w:w="4985"/>
              <w:gridCol w:w="2077"/>
            </w:tblGrid>
            <w:tr w:rsidR="00600D9B" w:rsidRPr="00875DBE" w14:paraId="2E8A0E9C" w14:textId="77777777" w:rsidTr="006148BE">
              <w:trPr>
                <w:cantSplit/>
              </w:trPr>
              <w:tc>
                <w:tcPr>
                  <w:tcW w:w="712" w:type="dxa"/>
                </w:tcPr>
                <w:p w14:paraId="05E5F8E1" w14:textId="61E15F80" w:rsidR="00600D9B" w:rsidRPr="00875DBE" w:rsidRDefault="00600D9B" w:rsidP="00600D9B">
                  <w:pPr>
                    <w:rPr>
                      <w:spacing w:val="-2"/>
                    </w:rPr>
                  </w:pPr>
                  <w:r w:rsidRPr="00875DBE">
                    <w:rPr>
                      <w:b/>
                      <w:bCs/>
                      <w:spacing w:val="-2"/>
                    </w:rPr>
                    <w:t>ROK</w:t>
                  </w:r>
                </w:p>
              </w:tc>
              <w:tc>
                <w:tcPr>
                  <w:tcW w:w="4985" w:type="dxa"/>
                </w:tcPr>
                <w:p w14:paraId="62898C6E" w14:textId="5497598D" w:rsidR="00600D9B" w:rsidRPr="00875DBE" w:rsidRDefault="00600D9B" w:rsidP="00E625E7">
                  <w:pPr>
                    <w:jc w:val="center"/>
                    <w:rPr>
                      <w:spacing w:val="-2"/>
                    </w:rPr>
                  </w:pPr>
                  <w:r w:rsidRPr="00875DBE">
                    <w:rPr>
                      <w:b/>
                      <w:bCs/>
                      <w:spacing w:val="-2"/>
                    </w:rPr>
                    <w:t>ŚREDNIE WYNAGRODZENIE w GOSPODARCE KRAJOWEJ</w:t>
                  </w:r>
                </w:p>
              </w:tc>
              <w:tc>
                <w:tcPr>
                  <w:tcW w:w="2077" w:type="dxa"/>
                </w:tcPr>
                <w:p w14:paraId="51DD36BF" w14:textId="58255632" w:rsidR="00600D9B" w:rsidRPr="00875DBE" w:rsidRDefault="00600D9B" w:rsidP="00600D9B">
                  <w:pPr>
                    <w:rPr>
                      <w:spacing w:val="-2"/>
                    </w:rPr>
                  </w:pPr>
                  <w:r w:rsidRPr="00875DBE">
                    <w:rPr>
                      <w:b/>
                      <w:bCs/>
                      <w:spacing w:val="-2"/>
                    </w:rPr>
                    <w:t>PROCENT WZROSTU</w:t>
                  </w:r>
                </w:p>
              </w:tc>
            </w:tr>
            <w:tr w:rsidR="00600D9B" w:rsidRPr="00875DBE" w14:paraId="2868E715" w14:textId="77777777" w:rsidTr="006148BE">
              <w:trPr>
                <w:cantSplit/>
              </w:trPr>
              <w:tc>
                <w:tcPr>
                  <w:tcW w:w="712" w:type="dxa"/>
                </w:tcPr>
                <w:p w14:paraId="015F4C9E" w14:textId="2B6896AE" w:rsidR="00600D9B" w:rsidRPr="00875DBE" w:rsidRDefault="00600D9B" w:rsidP="00600D9B">
                  <w:pPr>
                    <w:rPr>
                      <w:spacing w:val="-2"/>
                    </w:rPr>
                  </w:pPr>
                  <w:r w:rsidRPr="00875DBE">
                    <w:rPr>
                      <w:spacing w:val="-2"/>
                    </w:rPr>
                    <w:t>2013</w:t>
                  </w:r>
                </w:p>
              </w:tc>
              <w:tc>
                <w:tcPr>
                  <w:tcW w:w="4985" w:type="dxa"/>
                </w:tcPr>
                <w:p w14:paraId="400B09FD" w14:textId="666954DF" w:rsidR="00600D9B" w:rsidRPr="00875DBE" w:rsidRDefault="00600D9B" w:rsidP="00600D9B">
                  <w:pPr>
                    <w:rPr>
                      <w:spacing w:val="-2"/>
                    </w:rPr>
                  </w:pPr>
                  <w:r w:rsidRPr="00875DBE">
                    <w:rPr>
                      <w:spacing w:val="-2"/>
                    </w:rPr>
                    <w:t>3650,06</w:t>
                  </w:r>
                </w:p>
              </w:tc>
              <w:tc>
                <w:tcPr>
                  <w:tcW w:w="2077" w:type="dxa"/>
                </w:tcPr>
                <w:p w14:paraId="028AF86C" w14:textId="77777777" w:rsidR="00600D9B" w:rsidRPr="00875DBE" w:rsidRDefault="00600D9B" w:rsidP="00600D9B">
                  <w:pPr>
                    <w:rPr>
                      <w:spacing w:val="-2"/>
                    </w:rPr>
                  </w:pPr>
                </w:p>
              </w:tc>
            </w:tr>
            <w:tr w:rsidR="00600D9B" w:rsidRPr="00875DBE" w14:paraId="127CC90B" w14:textId="77777777" w:rsidTr="006148BE">
              <w:trPr>
                <w:cantSplit/>
              </w:trPr>
              <w:tc>
                <w:tcPr>
                  <w:tcW w:w="712" w:type="dxa"/>
                </w:tcPr>
                <w:p w14:paraId="5B75CBAC" w14:textId="71E9C9AC" w:rsidR="00600D9B" w:rsidRPr="00875DBE" w:rsidRDefault="00600D9B" w:rsidP="00600D9B">
                  <w:pPr>
                    <w:rPr>
                      <w:spacing w:val="-2"/>
                    </w:rPr>
                  </w:pPr>
                  <w:r w:rsidRPr="00875DBE">
                    <w:rPr>
                      <w:spacing w:val="-2"/>
                    </w:rPr>
                    <w:t>2014</w:t>
                  </w:r>
                </w:p>
              </w:tc>
              <w:tc>
                <w:tcPr>
                  <w:tcW w:w="4985" w:type="dxa"/>
                </w:tcPr>
                <w:p w14:paraId="51137B6C" w14:textId="30EAC372" w:rsidR="00600D9B" w:rsidRPr="00875DBE" w:rsidRDefault="00600D9B" w:rsidP="00600D9B">
                  <w:pPr>
                    <w:rPr>
                      <w:spacing w:val="-2"/>
                    </w:rPr>
                  </w:pPr>
                  <w:r w:rsidRPr="00875DBE">
                    <w:rPr>
                      <w:spacing w:val="-2"/>
                    </w:rPr>
                    <w:t>3783,46</w:t>
                  </w:r>
                </w:p>
              </w:tc>
              <w:tc>
                <w:tcPr>
                  <w:tcW w:w="2077" w:type="dxa"/>
                </w:tcPr>
                <w:p w14:paraId="7372B453" w14:textId="3958BEE9" w:rsidR="00600D9B" w:rsidRPr="00875DBE" w:rsidRDefault="00600D9B" w:rsidP="00600D9B">
                  <w:pPr>
                    <w:rPr>
                      <w:spacing w:val="-2"/>
                    </w:rPr>
                  </w:pPr>
                  <w:r w:rsidRPr="00875DBE">
                    <w:rPr>
                      <w:spacing w:val="-2"/>
                    </w:rPr>
                    <w:t>3,65 %</w:t>
                  </w:r>
                </w:p>
              </w:tc>
            </w:tr>
            <w:tr w:rsidR="00600D9B" w:rsidRPr="00875DBE" w14:paraId="49AF4146" w14:textId="77777777" w:rsidTr="006148BE">
              <w:trPr>
                <w:cantSplit/>
              </w:trPr>
              <w:tc>
                <w:tcPr>
                  <w:tcW w:w="712" w:type="dxa"/>
                </w:tcPr>
                <w:p w14:paraId="58396C42" w14:textId="1CA0C9F6" w:rsidR="00600D9B" w:rsidRPr="00875DBE" w:rsidRDefault="00600D9B" w:rsidP="00600D9B">
                  <w:pPr>
                    <w:rPr>
                      <w:spacing w:val="-2"/>
                    </w:rPr>
                  </w:pPr>
                  <w:r w:rsidRPr="00875DBE">
                    <w:rPr>
                      <w:spacing w:val="-2"/>
                    </w:rPr>
                    <w:t>2015</w:t>
                  </w:r>
                </w:p>
              </w:tc>
              <w:tc>
                <w:tcPr>
                  <w:tcW w:w="4985" w:type="dxa"/>
                </w:tcPr>
                <w:p w14:paraId="2DFB01D6" w14:textId="5F70A99F" w:rsidR="00600D9B" w:rsidRPr="00875DBE" w:rsidRDefault="00600D9B" w:rsidP="00600D9B">
                  <w:pPr>
                    <w:rPr>
                      <w:spacing w:val="-2"/>
                    </w:rPr>
                  </w:pPr>
                  <w:r w:rsidRPr="00875DBE">
                    <w:rPr>
                      <w:spacing w:val="-2"/>
                    </w:rPr>
                    <w:t>3899,78</w:t>
                  </w:r>
                </w:p>
              </w:tc>
              <w:tc>
                <w:tcPr>
                  <w:tcW w:w="2077" w:type="dxa"/>
                </w:tcPr>
                <w:p w14:paraId="11822AC3" w14:textId="00282F01" w:rsidR="00600D9B" w:rsidRPr="00875DBE" w:rsidRDefault="00600D9B" w:rsidP="00600D9B">
                  <w:pPr>
                    <w:rPr>
                      <w:spacing w:val="-2"/>
                    </w:rPr>
                  </w:pPr>
                  <w:r w:rsidRPr="00875DBE">
                    <w:rPr>
                      <w:spacing w:val="-2"/>
                    </w:rPr>
                    <w:t>3,07%</w:t>
                  </w:r>
                </w:p>
              </w:tc>
            </w:tr>
            <w:tr w:rsidR="00600D9B" w:rsidRPr="00875DBE" w14:paraId="5B908E2E" w14:textId="77777777" w:rsidTr="006148BE">
              <w:trPr>
                <w:cantSplit/>
              </w:trPr>
              <w:tc>
                <w:tcPr>
                  <w:tcW w:w="712" w:type="dxa"/>
                </w:tcPr>
                <w:p w14:paraId="6367EA60" w14:textId="209FDE9B" w:rsidR="00600D9B" w:rsidRPr="00875DBE" w:rsidRDefault="00600D9B" w:rsidP="00600D9B">
                  <w:pPr>
                    <w:rPr>
                      <w:spacing w:val="-2"/>
                    </w:rPr>
                  </w:pPr>
                  <w:r w:rsidRPr="00875DBE">
                    <w:rPr>
                      <w:spacing w:val="-2"/>
                    </w:rPr>
                    <w:t>2016</w:t>
                  </w:r>
                </w:p>
              </w:tc>
              <w:tc>
                <w:tcPr>
                  <w:tcW w:w="4985" w:type="dxa"/>
                </w:tcPr>
                <w:p w14:paraId="24975DD0" w14:textId="302B9E5A" w:rsidR="00600D9B" w:rsidRPr="00875DBE" w:rsidRDefault="00600D9B" w:rsidP="00600D9B">
                  <w:pPr>
                    <w:rPr>
                      <w:spacing w:val="-2"/>
                    </w:rPr>
                  </w:pPr>
                  <w:r w:rsidRPr="00875DBE">
                    <w:rPr>
                      <w:spacing w:val="-2"/>
                    </w:rPr>
                    <w:t>4047,21</w:t>
                  </w:r>
                </w:p>
              </w:tc>
              <w:tc>
                <w:tcPr>
                  <w:tcW w:w="2077" w:type="dxa"/>
                </w:tcPr>
                <w:p w14:paraId="5DF6AE7B" w14:textId="1466B3D8" w:rsidR="00600D9B" w:rsidRPr="00875DBE" w:rsidRDefault="00600D9B" w:rsidP="00600D9B">
                  <w:pPr>
                    <w:rPr>
                      <w:spacing w:val="-2"/>
                    </w:rPr>
                  </w:pPr>
                  <w:r w:rsidRPr="00875DBE">
                    <w:rPr>
                      <w:spacing w:val="-2"/>
                    </w:rPr>
                    <w:t>3,78 %</w:t>
                  </w:r>
                </w:p>
              </w:tc>
            </w:tr>
            <w:tr w:rsidR="00600D9B" w:rsidRPr="00875DBE" w14:paraId="1143584B" w14:textId="77777777" w:rsidTr="006148BE">
              <w:trPr>
                <w:cantSplit/>
              </w:trPr>
              <w:tc>
                <w:tcPr>
                  <w:tcW w:w="712" w:type="dxa"/>
                </w:tcPr>
                <w:p w14:paraId="53AB7152" w14:textId="430E3471" w:rsidR="00600D9B" w:rsidRPr="00875DBE" w:rsidRDefault="00600D9B" w:rsidP="00600D9B">
                  <w:pPr>
                    <w:rPr>
                      <w:spacing w:val="-2"/>
                    </w:rPr>
                  </w:pPr>
                  <w:r w:rsidRPr="00875DBE">
                    <w:rPr>
                      <w:spacing w:val="-2"/>
                    </w:rPr>
                    <w:t>2017</w:t>
                  </w:r>
                </w:p>
              </w:tc>
              <w:tc>
                <w:tcPr>
                  <w:tcW w:w="4985" w:type="dxa"/>
                </w:tcPr>
                <w:p w14:paraId="7327453B" w14:textId="12FEBE20" w:rsidR="00600D9B" w:rsidRPr="00875DBE" w:rsidRDefault="00600D9B" w:rsidP="00600D9B">
                  <w:pPr>
                    <w:rPr>
                      <w:spacing w:val="-2"/>
                    </w:rPr>
                  </w:pPr>
                  <w:r w:rsidRPr="00875DBE">
                    <w:rPr>
                      <w:spacing w:val="-2"/>
                    </w:rPr>
                    <w:t>4271,51</w:t>
                  </w:r>
                </w:p>
              </w:tc>
              <w:tc>
                <w:tcPr>
                  <w:tcW w:w="2077" w:type="dxa"/>
                </w:tcPr>
                <w:p w14:paraId="4497DE98" w14:textId="51D09AC1" w:rsidR="00600D9B" w:rsidRPr="00875DBE" w:rsidRDefault="00600D9B" w:rsidP="00600D9B">
                  <w:pPr>
                    <w:rPr>
                      <w:spacing w:val="-2"/>
                    </w:rPr>
                  </w:pPr>
                  <w:r w:rsidRPr="00875DBE">
                    <w:rPr>
                      <w:spacing w:val="-2"/>
                    </w:rPr>
                    <w:t>5,54%</w:t>
                  </w:r>
                </w:p>
              </w:tc>
            </w:tr>
            <w:tr w:rsidR="00600D9B" w:rsidRPr="00875DBE" w14:paraId="0FB9D9F7" w14:textId="77777777" w:rsidTr="006148BE">
              <w:trPr>
                <w:cantSplit/>
              </w:trPr>
              <w:tc>
                <w:tcPr>
                  <w:tcW w:w="712" w:type="dxa"/>
                </w:tcPr>
                <w:p w14:paraId="5F9EFE60" w14:textId="4ACDC2BE" w:rsidR="00600D9B" w:rsidRPr="00875DBE" w:rsidRDefault="00600D9B" w:rsidP="00600D9B">
                  <w:pPr>
                    <w:rPr>
                      <w:spacing w:val="-2"/>
                    </w:rPr>
                  </w:pPr>
                  <w:r w:rsidRPr="00875DBE">
                    <w:rPr>
                      <w:spacing w:val="-2"/>
                    </w:rPr>
                    <w:t>2018</w:t>
                  </w:r>
                </w:p>
              </w:tc>
              <w:tc>
                <w:tcPr>
                  <w:tcW w:w="4985" w:type="dxa"/>
                </w:tcPr>
                <w:p w14:paraId="71918D80" w14:textId="52B4CAB0" w:rsidR="00600D9B" w:rsidRPr="00875DBE" w:rsidRDefault="00600D9B" w:rsidP="00600D9B">
                  <w:pPr>
                    <w:rPr>
                      <w:spacing w:val="-2"/>
                    </w:rPr>
                  </w:pPr>
                  <w:r w:rsidRPr="00875DBE">
                    <w:rPr>
                      <w:spacing w:val="-2"/>
                    </w:rPr>
                    <w:t>4585,03</w:t>
                  </w:r>
                </w:p>
              </w:tc>
              <w:tc>
                <w:tcPr>
                  <w:tcW w:w="2077" w:type="dxa"/>
                </w:tcPr>
                <w:p w14:paraId="77EE6587" w14:textId="7CD0AFB4" w:rsidR="00600D9B" w:rsidRPr="00875DBE" w:rsidRDefault="00600D9B" w:rsidP="00600D9B">
                  <w:pPr>
                    <w:rPr>
                      <w:spacing w:val="-2"/>
                    </w:rPr>
                  </w:pPr>
                  <w:r w:rsidRPr="00875DBE">
                    <w:rPr>
                      <w:spacing w:val="-2"/>
                    </w:rPr>
                    <w:t>7,34%</w:t>
                  </w:r>
                </w:p>
              </w:tc>
            </w:tr>
            <w:tr w:rsidR="00600D9B" w:rsidRPr="00875DBE" w14:paraId="068A914E" w14:textId="77777777" w:rsidTr="006148BE">
              <w:trPr>
                <w:cantSplit/>
              </w:trPr>
              <w:tc>
                <w:tcPr>
                  <w:tcW w:w="712" w:type="dxa"/>
                </w:tcPr>
                <w:p w14:paraId="67EB9E30" w14:textId="6CF19090" w:rsidR="00600D9B" w:rsidRPr="00875DBE" w:rsidRDefault="00600D9B" w:rsidP="00600D9B">
                  <w:pPr>
                    <w:rPr>
                      <w:spacing w:val="-2"/>
                    </w:rPr>
                  </w:pPr>
                  <w:r w:rsidRPr="00875DBE">
                    <w:rPr>
                      <w:spacing w:val="-2"/>
                    </w:rPr>
                    <w:t>2019</w:t>
                  </w:r>
                </w:p>
              </w:tc>
              <w:tc>
                <w:tcPr>
                  <w:tcW w:w="4985" w:type="dxa"/>
                </w:tcPr>
                <w:p w14:paraId="55207FE3" w14:textId="0A43CE0A" w:rsidR="00600D9B" w:rsidRPr="00875DBE" w:rsidRDefault="00600D9B" w:rsidP="00600D9B">
                  <w:pPr>
                    <w:rPr>
                      <w:spacing w:val="-2"/>
                    </w:rPr>
                  </w:pPr>
                  <w:r w:rsidRPr="00875DBE">
                    <w:rPr>
                      <w:spacing w:val="-2"/>
                    </w:rPr>
                    <w:t>4918,17</w:t>
                  </w:r>
                </w:p>
              </w:tc>
              <w:tc>
                <w:tcPr>
                  <w:tcW w:w="2077" w:type="dxa"/>
                </w:tcPr>
                <w:p w14:paraId="5AD7093F" w14:textId="6644147F" w:rsidR="00600D9B" w:rsidRPr="00875DBE" w:rsidRDefault="00600D9B" w:rsidP="00600D9B">
                  <w:pPr>
                    <w:rPr>
                      <w:spacing w:val="-2"/>
                    </w:rPr>
                  </w:pPr>
                  <w:r w:rsidRPr="00875DBE">
                    <w:rPr>
                      <w:spacing w:val="-2"/>
                    </w:rPr>
                    <w:t>7,27%</w:t>
                  </w:r>
                </w:p>
              </w:tc>
            </w:tr>
            <w:tr w:rsidR="00600D9B" w:rsidRPr="00875DBE" w14:paraId="2D849BF7" w14:textId="77777777" w:rsidTr="006148BE">
              <w:trPr>
                <w:cantSplit/>
              </w:trPr>
              <w:tc>
                <w:tcPr>
                  <w:tcW w:w="712" w:type="dxa"/>
                </w:tcPr>
                <w:p w14:paraId="3F282F0A" w14:textId="05ACB384" w:rsidR="00600D9B" w:rsidRPr="00875DBE" w:rsidRDefault="00600D9B" w:rsidP="00600D9B">
                  <w:pPr>
                    <w:rPr>
                      <w:spacing w:val="-2"/>
                    </w:rPr>
                  </w:pPr>
                  <w:r w:rsidRPr="00875DBE">
                    <w:rPr>
                      <w:spacing w:val="-2"/>
                    </w:rPr>
                    <w:t>2020</w:t>
                  </w:r>
                </w:p>
              </w:tc>
              <w:tc>
                <w:tcPr>
                  <w:tcW w:w="4985" w:type="dxa"/>
                </w:tcPr>
                <w:p w14:paraId="03A17970" w14:textId="4D6F7072" w:rsidR="00600D9B" w:rsidRPr="00875DBE" w:rsidRDefault="00600D9B" w:rsidP="00600D9B">
                  <w:pPr>
                    <w:rPr>
                      <w:spacing w:val="-2"/>
                    </w:rPr>
                  </w:pPr>
                  <w:r w:rsidRPr="00875DBE">
                    <w:rPr>
                      <w:spacing w:val="-2"/>
                    </w:rPr>
                    <w:t>5167,47</w:t>
                  </w:r>
                </w:p>
              </w:tc>
              <w:tc>
                <w:tcPr>
                  <w:tcW w:w="2077" w:type="dxa"/>
                </w:tcPr>
                <w:p w14:paraId="64BC7941" w14:textId="4739A6AC" w:rsidR="00600D9B" w:rsidRPr="00875DBE" w:rsidRDefault="00600D9B" w:rsidP="00600D9B">
                  <w:pPr>
                    <w:rPr>
                      <w:spacing w:val="-2"/>
                    </w:rPr>
                  </w:pPr>
                  <w:r w:rsidRPr="00875DBE">
                    <w:rPr>
                      <w:spacing w:val="-2"/>
                    </w:rPr>
                    <w:t>5,07%</w:t>
                  </w:r>
                </w:p>
              </w:tc>
            </w:tr>
            <w:tr w:rsidR="00600D9B" w:rsidRPr="00875DBE" w14:paraId="353F6BF4" w14:textId="77777777" w:rsidTr="006148BE">
              <w:trPr>
                <w:cantSplit/>
              </w:trPr>
              <w:tc>
                <w:tcPr>
                  <w:tcW w:w="712" w:type="dxa"/>
                </w:tcPr>
                <w:p w14:paraId="3563135D" w14:textId="09BBE57C" w:rsidR="00600D9B" w:rsidRPr="00875DBE" w:rsidRDefault="00600D9B" w:rsidP="00600D9B">
                  <w:pPr>
                    <w:rPr>
                      <w:spacing w:val="-2"/>
                    </w:rPr>
                  </w:pPr>
                  <w:r w:rsidRPr="00875DBE">
                    <w:rPr>
                      <w:spacing w:val="-2"/>
                    </w:rPr>
                    <w:t>2021</w:t>
                  </w:r>
                </w:p>
              </w:tc>
              <w:tc>
                <w:tcPr>
                  <w:tcW w:w="4985" w:type="dxa"/>
                </w:tcPr>
                <w:p w14:paraId="34EAB100" w14:textId="085F8717" w:rsidR="00600D9B" w:rsidRPr="00875DBE" w:rsidRDefault="00600D9B" w:rsidP="00600D9B">
                  <w:pPr>
                    <w:rPr>
                      <w:spacing w:val="-2"/>
                    </w:rPr>
                  </w:pPr>
                  <w:r w:rsidRPr="00875DBE">
                    <w:rPr>
                      <w:spacing w:val="-2"/>
                    </w:rPr>
                    <w:t>5662,53</w:t>
                  </w:r>
                </w:p>
              </w:tc>
              <w:tc>
                <w:tcPr>
                  <w:tcW w:w="2077" w:type="dxa"/>
                </w:tcPr>
                <w:p w14:paraId="2A951B27" w14:textId="53CE23F1" w:rsidR="00600D9B" w:rsidRPr="00875DBE" w:rsidRDefault="00600D9B" w:rsidP="00600D9B">
                  <w:pPr>
                    <w:rPr>
                      <w:spacing w:val="-2"/>
                    </w:rPr>
                  </w:pPr>
                  <w:r w:rsidRPr="00875DBE">
                    <w:rPr>
                      <w:spacing w:val="-2"/>
                    </w:rPr>
                    <w:t>9,58%</w:t>
                  </w:r>
                </w:p>
              </w:tc>
            </w:tr>
            <w:tr w:rsidR="00600D9B" w:rsidRPr="00875DBE" w14:paraId="36E56BE8" w14:textId="77777777" w:rsidTr="006148BE">
              <w:trPr>
                <w:cantSplit/>
              </w:trPr>
              <w:tc>
                <w:tcPr>
                  <w:tcW w:w="712" w:type="dxa"/>
                </w:tcPr>
                <w:p w14:paraId="3CC2A470" w14:textId="2645C34C" w:rsidR="00600D9B" w:rsidRPr="00875DBE" w:rsidRDefault="00600D9B" w:rsidP="00600D9B">
                  <w:pPr>
                    <w:rPr>
                      <w:spacing w:val="-2"/>
                    </w:rPr>
                  </w:pPr>
                  <w:r w:rsidRPr="00875DBE">
                    <w:rPr>
                      <w:spacing w:val="-2"/>
                    </w:rPr>
                    <w:t>2022</w:t>
                  </w:r>
                </w:p>
              </w:tc>
              <w:tc>
                <w:tcPr>
                  <w:tcW w:w="4985" w:type="dxa"/>
                </w:tcPr>
                <w:p w14:paraId="122B4178" w14:textId="5D61FFEB" w:rsidR="00600D9B" w:rsidRPr="00875DBE" w:rsidRDefault="00600D9B" w:rsidP="00600D9B">
                  <w:pPr>
                    <w:rPr>
                      <w:spacing w:val="-2"/>
                    </w:rPr>
                  </w:pPr>
                  <w:r w:rsidRPr="00875DBE">
                    <w:rPr>
                      <w:spacing w:val="-2"/>
                    </w:rPr>
                    <w:t>6346,15</w:t>
                  </w:r>
                </w:p>
              </w:tc>
              <w:tc>
                <w:tcPr>
                  <w:tcW w:w="2077" w:type="dxa"/>
                </w:tcPr>
                <w:p w14:paraId="207B57D6" w14:textId="13A3B4E3" w:rsidR="00600D9B" w:rsidRPr="00875DBE" w:rsidRDefault="00600D9B" w:rsidP="00600D9B">
                  <w:pPr>
                    <w:rPr>
                      <w:spacing w:val="-2"/>
                    </w:rPr>
                  </w:pPr>
                  <w:r w:rsidRPr="00875DBE">
                    <w:rPr>
                      <w:spacing w:val="-2"/>
                    </w:rPr>
                    <w:t>12,07%</w:t>
                  </w:r>
                </w:p>
              </w:tc>
            </w:tr>
            <w:tr w:rsidR="00600D9B" w:rsidRPr="00875DBE" w14:paraId="38B094B9" w14:textId="77777777" w:rsidTr="006148BE">
              <w:trPr>
                <w:cantSplit/>
              </w:trPr>
              <w:tc>
                <w:tcPr>
                  <w:tcW w:w="712" w:type="dxa"/>
                </w:tcPr>
                <w:p w14:paraId="0A17DAF2" w14:textId="0A5F2C21" w:rsidR="00600D9B" w:rsidRPr="00875DBE" w:rsidRDefault="00600D9B" w:rsidP="00600D9B">
                  <w:pPr>
                    <w:rPr>
                      <w:spacing w:val="-2"/>
                    </w:rPr>
                  </w:pPr>
                  <w:r w:rsidRPr="00875DBE">
                    <w:rPr>
                      <w:spacing w:val="-2"/>
                    </w:rPr>
                    <w:t>2023</w:t>
                  </w:r>
                </w:p>
              </w:tc>
              <w:tc>
                <w:tcPr>
                  <w:tcW w:w="4985" w:type="dxa"/>
                </w:tcPr>
                <w:p w14:paraId="503732C1" w14:textId="002CA24B" w:rsidR="00600D9B" w:rsidRPr="00875DBE" w:rsidRDefault="00600D9B" w:rsidP="00600D9B">
                  <w:pPr>
                    <w:rPr>
                      <w:spacing w:val="-2"/>
                    </w:rPr>
                  </w:pPr>
                  <w:r w:rsidRPr="00875DBE">
                    <w:rPr>
                      <w:spacing w:val="-2"/>
                    </w:rPr>
                    <w:t>7155,48</w:t>
                  </w:r>
                </w:p>
              </w:tc>
              <w:tc>
                <w:tcPr>
                  <w:tcW w:w="2077" w:type="dxa"/>
                </w:tcPr>
                <w:p w14:paraId="70A302D5" w14:textId="4B5AC27B" w:rsidR="00600D9B" w:rsidRPr="00875DBE" w:rsidRDefault="00600D9B" w:rsidP="00600D9B">
                  <w:pPr>
                    <w:rPr>
                      <w:spacing w:val="-2"/>
                    </w:rPr>
                  </w:pPr>
                  <w:r w:rsidRPr="00875DBE">
                    <w:rPr>
                      <w:spacing w:val="-2"/>
                    </w:rPr>
                    <w:t>12,75%</w:t>
                  </w:r>
                </w:p>
              </w:tc>
            </w:tr>
          </w:tbl>
          <w:p w14:paraId="7140A29F" w14:textId="22C234BA" w:rsidR="00600D9B" w:rsidRPr="00875DBE" w:rsidRDefault="00600D9B" w:rsidP="00E625E7">
            <w:pPr>
              <w:ind w:right="118"/>
            </w:pPr>
            <w:r w:rsidRPr="00875DBE">
              <w:t xml:space="preserve">Na podstawie powyższych danych można ustalić, że wzrost przeciętnego wynagrodzenia w gospodarce krajowej w ciągu ostatnich 10 lat wyniósł średnio 7,01%. </w:t>
            </w:r>
            <w:r w:rsidR="00C26CE4">
              <w:t>W</w:t>
            </w:r>
            <w:r w:rsidRPr="00875DBE">
              <w:t xml:space="preserve"> związku z tym, proponuje się przyjąć prognozę analogicznego wzrostu przeciętnego wynagrodzenia w gospodarce w prognozie na kolejne 10 lat. </w:t>
            </w:r>
          </w:p>
          <w:p w14:paraId="4CB22933" w14:textId="544044EB" w:rsidR="00600D9B" w:rsidRPr="00875DBE" w:rsidRDefault="00600D9B" w:rsidP="00E625E7">
            <w:pPr>
              <w:ind w:right="118"/>
            </w:pPr>
            <w:r w:rsidRPr="00875DBE">
              <w:t xml:space="preserve">O wartość 7,01% w każdym kolejnym roku zostanie powiększona kwota finansowania organu właściwego ds. </w:t>
            </w:r>
            <w:proofErr w:type="spellStart"/>
            <w:r w:rsidRPr="00875DBE">
              <w:t>cyberbezpieczeństwa</w:t>
            </w:r>
            <w:proofErr w:type="spellEnd"/>
            <w:r w:rsidRPr="00875DBE">
              <w:t xml:space="preserve">, co powinno zapewnić wystarczające środki finansowe w obliczu powiększania się kwoty bazowej w administracji, ale także pozwoli na zapewnienie konkurencyjności wynagrodzeń w stosunku do zwiększającego się przeciętnego wynagrodzenia w gospodarce krajowej w sektorze prywatnym. </w:t>
            </w:r>
          </w:p>
          <w:p w14:paraId="351DFC68" w14:textId="78F88F27" w:rsidR="00600D9B" w:rsidRPr="00875DBE" w:rsidRDefault="00600D9B" w:rsidP="00E625E7">
            <w:pPr>
              <w:ind w:right="118"/>
            </w:pPr>
            <w:r>
              <w:t>W</w:t>
            </w:r>
            <w:r w:rsidRPr="00E21939">
              <w:t xml:space="preserve">zrost finansowania organów właściwych do spraw </w:t>
            </w:r>
            <w:proofErr w:type="spellStart"/>
            <w:r w:rsidRPr="00E21939">
              <w:t>cyberbezpieczeństwa</w:t>
            </w:r>
            <w:proofErr w:type="spellEnd"/>
            <w:r w:rsidRPr="00E21939">
              <w:t xml:space="preserve"> o 7,0% w każdym roku jest zasadn</w:t>
            </w:r>
            <w:r>
              <w:t>y</w:t>
            </w:r>
            <w:r w:rsidRPr="00E21939">
              <w:t xml:space="preserve"> i konieczn</w:t>
            </w:r>
            <w:r>
              <w:t>y</w:t>
            </w:r>
            <w:r w:rsidRPr="00E21939">
              <w:t>, aby zapewnić odpowiedni poziom kadry</w:t>
            </w:r>
            <w:r>
              <w:t>, bowiem</w:t>
            </w:r>
            <w:r w:rsidRPr="00E21939">
              <w:t xml:space="preserve"> dyrektywa NIS</w:t>
            </w:r>
            <w:r w:rsidR="00C26CE4">
              <w:t xml:space="preserve"> </w:t>
            </w:r>
            <w:r w:rsidRPr="00E21939">
              <w:t xml:space="preserve">2 nakazuje państwom członkowskim wprowadzenie efektywnego nadzoru nad podmiotami kluczowymi i podmiotami ważnymi – aby to zrealizować organy właściwe do spraw </w:t>
            </w:r>
            <w:proofErr w:type="spellStart"/>
            <w:r w:rsidRPr="00E21939">
              <w:t>cyberbezpieczeństwa</w:t>
            </w:r>
            <w:proofErr w:type="spellEnd"/>
            <w:r w:rsidRPr="00E21939">
              <w:t xml:space="preserve"> potrzebują niezbędnej kadry. Obniżenie poziomu finansowania może spowodować ryzyko odpływu doświadczonych pracowników do sektora prywatnego, ponieważ nie zostaną zapewnione dla nich odpowiednie warunki finansowe. Ponadto, nieadekwatne wynagrodzenie nie przyciągnie kandydatów z rynku, co spowoduje nieskuteczność kadry organów właściwych do spraw </w:t>
            </w:r>
            <w:proofErr w:type="spellStart"/>
            <w:r w:rsidRPr="00E21939">
              <w:t>cyberbezpieczeństwa</w:t>
            </w:r>
            <w:proofErr w:type="spellEnd"/>
            <w:r>
              <w:t>.</w:t>
            </w:r>
          </w:p>
          <w:tbl>
            <w:tblPr>
              <w:tblStyle w:val="Tabelasiatki4akcent1"/>
              <w:tblW w:w="5000" w:type="pct"/>
              <w:tblLook w:val="04A0" w:firstRow="1" w:lastRow="0" w:firstColumn="1" w:lastColumn="0" w:noHBand="0" w:noVBand="1"/>
            </w:tblPr>
            <w:tblGrid>
              <w:gridCol w:w="2525"/>
              <w:gridCol w:w="2527"/>
              <w:gridCol w:w="3641"/>
              <w:gridCol w:w="149"/>
            </w:tblGrid>
            <w:tr w:rsidR="00600D9B" w:rsidRPr="00875DBE" w14:paraId="5B566317" w14:textId="77777777" w:rsidTr="00614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CF5C368" w14:textId="31886AB2" w:rsidR="00600D9B" w:rsidRPr="00875DBE" w:rsidRDefault="00600D9B" w:rsidP="00600D9B">
                  <w:r w:rsidRPr="00875DBE">
                    <w:t>Podsumowanie nowych etatów</w:t>
                  </w:r>
                </w:p>
              </w:tc>
            </w:tr>
            <w:tr w:rsidR="00600D9B" w:rsidRPr="00875DBE" w14:paraId="5A0C0C57" w14:textId="77777777" w:rsidTr="00617A35">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shd w:val="clear" w:color="auto" w:fill="8EAADB" w:themeFill="accent1" w:themeFillTint="99"/>
                </w:tcPr>
                <w:p w14:paraId="72313F30" w14:textId="0101F924" w:rsidR="00600D9B" w:rsidRPr="00875DBE" w:rsidRDefault="00600D9B" w:rsidP="00600D9B">
                  <w:r w:rsidRPr="00875DBE">
                    <w:t>Sektor/podsektor</w:t>
                  </w:r>
                </w:p>
              </w:tc>
              <w:tc>
                <w:tcPr>
                  <w:tcW w:w="1429" w:type="pct"/>
                  <w:shd w:val="clear" w:color="auto" w:fill="8EAADB" w:themeFill="accent1" w:themeFillTint="99"/>
                </w:tcPr>
                <w:p w14:paraId="6652116A" w14:textId="17E34451" w:rsidR="00600D9B" w:rsidRPr="007A3BBA" w:rsidRDefault="00600D9B" w:rsidP="00E625E7">
                  <w:pPr>
                    <w:jc w:val="left"/>
                    <w:cnfStyle w:val="000000100000" w:firstRow="0" w:lastRow="0" w:firstColumn="0" w:lastColumn="0" w:oddVBand="0" w:evenVBand="0" w:oddHBand="1" w:evenHBand="0" w:firstRowFirstColumn="0" w:firstRowLastColumn="0" w:lastRowFirstColumn="0" w:lastRowLastColumn="0"/>
                    <w:rPr>
                      <w:b/>
                      <w:bCs/>
                    </w:rPr>
                  </w:pPr>
                  <w:r w:rsidRPr="007A3BBA">
                    <w:rPr>
                      <w:b/>
                      <w:bCs/>
                    </w:rPr>
                    <w:t xml:space="preserve">Organ właściwy do spraw </w:t>
                  </w:r>
                  <w:proofErr w:type="spellStart"/>
                  <w:r w:rsidRPr="007A3BBA">
                    <w:rPr>
                      <w:b/>
                      <w:bCs/>
                    </w:rPr>
                    <w:t>cyberbezpieczeństwa</w:t>
                  </w:r>
                  <w:proofErr w:type="spellEnd"/>
                </w:p>
              </w:tc>
              <w:tc>
                <w:tcPr>
                  <w:tcW w:w="2059" w:type="pct"/>
                  <w:shd w:val="clear" w:color="auto" w:fill="8EAADB" w:themeFill="accent1" w:themeFillTint="99"/>
                </w:tcPr>
                <w:p w14:paraId="75730ECF" w14:textId="69199902" w:rsidR="00600D9B" w:rsidRPr="007A3BBA" w:rsidRDefault="00600D9B" w:rsidP="00600D9B">
                  <w:pPr>
                    <w:cnfStyle w:val="000000100000" w:firstRow="0" w:lastRow="0" w:firstColumn="0" w:lastColumn="0" w:oddVBand="0" w:evenVBand="0" w:oddHBand="1" w:evenHBand="0" w:firstRowFirstColumn="0" w:firstRowLastColumn="0" w:lastRowFirstColumn="0" w:lastRowLastColumn="0"/>
                    <w:rPr>
                      <w:b/>
                      <w:bCs/>
                    </w:rPr>
                  </w:pPr>
                  <w:r w:rsidRPr="007A3BBA">
                    <w:rPr>
                      <w:b/>
                      <w:bCs/>
                    </w:rPr>
                    <w:t>Nowe etaty</w:t>
                  </w:r>
                </w:p>
              </w:tc>
            </w:tr>
            <w:tr w:rsidR="00600D9B" w:rsidRPr="00875DBE" w14:paraId="1DECA607" w14:textId="77777777" w:rsidTr="006148BE">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1B424A3D" w14:textId="54E9ECE4" w:rsidR="00600D9B" w:rsidRPr="00875DBE" w:rsidRDefault="00600D9B" w:rsidP="00E625E7">
                  <w:pPr>
                    <w:jc w:val="left"/>
                  </w:pPr>
                  <w:r w:rsidRPr="00875DBE">
                    <w:t>Energia</w:t>
                  </w:r>
                </w:p>
              </w:tc>
              <w:tc>
                <w:tcPr>
                  <w:tcW w:w="1429" w:type="pct"/>
                </w:tcPr>
                <w:p w14:paraId="5926B776" w14:textId="169A665B"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minister właściwy do spraw energii</w:t>
                  </w:r>
                </w:p>
              </w:tc>
              <w:tc>
                <w:tcPr>
                  <w:tcW w:w="2059" w:type="pct"/>
                </w:tcPr>
                <w:p w14:paraId="3D5917A3" w14:textId="3C557026"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rsidRPr="00875DBE">
                    <w:t>19</w:t>
                  </w:r>
                </w:p>
              </w:tc>
            </w:tr>
            <w:tr w:rsidR="0035509B" w:rsidRPr="00875DBE" w14:paraId="3BC4D4AF" w14:textId="77777777" w:rsidTr="00617A35">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1AAA1DE8" w14:textId="0F6D7BB2" w:rsidR="00600D9B" w:rsidRPr="00875DBE" w:rsidRDefault="00343ABE" w:rsidP="00E625E7">
                  <w:pPr>
                    <w:jc w:val="left"/>
                  </w:pPr>
                  <w:r>
                    <w:t>T</w:t>
                  </w:r>
                  <w:r w:rsidR="00600D9B" w:rsidRPr="00875DBE">
                    <w:t>ransport wodny</w:t>
                  </w:r>
                </w:p>
              </w:tc>
              <w:tc>
                <w:tcPr>
                  <w:tcW w:w="1429" w:type="pct"/>
                </w:tcPr>
                <w:p w14:paraId="0B4A0C13" w14:textId="34BC3966"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minister właściwy do spraw gospodarki morskiej</w:t>
                  </w:r>
                </w:p>
              </w:tc>
              <w:tc>
                <w:tcPr>
                  <w:tcW w:w="2059" w:type="pct"/>
                </w:tcPr>
                <w:p w14:paraId="32BDF09F" w14:textId="33F2BE7E"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rsidRPr="00875DBE">
                    <w:t>1</w:t>
                  </w:r>
                </w:p>
              </w:tc>
            </w:tr>
            <w:tr w:rsidR="00600D9B" w:rsidRPr="00875DBE" w14:paraId="7CB21283" w14:textId="77777777" w:rsidTr="006148BE">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09201E03" w14:textId="6920AD23" w:rsidR="00600D9B" w:rsidRPr="00875DBE" w:rsidRDefault="00600D9B" w:rsidP="00E625E7">
                  <w:pPr>
                    <w:jc w:val="left"/>
                  </w:pPr>
                  <w:r w:rsidRPr="00875DBE">
                    <w:lastRenderedPageBreak/>
                    <w:t>Transport</w:t>
                  </w:r>
                </w:p>
              </w:tc>
              <w:tc>
                <w:tcPr>
                  <w:tcW w:w="1429" w:type="pct"/>
                </w:tcPr>
                <w:p w14:paraId="302C03CD" w14:textId="0282C9B5"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minister właściwy do spraw transportu</w:t>
                  </w:r>
                </w:p>
              </w:tc>
              <w:tc>
                <w:tcPr>
                  <w:tcW w:w="2059" w:type="pct"/>
                </w:tcPr>
                <w:p w14:paraId="239A977B" w14:textId="6E80E7BD"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rsidRPr="00875DBE">
                    <w:t>23</w:t>
                  </w:r>
                </w:p>
              </w:tc>
            </w:tr>
            <w:tr w:rsidR="0035509B" w:rsidRPr="00875DBE" w14:paraId="6B75AA39" w14:textId="77777777" w:rsidTr="00617A35">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567D1AB5" w14:textId="4AEC8265" w:rsidR="00600D9B" w:rsidRPr="00875DBE" w:rsidRDefault="00600D9B" w:rsidP="00E625E7">
                  <w:pPr>
                    <w:jc w:val="left"/>
                  </w:pPr>
                  <w:r w:rsidRPr="00875DBE">
                    <w:t>Bankowość i infrastruktura rynków finansowych</w:t>
                  </w:r>
                </w:p>
              </w:tc>
              <w:tc>
                <w:tcPr>
                  <w:tcW w:w="1429" w:type="pct"/>
                </w:tcPr>
                <w:p w14:paraId="187679FB" w14:textId="62472656"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Komisja Nadzoru Finansowego</w:t>
                  </w:r>
                </w:p>
              </w:tc>
              <w:tc>
                <w:tcPr>
                  <w:tcW w:w="2059" w:type="pct"/>
                </w:tcPr>
                <w:p w14:paraId="14325F10" w14:textId="5E969891"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rsidRPr="00875DBE">
                    <w:t>28</w:t>
                  </w:r>
                </w:p>
              </w:tc>
            </w:tr>
            <w:tr w:rsidR="00600D9B" w:rsidRPr="00875DBE" w14:paraId="1C5727BF" w14:textId="77777777" w:rsidTr="006148BE">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1C103C81" w14:textId="5E57DE3D" w:rsidR="00600D9B" w:rsidRPr="00875DBE" w:rsidRDefault="00600D9B" w:rsidP="00E625E7">
                  <w:pPr>
                    <w:jc w:val="left"/>
                  </w:pPr>
                  <w:r w:rsidRPr="00875DBE">
                    <w:t>Zdrowie</w:t>
                  </w:r>
                </w:p>
              </w:tc>
              <w:tc>
                <w:tcPr>
                  <w:tcW w:w="1429" w:type="pct"/>
                </w:tcPr>
                <w:p w14:paraId="35EDD4A4" w14:textId="5267DF05"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minister właściwy do spraw zdrowia</w:t>
                  </w:r>
                </w:p>
              </w:tc>
              <w:tc>
                <w:tcPr>
                  <w:tcW w:w="2059" w:type="pct"/>
                </w:tcPr>
                <w:p w14:paraId="00035EC4" w14:textId="75E3B5AE"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rsidRPr="00875DBE">
                    <w:t>40</w:t>
                  </w:r>
                </w:p>
              </w:tc>
            </w:tr>
            <w:tr w:rsidR="0035509B" w:rsidRPr="00875DBE" w14:paraId="37D75641" w14:textId="77777777" w:rsidTr="00617A35">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569C9A1C" w14:textId="6BF5B096" w:rsidR="00600D9B" w:rsidRPr="00875DBE" w:rsidRDefault="00600D9B" w:rsidP="00E625E7">
                  <w:pPr>
                    <w:jc w:val="left"/>
                  </w:pPr>
                  <w:r w:rsidRPr="00875DBE">
                    <w:t>Woda pitna</w:t>
                  </w:r>
                </w:p>
              </w:tc>
              <w:tc>
                <w:tcPr>
                  <w:tcW w:w="1429" w:type="pct"/>
                </w:tcPr>
                <w:p w14:paraId="50D11606" w14:textId="3BBDBF82"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minister właściwy do spraw gospodarki wodnej</w:t>
                  </w:r>
                </w:p>
              </w:tc>
              <w:tc>
                <w:tcPr>
                  <w:tcW w:w="2059" w:type="pct"/>
                </w:tcPr>
                <w:p w14:paraId="0046D148" w14:textId="7968BC42"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rsidRPr="00875DBE">
                    <w:t>14</w:t>
                  </w:r>
                </w:p>
              </w:tc>
            </w:tr>
            <w:tr w:rsidR="00600D9B" w:rsidRPr="00875DBE" w14:paraId="62442198" w14:textId="77777777" w:rsidTr="006148BE">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5B14BDB3" w14:textId="4B844FF2" w:rsidR="00600D9B" w:rsidRPr="00875DBE" w:rsidRDefault="00600D9B" w:rsidP="00E625E7">
                  <w:pPr>
                    <w:jc w:val="left"/>
                  </w:pPr>
                  <w:r w:rsidRPr="00875DBE">
                    <w:t>Ścieki</w:t>
                  </w:r>
                </w:p>
              </w:tc>
              <w:tc>
                <w:tcPr>
                  <w:tcW w:w="1429" w:type="pct"/>
                </w:tcPr>
                <w:p w14:paraId="45BE6C32" w14:textId="420B2E9B"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minister właściwy do spraw gospodarki wodnej</w:t>
                  </w:r>
                </w:p>
              </w:tc>
              <w:tc>
                <w:tcPr>
                  <w:tcW w:w="2059" w:type="pct"/>
                </w:tcPr>
                <w:p w14:paraId="354990C8" w14:textId="4207C940"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rsidRPr="00875DBE">
                    <w:t>6</w:t>
                  </w:r>
                </w:p>
              </w:tc>
            </w:tr>
            <w:tr w:rsidR="0035509B" w:rsidRPr="00875DBE" w14:paraId="6BAE58D2" w14:textId="77777777" w:rsidTr="00617A35">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6AC9B55C" w14:textId="5420939C" w:rsidR="00600D9B" w:rsidRPr="00875DBE" w:rsidRDefault="00600D9B" w:rsidP="00E625E7">
                  <w:pPr>
                    <w:jc w:val="left"/>
                  </w:pPr>
                  <w:r w:rsidRPr="00875DBE">
                    <w:t>Infrastruktura Cyfrowa</w:t>
                  </w:r>
                </w:p>
              </w:tc>
              <w:tc>
                <w:tcPr>
                  <w:tcW w:w="1429" w:type="pct"/>
                </w:tcPr>
                <w:p w14:paraId="573F6EE6" w14:textId="3FC06707"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minister właściwy do spraw informatyzacji</w:t>
                  </w:r>
                </w:p>
              </w:tc>
              <w:tc>
                <w:tcPr>
                  <w:tcW w:w="2059" w:type="pct"/>
                </w:tcPr>
                <w:p w14:paraId="378E5DB9" w14:textId="00CB9DC5"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t>24</w:t>
                  </w:r>
                </w:p>
              </w:tc>
            </w:tr>
            <w:tr w:rsidR="00600D9B" w:rsidRPr="00875DBE" w14:paraId="60C78F96" w14:textId="77777777" w:rsidTr="00617A35">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2CCFBC34" w14:textId="762F1103" w:rsidR="00600D9B" w:rsidRPr="00875DBE" w:rsidRDefault="00343ABE" w:rsidP="00E625E7">
                  <w:pPr>
                    <w:jc w:val="left"/>
                  </w:pPr>
                  <w:r>
                    <w:t>D</w:t>
                  </w:r>
                  <w:r w:rsidR="00600D9B" w:rsidRPr="001F3FBA">
                    <w:t>ostawcy usług cyfrowych</w:t>
                  </w:r>
                </w:p>
              </w:tc>
              <w:tc>
                <w:tcPr>
                  <w:tcW w:w="1429" w:type="pct"/>
                </w:tcPr>
                <w:p w14:paraId="3873EC03" w14:textId="6F2AE111"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minister właściwy do spraw informatyzacji</w:t>
                  </w:r>
                </w:p>
              </w:tc>
              <w:tc>
                <w:tcPr>
                  <w:tcW w:w="2059" w:type="pct"/>
                </w:tcPr>
                <w:p w14:paraId="5231EFC1" w14:textId="3E99AE39"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t>2</w:t>
                  </w:r>
                </w:p>
              </w:tc>
            </w:tr>
            <w:tr w:rsidR="00600D9B" w:rsidRPr="00875DBE" w14:paraId="297885AC" w14:textId="77777777" w:rsidTr="006148BE">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1A926F98" w14:textId="3033D168" w:rsidR="00600D9B" w:rsidRPr="00875DBE" w:rsidRDefault="00600D9B" w:rsidP="00E625E7">
                  <w:pPr>
                    <w:jc w:val="left"/>
                  </w:pPr>
                  <w:r w:rsidRPr="00875DBE">
                    <w:t>Komunikacja elektroniczna</w:t>
                  </w:r>
                </w:p>
              </w:tc>
              <w:tc>
                <w:tcPr>
                  <w:tcW w:w="1429" w:type="pct"/>
                </w:tcPr>
                <w:p w14:paraId="7ECFE512" w14:textId="74001BE8"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Prezes UKE</w:t>
                  </w:r>
                </w:p>
              </w:tc>
              <w:tc>
                <w:tcPr>
                  <w:tcW w:w="2059" w:type="pct"/>
                </w:tcPr>
                <w:p w14:paraId="0893CEFD" w14:textId="433B894B"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rsidRPr="00875DBE">
                    <w:t>40</w:t>
                  </w:r>
                </w:p>
              </w:tc>
            </w:tr>
            <w:tr w:rsidR="00600D9B" w:rsidRPr="00875DBE" w14:paraId="29449D8F" w14:textId="77777777" w:rsidTr="00617A35">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0FACCF16" w14:textId="06AC8685" w:rsidR="00600D9B" w:rsidRPr="00875DBE" w:rsidRDefault="00343ABE" w:rsidP="00E625E7">
                  <w:pPr>
                    <w:jc w:val="left"/>
                  </w:pPr>
                  <w:r>
                    <w:t>Z</w:t>
                  </w:r>
                  <w:r w:rsidR="00600D9B" w:rsidRPr="00875DBE">
                    <w:t>arządzanie ICT</w:t>
                  </w:r>
                </w:p>
              </w:tc>
              <w:tc>
                <w:tcPr>
                  <w:tcW w:w="1429" w:type="pct"/>
                </w:tcPr>
                <w:p w14:paraId="739129EC" w14:textId="5E0EDF61"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minister właściwy do spraw informatyzacji</w:t>
                  </w:r>
                </w:p>
              </w:tc>
              <w:tc>
                <w:tcPr>
                  <w:tcW w:w="2059" w:type="pct"/>
                </w:tcPr>
                <w:p w14:paraId="23024603" w14:textId="7B9C83F8"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rsidRPr="00875DBE">
                    <w:t>3</w:t>
                  </w:r>
                </w:p>
              </w:tc>
            </w:tr>
            <w:tr w:rsidR="00600D9B" w:rsidRPr="00875DBE" w14:paraId="771CE45A" w14:textId="77777777" w:rsidTr="006148BE">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485D40D4" w14:textId="35E951B1" w:rsidR="00600D9B" w:rsidRPr="00875DBE" w:rsidRDefault="00600D9B" w:rsidP="00E625E7">
                  <w:pPr>
                    <w:jc w:val="left"/>
                  </w:pPr>
                  <w:r w:rsidRPr="00875DBE">
                    <w:t>Administracja publiczna</w:t>
                  </w:r>
                </w:p>
              </w:tc>
              <w:tc>
                <w:tcPr>
                  <w:tcW w:w="1429" w:type="pct"/>
                </w:tcPr>
                <w:p w14:paraId="3C8CE29A" w14:textId="39A3DEDF"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minister właściwy do spraw informatyzacji</w:t>
                  </w:r>
                </w:p>
              </w:tc>
              <w:tc>
                <w:tcPr>
                  <w:tcW w:w="2059" w:type="pct"/>
                </w:tcPr>
                <w:p w14:paraId="03DE02C5" w14:textId="0B39C161"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rsidRPr="00875DBE">
                    <w:t>20</w:t>
                  </w:r>
                </w:p>
              </w:tc>
            </w:tr>
            <w:tr w:rsidR="00600D9B" w:rsidRPr="00875DBE" w14:paraId="4C5D2D54" w14:textId="77777777" w:rsidTr="00617A35">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060779B2" w14:textId="11DC649E" w:rsidR="00600D9B" w:rsidRPr="00875DBE" w:rsidRDefault="00600D9B" w:rsidP="00E625E7">
                  <w:pPr>
                    <w:jc w:val="left"/>
                  </w:pPr>
                  <w:r w:rsidRPr="00875DBE">
                    <w:t>Administracja publiczna</w:t>
                  </w:r>
                </w:p>
              </w:tc>
              <w:tc>
                <w:tcPr>
                  <w:tcW w:w="1429" w:type="pct"/>
                </w:tcPr>
                <w:p w14:paraId="67D4586F" w14:textId="1E6D7CF3"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Szef ABW</w:t>
                  </w:r>
                </w:p>
              </w:tc>
              <w:tc>
                <w:tcPr>
                  <w:tcW w:w="2059" w:type="pct"/>
                </w:tcPr>
                <w:p w14:paraId="5851920F" w14:textId="4989183B"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rsidRPr="00875DBE">
                    <w:t>20</w:t>
                  </w:r>
                </w:p>
              </w:tc>
            </w:tr>
            <w:tr w:rsidR="00600D9B" w:rsidRPr="00875DBE" w14:paraId="3D081723" w14:textId="77777777" w:rsidTr="006148BE">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2A715804" w14:textId="52EFD4EE" w:rsidR="00600D9B" w:rsidRPr="00875DBE" w:rsidRDefault="00600D9B" w:rsidP="00E625E7">
                  <w:pPr>
                    <w:jc w:val="left"/>
                  </w:pPr>
                  <w:r w:rsidRPr="00875DBE">
                    <w:t>Przestrzeń kosmiczna</w:t>
                  </w:r>
                </w:p>
              </w:tc>
              <w:tc>
                <w:tcPr>
                  <w:tcW w:w="1429" w:type="pct"/>
                </w:tcPr>
                <w:p w14:paraId="594A6D17" w14:textId="266ABAC4"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minister właściwy do spraw gospodarki</w:t>
                  </w:r>
                </w:p>
              </w:tc>
              <w:tc>
                <w:tcPr>
                  <w:tcW w:w="2059" w:type="pct"/>
                </w:tcPr>
                <w:p w14:paraId="1747EAD1" w14:textId="678BC725"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rsidRPr="00875DBE">
                    <w:t>0</w:t>
                  </w:r>
                </w:p>
              </w:tc>
            </w:tr>
            <w:tr w:rsidR="00600D9B" w:rsidRPr="00875DBE" w14:paraId="67305625" w14:textId="77777777" w:rsidTr="00617A35">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7A6C70EE" w14:textId="55C8A24D" w:rsidR="00600D9B" w:rsidRPr="00875DBE" w:rsidRDefault="00600D9B" w:rsidP="00E625E7">
                  <w:pPr>
                    <w:jc w:val="left"/>
                  </w:pPr>
                  <w:r w:rsidRPr="00875DBE">
                    <w:t>Poczta</w:t>
                  </w:r>
                </w:p>
              </w:tc>
              <w:tc>
                <w:tcPr>
                  <w:tcW w:w="1429" w:type="pct"/>
                </w:tcPr>
                <w:p w14:paraId="2D3544C9" w14:textId="7863BD64"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Prezes UKE</w:t>
                  </w:r>
                </w:p>
              </w:tc>
              <w:tc>
                <w:tcPr>
                  <w:tcW w:w="2059" w:type="pct"/>
                </w:tcPr>
                <w:p w14:paraId="6F9CA344" w14:textId="25659533"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rsidRPr="00875DBE">
                    <w:t>14</w:t>
                  </w:r>
                </w:p>
              </w:tc>
            </w:tr>
            <w:tr w:rsidR="00600D9B" w:rsidRPr="00875DBE" w14:paraId="6D58B90E" w14:textId="77777777" w:rsidTr="006148BE">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4465BFC1" w14:textId="0D0736C6" w:rsidR="00600D9B" w:rsidRPr="00875DBE" w:rsidRDefault="00600D9B" w:rsidP="00E625E7">
                  <w:pPr>
                    <w:jc w:val="left"/>
                  </w:pPr>
                  <w:r w:rsidRPr="00875DBE">
                    <w:t>Gospodarowanie odpadami</w:t>
                  </w:r>
                </w:p>
              </w:tc>
              <w:tc>
                <w:tcPr>
                  <w:tcW w:w="1429" w:type="pct"/>
                </w:tcPr>
                <w:p w14:paraId="0E7A21B0" w14:textId="45198059"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minister właściwy do spraw klimatu</w:t>
                  </w:r>
                </w:p>
              </w:tc>
              <w:tc>
                <w:tcPr>
                  <w:tcW w:w="2059" w:type="pct"/>
                </w:tcPr>
                <w:p w14:paraId="7E6B16DB" w14:textId="7E5DA05C"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rsidRPr="00875DBE">
                    <w:t>14</w:t>
                  </w:r>
                </w:p>
              </w:tc>
            </w:tr>
            <w:tr w:rsidR="00600D9B" w:rsidRPr="00875DBE" w14:paraId="5937C2DA" w14:textId="77777777" w:rsidTr="00617A35">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7FC044B2" w14:textId="19065A10" w:rsidR="00600D9B" w:rsidRPr="00875DBE" w:rsidRDefault="00600D9B" w:rsidP="00E625E7">
                  <w:pPr>
                    <w:jc w:val="left"/>
                  </w:pPr>
                  <w:r w:rsidRPr="00875DBE">
                    <w:t>Produkcja, wytwarzanie i dystrybucja chemikaliów</w:t>
                  </w:r>
                </w:p>
              </w:tc>
              <w:tc>
                <w:tcPr>
                  <w:tcW w:w="1429" w:type="pct"/>
                </w:tcPr>
                <w:p w14:paraId="0E184F30" w14:textId="68DDD4F1"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minister właściwy do spraw zdrowia</w:t>
                  </w:r>
                </w:p>
              </w:tc>
              <w:tc>
                <w:tcPr>
                  <w:tcW w:w="2059" w:type="pct"/>
                </w:tcPr>
                <w:p w14:paraId="55A294EA" w14:textId="213F1491"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rsidRPr="00875DBE">
                    <w:t>11</w:t>
                  </w:r>
                </w:p>
              </w:tc>
            </w:tr>
            <w:tr w:rsidR="00600D9B" w:rsidRPr="00875DBE" w14:paraId="6783FC61" w14:textId="77777777" w:rsidTr="006148BE">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4B3B09F9" w14:textId="197BC377" w:rsidR="00600D9B" w:rsidRPr="00875DBE" w:rsidRDefault="00600D9B" w:rsidP="00E625E7">
                  <w:pPr>
                    <w:jc w:val="left"/>
                  </w:pPr>
                  <w:r w:rsidRPr="00875DBE">
                    <w:t>Produkcja, przetwarzanie i dystrybucja żywności</w:t>
                  </w:r>
                </w:p>
              </w:tc>
              <w:tc>
                <w:tcPr>
                  <w:tcW w:w="1429" w:type="pct"/>
                </w:tcPr>
                <w:p w14:paraId="32FA7B10" w14:textId="0C04D18D"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minister właściwy do spraw rolnictwa</w:t>
                  </w:r>
                </w:p>
              </w:tc>
              <w:tc>
                <w:tcPr>
                  <w:tcW w:w="2059" w:type="pct"/>
                </w:tcPr>
                <w:p w14:paraId="4E4FD3FA" w14:textId="2FE7BDA7"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rsidRPr="00875DBE">
                    <w:t>40</w:t>
                  </w:r>
                </w:p>
              </w:tc>
            </w:tr>
            <w:tr w:rsidR="00600D9B" w:rsidRPr="00875DBE" w14:paraId="7EEB7EEA" w14:textId="77777777" w:rsidTr="00617A35">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4D75F7EB" w14:textId="23B15B7C" w:rsidR="00600D9B" w:rsidRPr="00875DBE" w:rsidRDefault="00343ABE" w:rsidP="00E625E7">
                  <w:pPr>
                    <w:jc w:val="left"/>
                  </w:pPr>
                  <w:r>
                    <w:t>P</w:t>
                  </w:r>
                  <w:r w:rsidR="00600D9B" w:rsidRPr="00875DBE">
                    <w:t>rodukcja wyrobów medycznych i wyrobów medycznych do diagnostyki in vitro</w:t>
                  </w:r>
                </w:p>
              </w:tc>
              <w:tc>
                <w:tcPr>
                  <w:tcW w:w="1429" w:type="pct"/>
                </w:tcPr>
                <w:p w14:paraId="41B4D4AD" w14:textId="686388AE"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minister właściwy do spraw zdrowia</w:t>
                  </w:r>
                </w:p>
              </w:tc>
              <w:tc>
                <w:tcPr>
                  <w:tcW w:w="2059" w:type="pct"/>
                </w:tcPr>
                <w:p w14:paraId="514FD6AD" w14:textId="4D7F7352"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rsidRPr="00875DBE">
                    <w:t>3</w:t>
                  </w:r>
                </w:p>
              </w:tc>
            </w:tr>
            <w:tr w:rsidR="00600D9B" w:rsidRPr="00875DBE" w14:paraId="5EE414DD" w14:textId="77777777" w:rsidTr="006148BE">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2B70CF92" w14:textId="178D02BC" w:rsidR="00600D9B" w:rsidRPr="00875DBE" w:rsidRDefault="00600D9B" w:rsidP="00E625E7">
                  <w:pPr>
                    <w:jc w:val="left"/>
                  </w:pPr>
                  <w:r w:rsidRPr="00875DBE">
                    <w:t>Produkcja ogółem z wyłączeniem wyrobów medycznych</w:t>
                  </w:r>
                </w:p>
              </w:tc>
              <w:tc>
                <w:tcPr>
                  <w:tcW w:w="1429" w:type="pct"/>
                </w:tcPr>
                <w:p w14:paraId="21D7D18F" w14:textId="16DD5AC8"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minister właściwy do spraw gospodarki</w:t>
                  </w:r>
                </w:p>
              </w:tc>
              <w:tc>
                <w:tcPr>
                  <w:tcW w:w="2059" w:type="pct"/>
                </w:tcPr>
                <w:p w14:paraId="6F8F134B" w14:textId="44F05930"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rsidRPr="00875DBE">
                    <w:t>40</w:t>
                  </w:r>
                </w:p>
              </w:tc>
            </w:tr>
            <w:tr w:rsidR="00600D9B" w:rsidRPr="00875DBE" w14:paraId="43A33589" w14:textId="77777777" w:rsidTr="00617A35">
              <w:trPr>
                <w:gridAfter w:val="1"/>
                <w:wAfter w:w="84" w:type="pct"/>
              </w:trPr>
              <w:tc>
                <w:tcPr>
                  <w:cnfStyle w:val="001000000000" w:firstRow="0" w:lastRow="0" w:firstColumn="1" w:lastColumn="0" w:oddVBand="0" w:evenVBand="0" w:oddHBand="0" w:evenHBand="0" w:firstRowFirstColumn="0" w:firstRowLastColumn="0" w:lastRowFirstColumn="0" w:lastRowLastColumn="0"/>
                  <w:tcW w:w="1428" w:type="pct"/>
                </w:tcPr>
                <w:p w14:paraId="4A977614" w14:textId="7F328309" w:rsidR="00600D9B" w:rsidRPr="00875DBE" w:rsidRDefault="00600D9B" w:rsidP="00E625E7">
                  <w:pPr>
                    <w:jc w:val="left"/>
                  </w:pPr>
                  <w:r w:rsidRPr="00875DBE">
                    <w:t>Badania naukowe</w:t>
                  </w:r>
                </w:p>
              </w:tc>
              <w:tc>
                <w:tcPr>
                  <w:tcW w:w="1429" w:type="pct"/>
                </w:tcPr>
                <w:p w14:paraId="2F99CAAA" w14:textId="547180D4"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minister właściwy do spraw nauki</w:t>
                  </w:r>
                  <w:r>
                    <w:t xml:space="preserve"> i szkolnictwa wyższego</w:t>
                  </w:r>
                </w:p>
              </w:tc>
              <w:tc>
                <w:tcPr>
                  <w:tcW w:w="2059" w:type="pct"/>
                </w:tcPr>
                <w:p w14:paraId="3A0096BA" w14:textId="6E395019" w:rsidR="00600D9B" w:rsidRPr="00875DBE" w:rsidRDefault="00600D9B" w:rsidP="00600D9B">
                  <w:pPr>
                    <w:cnfStyle w:val="000000000000" w:firstRow="0" w:lastRow="0" w:firstColumn="0" w:lastColumn="0" w:oddVBand="0" w:evenVBand="0" w:oddHBand="0" w:evenHBand="0" w:firstRowFirstColumn="0" w:firstRowLastColumn="0" w:lastRowFirstColumn="0" w:lastRowLastColumn="0"/>
                  </w:pPr>
                  <w:r w:rsidRPr="00875DBE">
                    <w:t>9</w:t>
                  </w:r>
                </w:p>
              </w:tc>
            </w:tr>
            <w:tr w:rsidR="00600D9B" w:rsidRPr="00875DBE" w14:paraId="0314EF1C" w14:textId="77777777" w:rsidTr="00617A35">
              <w:trPr>
                <w:gridAfter w:val="1"/>
                <w:cnfStyle w:val="000000100000" w:firstRow="0" w:lastRow="0" w:firstColumn="0" w:lastColumn="0" w:oddVBand="0" w:evenVBand="0" w:oddHBand="1" w:evenHBand="0" w:firstRowFirstColumn="0" w:firstRowLastColumn="0" w:lastRowFirstColumn="0" w:lastRowLastColumn="0"/>
                <w:wAfter w:w="84" w:type="pct"/>
              </w:trPr>
              <w:tc>
                <w:tcPr>
                  <w:cnfStyle w:val="001000000000" w:firstRow="0" w:lastRow="0" w:firstColumn="1" w:lastColumn="0" w:oddVBand="0" w:evenVBand="0" w:oddHBand="0" w:evenHBand="0" w:firstRowFirstColumn="0" w:firstRowLastColumn="0" w:lastRowFirstColumn="0" w:lastRowLastColumn="0"/>
                  <w:tcW w:w="2857" w:type="pct"/>
                  <w:gridSpan w:val="2"/>
                </w:tcPr>
                <w:p w14:paraId="70A565BD" w14:textId="7E11A217" w:rsidR="00600D9B" w:rsidRPr="00875DBE" w:rsidRDefault="00600D9B" w:rsidP="00600D9B">
                  <w:r w:rsidRPr="00875DBE">
                    <w:t>SUMA</w:t>
                  </w:r>
                </w:p>
              </w:tc>
              <w:tc>
                <w:tcPr>
                  <w:tcW w:w="2059" w:type="pct"/>
                </w:tcPr>
                <w:p w14:paraId="143CFF25" w14:textId="21F18044" w:rsidR="00600D9B" w:rsidRPr="00875DBE" w:rsidRDefault="00600D9B" w:rsidP="00600D9B">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=SUM(ABOVE) </w:instrText>
                  </w:r>
                  <w:r>
                    <w:fldChar w:fldCharType="separate"/>
                  </w:r>
                  <w:r>
                    <w:rPr>
                      <w:noProof/>
                    </w:rPr>
                    <w:t>371</w:t>
                  </w:r>
                  <w:r>
                    <w:fldChar w:fldCharType="end"/>
                  </w:r>
                </w:p>
              </w:tc>
            </w:tr>
          </w:tbl>
          <w:p w14:paraId="526B9797" w14:textId="77777777" w:rsidR="00600D9B" w:rsidRPr="00875DBE" w:rsidRDefault="00600D9B" w:rsidP="00600D9B"/>
          <w:p w14:paraId="0F8A3AFD" w14:textId="3D11709E" w:rsidR="00600D9B" w:rsidRPr="00875DBE" w:rsidRDefault="00600D9B" w:rsidP="00600D9B">
            <w:r w:rsidRPr="007A3BBA">
              <w:rPr>
                <w:b/>
                <w:bCs/>
              </w:rPr>
              <w:t>Przyjęto następujące koszty utworzenia 1 stanowiska pracy</w:t>
            </w:r>
            <w:r w:rsidRPr="00875DBE">
              <w:t>:</w:t>
            </w:r>
          </w:p>
          <w:tbl>
            <w:tblPr>
              <w:tblStyle w:val="Tabelasiatki4akcent1"/>
              <w:tblW w:w="0" w:type="auto"/>
              <w:tblLook w:val="04A0" w:firstRow="1" w:lastRow="0" w:firstColumn="1" w:lastColumn="0" w:noHBand="0" w:noVBand="1"/>
            </w:tblPr>
            <w:tblGrid>
              <w:gridCol w:w="1341"/>
              <w:gridCol w:w="1096"/>
            </w:tblGrid>
            <w:tr w:rsidR="00600D9B" w:rsidRPr="00875DBE" w14:paraId="689A5990" w14:textId="77777777" w:rsidTr="00614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3F1B478" w14:textId="04D28DFC" w:rsidR="00600D9B" w:rsidRPr="00875DBE" w:rsidRDefault="00600D9B" w:rsidP="00600D9B">
                  <w:r w:rsidRPr="00875DBE">
                    <w:lastRenderedPageBreak/>
                    <w:t>Nazwa składnika</w:t>
                  </w:r>
                </w:p>
              </w:tc>
              <w:tc>
                <w:tcPr>
                  <w:tcW w:w="0" w:type="dxa"/>
                </w:tcPr>
                <w:p w14:paraId="3AA50AC1" w14:textId="196EA6ED" w:rsidR="00600D9B" w:rsidRPr="00875DBE" w:rsidRDefault="00600D9B" w:rsidP="00600D9B">
                  <w:pPr>
                    <w:cnfStyle w:val="100000000000" w:firstRow="1" w:lastRow="0" w:firstColumn="0" w:lastColumn="0" w:oddVBand="0" w:evenVBand="0" w:oddHBand="0" w:evenHBand="0" w:firstRowFirstColumn="0" w:firstRowLastColumn="0" w:lastRowFirstColumn="0" w:lastRowLastColumn="0"/>
                  </w:pPr>
                  <w:r w:rsidRPr="00875DBE">
                    <w:t>Koszt w zł</w:t>
                  </w:r>
                </w:p>
              </w:tc>
            </w:tr>
            <w:tr w:rsidR="00600D9B" w:rsidRPr="00875DBE" w14:paraId="2747BC70" w14:textId="77777777" w:rsidTr="00614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46AE626" w14:textId="04C089A2" w:rsidR="00600D9B" w:rsidRPr="00875DBE" w:rsidRDefault="00600D9B" w:rsidP="00600D9B">
                  <w:r w:rsidRPr="00875DBE">
                    <w:t xml:space="preserve">komputer osobisty (laptop) </w:t>
                  </w:r>
                </w:p>
              </w:tc>
              <w:tc>
                <w:tcPr>
                  <w:tcW w:w="0" w:type="dxa"/>
                </w:tcPr>
                <w:p w14:paraId="140BE473" w14:textId="696CB3C9" w:rsidR="00600D9B" w:rsidRPr="00875DBE" w:rsidRDefault="00600D9B" w:rsidP="00600D9B">
                  <w:pPr>
                    <w:jc w:val="right"/>
                    <w:cnfStyle w:val="000000100000" w:firstRow="0" w:lastRow="0" w:firstColumn="0" w:lastColumn="0" w:oddVBand="0" w:evenVBand="0" w:oddHBand="1" w:evenHBand="0" w:firstRowFirstColumn="0" w:firstRowLastColumn="0" w:lastRowFirstColumn="0" w:lastRowLastColumn="0"/>
                  </w:pPr>
                  <w:r w:rsidRPr="00875DBE">
                    <w:t>7 500,00</w:t>
                  </w:r>
                </w:p>
              </w:tc>
            </w:tr>
            <w:tr w:rsidR="00600D9B" w:rsidRPr="00875DBE" w14:paraId="7991516A" w14:textId="77777777" w:rsidTr="006148BE">
              <w:tc>
                <w:tcPr>
                  <w:cnfStyle w:val="001000000000" w:firstRow="0" w:lastRow="0" w:firstColumn="1" w:lastColumn="0" w:oddVBand="0" w:evenVBand="0" w:oddHBand="0" w:evenHBand="0" w:firstRowFirstColumn="0" w:firstRowLastColumn="0" w:lastRowFirstColumn="0" w:lastRowLastColumn="0"/>
                  <w:tcW w:w="0" w:type="dxa"/>
                </w:tcPr>
                <w:p w14:paraId="0614D20F" w14:textId="0A3A1F1B" w:rsidR="00600D9B" w:rsidRPr="00875DBE" w:rsidRDefault="00600D9B" w:rsidP="00600D9B">
                  <w:r w:rsidRPr="00875DBE">
                    <w:t xml:space="preserve">stacja dokująca </w:t>
                  </w:r>
                </w:p>
              </w:tc>
              <w:tc>
                <w:tcPr>
                  <w:tcW w:w="0" w:type="dxa"/>
                </w:tcPr>
                <w:p w14:paraId="67CB33DB" w14:textId="0940E0A9" w:rsidR="00600D9B" w:rsidRPr="00875DBE" w:rsidRDefault="00600D9B" w:rsidP="00600D9B">
                  <w:pPr>
                    <w:jc w:val="right"/>
                    <w:cnfStyle w:val="000000000000" w:firstRow="0" w:lastRow="0" w:firstColumn="0" w:lastColumn="0" w:oddVBand="0" w:evenVBand="0" w:oddHBand="0" w:evenHBand="0" w:firstRowFirstColumn="0" w:firstRowLastColumn="0" w:lastRowFirstColumn="0" w:lastRowLastColumn="0"/>
                  </w:pPr>
                  <w:r w:rsidRPr="00875DBE">
                    <w:t>800,00</w:t>
                  </w:r>
                </w:p>
              </w:tc>
            </w:tr>
            <w:tr w:rsidR="00600D9B" w:rsidRPr="00875DBE" w14:paraId="4CDE9B8A" w14:textId="77777777" w:rsidTr="00614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6ED4F2F" w14:textId="72C816A9" w:rsidR="00600D9B" w:rsidRPr="00875DBE" w:rsidRDefault="00600D9B" w:rsidP="00600D9B">
                  <w:r w:rsidRPr="00875DBE">
                    <w:t xml:space="preserve">telefon komórkowy </w:t>
                  </w:r>
                </w:p>
              </w:tc>
              <w:tc>
                <w:tcPr>
                  <w:tcW w:w="0" w:type="dxa"/>
                </w:tcPr>
                <w:p w14:paraId="6903ABB1" w14:textId="011A5905" w:rsidR="00600D9B" w:rsidRPr="00875DBE" w:rsidRDefault="00600D9B" w:rsidP="00600D9B">
                  <w:pPr>
                    <w:jc w:val="right"/>
                    <w:cnfStyle w:val="000000100000" w:firstRow="0" w:lastRow="0" w:firstColumn="0" w:lastColumn="0" w:oddVBand="0" w:evenVBand="0" w:oddHBand="1" w:evenHBand="0" w:firstRowFirstColumn="0" w:firstRowLastColumn="0" w:lastRowFirstColumn="0" w:lastRowLastColumn="0"/>
                  </w:pPr>
                  <w:r w:rsidRPr="00875DBE">
                    <w:t>1 000,00</w:t>
                  </w:r>
                </w:p>
              </w:tc>
            </w:tr>
            <w:tr w:rsidR="00600D9B" w:rsidRPr="00875DBE" w14:paraId="06809428" w14:textId="77777777" w:rsidTr="006148BE">
              <w:tc>
                <w:tcPr>
                  <w:cnfStyle w:val="001000000000" w:firstRow="0" w:lastRow="0" w:firstColumn="1" w:lastColumn="0" w:oddVBand="0" w:evenVBand="0" w:oddHBand="0" w:evenHBand="0" w:firstRowFirstColumn="0" w:firstRowLastColumn="0" w:lastRowFirstColumn="0" w:lastRowLastColumn="0"/>
                  <w:tcW w:w="0" w:type="dxa"/>
                </w:tcPr>
                <w:p w14:paraId="1301C8BD" w14:textId="6AD5BF99" w:rsidR="00600D9B" w:rsidRPr="00875DBE" w:rsidRDefault="00600D9B" w:rsidP="00600D9B">
                  <w:r w:rsidRPr="00875DBE">
                    <w:t xml:space="preserve">licencja MS Office </w:t>
                  </w:r>
                </w:p>
              </w:tc>
              <w:tc>
                <w:tcPr>
                  <w:tcW w:w="0" w:type="dxa"/>
                </w:tcPr>
                <w:p w14:paraId="467EB8B3" w14:textId="252445EC" w:rsidR="00600D9B" w:rsidRPr="00875DBE" w:rsidRDefault="00600D9B" w:rsidP="00600D9B">
                  <w:pPr>
                    <w:jc w:val="right"/>
                    <w:cnfStyle w:val="000000000000" w:firstRow="0" w:lastRow="0" w:firstColumn="0" w:lastColumn="0" w:oddVBand="0" w:evenVBand="0" w:oddHBand="0" w:evenHBand="0" w:firstRowFirstColumn="0" w:firstRowLastColumn="0" w:lastRowFirstColumn="0" w:lastRowLastColumn="0"/>
                  </w:pPr>
                  <w:r w:rsidRPr="00875DBE">
                    <w:t>1 730,00</w:t>
                  </w:r>
                </w:p>
              </w:tc>
            </w:tr>
            <w:tr w:rsidR="00600D9B" w:rsidRPr="00875DBE" w14:paraId="37CEB0C7" w14:textId="77777777" w:rsidTr="00614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83B046A" w14:textId="1ED170EE" w:rsidR="00600D9B" w:rsidRPr="00875DBE" w:rsidRDefault="00600D9B" w:rsidP="00600D9B">
                  <w:r w:rsidRPr="00875DBE">
                    <w:t>Suma:</w:t>
                  </w:r>
                </w:p>
              </w:tc>
              <w:tc>
                <w:tcPr>
                  <w:tcW w:w="0" w:type="dxa"/>
                </w:tcPr>
                <w:p w14:paraId="5B250F74" w14:textId="211F71E6" w:rsidR="00600D9B" w:rsidRPr="00875DBE" w:rsidRDefault="00600D9B" w:rsidP="00600D9B">
                  <w:pPr>
                    <w:jc w:val="right"/>
                    <w:cnfStyle w:val="000000100000" w:firstRow="0" w:lastRow="0" w:firstColumn="0" w:lastColumn="0" w:oddVBand="0" w:evenVBand="0" w:oddHBand="1" w:evenHBand="0" w:firstRowFirstColumn="0" w:firstRowLastColumn="0" w:lastRowFirstColumn="0" w:lastRowLastColumn="0"/>
                  </w:pPr>
                  <w:r w:rsidRPr="00875DBE">
                    <w:fldChar w:fldCharType="begin"/>
                  </w:r>
                  <w:r w:rsidRPr="00875DBE">
                    <w:instrText xml:space="preserve"> =SUM(ABOVE) </w:instrText>
                  </w:r>
                  <w:r w:rsidRPr="00875DBE">
                    <w:fldChar w:fldCharType="separate"/>
                  </w:r>
                  <w:r w:rsidRPr="00875DBE">
                    <w:rPr>
                      <w:noProof/>
                    </w:rPr>
                    <w:t>11 030</w:t>
                  </w:r>
                  <w:r w:rsidRPr="00875DBE">
                    <w:fldChar w:fldCharType="end"/>
                  </w:r>
                  <w:r w:rsidRPr="00875DBE">
                    <w:t>,00</w:t>
                  </w:r>
                </w:p>
              </w:tc>
            </w:tr>
          </w:tbl>
          <w:p w14:paraId="0EB354FE" w14:textId="4A417FE1" w:rsidR="00600D9B" w:rsidRPr="00875DBE" w:rsidRDefault="00600D9B" w:rsidP="00600D9B">
            <w:r w:rsidRPr="00875DBE">
              <w:t>Koszty te zostaną poniesione w 2025 r.</w:t>
            </w:r>
          </w:p>
          <w:p w14:paraId="4505B4C8" w14:textId="5204110F" w:rsidR="00600D9B" w:rsidRPr="00875DBE" w:rsidRDefault="00600D9B" w:rsidP="00600D9B">
            <w:pPr>
              <w:pStyle w:val="Nagwek1"/>
              <w:rPr>
                <w:rFonts w:cs="Times New Roman"/>
                <w:sz w:val="22"/>
                <w:szCs w:val="22"/>
              </w:rPr>
            </w:pPr>
            <w:r w:rsidRPr="00875DBE">
              <w:rPr>
                <w:rFonts w:cs="Times New Roman"/>
                <w:sz w:val="22"/>
                <w:szCs w:val="22"/>
              </w:rPr>
              <w:t>Utworzenie CSIRT sektorowych</w:t>
            </w:r>
          </w:p>
          <w:p w14:paraId="58199A35" w14:textId="100E4A79" w:rsidR="00600D9B" w:rsidRPr="00875DBE" w:rsidRDefault="00600D9B" w:rsidP="00343ABE">
            <w:pPr>
              <w:ind w:right="118"/>
            </w:pPr>
            <w:r w:rsidRPr="00875DBE">
              <w:t>Projekt ustawy przewiduje utworzenie zespołów CSIRT sektorowych, które będą wspierać podmioty kluczowe i podmioty ważne w reagowaniu na incydenty.</w:t>
            </w:r>
          </w:p>
          <w:p w14:paraId="0AE8D1CC" w14:textId="660F5C3E" w:rsidR="00600D9B" w:rsidRPr="00875DBE" w:rsidRDefault="00600D9B" w:rsidP="00343ABE">
            <w:pPr>
              <w:ind w:right="118"/>
            </w:pPr>
            <w:r w:rsidRPr="00875DBE">
              <w:t>Koszty utworzenia i funkcjonowania CSIRT sektorowego będą różnić się od sektora (podsektora), dla którego realizuje zadania. Pod uwagę należy wziąć liczbę podmiotów w danym sektorze (podsektorze) oraz charakter świadczonych przez nich usług. Te czynniki będą determinowały jaki personel jest niezbędny w CSIRT sektorowym do realizacji zadań oraz jakie jest niezbędne oprogramowanie i sprzęt. To z kolei będzie miało wpływ na koszty funkcjonowania CSIRT sektorowych. Na potrzeby OSR przyjęto, jako roczny koszt funkcjonowania CSIRT sektorowego, kwotę 8 238 000,00 zł. Jest to kwota jaką wykazano w planie finansowym</w:t>
            </w:r>
            <w:r w:rsidRPr="00875DBE">
              <w:rPr>
                <w:rStyle w:val="Odwoanieprzypisudolnego"/>
              </w:rPr>
              <w:footnoteReference w:id="11"/>
            </w:r>
            <w:r w:rsidRPr="00875DBE">
              <w:rPr>
                <w:vertAlign w:val="superscript"/>
              </w:rPr>
              <w:t>)</w:t>
            </w:r>
            <w:r w:rsidRPr="00875DBE">
              <w:t xml:space="preserve"> Centrum </w:t>
            </w:r>
            <w:proofErr w:type="spellStart"/>
            <w:r w:rsidRPr="00875DBE">
              <w:t>Cyberbezpieczeństwa</w:t>
            </w:r>
            <w:proofErr w:type="spellEnd"/>
            <w:r w:rsidRPr="00875DBE">
              <w:t xml:space="preserve"> w Zamościu, które realizuje zadania publiczne polegające na ochronie publicznej cyberprzestrzeni, w szczególności cyberprzestrzeni resortu sprawiedliwości</w:t>
            </w:r>
            <w:r w:rsidRPr="00875DBE">
              <w:rPr>
                <w:rStyle w:val="Odwoanieprzypisudolnego"/>
                <w:color w:val="000000"/>
              </w:rPr>
              <w:footnoteReference w:id="12"/>
            </w:r>
            <w:r w:rsidRPr="00875DBE">
              <w:rPr>
                <w:vertAlign w:val="superscript"/>
              </w:rPr>
              <w:t>)</w:t>
            </w:r>
            <w:r w:rsidRPr="00875DBE">
              <w:t>. Należy tą</w:t>
            </w:r>
            <w:r w:rsidR="00343ABE">
              <w:t> </w:t>
            </w:r>
            <w:r w:rsidRPr="00875DBE">
              <w:t>kwotę traktować jako kwotę maksymalną.</w:t>
            </w:r>
          </w:p>
          <w:p w14:paraId="7B679A87" w14:textId="59CC4232" w:rsidR="00600D9B" w:rsidRPr="00875DBE" w:rsidRDefault="00600D9B" w:rsidP="00343ABE">
            <w:pPr>
              <w:ind w:right="118"/>
            </w:pPr>
            <w:r w:rsidRPr="00875DBE">
              <w:t xml:space="preserve">Wydatki na utworzenie i funkcjonowanie CSIRT sektorowych zostaną poniesione z budżetu państwa, z poszczególnych części budżetowych organów właściwych do spraw </w:t>
            </w:r>
            <w:proofErr w:type="spellStart"/>
            <w:r w:rsidRPr="00875DBE">
              <w:t>cyberbezpieczeństwa</w:t>
            </w:r>
            <w:proofErr w:type="spellEnd"/>
            <w:r w:rsidRPr="00875DBE">
              <w:t>. Jednakże w </w:t>
            </w:r>
            <w:r w:rsidRPr="00875DBE">
              <w:rPr>
                <w:rStyle w:val="ui-provider"/>
              </w:rPr>
              <w:t xml:space="preserve">ramach </w:t>
            </w:r>
            <w:r w:rsidR="003171D8">
              <w:rPr>
                <w:rStyle w:val="ui-provider"/>
              </w:rPr>
              <w:t>I</w:t>
            </w:r>
            <w:r w:rsidRPr="00875DBE">
              <w:rPr>
                <w:rStyle w:val="ui-provider"/>
              </w:rPr>
              <w:t>nwestycji C3.1.1</w:t>
            </w:r>
            <w:r>
              <w:rPr>
                <w:rStyle w:val="ui-provider"/>
              </w:rPr>
              <w:t xml:space="preserve"> KPO</w:t>
            </w:r>
            <w:r w:rsidRPr="00875DBE">
              <w:rPr>
                <w:rStyle w:val="ui-provider"/>
              </w:rPr>
              <w:t xml:space="preserve"> </w:t>
            </w:r>
            <w:proofErr w:type="spellStart"/>
            <w:r w:rsidRPr="006148BE">
              <w:rPr>
                <w:i/>
                <w:iCs/>
              </w:rPr>
              <w:t>Cyberbezpieczeństwo</w:t>
            </w:r>
            <w:proofErr w:type="spellEnd"/>
            <w:r w:rsidRPr="006148BE">
              <w:rPr>
                <w:i/>
                <w:iCs/>
              </w:rPr>
              <w:t xml:space="preserve"> – </w:t>
            </w:r>
            <w:proofErr w:type="spellStart"/>
            <w:r w:rsidRPr="006148BE">
              <w:rPr>
                <w:i/>
                <w:iCs/>
              </w:rPr>
              <w:t>CyberPL</w:t>
            </w:r>
            <w:proofErr w:type="spellEnd"/>
            <w:r w:rsidRPr="006148BE">
              <w:rPr>
                <w:i/>
                <w:iCs/>
              </w:rPr>
              <w:t>, infrastruktura przetwarzania danych oraz optymalizacja infrastruktury służb państwowych odpowiedzialnych za bezpieczeństwo</w:t>
            </w:r>
            <w:r w:rsidRPr="00875DBE">
              <w:rPr>
                <w:rStyle w:val="ui-provider"/>
              </w:rPr>
              <w:t xml:space="preserve"> planowana jest realizacja projektu, pn. „utworzenie lub rozwój przynajmniej 5 sektorowych Zespołów Reagowania na Incydenty Bezpieczeństwa Komputerowego (CSIRT)”. Przewidywana łączna wartość tego projektu wynosi ok. 66 000 000,00 zł netto. Planuje się, że w pierwszej kolejności utworzenie CSIRT sektorowych będzie w 2/3 sfinansowane ze</w:t>
            </w:r>
            <w:r w:rsidR="00343ABE">
              <w:rPr>
                <w:rStyle w:val="ui-provider"/>
              </w:rPr>
              <w:t> </w:t>
            </w:r>
            <w:r w:rsidRPr="00875DBE">
              <w:rPr>
                <w:rStyle w:val="ui-provider"/>
              </w:rPr>
              <w:t>środków KPO.</w:t>
            </w:r>
          </w:p>
          <w:p w14:paraId="06F53154" w14:textId="04EEEF6D" w:rsidR="00600D9B" w:rsidRPr="00875DBE" w:rsidRDefault="00600D9B" w:rsidP="00343ABE">
            <w:pPr>
              <w:ind w:right="118"/>
            </w:pPr>
            <w:r w:rsidRPr="00875DBE">
              <w:t>Przepisy nie określają formy prawnej podmiotu realizującego zadania CSIRT sektorowego, pozostawiając organowi właściwemu decyzję co do wyboru podmiotu, który stanie się takim CSIRT. Mogą to być zarówno jednostki budżetowe, jak i państwowe instytuty badawcze.</w:t>
            </w:r>
          </w:p>
          <w:p w14:paraId="62DA2992" w14:textId="0D1F7F5C" w:rsidR="00600D9B" w:rsidRPr="00875DBE" w:rsidRDefault="00600D9B" w:rsidP="00600D9B">
            <w:r w:rsidRPr="00875DBE">
              <w:t>Planuje się, że zostaną utworzone następujące zespoły CSIRT sektorowe:</w:t>
            </w:r>
          </w:p>
          <w:tbl>
            <w:tblPr>
              <w:tblStyle w:val="Tabelasiatki4akcent1"/>
              <w:tblW w:w="5000" w:type="pct"/>
              <w:tblLook w:val="04A0" w:firstRow="1" w:lastRow="0" w:firstColumn="1" w:lastColumn="0" w:noHBand="0" w:noVBand="1"/>
            </w:tblPr>
            <w:tblGrid>
              <w:gridCol w:w="2261"/>
              <w:gridCol w:w="2843"/>
              <w:gridCol w:w="3738"/>
            </w:tblGrid>
            <w:tr w:rsidR="0035509B" w:rsidRPr="00875DBE" w14:paraId="2B3CCBD5" w14:textId="77777777" w:rsidTr="008B1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4D5DACF1" w14:textId="599DAB86" w:rsidR="00600D9B" w:rsidRPr="00875DBE" w:rsidRDefault="00600D9B" w:rsidP="00600D9B">
                  <w:r w:rsidRPr="00875DBE">
                    <w:t>Część budżetowa</w:t>
                  </w:r>
                </w:p>
              </w:tc>
              <w:tc>
                <w:tcPr>
                  <w:tcW w:w="1607" w:type="pct"/>
                </w:tcPr>
                <w:p w14:paraId="1DC077E3" w14:textId="270C4921" w:rsidR="00600D9B" w:rsidRPr="00875DBE" w:rsidRDefault="00600D9B" w:rsidP="00600D9B">
                  <w:pPr>
                    <w:cnfStyle w:val="100000000000" w:firstRow="1" w:lastRow="0" w:firstColumn="0" w:lastColumn="0" w:oddVBand="0" w:evenVBand="0" w:oddHBand="0" w:evenHBand="0" w:firstRowFirstColumn="0" w:firstRowLastColumn="0" w:lastRowFirstColumn="0" w:lastRowLastColumn="0"/>
                  </w:pPr>
                  <w:r w:rsidRPr="00875DBE">
                    <w:t>Nazwa części budżetowej</w:t>
                  </w:r>
                </w:p>
              </w:tc>
              <w:tc>
                <w:tcPr>
                  <w:tcW w:w="2114" w:type="pct"/>
                </w:tcPr>
                <w:p w14:paraId="7BC40D3D" w14:textId="4E612DFF" w:rsidR="00600D9B" w:rsidRPr="00875DBE" w:rsidRDefault="00600D9B" w:rsidP="00600D9B">
                  <w:pPr>
                    <w:cnfStyle w:val="100000000000" w:firstRow="1" w:lastRow="0" w:firstColumn="0" w:lastColumn="0" w:oddVBand="0" w:evenVBand="0" w:oddHBand="0" w:evenHBand="0" w:firstRowFirstColumn="0" w:firstRowLastColumn="0" w:lastRowFirstColumn="0" w:lastRowLastColumn="0"/>
                  </w:pPr>
                  <w:r w:rsidRPr="00875DBE">
                    <w:t>CSIRT sektorowy</w:t>
                  </w:r>
                </w:p>
              </w:tc>
            </w:tr>
            <w:tr w:rsidR="0035509B" w:rsidRPr="00875DBE" w14:paraId="11FAB816" w14:textId="77777777" w:rsidTr="008B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49F9487D" w14:textId="3C4F9379" w:rsidR="00600D9B" w:rsidRPr="00875DBE" w:rsidRDefault="00600D9B" w:rsidP="00600D9B">
                  <w:r w:rsidRPr="00875DBE">
                    <w:t>20</w:t>
                  </w:r>
                </w:p>
              </w:tc>
              <w:tc>
                <w:tcPr>
                  <w:tcW w:w="1607" w:type="pct"/>
                </w:tcPr>
                <w:p w14:paraId="7B5EB527" w14:textId="6CE3E1EF"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Gospodarka</w:t>
                  </w:r>
                </w:p>
              </w:tc>
              <w:tc>
                <w:tcPr>
                  <w:tcW w:w="2114" w:type="pct"/>
                </w:tcPr>
                <w:p w14:paraId="7B589FE3" w14:textId="69090A1F"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CSIRT produkcja i przestrzeń kosmiczna</w:t>
                  </w:r>
                </w:p>
              </w:tc>
            </w:tr>
            <w:tr w:rsidR="00600D9B" w:rsidRPr="00875DBE" w14:paraId="73CB74C8" w14:textId="77777777" w:rsidTr="006148BE">
              <w:tc>
                <w:tcPr>
                  <w:cnfStyle w:val="001000000000" w:firstRow="0" w:lastRow="0" w:firstColumn="1" w:lastColumn="0" w:oddVBand="0" w:evenVBand="0" w:oddHBand="0" w:evenHBand="0" w:firstRowFirstColumn="0" w:firstRowLastColumn="0" w:lastRowFirstColumn="0" w:lastRowLastColumn="0"/>
                  <w:tcW w:w="1278" w:type="pct"/>
                </w:tcPr>
                <w:p w14:paraId="15E57E97" w14:textId="2ED1379E" w:rsidR="00600D9B" w:rsidRPr="00875DBE" w:rsidRDefault="00600D9B" w:rsidP="00600D9B">
                  <w:r w:rsidRPr="00875DBE">
                    <w:t>22</w:t>
                  </w:r>
                </w:p>
              </w:tc>
              <w:tc>
                <w:tcPr>
                  <w:tcW w:w="1607" w:type="pct"/>
                </w:tcPr>
                <w:p w14:paraId="20361CF5" w14:textId="4FCB457A"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Gospodarka wodna</w:t>
                  </w:r>
                </w:p>
              </w:tc>
              <w:tc>
                <w:tcPr>
                  <w:tcW w:w="2114" w:type="pct"/>
                </w:tcPr>
                <w:p w14:paraId="57019C06" w14:textId="2724CD10"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CSIRT woda pitna i ścieki</w:t>
                  </w:r>
                </w:p>
              </w:tc>
            </w:tr>
            <w:tr w:rsidR="0035509B" w:rsidRPr="00875DBE" w14:paraId="51DC30DC" w14:textId="77777777" w:rsidTr="008B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410A58C5" w14:textId="5BC0B999" w:rsidR="00600D9B" w:rsidRPr="00875DBE" w:rsidRDefault="00600D9B" w:rsidP="00600D9B">
                  <w:r w:rsidRPr="00875DBE">
                    <w:lastRenderedPageBreak/>
                    <w:t>27</w:t>
                  </w:r>
                </w:p>
              </w:tc>
              <w:tc>
                <w:tcPr>
                  <w:tcW w:w="1607" w:type="pct"/>
                </w:tcPr>
                <w:p w14:paraId="44FC5BFA" w14:textId="44DD2A26"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Informatyzacja</w:t>
                  </w:r>
                </w:p>
              </w:tc>
              <w:tc>
                <w:tcPr>
                  <w:tcW w:w="2114" w:type="pct"/>
                </w:tcPr>
                <w:p w14:paraId="20615A91" w14:textId="226117D4"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CSIRT infrastruktura cyfrowa/usługi cyfrowe/zarządzanie ICT</w:t>
                  </w:r>
                </w:p>
              </w:tc>
            </w:tr>
            <w:tr w:rsidR="00600D9B" w:rsidRPr="00875DBE" w14:paraId="27E471C2" w14:textId="77777777" w:rsidTr="006148BE">
              <w:tc>
                <w:tcPr>
                  <w:cnfStyle w:val="001000000000" w:firstRow="0" w:lastRow="0" w:firstColumn="1" w:lastColumn="0" w:oddVBand="0" w:evenVBand="0" w:oddHBand="0" w:evenHBand="0" w:firstRowFirstColumn="0" w:firstRowLastColumn="0" w:lastRowFirstColumn="0" w:lastRowLastColumn="0"/>
                  <w:tcW w:w="1278" w:type="pct"/>
                </w:tcPr>
                <w:p w14:paraId="5A74D7C4" w14:textId="01DBE5DA" w:rsidR="00600D9B" w:rsidRPr="00875DBE" w:rsidRDefault="00600D9B" w:rsidP="00600D9B">
                  <w:r w:rsidRPr="00875DBE">
                    <w:t>28</w:t>
                  </w:r>
                </w:p>
              </w:tc>
              <w:tc>
                <w:tcPr>
                  <w:tcW w:w="1607" w:type="pct"/>
                </w:tcPr>
                <w:p w14:paraId="4F8667BF" w14:textId="44352992"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Szkolnictwo wyższe i nauka</w:t>
                  </w:r>
                </w:p>
              </w:tc>
              <w:tc>
                <w:tcPr>
                  <w:tcW w:w="2114" w:type="pct"/>
                </w:tcPr>
                <w:p w14:paraId="7246F9A7" w14:textId="60F6F804"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CSIRT badania naukowe</w:t>
                  </w:r>
                </w:p>
              </w:tc>
            </w:tr>
            <w:tr w:rsidR="0035509B" w:rsidRPr="00875DBE" w14:paraId="7442ACF1" w14:textId="77777777" w:rsidTr="008B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01ECDD26" w14:textId="7D95A5D0" w:rsidR="00600D9B" w:rsidRPr="00875DBE" w:rsidRDefault="00600D9B" w:rsidP="00600D9B">
                  <w:r w:rsidRPr="00875DBE">
                    <w:t>32</w:t>
                  </w:r>
                </w:p>
              </w:tc>
              <w:tc>
                <w:tcPr>
                  <w:tcW w:w="1607" w:type="pct"/>
                </w:tcPr>
                <w:p w14:paraId="76EC9AB9" w14:textId="55C2C314"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Rolnictwo</w:t>
                  </w:r>
                </w:p>
              </w:tc>
              <w:tc>
                <w:tcPr>
                  <w:tcW w:w="2114" w:type="pct"/>
                </w:tcPr>
                <w:p w14:paraId="6DF89395" w14:textId="3968B70E"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CSIRT produkcja żywności</w:t>
                  </w:r>
                </w:p>
              </w:tc>
            </w:tr>
            <w:tr w:rsidR="00600D9B" w:rsidRPr="00875DBE" w14:paraId="6A3FA556" w14:textId="77777777" w:rsidTr="006148BE">
              <w:tc>
                <w:tcPr>
                  <w:cnfStyle w:val="001000000000" w:firstRow="0" w:lastRow="0" w:firstColumn="1" w:lastColumn="0" w:oddVBand="0" w:evenVBand="0" w:oddHBand="0" w:evenHBand="0" w:firstRowFirstColumn="0" w:firstRowLastColumn="0" w:lastRowFirstColumn="0" w:lastRowLastColumn="0"/>
                  <w:tcW w:w="1278" w:type="pct"/>
                </w:tcPr>
                <w:p w14:paraId="3CF19675" w14:textId="014373EC" w:rsidR="00600D9B" w:rsidRPr="00875DBE" w:rsidRDefault="00600D9B" w:rsidP="00600D9B">
                  <w:r w:rsidRPr="00875DBE">
                    <w:t>39</w:t>
                  </w:r>
                </w:p>
              </w:tc>
              <w:tc>
                <w:tcPr>
                  <w:tcW w:w="1607" w:type="pct"/>
                </w:tcPr>
                <w:p w14:paraId="1B25D88E" w14:textId="6B181D5E"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Transport</w:t>
                  </w:r>
                </w:p>
              </w:tc>
              <w:tc>
                <w:tcPr>
                  <w:tcW w:w="2114" w:type="pct"/>
                </w:tcPr>
                <w:p w14:paraId="15F16F18" w14:textId="36C1EC36"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CSIRT transport</w:t>
                  </w:r>
                </w:p>
              </w:tc>
            </w:tr>
            <w:tr w:rsidR="0035509B" w:rsidRPr="00875DBE" w14:paraId="461760C7" w14:textId="77777777" w:rsidTr="008B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26B6C83C" w14:textId="488FA4F4" w:rsidR="00600D9B" w:rsidRPr="00875DBE" w:rsidRDefault="00600D9B" w:rsidP="00600D9B">
                  <w:r w:rsidRPr="00875DBE">
                    <w:t>46</w:t>
                  </w:r>
                </w:p>
              </w:tc>
              <w:tc>
                <w:tcPr>
                  <w:tcW w:w="1607" w:type="pct"/>
                </w:tcPr>
                <w:p w14:paraId="4D2C602A" w14:textId="7FB54FA1"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Zdrowie</w:t>
                  </w:r>
                </w:p>
              </w:tc>
              <w:tc>
                <w:tcPr>
                  <w:tcW w:w="2114" w:type="pct"/>
                </w:tcPr>
                <w:p w14:paraId="3A721834" w14:textId="2CD39DA0"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CSIRT zdrowie</w:t>
                  </w:r>
                  <w:r w:rsidRPr="009D32C5">
                    <w:t>, produkcja chemikaliów i</w:t>
                  </w:r>
                  <w:r>
                    <w:t> </w:t>
                  </w:r>
                  <w:r w:rsidRPr="009D32C5">
                    <w:t>urządzeń medycznych</w:t>
                  </w:r>
                </w:p>
              </w:tc>
            </w:tr>
            <w:tr w:rsidR="00600D9B" w:rsidRPr="00875DBE" w14:paraId="2283AE4B" w14:textId="77777777" w:rsidTr="006148BE">
              <w:tc>
                <w:tcPr>
                  <w:cnfStyle w:val="001000000000" w:firstRow="0" w:lastRow="0" w:firstColumn="1" w:lastColumn="0" w:oddVBand="0" w:evenVBand="0" w:oddHBand="0" w:evenHBand="0" w:firstRowFirstColumn="0" w:firstRowLastColumn="0" w:lastRowFirstColumn="0" w:lastRowLastColumn="0"/>
                  <w:tcW w:w="1278" w:type="pct"/>
                </w:tcPr>
                <w:p w14:paraId="09E87CA0" w14:textId="067542EE" w:rsidR="00600D9B" w:rsidRPr="00875DBE" w:rsidRDefault="00600D9B" w:rsidP="00600D9B">
                  <w:r w:rsidRPr="00875DBE">
                    <w:t>47</w:t>
                  </w:r>
                </w:p>
              </w:tc>
              <w:tc>
                <w:tcPr>
                  <w:tcW w:w="1607" w:type="pct"/>
                </w:tcPr>
                <w:p w14:paraId="3701C0CB" w14:textId="10AEB1EA"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Energia</w:t>
                  </w:r>
                </w:p>
              </w:tc>
              <w:tc>
                <w:tcPr>
                  <w:tcW w:w="2114" w:type="pct"/>
                </w:tcPr>
                <w:p w14:paraId="594E0E33" w14:textId="0BA060C2"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CSIRT energia</w:t>
                  </w:r>
                </w:p>
              </w:tc>
            </w:tr>
            <w:tr w:rsidR="0035509B" w:rsidRPr="00875DBE" w14:paraId="3E95571D" w14:textId="77777777" w:rsidTr="008B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30C23F13" w14:textId="22ACB5B0" w:rsidR="00600D9B" w:rsidRPr="00875DBE" w:rsidRDefault="00600D9B" w:rsidP="00600D9B">
                  <w:r w:rsidRPr="00875DBE">
                    <w:t>51</w:t>
                  </w:r>
                </w:p>
              </w:tc>
              <w:tc>
                <w:tcPr>
                  <w:tcW w:w="1607" w:type="pct"/>
                </w:tcPr>
                <w:p w14:paraId="26FA8EDA" w14:textId="0440239B"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Klimat</w:t>
                  </w:r>
                </w:p>
              </w:tc>
              <w:tc>
                <w:tcPr>
                  <w:tcW w:w="2114" w:type="pct"/>
                </w:tcPr>
                <w:p w14:paraId="7546F797" w14:textId="10B6DA7F" w:rsidR="00600D9B" w:rsidRPr="00875DBE" w:rsidRDefault="00600D9B" w:rsidP="00E625E7">
                  <w:pPr>
                    <w:jc w:val="left"/>
                    <w:cnfStyle w:val="000000100000" w:firstRow="0" w:lastRow="0" w:firstColumn="0" w:lastColumn="0" w:oddVBand="0" w:evenVBand="0" w:oddHBand="1" w:evenHBand="0" w:firstRowFirstColumn="0" w:firstRowLastColumn="0" w:lastRowFirstColumn="0" w:lastRowLastColumn="0"/>
                  </w:pPr>
                  <w:r w:rsidRPr="00875DBE">
                    <w:t>CSIRT gospodarowanie odpadami</w:t>
                  </w:r>
                </w:p>
              </w:tc>
            </w:tr>
            <w:tr w:rsidR="00600D9B" w:rsidRPr="00875DBE" w14:paraId="0F8360CD" w14:textId="77777777" w:rsidTr="006148BE">
              <w:tc>
                <w:tcPr>
                  <w:cnfStyle w:val="001000000000" w:firstRow="0" w:lastRow="0" w:firstColumn="1" w:lastColumn="0" w:oddVBand="0" w:evenVBand="0" w:oddHBand="0" w:evenHBand="0" w:firstRowFirstColumn="0" w:firstRowLastColumn="0" w:lastRowFirstColumn="0" w:lastRowLastColumn="0"/>
                  <w:tcW w:w="1278" w:type="pct"/>
                </w:tcPr>
                <w:p w14:paraId="023BC5BC" w14:textId="51E8E3F2" w:rsidR="00600D9B" w:rsidRPr="00875DBE" w:rsidRDefault="00600D9B" w:rsidP="00600D9B">
                  <w:r w:rsidRPr="00875DBE">
                    <w:t>76</w:t>
                  </w:r>
                </w:p>
              </w:tc>
              <w:tc>
                <w:tcPr>
                  <w:tcW w:w="1607" w:type="pct"/>
                </w:tcPr>
                <w:p w14:paraId="4A1D7ABD" w14:textId="65C8B072"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t>Urząd Komunikacji Elektronicznej</w:t>
                  </w:r>
                </w:p>
              </w:tc>
              <w:tc>
                <w:tcPr>
                  <w:tcW w:w="2114" w:type="pct"/>
                </w:tcPr>
                <w:p w14:paraId="67FA7C67" w14:textId="5F25FFFF" w:rsidR="00600D9B" w:rsidRPr="00875DBE" w:rsidRDefault="00600D9B" w:rsidP="00E625E7">
                  <w:pPr>
                    <w:jc w:val="left"/>
                    <w:cnfStyle w:val="000000000000" w:firstRow="0" w:lastRow="0" w:firstColumn="0" w:lastColumn="0" w:oddVBand="0" w:evenVBand="0" w:oddHBand="0" w:evenHBand="0" w:firstRowFirstColumn="0" w:firstRowLastColumn="0" w:lastRowFirstColumn="0" w:lastRowLastColumn="0"/>
                  </w:pPr>
                  <w:r w:rsidRPr="00875DBE">
                    <w:t>CSIRT komunikacja elektroniczna i </w:t>
                  </w:r>
                  <w:r>
                    <w:t>poczta</w:t>
                  </w:r>
                </w:p>
              </w:tc>
            </w:tr>
          </w:tbl>
          <w:p w14:paraId="2DC63146" w14:textId="77777777" w:rsidR="00600D9B" w:rsidRPr="00875DBE" w:rsidRDefault="00600D9B" w:rsidP="00600D9B"/>
          <w:p w14:paraId="52BB3B03" w14:textId="01CA5A57" w:rsidR="00600D9B" w:rsidRPr="00875DBE" w:rsidRDefault="00600D9B" w:rsidP="00600D9B">
            <w:r>
              <w:t>Dyrektywa NIS</w:t>
            </w:r>
            <w:r w:rsidR="004425CF">
              <w:t xml:space="preserve"> </w:t>
            </w:r>
            <w:r>
              <w:t>2 określiła podmioty w ramach, których będą funkcjonować podmiot</w:t>
            </w:r>
            <w:r w:rsidR="005B0A0A">
              <w:t>y</w:t>
            </w:r>
            <w:r>
              <w:t xml:space="preserve"> kluczowe i</w:t>
            </w:r>
            <w:r w:rsidR="005C3460">
              <w:t> </w:t>
            </w:r>
            <w:r w:rsidR="00754935">
              <w:t xml:space="preserve">podmioty </w:t>
            </w:r>
            <w:r>
              <w:t xml:space="preserve">ważne. Sektory te są dla nas wiążące przy tworzeniu CSIRT sektorowych i na ich podstawie przygotowane zostało powyższe zestawienie. Nazwy CSIRT sektorowych ani ich dokładne zakresy nie są na obecnym etapie prac przesądzone. To na organach właściwych będzie spoczywał obowiązek ich organizacji. W przypadku gdy dwa lub więcej organów właściwych wyrazi zgodę możliwe będzie utworzenie jednego CSIRT sektorowego dla kilku sektorów. Powyższe zestawienie stanowi więc plan, który może ulegać zmianie. Przynależność sektora do poszczególnej części budżetowej ustalono na podstawie przepisów określających zakres poszczególnych działów administracji rządowej i funkcjonujących w nich organów. </w:t>
            </w:r>
          </w:p>
          <w:p w14:paraId="256DDE07" w14:textId="01D7FF47" w:rsidR="00600D9B" w:rsidRPr="00875DBE" w:rsidRDefault="00600D9B" w:rsidP="00343ABE">
            <w:pPr>
              <w:ind w:right="118"/>
            </w:pPr>
            <w:r w:rsidRPr="00875DBE">
              <w:t xml:space="preserve">Nie przewiduje się odrębnego CSIRT sektorowego dla podsektora transportu wodnego z uwagi na niewielką liczbę podmiotów w tym podsektorze. Zakłada się, że w ramach porozumienia dwóch organów do spraw </w:t>
            </w:r>
            <w:proofErr w:type="spellStart"/>
            <w:r w:rsidRPr="00875DBE">
              <w:t>cyberbezpieczeństwa</w:t>
            </w:r>
            <w:proofErr w:type="spellEnd"/>
            <w:r w:rsidRPr="00875DBE">
              <w:t xml:space="preserve"> podsektor ten będzie obsługiwany przez CSIRT transport.</w:t>
            </w:r>
          </w:p>
          <w:p w14:paraId="4A2D2889" w14:textId="7615F39E" w:rsidR="00600D9B" w:rsidRPr="00875DBE" w:rsidRDefault="00600D9B" w:rsidP="00343ABE">
            <w:pPr>
              <w:ind w:right="118"/>
            </w:pPr>
            <w:r w:rsidRPr="00875DBE">
              <w:t xml:space="preserve">CSIRT KNF będący obecnie sektorowym zespołem </w:t>
            </w:r>
            <w:proofErr w:type="spellStart"/>
            <w:r w:rsidRPr="00875DBE">
              <w:t>cyberbezpieczeństwa</w:t>
            </w:r>
            <w:proofErr w:type="spellEnd"/>
            <w:r w:rsidRPr="00875DBE">
              <w:t xml:space="preserve"> stanie się CSIRT sektorowym z dniem wejścia w życie ustawy i będzie otrzymywał dotację celową na swoje funkcjonowanie z cz. 16 budżetu państwa.</w:t>
            </w:r>
          </w:p>
          <w:p w14:paraId="2A2ABD61" w14:textId="08386F07" w:rsidR="00600D9B" w:rsidRPr="00875DBE" w:rsidRDefault="00600D9B" w:rsidP="00343ABE">
            <w:pPr>
              <w:ind w:right="118"/>
            </w:pPr>
            <w:r w:rsidRPr="00875DBE">
              <w:t xml:space="preserve">Centrum e-Zdrowie będący obecnie sektorowym zespołem </w:t>
            </w:r>
            <w:proofErr w:type="spellStart"/>
            <w:r w:rsidRPr="00875DBE">
              <w:t>cyberbezpieczeństwa</w:t>
            </w:r>
            <w:proofErr w:type="spellEnd"/>
            <w:r w:rsidRPr="00875DBE">
              <w:t xml:space="preserve"> stanie się CSIRT sektorowym z dniem wejścia w życie ustawy i będzie finansowane z cz. 46 budżetu państwa.</w:t>
            </w:r>
          </w:p>
          <w:p w14:paraId="16359682" w14:textId="6E571F52" w:rsidR="00600D9B" w:rsidRPr="00875DBE" w:rsidRDefault="00600D9B" w:rsidP="00343ABE">
            <w:pPr>
              <w:ind w:right="118"/>
            </w:pPr>
            <w:r w:rsidRPr="00875DBE">
              <w:t xml:space="preserve">CSIRT NASK oraz CSIRT GOV będą pełnić funkcję CSIRT sektorowych dla podmiotów publicznych w zakresie dotychczasowego </w:t>
            </w:r>
            <w:proofErr w:type="spellStart"/>
            <w:r w:rsidRPr="00875DBE">
              <w:rPr>
                <w:i/>
                <w:iCs/>
              </w:rPr>
              <w:t>constituency</w:t>
            </w:r>
            <w:proofErr w:type="spellEnd"/>
            <w:r w:rsidRPr="00875DBE">
              <w:t>.</w:t>
            </w:r>
            <w:r>
              <w:t xml:space="preserve"> Pozwoli to na zachowanie ciągłości działań w tym obszarze oraz ułatwi podmiotom publicznym dostosowanie się do nowej sytuacji prawnej. </w:t>
            </w:r>
          </w:p>
          <w:p w14:paraId="08C0E50E" w14:textId="0C145DFF" w:rsidR="00600D9B" w:rsidRPr="00875DBE" w:rsidRDefault="00600D9B" w:rsidP="00FF2F5D">
            <w:pPr>
              <w:ind w:right="118"/>
            </w:pPr>
            <w:r w:rsidRPr="00875DBE">
              <w:t xml:space="preserve">Przyjęto kwotę 16 413,00 zł miesięcznego wynagrodzenia w CSIRT sektorowym (bez składek). Kwotę tę obliczono dzieląc kwotę 3 939 000,00 zł (wykazana w planie finansowym Centrum </w:t>
            </w:r>
            <w:proofErr w:type="spellStart"/>
            <w:r w:rsidRPr="00875DBE">
              <w:t>Cyberbezpieczeństwa</w:t>
            </w:r>
            <w:proofErr w:type="spellEnd"/>
            <w:r w:rsidRPr="00875DBE">
              <w:t xml:space="preserve"> jako kwotę wynagrodzeń osobowych) przez 20 zatrudnionych</w:t>
            </w:r>
            <w:r w:rsidRPr="00875DBE">
              <w:rPr>
                <w:rStyle w:val="Odwoanieprzypisudolnego"/>
              </w:rPr>
              <w:footnoteReference w:id="13"/>
            </w:r>
            <w:r w:rsidRPr="00875DBE">
              <w:rPr>
                <w:vertAlign w:val="superscript"/>
              </w:rPr>
              <w:t>)</w:t>
            </w:r>
            <w:r w:rsidRPr="00875DBE">
              <w:t xml:space="preserve"> i 12</w:t>
            </w:r>
            <w:r w:rsidR="00343ABE">
              <w:t> </w:t>
            </w:r>
            <w:r w:rsidRPr="00875DBE">
              <w:t>miesięcy. Przyjęto rocznie wzrost tej kwoty o 7,01%.</w:t>
            </w:r>
          </w:p>
          <w:p w14:paraId="085E4019" w14:textId="2AD9999B" w:rsidR="00600D9B" w:rsidRDefault="00600D9B" w:rsidP="00600D9B">
            <w:r w:rsidRPr="00875DBE">
              <w:t xml:space="preserve">Za planem finansowym Centrum </w:t>
            </w:r>
            <w:proofErr w:type="spellStart"/>
            <w:r w:rsidRPr="00875DBE">
              <w:t>Cyberbezpieczeństwa</w:t>
            </w:r>
            <w:proofErr w:type="spellEnd"/>
            <w:r w:rsidRPr="00875DBE">
              <w:t xml:space="preserve"> przyjęto per CSIRT w 2025 r.:</w:t>
            </w:r>
          </w:p>
          <w:p w14:paraId="2C9A629B" w14:textId="336D7E3B" w:rsidR="00600D9B" w:rsidRDefault="00600D9B" w:rsidP="00600D9B">
            <w:pPr>
              <w:pStyle w:val="Akapitzlist"/>
              <w:numPr>
                <w:ilvl w:val="0"/>
                <w:numId w:val="45"/>
              </w:numPr>
            </w:pPr>
            <w:r w:rsidRPr="00875DBE">
              <w:t>koszt usług obcych w wysokości 1 650 000,00 zł;</w:t>
            </w:r>
          </w:p>
          <w:p w14:paraId="13A5669E" w14:textId="2CC2FBEE" w:rsidR="00600D9B" w:rsidRDefault="00600D9B" w:rsidP="00600D9B">
            <w:pPr>
              <w:pStyle w:val="Akapitzlist"/>
              <w:numPr>
                <w:ilvl w:val="0"/>
                <w:numId w:val="45"/>
              </w:numPr>
            </w:pPr>
            <w:r w:rsidRPr="00875DBE">
              <w:t>koszt materiałów i energii w wysokości 277 000,00 zł;</w:t>
            </w:r>
          </w:p>
          <w:p w14:paraId="1DE97812" w14:textId="21052732" w:rsidR="00600D9B" w:rsidRDefault="00600D9B" w:rsidP="00600D9B">
            <w:pPr>
              <w:pStyle w:val="Akapitzlist"/>
              <w:numPr>
                <w:ilvl w:val="0"/>
                <w:numId w:val="45"/>
              </w:numPr>
            </w:pPr>
            <w:r w:rsidRPr="00875DBE">
              <w:t>koszty amortyzacji w wysokości 280 000,00 zł;</w:t>
            </w:r>
          </w:p>
          <w:p w14:paraId="6C5DB2BA" w14:textId="75A96EDD" w:rsidR="00600D9B" w:rsidRPr="00875DBE" w:rsidRDefault="00600D9B" w:rsidP="00600D9B">
            <w:pPr>
              <w:pStyle w:val="Akapitzlist"/>
              <w:numPr>
                <w:ilvl w:val="0"/>
                <w:numId w:val="45"/>
              </w:numPr>
            </w:pPr>
            <w:r w:rsidRPr="00875DBE">
              <w:t>pozostałe koszty funkcjonowania w wysokości 695 000,00 zł.</w:t>
            </w:r>
          </w:p>
          <w:p w14:paraId="2682EFB4" w14:textId="57156AEB" w:rsidR="00600D9B" w:rsidRDefault="00600D9B" w:rsidP="00FF2F5D">
            <w:pPr>
              <w:ind w:right="118"/>
            </w:pPr>
            <w:r w:rsidRPr="00875DBE">
              <w:t>W kolejnych latach doliczono do tych kosztów wzrost wskaźnika CPI w oparciu o </w:t>
            </w:r>
            <w:r w:rsidRPr="00875DBE">
              <w:rPr>
                <w:i/>
                <w:iCs/>
              </w:rPr>
              <w:t>Wytyczne dotyczące stosowania jednolitych wskaźników makroekonomicznych będących podstawą oszacowania skutków finansowych projektowanych ustaw Aktualizacja – październik 2023 r</w:t>
            </w:r>
            <w:r w:rsidRPr="00875DBE">
              <w:t>.</w:t>
            </w:r>
            <w:r w:rsidRPr="00875DBE">
              <w:rPr>
                <w:rStyle w:val="Odwoanieprzypisudolnego"/>
              </w:rPr>
              <w:footnoteReference w:id="14"/>
            </w:r>
            <w:r w:rsidRPr="00875DBE">
              <w:rPr>
                <w:vertAlign w:val="superscript"/>
              </w:rPr>
              <w:t>)</w:t>
            </w:r>
            <w:r w:rsidRPr="00875DBE">
              <w:t>.</w:t>
            </w:r>
          </w:p>
          <w:p w14:paraId="35534504" w14:textId="0466AD59" w:rsidR="00600D9B" w:rsidRPr="00875DBE" w:rsidRDefault="00600D9B" w:rsidP="00600D9B">
            <w:r>
              <w:t>Zestawienie kosztów pojedynczego zespołu CSIRT sektorowego zawiera zał</w:t>
            </w:r>
            <w:r w:rsidR="004425CF">
              <w:t>ącznik</w:t>
            </w:r>
            <w:r>
              <w:t xml:space="preserve"> nr 2</w:t>
            </w:r>
            <w:r w:rsidR="004425CF">
              <w:t xml:space="preserve"> do OSR</w:t>
            </w:r>
            <w:r>
              <w:t>.</w:t>
            </w:r>
          </w:p>
          <w:p w14:paraId="2AB4A041" w14:textId="09FF1E74" w:rsidR="00600D9B" w:rsidRPr="00875DBE" w:rsidRDefault="00600D9B" w:rsidP="00600D9B">
            <w:pPr>
              <w:pStyle w:val="Nagwek1"/>
              <w:rPr>
                <w:rFonts w:cs="Times New Roman"/>
                <w:sz w:val="22"/>
                <w:szCs w:val="22"/>
              </w:rPr>
            </w:pPr>
            <w:r w:rsidRPr="00875DBE">
              <w:rPr>
                <w:rFonts w:cs="Times New Roman"/>
                <w:sz w:val="22"/>
                <w:szCs w:val="22"/>
              </w:rPr>
              <w:lastRenderedPageBreak/>
              <w:t>Wzrost kwoty dotacji podmiotowej na CSIRT NASK</w:t>
            </w:r>
          </w:p>
          <w:p w14:paraId="1EFD6A2E" w14:textId="6043F7EC" w:rsidR="00600D9B" w:rsidRPr="00875DBE" w:rsidRDefault="00600D9B" w:rsidP="00FF2F5D">
            <w:pPr>
              <w:ind w:right="118"/>
            </w:pPr>
            <w:r w:rsidRPr="00875DBE">
              <w:t>W związku z nowymi zadaniami zespołu CSIRT NASK przewiduje się zwiększenie kwoty dotacji podmiotowej na ten zespół. Zadanie będzie finansowane z cz. 27 budżetu państwa.</w:t>
            </w:r>
            <w:r>
              <w:t xml:space="preserve"> Koszty przedstawiono w załączniku nr 3 do OSR.</w:t>
            </w:r>
          </w:p>
          <w:p w14:paraId="5521B98A" w14:textId="7A84D041" w:rsidR="00600D9B" w:rsidRPr="00875DBE" w:rsidRDefault="00600D9B" w:rsidP="00600D9B">
            <w:pPr>
              <w:pStyle w:val="Nagwek1"/>
              <w:rPr>
                <w:rFonts w:cs="Times New Roman"/>
                <w:sz w:val="22"/>
                <w:szCs w:val="22"/>
              </w:rPr>
            </w:pPr>
            <w:r w:rsidRPr="00875DBE">
              <w:rPr>
                <w:rFonts w:cs="Times New Roman"/>
                <w:sz w:val="22"/>
                <w:szCs w:val="22"/>
              </w:rPr>
              <w:t>Wzrost kwoty dotacji celowej na S46</w:t>
            </w:r>
          </w:p>
          <w:p w14:paraId="3D5C43B8" w14:textId="05AB44FA" w:rsidR="00600D9B" w:rsidRDefault="00600D9B" w:rsidP="00FF2F5D">
            <w:pPr>
              <w:ind w:right="118"/>
            </w:pPr>
            <w:r w:rsidRPr="00875DBE">
              <w:t>System S46 utrzymywany i rozwijany</w:t>
            </w:r>
            <w:r>
              <w:t xml:space="preserve"> jest</w:t>
            </w:r>
            <w:r w:rsidRPr="00875DBE">
              <w:t xml:space="preserve"> przez Naukową i Akademicką Sieć </w:t>
            </w:r>
            <w:proofErr w:type="spellStart"/>
            <w:r w:rsidRPr="00875DBE">
              <w:t>Komputerową-Państwowy</w:t>
            </w:r>
            <w:proofErr w:type="spellEnd"/>
            <w:r w:rsidRPr="00875DBE">
              <w:t xml:space="preserve"> Instytut Badawczy będzie pełnił rolę wykazu podmiotów kluczowych i podmiotów ważnych, a także będzie podstawowym sposobem zgłaszania incydentów przez podmioty kluczowe i podmioty ważne. Stąd też konieczne jest zapewnienie odpowiedniego wzrostu dotacji celowej na rozwój tego systemu. Zadanie będzie finansowane z cz. 27 budżetu państwa.</w:t>
            </w:r>
            <w:r>
              <w:t xml:space="preserve"> Koszty przedstawiono w załączniku nr 3 do OSR.</w:t>
            </w:r>
          </w:p>
          <w:p w14:paraId="40A7428D" w14:textId="77777777" w:rsidR="00600D9B" w:rsidRDefault="00600D9B" w:rsidP="00FF2F5D">
            <w:pPr>
              <w:ind w:right="118"/>
            </w:pPr>
            <w:r>
              <w:t>Zwiększenie nakładów na utrzymanie i rozwój S46 jest związane z czynnikami wymienionymi poniżej:</w:t>
            </w:r>
          </w:p>
          <w:p w14:paraId="6BB0F9DB" w14:textId="7214DB2A" w:rsidR="00600D9B" w:rsidRDefault="00600D9B" w:rsidP="00FF2F5D">
            <w:pPr>
              <w:ind w:right="118"/>
            </w:pPr>
            <w:r>
              <w:t>1.</w:t>
            </w:r>
            <w:r>
              <w:tab/>
              <w:t>Zwiększona o dwa rzędy wielkości liczba uczestników systemu S46 przekłada się na koszty obsługi systemu, zarówno jeśli chodzi o wsparcie oferowane przez poszczególne linie wsparcia, jak</w:t>
            </w:r>
            <w:r w:rsidR="00FF2F5D">
              <w:t> </w:t>
            </w:r>
            <w:r>
              <w:t xml:space="preserve">również w zakresie wsparcia merytorycznego. </w:t>
            </w:r>
          </w:p>
          <w:p w14:paraId="7F6E3034" w14:textId="2710438E" w:rsidR="00600D9B" w:rsidRDefault="00600D9B" w:rsidP="00FF2F5D">
            <w:pPr>
              <w:ind w:right="118"/>
            </w:pPr>
            <w:r>
              <w:t>2.</w:t>
            </w:r>
            <w:r>
              <w:tab/>
              <w:t xml:space="preserve">Nowelizacja ustawy przewiduje uruchomienie rejestru podmiotów KSC zapewniającego podmiotom mechanizm </w:t>
            </w:r>
            <w:proofErr w:type="spellStart"/>
            <w:r>
              <w:t>samorejestracji</w:t>
            </w:r>
            <w:proofErr w:type="spellEnd"/>
            <w:r>
              <w:t xml:space="preserve"> za pośrednictwem sieci Internet i mechanizmów węzła krajowego. Uruchomienie bezpiecznego mechanizmu </w:t>
            </w:r>
            <w:proofErr w:type="spellStart"/>
            <w:r>
              <w:t>samorejestracji</w:t>
            </w:r>
            <w:proofErr w:type="spellEnd"/>
            <w:r>
              <w:t xml:space="preserve"> oraz wsparcie podmiotów podłączanych do </w:t>
            </w:r>
            <w:r w:rsidR="004425CF">
              <w:t>S</w:t>
            </w:r>
            <w:r>
              <w:t>46 wymaga zwiększonych nakładów w stosunku do planowanych w</w:t>
            </w:r>
            <w:r w:rsidR="00FF2F5D">
              <w:t> </w:t>
            </w:r>
            <w:r>
              <w:t>obowiązującej ustawie.</w:t>
            </w:r>
          </w:p>
          <w:p w14:paraId="413C3F97" w14:textId="12C6DB35" w:rsidR="00600D9B" w:rsidRDefault="00600D9B" w:rsidP="00FF2F5D">
            <w:pPr>
              <w:ind w:right="118"/>
            </w:pPr>
            <w:r>
              <w:t>3.</w:t>
            </w:r>
            <w:r>
              <w:tab/>
              <w:t xml:space="preserve">W trakcie realizacji zadań związanych z utrzymaniem, okazało się konieczne powołanie zespołu analitycznego zdolnego do zauważania zależności, analizowania spójności modeli i </w:t>
            </w:r>
            <w:proofErr w:type="spellStart"/>
            <w:r>
              <w:t>ryzyk</w:t>
            </w:r>
            <w:proofErr w:type="spellEnd"/>
            <w:r>
              <w:t xml:space="preserve"> itp. W związku z nowelizacją powstanie większe zapotrzebowanie na tego rodzaju analizy. Należy wziąć pod uwagę również zatrudnienie specjalistów specjalizujących się w nowych technologiach, takich jak AI. Podniesienie nakładów umożliwi organizację zespołu analitycznego, który będzie mógł realizować funkcje wspomagające procesy analityczne zespołów CSIRT krajowych, zespołów CSIRT sektorowych oraz organów właściwych do spraw </w:t>
            </w:r>
            <w:proofErr w:type="spellStart"/>
            <w:r>
              <w:t>cyberbezpieczeństwa</w:t>
            </w:r>
            <w:proofErr w:type="spellEnd"/>
            <w:r>
              <w:t xml:space="preserve"> na poziomie systemu S46. </w:t>
            </w:r>
          </w:p>
          <w:p w14:paraId="4A911690" w14:textId="35FC6CF6" w:rsidR="00600D9B" w:rsidRPr="00875DBE" w:rsidRDefault="00600D9B" w:rsidP="00FF2F5D">
            <w:pPr>
              <w:ind w:right="118"/>
            </w:pPr>
            <w:r>
              <w:t>4.</w:t>
            </w:r>
            <w:r>
              <w:tab/>
              <w:t>Doświadczenia dotyczące utrzymania i rozwoju systemu wskazują, że konieczne jest zapewnienie ciągłego doskonalenia funkcjonalności S46. Nowelizacja ustawy spowoduje wzrost liczby użytkowników co oznacza, że konieczne staje się utrzymanie stałego zespołu deweloperskiego, dedykowanego do ciągłego doskonalenia systemu, oraz wprowadzania poprawek. Zwiększenie liczby personelu dedykowanego do rozwoju systemu S46, umożliwi obsługę zwiększającej się skali i poziomu złożoności systemu. Brak dodatkowych nakładów w obszarze zespołów rozwojowych mógłby spowodować drastyczne wydłużenie okresu wprowadzania poprawek i dostosowywania systemu do wymagań zwiększonej w wyniku nowelizacji liczby użytkowników. Działania związane z utrzymaniem i rozwojem wymagają również inwestycji w</w:t>
            </w:r>
            <w:r w:rsidR="00FF2F5D">
              <w:t> </w:t>
            </w:r>
            <w:r>
              <w:t xml:space="preserve">narzędzia do analizy danych. Brak inwestycji w ww. narzędzia może wydłużyć czas reakcji na zagrożenia w obszarze </w:t>
            </w:r>
            <w:proofErr w:type="spellStart"/>
            <w:r>
              <w:t>cyberbezpieczeństwa</w:t>
            </w:r>
            <w:proofErr w:type="spellEnd"/>
            <w:r>
              <w:t>.</w:t>
            </w:r>
          </w:p>
          <w:p w14:paraId="2EC9666F" w14:textId="635F1E96" w:rsidR="00600D9B" w:rsidRPr="00875DBE" w:rsidRDefault="00600D9B" w:rsidP="00FF2F5D">
            <w:pPr>
              <w:pStyle w:val="Nagwek1"/>
              <w:ind w:right="118"/>
              <w:rPr>
                <w:rFonts w:cs="Times New Roman"/>
                <w:sz w:val="22"/>
                <w:szCs w:val="22"/>
              </w:rPr>
            </w:pPr>
            <w:r w:rsidRPr="00875DBE">
              <w:rPr>
                <w:rFonts w:cs="Times New Roman"/>
                <w:sz w:val="22"/>
                <w:szCs w:val="22"/>
              </w:rPr>
              <w:t>Wsparcie kadrowe ministra właściwego do spraw informatyzacji w związku z nowymi zadaniami</w:t>
            </w:r>
          </w:p>
          <w:p w14:paraId="38B2E80A" w14:textId="30354A30" w:rsidR="00600D9B" w:rsidRPr="00875DBE" w:rsidRDefault="00600D9B" w:rsidP="00E625E7">
            <w:pPr>
              <w:ind w:right="118"/>
            </w:pPr>
            <w:r w:rsidRPr="00875DBE">
              <w:t>Nowe zadania ministra właściwego do spraw informatyzacji w obszarze zarządzania kryzysowego w cyberprzestrzeni wymagają wsparcia kadrowego. Przewiduje się na to</w:t>
            </w:r>
            <w:r>
              <w:t xml:space="preserve"> </w:t>
            </w:r>
            <w:r w:rsidRPr="00875DBE">
              <w:t>4 etaty w urzędzie obsługującym ministra właściwego do spraw informatyzacji. Koszty zostaną poniesione z cz.</w:t>
            </w:r>
            <w:r w:rsidR="00FF2F5D">
              <w:t> </w:t>
            </w:r>
            <w:r w:rsidRPr="00875DBE">
              <w:t>27</w:t>
            </w:r>
            <w:r w:rsidR="00FF2F5D">
              <w:t> </w:t>
            </w:r>
            <w:r w:rsidRPr="00875DBE">
              <w:t>budżetu państwa.</w:t>
            </w:r>
          </w:p>
          <w:p w14:paraId="709BCC45" w14:textId="027F813C" w:rsidR="00600D9B" w:rsidRPr="00875DBE" w:rsidRDefault="00600D9B" w:rsidP="00E625E7">
            <w:pPr>
              <w:ind w:right="118"/>
            </w:pPr>
            <w:r w:rsidRPr="00875DBE">
              <w:t>Aby zapewnić efektywność postępowań administracyjnych w sprawie uznania</w:t>
            </w:r>
            <w:r>
              <w:t xml:space="preserve"> </w:t>
            </w:r>
            <w:r w:rsidRPr="00875DBE">
              <w:t>za dostawcę wysokiego ryzyka oraz postępowań w sprawach nałożenia administracyjnych kar pieniężnych za</w:t>
            </w:r>
            <w:r w:rsidR="00FF2F5D">
              <w:t> </w:t>
            </w:r>
            <w:r w:rsidRPr="00875DBE">
              <w:t>nie wycofanie produktów ICT, usług ICT i procesów ICT pochodzących od dostawcy wysokiego ryzyka przewiduje się wzmocnienie urzędu obsługującego ministra do spraw informatyzacji o</w:t>
            </w:r>
            <w:r w:rsidR="00FF2F5D">
              <w:t> </w:t>
            </w:r>
            <w:r w:rsidRPr="00875DBE">
              <w:t>3</w:t>
            </w:r>
            <w:r w:rsidR="00FF2F5D">
              <w:t> </w:t>
            </w:r>
            <w:r w:rsidRPr="00875DBE">
              <w:t>etaty. Zadanie będzie finansowane z cz. 27 budżetu państwa.</w:t>
            </w:r>
          </w:p>
          <w:p w14:paraId="00EDF3E6" w14:textId="5BB77396" w:rsidR="00600D9B" w:rsidRPr="00875DBE" w:rsidRDefault="00600D9B" w:rsidP="00E625E7">
            <w:pPr>
              <w:ind w:right="118"/>
            </w:pPr>
            <w:r w:rsidRPr="00875DBE">
              <w:t xml:space="preserve">Powyższe 7 etatów przewiduje się od stycznia 2025 r. Kalkulacje przyjęto jak dla osób pełniących funkcje nadzorcze w organie właściwym do spraw </w:t>
            </w:r>
            <w:proofErr w:type="spellStart"/>
            <w:r w:rsidRPr="00875DBE">
              <w:t>cyberbezpieczeństwa</w:t>
            </w:r>
            <w:proofErr w:type="spellEnd"/>
            <w:r w:rsidRPr="00875DBE">
              <w:t>.</w:t>
            </w:r>
          </w:p>
          <w:p w14:paraId="340F3AFC" w14:textId="6BB390BC" w:rsidR="00600D9B" w:rsidRPr="00875DBE" w:rsidRDefault="00600D9B" w:rsidP="00E625E7">
            <w:pPr>
              <w:pStyle w:val="Nagwek1"/>
              <w:ind w:right="118"/>
              <w:rPr>
                <w:rFonts w:cs="Times New Roman"/>
                <w:sz w:val="22"/>
                <w:szCs w:val="22"/>
              </w:rPr>
            </w:pPr>
            <w:r w:rsidRPr="00875DBE">
              <w:rPr>
                <w:rFonts w:cs="Times New Roman"/>
                <w:sz w:val="22"/>
                <w:szCs w:val="22"/>
              </w:rPr>
              <w:lastRenderedPageBreak/>
              <w:t xml:space="preserve">Podnoszenie zdolności instytucji zapewniających </w:t>
            </w:r>
            <w:proofErr w:type="spellStart"/>
            <w:r w:rsidRPr="00875DBE">
              <w:rPr>
                <w:rFonts w:cs="Times New Roman"/>
                <w:sz w:val="22"/>
                <w:szCs w:val="22"/>
              </w:rPr>
              <w:t>cyberbezpieczeństwo</w:t>
            </w:r>
            <w:proofErr w:type="spellEnd"/>
          </w:p>
          <w:p w14:paraId="7A7D976B" w14:textId="7FF1581C" w:rsidR="00600D9B" w:rsidRDefault="00600D9B" w:rsidP="00E625E7">
            <w:pPr>
              <w:ind w:right="118"/>
            </w:pPr>
            <w:r w:rsidRPr="00875DBE">
              <w:t xml:space="preserve">Przewiduje się możliwość, aby Pełnomocnik Rządu do Spraw </w:t>
            </w:r>
            <w:proofErr w:type="spellStart"/>
            <w:r w:rsidRPr="00875DBE">
              <w:t>Cyberbezpieczeństwa</w:t>
            </w:r>
            <w:proofErr w:type="spellEnd"/>
            <w:r w:rsidRPr="00875DBE">
              <w:t xml:space="preserve"> mógł dokonywać zakupów sprzętu/oprogramowania dla podmiotów publicznych. Przewiduje się na</w:t>
            </w:r>
            <w:r w:rsidR="00FF2F5D">
              <w:t> </w:t>
            </w:r>
            <w:r w:rsidRPr="00875DBE">
              <w:t>to</w:t>
            </w:r>
            <w:r w:rsidR="00FF2F5D">
              <w:t> </w:t>
            </w:r>
            <w:r w:rsidRPr="00875DBE">
              <w:t>zadanie 5</w:t>
            </w:r>
            <w:r>
              <w:t>0</w:t>
            </w:r>
            <w:r w:rsidRPr="00875DBE">
              <w:t> </w:t>
            </w:r>
            <w:r>
              <w:t>619</w:t>
            </w:r>
            <w:r w:rsidRPr="00875DBE">
              <w:t> </w:t>
            </w:r>
            <w:r>
              <w:t>52</w:t>
            </w:r>
            <w:r w:rsidRPr="00875DBE">
              <w:t>0,00 zł rocznie począwszy od 2025 r.</w:t>
            </w:r>
          </w:p>
          <w:tbl>
            <w:tblPr>
              <w:tblStyle w:val="Tabelasiatki5ciemnaakcent1"/>
              <w:tblW w:w="8067" w:type="dxa"/>
              <w:tblLook w:val="04A0" w:firstRow="1" w:lastRow="0" w:firstColumn="1" w:lastColumn="0" w:noHBand="0" w:noVBand="1"/>
            </w:tblPr>
            <w:tblGrid>
              <w:gridCol w:w="5569"/>
              <w:gridCol w:w="2498"/>
            </w:tblGrid>
            <w:tr w:rsidR="00600D9B" w:rsidRPr="00824EA7" w14:paraId="5EE0DA96" w14:textId="77777777" w:rsidTr="006148B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41B6F9B5" w14:textId="51BEA5BE" w:rsidR="00600D9B" w:rsidRPr="006148BE" w:rsidRDefault="00600D9B" w:rsidP="00600D9B">
                  <w:pPr>
                    <w:spacing w:after="0"/>
                    <w:jc w:val="left"/>
                    <w:rPr>
                      <w:rFonts w:eastAsia="Times New Roman"/>
                      <w:color w:val="FFFFFF"/>
                      <w:lang w:eastAsia="pl-PL"/>
                    </w:rPr>
                  </w:pPr>
                  <w:r w:rsidRPr="00165C21">
                    <w:rPr>
                      <w:rFonts w:eastAsia="Times New Roman"/>
                      <w:color w:val="FFFFFF"/>
                      <w:lang w:eastAsia="pl-PL"/>
                    </w:rPr>
                    <w:t>R</w:t>
                  </w:r>
                  <w:r w:rsidRPr="006148BE">
                    <w:rPr>
                      <w:rFonts w:eastAsia="Times New Roman"/>
                      <w:color w:val="FFFFFF"/>
                      <w:lang w:eastAsia="pl-PL"/>
                    </w:rPr>
                    <w:t>odzaj</w:t>
                  </w:r>
                </w:p>
              </w:tc>
              <w:tc>
                <w:tcPr>
                  <w:tcW w:w="0" w:type="dxa"/>
                  <w:noWrap/>
                  <w:hideMark/>
                </w:tcPr>
                <w:p w14:paraId="23967A5C" w14:textId="77777777" w:rsidR="00600D9B" w:rsidRPr="006148BE" w:rsidRDefault="00600D9B" w:rsidP="00600D9B">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lang w:eastAsia="pl-PL"/>
                    </w:rPr>
                  </w:pPr>
                  <w:r w:rsidRPr="006148BE">
                    <w:rPr>
                      <w:rFonts w:eastAsia="Times New Roman"/>
                      <w:b w:val="0"/>
                      <w:bCs w:val="0"/>
                      <w:color w:val="FFFFFF"/>
                      <w:lang w:eastAsia="pl-PL"/>
                    </w:rPr>
                    <w:t>kwota</w:t>
                  </w:r>
                </w:p>
              </w:tc>
            </w:tr>
            <w:tr w:rsidR="00600D9B" w:rsidRPr="00824EA7" w14:paraId="2447D5CD" w14:textId="77777777" w:rsidTr="006148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732E8B0D" w14:textId="77777777" w:rsidR="00600D9B" w:rsidRPr="006148BE" w:rsidRDefault="00600D9B" w:rsidP="00600D9B">
                  <w:pPr>
                    <w:spacing w:after="0"/>
                    <w:jc w:val="left"/>
                    <w:rPr>
                      <w:rFonts w:eastAsia="Times New Roman"/>
                      <w:lang w:val="en-GB" w:eastAsia="pl-PL"/>
                    </w:rPr>
                  </w:pPr>
                  <w:r w:rsidRPr="006148BE">
                    <w:rPr>
                      <w:rFonts w:eastAsia="Times New Roman"/>
                      <w:color w:val="auto"/>
                      <w:lang w:val="en-GB" w:eastAsia="pl-PL"/>
                    </w:rPr>
                    <w:t xml:space="preserve">Endpoint Detection and Response (EDR) </w:t>
                  </w:r>
                  <w:proofErr w:type="spellStart"/>
                  <w:r w:rsidRPr="006148BE">
                    <w:rPr>
                      <w:rFonts w:eastAsia="Times New Roman"/>
                      <w:color w:val="auto"/>
                      <w:lang w:val="en-GB" w:eastAsia="pl-PL"/>
                    </w:rPr>
                    <w:t>dla</w:t>
                  </w:r>
                  <w:proofErr w:type="spellEnd"/>
                  <w:r w:rsidRPr="006148BE">
                    <w:rPr>
                      <w:rFonts w:eastAsia="Times New Roman"/>
                      <w:color w:val="auto"/>
                      <w:lang w:val="en-GB" w:eastAsia="pl-PL"/>
                    </w:rPr>
                    <w:t xml:space="preserve"> 10 000 </w:t>
                  </w:r>
                  <w:proofErr w:type="spellStart"/>
                  <w:r w:rsidRPr="006148BE">
                    <w:rPr>
                      <w:rFonts w:eastAsia="Times New Roman"/>
                      <w:color w:val="auto"/>
                      <w:lang w:val="en-GB" w:eastAsia="pl-PL"/>
                    </w:rPr>
                    <w:t>podmiotów</w:t>
                  </w:r>
                  <w:proofErr w:type="spellEnd"/>
                  <w:r w:rsidRPr="006148BE">
                    <w:rPr>
                      <w:rFonts w:eastAsia="Times New Roman"/>
                      <w:color w:val="auto"/>
                      <w:lang w:val="en-GB" w:eastAsia="pl-PL"/>
                    </w:rPr>
                    <w:t xml:space="preserve"> KSC</w:t>
                  </w:r>
                </w:p>
              </w:tc>
              <w:tc>
                <w:tcPr>
                  <w:tcW w:w="0" w:type="dxa"/>
                  <w:noWrap/>
                  <w:hideMark/>
                </w:tcPr>
                <w:p w14:paraId="5B995467" w14:textId="77777777" w:rsidR="00600D9B" w:rsidRPr="006148BE" w:rsidRDefault="00600D9B" w:rsidP="00600D9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6148BE">
                    <w:rPr>
                      <w:rFonts w:eastAsia="Times New Roman"/>
                      <w:color w:val="000000"/>
                      <w:lang w:eastAsia="pl-PL"/>
                    </w:rPr>
                    <w:t>18 846 720,00</w:t>
                  </w:r>
                </w:p>
              </w:tc>
            </w:tr>
            <w:tr w:rsidR="00600D9B" w:rsidRPr="00824EA7" w14:paraId="70499568" w14:textId="77777777" w:rsidTr="006148BE">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72E1DFE7" w14:textId="77777777" w:rsidR="00600D9B" w:rsidRPr="006148BE" w:rsidRDefault="00600D9B" w:rsidP="00600D9B">
                  <w:pPr>
                    <w:spacing w:after="0"/>
                    <w:jc w:val="left"/>
                    <w:rPr>
                      <w:rFonts w:eastAsia="Times New Roman"/>
                      <w:lang w:eastAsia="pl-PL"/>
                    </w:rPr>
                  </w:pPr>
                  <w:r w:rsidRPr="006148BE">
                    <w:rPr>
                      <w:rFonts w:eastAsia="Times New Roman"/>
                      <w:color w:val="auto"/>
                      <w:lang w:eastAsia="pl-PL"/>
                    </w:rPr>
                    <w:t xml:space="preserve">platforma CTI poziomu operacyjnego </w:t>
                  </w:r>
                </w:p>
              </w:tc>
              <w:tc>
                <w:tcPr>
                  <w:tcW w:w="0" w:type="dxa"/>
                  <w:noWrap/>
                  <w:hideMark/>
                </w:tcPr>
                <w:p w14:paraId="5E57973A" w14:textId="77777777" w:rsidR="00600D9B" w:rsidRPr="006148BE" w:rsidRDefault="00600D9B" w:rsidP="00600D9B">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6148BE">
                    <w:rPr>
                      <w:rFonts w:eastAsia="Times New Roman"/>
                      <w:color w:val="000000"/>
                      <w:lang w:eastAsia="pl-PL"/>
                    </w:rPr>
                    <w:t>18 920 000,00</w:t>
                  </w:r>
                </w:p>
              </w:tc>
            </w:tr>
            <w:tr w:rsidR="00600D9B" w:rsidRPr="00824EA7" w14:paraId="1B6F9581" w14:textId="77777777" w:rsidTr="006148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0F6B3785" w14:textId="77777777" w:rsidR="00600D9B" w:rsidRPr="006148BE" w:rsidRDefault="00600D9B" w:rsidP="00600D9B">
                  <w:pPr>
                    <w:spacing w:after="0"/>
                    <w:jc w:val="left"/>
                    <w:rPr>
                      <w:rFonts w:eastAsia="Times New Roman"/>
                      <w:lang w:eastAsia="pl-PL"/>
                    </w:rPr>
                  </w:pPr>
                  <w:r w:rsidRPr="006148BE">
                    <w:rPr>
                      <w:rFonts w:eastAsia="Times New Roman"/>
                      <w:color w:val="auto"/>
                      <w:lang w:eastAsia="pl-PL"/>
                    </w:rPr>
                    <w:t>platforma CTI z zakresu złośliwego oprogramowania dla 8 instytucji KSC</w:t>
                  </w:r>
                </w:p>
              </w:tc>
              <w:tc>
                <w:tcPr>
                  <w:tcW w:w="0" w:type="dxa"/>
                  <w:noWrap/>
                  <w:hideMark/>
                </w:tcPr>
                <w:p w14:paraId="1F3DA855" w14:textId="77777777" w:rsidR="00600D9B" w:rsidRPr="006148BE" w:rsidRDefault="00600D9B" w:rsidP="00600D9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6148BE">
                    <w:rPr>
                      <w:rFonts w:eastAsia="Times New Roman"/>
                      <w:color w:val="000000"/>
                      <w:lang w:eastAsia="pl-PL"/>
                    </w:rPr>
                    <w:t>7 852 800,00</w:t>
                  </w:r>
                </w:p>
              </w:tc>
            </w:tr>
            <w:tr w:rsidR="00600D9B" w:rsidRPr="00824EA7" w14:paraId="6B929520" w14:textId="77777777" w:rsidTr="006148BE">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22C73A6D" w14:textId="77777777" w:rsidR="00600D9B" w:rsidRPr="006148BE" w:rsidRDefault="00600D9B" w:rsidP="00600D9B">
                  <w:pPr>
                    <w:spacing w:after="0"/>
                    <w:jc w:val="left"/>
                    <w:rPr>
                      <w:rFonts w:eastAsia="Times New Roman"/>
                      <w:lang w:eastAsia="pl-PL"/>
                    </w:rPr>
                  </w:pPr>
                  <w:r w:rsidRPr="006148BE">
                    <w:rPr>
                      <w:rFonts w:eastAsia="Times New Roman"/>
                      <w:color w:val="auto"/>
                      <w:lang w:eastAsia="pl-PL"/>
                    </w:rPr>
                    <w:t>platforma CTI dla poziomu strategicznego</w:t>
                  </w:r>
                </w:p>
              </w:tc>
              <w:tc>
                <w:tcPr>
                  <w:tcW w:w="0" w:type="dxa"/>
                  <w:noWrap/>
                  <w:hideMark/>
                </w:tcPr>
                <w:p w14:paraId="501922CA" w14:textId="77777777" w:rsidR="00600D9B" w:rsidRPr="006148BE" w:rsidRDefault="00600D9B" w:rsidP="00600D9B">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6148BE">
                    <w:rPr>
                      <w:rFonts w:eastAsia="Times New Roman"/>
                      <w:color w:val="000000"/>
                      <w:lang w:eastAsia="pl-PL"/>
                    </w:rPr>
                    <w:t>5 000 000,00</w:t>
                  </w:r>
                </w:p>
              </w:tc>
            </w:tr>
            <w:tr w:rsidR="00600D9B" w:rsidRPr="00824EA7" w14:paraId="7D4EB536" w14:textId="77777777" w:rsidTr="006148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14:paraId="33097088" w14:textId="3A04A2CC" w:rsidR="00600D9B" w:rsidRPr="006148BE" w:rsidRDefault="00600D9B" w:rsidP="00600D9B">
                  <w:pPr>
                    <w:spacing w:after="0"/>
                    <w:jc w:val="left"/>
                    <w:rPr>
                      <w:rFonts w:eastAsia="Times New Roman"/>
                      <w:lang w:eastAsia="pl-PL"/>
                    </w:rPr>
                  </w:pPr>
                  <w:r w:rsidRPr="00754935">
                    <w:rPr>
                      <w:rFonts w:eastAsia="Times New Roman"/>
                      <w:lang w:eastAsia="pl-PL"/>
                    </w:rPr>
                    <w:t>S</w:t>
                  </w:r>
                  <w:r w:rsidRPr="006148BE">
                    <w:rPr>
                      <w:rFonts w:eastAsia="Times New Roman"/>
                      <w:color w:val="auto"/>
                      <w:lang w:eastAsia="pl-PL"/>
                    </w:rPr>
                    <w:t>uma</w:t>
                  </w:r>
                </w:p>
              </w:tc>
              <w:tc>
                <w:tcPr>
                  <w:tcW w:w="0" w:type="dxa"/>
                  <w:noWrap/>
                  <w:hideMark/>
                </w:tcPr>
                <w:p w14:paraId="0C2EDFDC" w14:textId="77777777" w:rsidR="00600D9B" w:rsidRPr="006148BE" w:rsidRDefault="00600D9B" w:rsidP="00600D9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6148BE">
                    <w:rPr>
                      <w:rFonts w:eastAsia="Times New Roman"/>
                      <w:color w:val="000000"/>
                      <w:lang w:eastAsia="pl-PL"/>
                    </w:rPr>
                    <w:t>50 619 520,00</w:t>
                  </w:r>
                </w:p>
              </w:tc>
            </w:tr>
          </w:tbl>
          <w:p w14:paraId="795FB16E" w14:textId="77777777" w:rsidR="00600D9B" w:rsidRDefault="00600D9B" w:rsidP="00600D9B"/>
          <w:p w14:paraId="55D62422" w14:textId="354DD0F7" w:rsidR="00600D9B" w:rsidRPr="000743DE" w:rsidRDefault="00600D9B" w:rsidP="00E625E7">
            <w:pPr>
              <w:ind w:right="118"/>
            </w:pPr>
            <w:r w:rsidRPr="000743DE">
              <w:t xml:space="preserve">Zakup narzędzi </w:t>
            </w:r>
            <w:proofErr w:type="spellStart"/>
            <w:r w:rsidRPr="000743DE">
              <w:t>Endpoint</w:t>
            </w:r>
            <w:proofErr w:type="spellEnd"/>
            <w:r w:rsidRPr="000743DE">
              <w:t xml:space="preserve"> </w:t>
            </w:r>
            <w:proofErr w:type="spellStart"/>
            <w:r w:rsidRPr="000743DE">
              <w:t>Detection</w:t>
            </w:r>
            <w:proofErr w:type="spellEnd"/>
            <w:r w:rsidRPr="000743DE">
              <w:t xml:space="preserve"> &amp; </w:t>
            </w:r>
            <w:proofErr w:type="spellStart"/>
            <w:r w:rsidRPr="000743DE">
              <w:t>Response</w:t>
            </w:r>
            <w:proofErr w:type="spellEnd"/>
            <w:r w:rsidRPr="006148BE">
              <w:t xml:space="preserve"> do 10 000 urządzeń </w:t>
            </w:r>
            <w:r>
              <w:t xml:space="preserve">końcowych – narzędzie służy do wykrywania podejrzanej aktywności na urządzeniach końcowych. Założono kwotę 40$ miesięcznie na jedno urządzenie końcowe. Przy 12 miesiącach i 10000 urządzeniach końcowych daję kwotę </w:t>
            </w:r>
            <w:r w:rsidRPr="005A0391">
              <w:t>18 846 720,00 zł</w:t>
            </w:r>
            <w:r>
              <w:t>.</w:t>
            </w:r>
          </w:p>
          <w:p w14:paraId="149D065F" w14:textId="4A6A1D88" w:rsidR="00600D9B" w:rsidRDefault="00600D9B" w:rsidP="00E625E7">
            <w:pPr>
              <w:ind w:right="118"/>
            </w:pPr>
            <w:r>
              <w:t xml:space="preserve">Platforma CTI poziomu operacyjnego - platforma </w:t>
            </w:r>
            <w:proofErr w:type="spellStart"/>
            <w:r>
              <w:t>Cyber</w:t>
            </w:r>
            <w:proofErr w:type="spellEnd"/>
            <w:r>
              <w:t xml:space="preserve"> </w:t>
            </w:r>
            <w:proofErr w:type="spellStart"/>
            <w:r>
              <w:t>Threat</w:t>
            </w:r>
            <w:proofErr w:type="spellEnd"/>
            <w:r>
              <w:t xml:space="preserve"> </w:t>
            </w:r>
            <w:proofErr w:type="spellStart"/>
            <w:r>
              <w:t>Intelligence</w:t>
            </w:r>
            <w:proofErr w:type="spellEnd"/>
            <w:r>
              <w:t xml:space="preserve"> służąca do dostarczania i analizy w czasie rzeczywistym informacji o zagrożeniach w cyberprzestrzeni. Rozwiązanie wspiera organizacje w identyfikacji, ocenie i zarządzaniu ryzykiem związanym z</w:t>
            </w:r>
            <w:r w:rsidR="00FF2F5D">
              <w:t> </w:t>
            </w:r>
            <w:r>
              <w:t xml:space="preserve">cyberprzestępczością. Kwotę określono na podstawie zrealizowanego postępowania przetargowego na zakup dostępu do platformy na rzecz 8 podmiotów Krajowego Systemu </w:t>
            </w:r>
            <w:proofErr w:type="spellStart"/>
            <w:r>
              <w:t>Cyberbezpieczeństwa</w:t>
            </w:r>
            <w:proofErr w:type="spellEnd"/>
            <w:r>
              <w:t xml:space="preserve">. Numer ogłoszenia o zamówieniu lub o zamiarze zawarcia umowy Dz. Urz. UE: 2023/S 186-581359. Numer referencyjny postępowania: PN-17/C/2023. </w:t>
            </w:r>
          </w:p>
          <w:p w14:paraId="384765A3" w14:textId="35E3AD26" w:rsidR="00600D9B" w:rsidRDefault="00600D9B" w:rsidP="00E625E7">
            <w:pPr>
              <w:ind w:right="118"/>
            </w:pPr>
            <w:r>
              <w:t xml:space="preserve">Platforma CTI </w:t>
            </w:r>
            <w:r w:rsidRPr="00035759">
              <w:t>z zakresu złośliwego oprogramowania</w:t>
            </w:r>
            <w:r>
              <w:t xml:space="preserve"> – platforma dla 8 podmiotów krajowego systemu </w:t>
            </w:r>
            <w:proofErr w:type="spellStart"/>
            <w:r>
              <w:t>cyberbezpieczeństwa</w:t>
            </w:r>
            <w:proofErr w:type="spellEnd"/>
            <w:r>
              <w:t xml:space="preserve"> (np. CSIRT sektorowych, CSIRT poziomu krajowego, służb specjalnych) służąca do dostarczania i analizy informacji o złośliwym oprogramowaniu. Założono kwotę 250 000 $ rocznie per podmiot co przy kursie $ </w:t>
            </w:r>
            <w:r w:rsidRPr="00C235F8">
              <w:t>3,9264</w:t>
            </w:r>
            <w:r>
              <w:t xml:space="preserve"> daje łącznie </w:t>
            </w:r>
            <w:r w:rsidRPr="006A6B11">
              <w:t>7 852 800,00 zł</w:t>
            </w:r>
            <w:r>
              <w:t>.</w:t>
            </w:r>
          </w:p>
          <w:p w14:paraId="14275F33" w14:textId="63FBD0E8" w:rsidR="00600D9B" w:rsidRPr="00875DBE" w:rsidRDefault="00600D9B" w:rsidP="00E625E7">
            <w:pPr>
              <w:ind w:right="118"/>
            </w:pPr>
            <w:r>
              <w:t>Platforma CTI poziomu strategicznego - Platforma/System służąca do dostarczania informacji z</w:t>
            </w:r>
            <w:r w:rsidR="00FF2F5D">
              <w:t> </w:t>
            </w:r>
            <w:r>
              <w:t xml:space="preserve">zakresu </w:t>
            </w:r>
            <w:proofErr w:type="spellStart"/>
            <w:r>
              <w:t>Cyber</w:t>
            </w:r>
            <w:proofErr w:type="spellEnd"/>
            <w:r>
              <w:t xml:space="preserve"> </w:t>
            </w:r>
            <w:proofErr w:type="spellStart"/>
            <w:r>
              <w:t>Threat</w:t>
            </w:r>
            <w:proofErr w:type="spellEnd"/>
            <w:r>
              <w:t xml:space="preserve"> </w:t>
            </w:r>
            <w:proofErr w:type="spellStart"/>
            <w:r>
              <w:t>Intelligence</w:t>
            </w:r>
            <w:proofErr w:type="spellEnd"/>
            <w:r>
              <w:t xml:space="preserve"> o poziomie strategicznym na rzecz podmiotów zapewniających bezpieczeństwo teleinformatyczne w ramach funkcjonowania Krajowego Systemu </w:t>
            </w:r>
            <w:proofErr w:type="spellStart"/>
            <w:r>
              <w:t>Cyberbezpieczeństwa</w:t>
            </w:r>
            <w:proofErr w:type="spellEnd"/>
            <w:r>
              <w:t xml:space="preserve">. Dostarcza dane o zagrożeniach w cyberprzestrzeni za pomocą algorytmów lub programów typu </w:t>
            </w:r>
            <w:proofErr w:type="spellStart"/>
            <w:r>
              <w:t>crawler</w:t>
            </w:r>
            <w:proofErr w:type="spellEnd"/>
            <w:r>
              <w:t xml:space="preserve"> i dedykowanych zespołów analityków </w:t>
            </w:r>
            <w:proofErr w:type="spellStart"/>
            <w:r>
              <w:t>cyberbezpieczeństwa</w:t>
            </w:r>
            <w:proofErr w:type="spellEnd"/>
            <w:r>
              <w:t xml:space="preserve"> (zespół minimalnie 200 osób, praca w reżimie 24/7/365) przynajmniej z otwartych oraz zamkniętych źródeł. Kwota zamówienia określona na podstawie szacowania rynkowego.</w:t>
            </w:r>
          </w:p>
          <w:p w14:paraId="6FC68BB9" w14:textId="5C399BA0" w:rsidR="00600D9B" w:rsidRPr="00875DBE" w:rsidRDefault="00600D9B" w:rsidP="00E625E7">
            <w:pPr>
              <w:pStyle w:val="Nagwek1"/>
              <w:ind w:right="118"/>
              <w:rPr>
                <w:rFonts w:cs="Times New Roman"/>
                <w:sz w:val="22"/>
                <w:szCs w:val="22"/>
              </w:rPr>
            </w:pPr>
            <w:r w:rsidRPr="00875DBE">
              <w:rPr>
                <w:rFonts w:cs="Times New Roman"/>
                <w:sz w:val="22"/>
                <w:szCs w:val="22"/>
              </w:rPr>
              <w:t>Działalność edukacyjna</w:t>
            </w:r>
          </w:p>
          <w:p w14:paraId="503113DC" w14:textId="28E10CDD" w:rsidR="00600D9B" w:rsidRDefault="00600D9B" w:rsidP="00E625E7">
            <w:pPr>
              <w:pStyle w:val="NormalnyWeb"/>
              <w:ind w:right="118"/>
              <w:rPr>
                <w:sz w:val="22"/>
                <w:szCs w:val="22"/>
              </w:rPr>
            </w:pPr>
            <w:r w:rsidRPr="00875DBE">
              <w:rPr>
                <w:sz w:val="22"/>
                <w:szCs w:val="22"/>
              </w:rPr>
              <w:t xml:space="preserve">Przewiduje się także zapewnienie środków na działalność edukacyjną ministra właściwego do spraw informatyzacji. Działalność ta polega na wspieraniu świadomości co do </w:t>
            </w:r>
            <w:proofErr w:type="spellStart"/>
            <w:r w:rsidRPr="00875DBE">
              <w:rPr>
                <w:sz w:val="22"/>
                <w:szCs w:val="22"/>
              </w:rPr>
              <w:t>cyberzagrożeń</w:t>
            </w:r>
            <w:proofErr w:type="spellEnd"/>
            <w:r w:rsidRPr="00875DBE">
              <w:rPr>
                <w:sz w:val="22"/>
                <w:szCs w:val="22"/>
              </w:rPr>
              <w:t>. Przewidziano na to zadanie 12 630 000,00 zł</w:t>
            </w:r>
            <w:r>
              <w:rPr>
                <w:sz w:val="22"/>
                <w:szCs w:val="22"/>
              </w:rPr>
              <w:t xml:space="preserve"> rocznie od 2025 r</w:t>
            </w:r>
            <w:r w:rsidRPr="00875DBE">
              <w:rPr>
                <w:sz w:val="22"/>
                <w:szCs w:val="22"/>
              </w:rPr>
              <w:t xml:space="preserve">. Będą to programy edukacyjne, szkolenia z zakresu </w:t>
            </w:r>
            <w:proofErr w:type="spellStart"/>
            <w:r w:rsidRPr="00875DBE">
              <w:rPr>
                <w:sz w:val="22"/>
                <w:szCs w:val="22"/>
              </w:rPr>
              <w:t>cyberbezpieczeństwa</w:t>
            </w:r>
            <w:proofErr w:type="spellEnd"/>
            <w:r w:rsidRPr="00875DBE">
              <w:rPr>
                <w:sz w:val="22"/>
                <w:szCs w:val="22"/>
              </w:rPr>
              <w:t>, a także zakupy usług i</w:t>
            </w:r>
            <w:r>
              <w:rPr>
                <w:sz w:val="22"/>
                <w:szCs w:val="22"/>
              </w:rPr>
              <w:t> </w:t>
            </w:r>
            <w:r w:rsidRPr="00875DBE">
              <w:rPr>
                <w:sz w:val="22"/>
                <w:szCs w:val="22"/>
              </w:rPr>
              <w:t>oprogramowania wspierające te</w:t>
            </w:r>
            <w:r w:rsidR="00FF2F5D">
              <w:rPr>
                <w:sz w:val="22"/>
                <w:szCs w:val="22"/>
              </w:rPr>
              <w:t> </w:t>
            </w:r>
            <w:r w:rsidRPr="00875DBE">
              <w:rPr>
                <w:sz w:val="22"/>
                <w:szCs w:val="22"/>
              </w:rPr>
              <w:t>programy, np. platformy szkoleniowe.</w:t>
            </w:r>
            <w:r>
              <w:rPr>
                <w:sz w:val="22"/>
                <w:szCs w:val="22"/>
              </w:rPr>
              <w:t xml:space="preserve"> </w:t>
            </w:r>
            <w:r w:rsidRPr="00423A8C">
              <w:rPr>
                <w:sz w:val="22"/>
                <w:szCs w:val="22"/>
              </w:rPr>
              <w:t xml:space="preserve">Koszty Programów opracowano na podstawie dotychczasowych działań Ministra Cyfryzacji - programów </w:t>
            </w:r>
            <w:proofErr w:type="spellStart"/>
            <w:r w:rsidRPr="00423A8C">
              <w:rPr>
                <w:sz w:val="22"/>
                <w:szCs w:val="22"/>
              </w:rPr>
              <w:t>SecureV</w:t>
            </w:r>
            <w:proofErr w:type="spellEnd"/>
            <w:r w:rsidRPr="00423A8C">
              <w:rPr>
                <w:sz w:val="22"/>
                <w:szCs w:val="22"/>
              </w:rPr>
              <w:t>, Bezpieczni w Sieci i</w:t>
            </w:r>
            <w:r w:rsidR="00FF2F5D">
              <w:rPr>
                <w:sz w:val="22"/>
                <w:szCs w:val="22"/>
              </w:rPr>
              <w:t> </w:t>
            </w:r>
            <w:proofErr w:type="spellStart"/>
            <w:r w:rsidRPr="00423A8C">
              <w:rPr>
                <w:sz w:val="22"/>
                <w:szCs w:val="22"/>
              </w:rPr>
              <w:t>CyberLekcji</w:t>
            </w:r>
            <w:proofErr w:type="spellEnd"/>
            <w:r w:rsidRPr="00423A8C">
              <w:rPr>
                <w:sz w:val="22"/>
                <w:szCs w:val="22"/>
              </w:rPr>
              <w:t>.</w:t>
            </w:r>
          </w:p>
          <w:p w14:paraId="015D9046" w14:textId="27B7969F" w:rsidR="00600D9B" w:rsidRPr="006148BE" w:rsidRDefault="00600D9B" w:rsidP="00E625E7">
            <w:pPr>
              <w:pStyle w:val="NormalnyWeb"/>
              <w:ind w:right="118"/>
              <w:rPr>
                <w:b/>
                <w:bCs/>
                <w:sz w:val="22"/>
                <w:szCs w:val="22"/>
              </w:rPr>
            </w:pPr>
            <w:r w:rsidRPr="006148BE">
              <w:rPr>
                <w:b/>
                <w:bCs/>
                <w:sz w:val="22"/>
                <w:szCs w:val="22"/>
              </w:rPr>
              <w:t xml:space="preserve">Badania/ekspertyzy na rzecz Pełnomocnika Rządu do Spraw </w:t>
            </w:r>
            <w:proofErr w:type="spellStart"/>
            <w:r w:rsidRPr="006148BE">
              <w:rPr>
                <w:b/>
                <w:bCs/>
                <w:sz w:val="22"/>
                <w:szCs w:val="22"/>
              </w:rPr>
              <w:t>Cyberbezpieczeństwa</w:t>
            </w:r>
            <w:proofErr w:type="spellEnd"/>
          </w:p>
          <w:p w14:paraId="59319B80" w14:textId="7C630C7D" w:rsidR="00600D9B" w:rsidRDefault="00600D9B" w:rsidP="00E625E7">
            <w:pPr>
              <w:pStyle w:val="NormalnyWeb"/>
              <w:spacing w:before="0" w:beforeAutospacing="0" w:after="120" w:afterAutospacing="0"/>
              <w:ind w:right="118"/>
              <w:rPr>
                <w:sz w:val="22"/>
                <w:szCs w:val="22"/>
              </w:rPr>
            </w:pPr>
            <w:r w:rsidRPr="00875DBE">
              <w:rPr>
                <w:sz w:val="22"/>
                <w:szCs w:val="22"/>
              </w:rPr>
              <w:t xml:space="preserve">Projekt ustawy przewiduje możliwość zlecenia przez Pełnomocnika Rządu do Spraw </w:t>
            </w:r>
            <w:proofErr w:type="spellStart"/>
            <w:r w:rsidRPr="00875DBE">
              <w:rPr>
                <w:sz w:val="22"/>
                <w:szCs w:val="22"/>
              </w:rPr>
              <w:t>Cyberbezpieczeństwa</w:t>
            </w:r>
            <w:proofErr w:type="spellEnd"/>
            <w:r w:rsidRPr="00875DBE">
              <w:rPr>
                <w:sz w:val="22"/>
                <w:szCs w:val="22"/>
              </w:rPr>
              <w:t xml:space="preserve"> badań, które mają na celu wsparcie realizacji jego zadań. Przewiduje się na</w:t>
            </w:r>
            <w:r w:rsidR="00FF2F5D">
              <w:rPr>
                <w:sz w:val="22"/>
                <w:szCs w:val="22"/>
              </w:rPr>
              <w:t> </w:t>
            </w:r>
            <w:r w:rsidRPr="00875DBE">
              <w:rPr>
                <w:sz w:val="22"/>
                <w:szCs w:val="22"/>
              </w:rPr>
              <w:t>to</w:t>
            </w:r>
            <w:r w:rsidR="00FF2F5D">
              <w:rPr>
                <w:sz w:val="22"/>
                <w:szCs w:val="22"/>
              </w:rPr>
              <w:t> </w:t>
            </w:r>
            <w:r w:rsidRPr="00875DBE">
              <w:rPr>
                <w:sz w:val="22"/>
                <w:szCs w:val="22"/>
              </w:rPr>
              <w:t>zadanie 100 000,00 zł rocznie począwszy od 2025 r.</w:t>
            </w:r>
          </w:p>
          <w:p w14:paraId="7B8207F3" w14:textId="5A22B88B" w:rsidR="00600D9B" w:rsidRDefault="00600D9B" w:rsidP="00E625E7">
            <w:pPr>
              <w:pStyle w:val="NormalnyWeb"/>
              <w:spacing w:before="0" w:beforeAutospacing="0" w:after="120" w:afterAutospacing="0"/>
              <w:ind w:right="118"/>
              <w:rPr>
                <w:sz w:val="22"/>
                <w:szCs w:val="22"/>
              </w:rPr>
            </w:pPr>
          </w:p>
          <w:p w14:paraId="62FF53D2" w14:textId="4671536F" w:rsidR="00600D9B" w:rsidRPr="006148BE" w:rsidRDefault="00600D9B" w:rsidP="00E625E7">
            <w:pPr>
              <w:pStyle w:val="NormalnyWeb"/>
              <w:spacing w:before="0" w:beforeAutospacing="0" w:after="120" w:afterAutospacing="0"/>
              <w:ind w:right="118"/>
              <w:rPr>
                <w:b/>
                <w:bCs/>
                <w:sz w:val="22"/>
                <w:szCs w:val="22"/>
              </w:rPr>
            </w:pPr>
            <w:r w:rsidRPr="006148BE">
              <w:rPr>
                <w:b/>
                <w:bCs/>
                <w:sz w:val="22"/>
                <w:szCs w:val="22"/>
              </w:rPr>
              <w:t>Wpływ finansowy projektu na podmioty publiczne</w:t>
            </w:r>
          </w:p>
          <w:p w14:paraId="7B4D05DA" w14:textId="6FB53E52" w:rsidR="00600D9B" w:rsidRDefault="00600D9B" w:rsidP="00E625E7">
            <w:pPr>
              <w:pStyle w:val="NormalnyWeb"/>
              <w:spacing w:before="0" w:beforeAutospacing="0" w:after="120" w:afterAutospacing="0"/>
              <w:ind w:right="118"/>
              <w:rPr>
                <w:sz w:val="22"/>
                <w:szCs w:val="22"/>
              </w:rPr>
            </w:pPr>
            <w:r>
              <w:rPr>
                <w:sz w:val="22"/>
                <w:szCs w:val="22"/>
              </w:rPr>
              <w:lastRenderedPageBreak/>
              <w:t>Podmioty publiczne w tym j</w:t>
            </w:r>
            <w:r w:rsidRPr="00431839">
              <w:rPr>
                <w:sz w:val="22"/>
                <w:szCs w:val="22"/>
              </w:rPr>
              <w:t>ednostki samorządu terytorialnego</w:t>
            </w:r>
            <w:r>
              <w:rPr>
                <w:sz w:val="22"/>
                <w:szCs w:val="22"/>
              </w:rPr>
              <w:t xml:space="preserve"> już obecnie</w:t>
            </w:r>
            <w:r w:rsidRPr="00431839">
              <w:rPr>
                <w:sz w:val="22"/>
                <w:szCs w:val="22"/>
              </w:rPr>
              <w:t xml:space="preserve"> są obowiązane do</w:t>
            </w:r>
            <w:r w:rsidR="00FF2F5D">
              <w:rPr>
                <w:sz w:val="22"/>
                <w:szCs w:val="22"/>
              </w:rPr>
              <w:t> </w:t>
            </w:r>
            <w:r w:rsidRPr="00431839">
              <w:rPr>
                <w:sz w:val="22"/>
                <w:szCs w:val="22"/>
              </w:rPr>
              <w:t>zgłaszania incydentów w podmiocie publicznym oraz do zarządzania incydentami, co wynika z</w:t>
            </w:r>
            <w:r w:rsidR="00FF2F5D">
              <w:rPr>
                <w:sz w:val="22"/>
                <w:szCs w:val="22"/>
              </w:rPr>
              <w:t> </w:t>
            </w:r>
            <w:r w:rsidRPr="00431839">
              <w:rPr>
                <w:sz w:val="22"/>
                <w:szCs w:val="22"/>
              </w:rPr>
              <w:t xml:space="preserve">art. </w:t>
            </w:r>
            <w:r>
              <w:rPr>
                <w:sz w:val="22"/>
                <w:szCs w:val="22"/>
              </w:rPr>
              <w:t>22</w:t>
            </w:r>
            <w:r w:rsidRPr="00431839">
              <w:rPr>
                <w:sz w:val="22"/>
                <w:szCs w:val="22"/>
              </w:rPr>
              <w:t xml:space="preserve"> ustawy o krajowym systemie </w:t>
            </w:r>
            <w:proofErr w:type="spellStart"/>
            <w:r w:rsidRPr="00431839">
              <w:rPr>
                <w:sz w:val="22"/>
                <w:szCs w:val="22"/>
              </w:rPr>
              <w:t>cyberbezpieczeństwa</w:t>
            </w:r>
            <w:proofErr w:type="spellEnd"/>
            <w:r w:rsidRPr="00431839">
              <w:rPr>
                <w:sz w:val="22"/>
                <w:szCs w:val="22"/>
              </w:rPr>
              <w:t xml:space="preserve">. Ponadto </w:t>
            </w:r>
            <w:r>
              <w:rPr>
                <w:sz w:val="22"/>
                <w:szCs w:val="22"/>
              </w:rPr>
              <w:t>podmioty publiczne</w:t>
            </w:r>
            <w:r w:rsidRPr="00431839">
              <w:rPr>
                <w:sz w:val="22"/>
                <w:szCs w:val="22"/>
              </w:rPr>
              <w:t xml:space="preserve"> mają obowiązek wdrożenia systemu zarządzania bezpieczeństwem informacji i przeprowadzania m.in. audytów (co wynika z §</w:t>
            </w:r>
            <w:r w:rsidR="00850AC9">
              <w:rPr>
                <w:sz w:val="22"/>
                <w:szCs w:val="22"/>
              </w:rPr>
              <w:t xml:space="preserve"> </w:t>
            </w:r>
            <w:r w:rsidRPr="00431839">
              <w:rPr>
                <w:sz w:val="22"/>
                <w:szCs w:val="22"/>
              </w:rPr>
              <w:t xml:space="preserve">20 rozporządzenia Rady Ministrów z dnia 12 kwietnia 2012 r. w sprawie Krajowych Ram Interoperacyjności, minimalnych wymagań dla rejestrów publicznych i wymiany informacji w postaci elektronicznej oraz minimalnych wymagań dla systemów teleinformatycznych). Podsumowując już obecnie jednostki samorządu terytorialnego mają obowiązki z zakresu </w:t>
            </w:r>
            <w:proofErr w:type="spellStart"/>
            <w:r w:rsidRPr="00431839">
              <w:rPr>
                <w:sz w:val="22"/>
                <w:szCs w:val="22"/>
              </w:rPr>
              <w:t>cyberbezpieczeństwa</w:t>
            </w:r>
            <w:proofErr w:type="spellEnd"/>
            <w:r>
              <w:rPr>
                <w:sz w:val="22"/>
                <w:szCs w:val="22"/>
              </w:rPr>
              <w:t xml:space="preserve"> i na to powinny mieć przeznaczone środki finansowe w</w:t>
            </w:r>
            <w:r w:rsidR="00FF2F5D">
              <w:rPr>
                <w:sz w:val="22"/>
                <w:szCs w:val="22"/>
              </w:rPr>
              <w:t> </w:t>
            </w:r>
            <w:r>
              <w:rPr>
                <w:sz w:val="22"/>
                <w:szCs w:val="22"/>
              </w:rPr>
              <w:t>budżecie</w:t>
            </w:r>
            <w:r w:rsidRPr="00431839">
              <w:rPr>
                <w:sz w:val="22"/>
                <w:szCs w:val="22"/>
              </w:rPr>
              <w:t>. Dostosowanie się podmiotów publicznych, w tym jednostek samorządu terytorialnego, do wymogów dyrektywy NIS2 będzie polegało na przeglądzie już wdrożonych systemów zarządzania bezpieczeństwem informacji i uzupełnienia dokumentacji oraz środków technicznych i</w:t>
            </w:r>
            <w:r w:rsidR="00FF2F5D">
              <w:rPr>
                <w:sz w:val="22"/>
                <w:szCs w:val="22"/>
              </w:rPr>
              <w:t> </w:t>
            </w:r>
            <w:r w:rsidRPr="00431839">
              <w:rPr>
                <w:sz w:val="22"/>
                <w:szCs w:val="22"/>
              </w:rPr>
              <w:t xml:space="preserve">organizacyjnych. Skala zmian będzie zależna od obecnej dojrzałości organizacyjnej poszczególnych </w:t>
            </w:r>
            <w:r>
              <w:rPr>
                <w:sz w:val="22"/>
                <w:szCs w:val="22"/>
              </w:rPr>
              <w:t>podmiotów publicznych</w:t>
            </w:r>
            <w:r w:rsidRPr="00431839">
              <w:rPr>
                <w:sz w:val="22"/>
                <w:szCs w:val="22"/>
              </w:rPr>
              <w:t>.</w:t>
            </w:r>
            <w:r>
              <w:rPr>
                <w:sz w:val="22"/>
                <w:szCs w:val="22"/>
              </w:rPr>
              <w:t xml:space="preserve"> Oszacowanie kosztów dostosowawczych nie jest możliwe.</w:t>
            </w:r>
          </w:p>
          <w:p w14:paraId="5902071D" w14:textId="14B76EA6" w:rsidR="00600D9B" w:rsidRDefault="00600D9B" w:rsidP="00E625E7">
            <w:pPr>
              <w:pStyle w:val="NormalnyWeb"/>
              <w:spacing w:before="0" w:beforeAutospacing="0" w:after="120" w:afterAutospacing="0"/>
              <w:ind w:right="118"/>
              <w:rPr>
                <w:sz w:val="22"/>
                <w:szCs w:val="22"/>
              </w:rPr>
            </w:pPr>
            <w:r>
              <w:rPr>
                <w:sz w:val="22"/>
                <w:szCs w:val="22"/>
              </w:rPr>
              <w:t>W ramach Inwestycji C3.1.1. KPO</w:t>
            </w:r>
            <w:r w:rsidR="003171D8">
              <w:rPr>
                <w:sz w:val="22"/>
                <w:szCs w:val="22"/>
              </w:rPr>
              <w:t xml:space="preserve"> </w:t>
            </w:r>
            <w:proofErr w:type="spellStart"/>
            <w:r w:rsidR="003171D8" w:rsidRPr="00E105A7">
              <w:rPr>
                <w:i/>
                <w:iCs/>
                <w:sz w:val="22"/>
                <w:szCs w:val="22"/>
              </w:rPr>
              <w:t>Cyberbezpieczeństwo</w:t>
            </w:r>
            <w:proofErr w:type="spellEnd"/>
            <w:r w:rsidR="003171D8">
              <w:rPr>
                <w:i/>
                <w:iCs/>
                <w:sz w:val="22"/>
                <w:szCs w:val="22"/>
              </w:rPr>
              <w:t xml:space="preserve"> </w:t>
            </w:r>
            <w:r w:rsidR="003171D8" w:rsidRPr="00E105A7">
              <w:rPr>
                <w:i/>
                <w:iCs/>
                <w:sz w:val="22"/>
                <w:szCs w:val="22"/>
              </w:rPr>
              <w:t xml:space="preserve">– </w:t>
            </w:r>
            <w:proofErr w:type="spellStart"/>
            <w:r w:rsidR="003171D8" w:rsidRPr="00E105A7">
              <w:rPr>
                <w:i/>
                <w:iCs/>
                <w:sz w:val="22"/>
                <w:szCs w:val="22"/>
              </w:rPr>
              <w:t>CyberPL</w:t>
            </w:r>
            <w:proofErr w:type="spellEnd"/>
            <w:r w:rsidR="003171D8" w:rsidRPr="00E105A7">
              <w:rPr>
                <w:i/>
                <w:iCs/>
                <w:sz w:val="22"/>
                <w:szCs w:val="22"/>
              </w:rPr>
              <w:t>, infrastruktura przetwarzania danych oraz optymalizacja infrastruktury służb państwowych odpowiedzialnych za bezpieczeństwo</w:t>
            </w:r>
            <w:r>
              <w:rPr>
                <w:sz w:val="22"/>
                <w:szCs w:val="22"/>
              </w:rPr>
              <w:t xml:space="preserve"> przewiduje się m.in. realizację projektu pn. „</w:t>
            </w:r>
            <w:r w:rsidRPr="006148BE">
              <w:rPr>
                <w:i/>
                <w:iCs/>
                <w:sz w:val="22"/>
                <w:szCs w:val="22"/>
              </w:rPr>
              <w:t xml:space="preserve">Wsparcie 500 podmiotów krajowego systemu </w:t>
            </w:r>
            <w:proofErr w:type="spellStart"/>
            <w:r w:rsidRPr="006148BE">
              <w:rPr>
                <w:i/>
                <w:iCs/>
                <w:sz w:val="22"/>
                <w:szCs w:val="22"/>
              </w:rPr>
              <w:t>cyberbezpieczeństwa</w:t>
            </w:r>
            <w:proofErr w:type="spellEnd"/>
            <w:r w:rsidRPr="006148BE">
              <w:rPr>
                <w:i/>
                <w:iCs/>
                <w:sz w:val="22"/>
                <w:szCs w:val="22"/>
              </w:rPr>
              <w:t xml:space="preserve"> w modernizacji i rozbudowie infrastruktury </w:t>
            </w:r>
            <w:proofErr w:type="spellStart"/>
            <w:r w:rsidRPr="006148BE">
              <w:rPr>
                <w:i/>
                <w:iCs/>
                <w:sz w:val="22"/>
                <w:szCs w:val="22"/>
              </w:rPr>
              <w:t>cyberbezpieczeństwa</w:t>
            </w:r>
            <w:proofErr w:type="spellEnd"/>
            <w:r w:rsidRPr="006148BE">
              <w:rPr>
                <w:i/>
                <w:iCs/>
                <w:sz w:val="22"/>
                <w:szCs w:val="22"/>
              </w:rPr>
              <w:t xml:space="preserve"> w sieciach IT, w tym wsparcie podmiotów wykorzystujących technologie informacyjne (IT) oraz operacyjne (OT) stosowane w przemysłowych systemach sterowania (ICS)</w:t>
            </w:r>
            <w:r>
              <w:rPr>
                <w:i/>
                <w:iCs/>
                <w:sz w:val="22"/>
                <w:szCs w:val="22"/>
              </w:rPr>
              <w:t>”</w:t>
            </w:r>
            <w:r>
              <w:rPr>
                <w:sz w:val="22"/>
                <w:szCs w:val="22"/>
              </w:rPr>
              <w:t xml:space="preserve">. Projekt ten zakłada udzielenie wsparcia o </w:t>
            </w:r>
            <w:r w:rsidRPr="00A7392E">
              <w:rPr>
                <w:sz w:val="22"/>
                <w:szCs w:val="22"/>
              </w:rPr>
              <w:t>wartoś</w:t>
            </w:r>
            <w:r>
              <w:rPr>
                <w:sz w:val="22"/>
                <w:szCs w:val="22"/>
              </w:rPr>
              <w:t>ci</w:t>
            </w:r>
            <w:r w:rsidRPr="00A7392E">
              <w:rPr>
                <w:sz w:val="22"/>
                <w:szCs w:val="22"/>
              </w:rPr>
              <w:t xml:space="preserve"> – </w:t>
            </w:r>
            <w:r>
              <w:rPr>
                <w:sz w:val="22"/>
                <w:szCs w:val="22"/>
              </w:rPr>
              <w:t xml:space="preserve">ok. </w:t>
            </w:r>
            <w:r w:rsidRPr="00A7392E">
              <w:rPr>
                <w:sz w:val="22"/>
                <w:szCs w:val="22"/>
              </w:rPr>
              <w:t xml:space="preserve">700,5 mln zł </w:t>
            </w:r>
            <w:r>
              <w:rPr>
                <w:sz w:val="22"/>
                <w:szCs w:val="22"/>
              </w:rPr>
              <w:t xml:space="preserve">m.in. dla ok. </w:t>
            </w:r>
            <w:r w:rsidRPr="009E4F31">
              <w:rPr>
                <w:sz w:val="22"/>
                <w:szCs w:val="22"/>
              </w:rPr>
              <w:t xml:space="preserve">70 urzędów administracji centralnej i rządowej </w:t>
            </w:r>
            <w:r>
              <w:rPr>
                <w:sz w:val="22"/>
                <w:szCs w:val="22"/>
              </w:rPr>
              <w:t>W ramach tego projektu urzędy administracji centralnej i</w:t>
            </w:r>
            <w:r w:rsidR="00FF2F5D">
              <w:rPr>
                <w:sz w:val="22"/>
                <w:szCs w:val="22"/>
              </w:rPr>
              <w:t> </w:t>
            </w:r>
            <w:r>
              <w:rPr>
                <w:sz w:val="22"/>
                <w:szCs w:val="22"/>
              </w:rPr>
              <w:t>rządowej będą mogły uzyskać wsparcie finansowe na dostosowanie się do niniejszej ustawy.</w:t>
            </w:r>
          </w:p>
          <w:p w14:paraId="405E8F22" w14:textId="5C1CA102" w:rsidR="00600D9B" w:rsidRPr="00875DBE" w:rsidRDefault="00600D9B" w:rsidP="00E625E7">
            <w:pPr>
              <w:pStyle w:val="NormalnyWeb"/>
              <w:spacing w:before="0" w:beforeAutospacing="0" w:after="120" w:afterAutospacing="0"/>
              <w:ind w:right="118"/>
              <w:rPr>
                <w:sz w:val="22"/>
                <w:szCs w:val="22"/>
              </w:rPr>
            </w:pPr>
            <w:r w:rsidRPr="00837AC4">
              <w:rPr>
                <w:sz w:val="22"/>
                <w:szCs w:val="22"/>
              </w:rPr>
              <w:t>Ponad 2 500 samorządów (blisko 90%) otrzyma w bieżącym roku wsparcie finansowe w postaci grantów finansowanych ze środków budżetu państwa oraz programu Fundusze Europejskie na Rozwój Cyfrowy 2021</w:t>
            </w:r>
            <w:r w:rsidR="004425CF">
              <w:rPr>
                <w:sz w:val="22"/>
                <w:szCs w:val="22"/>
              </w:rPr>
              <w:t>–</w:t>
            </w:r>
            <w:r w:rsidRPr="00837AC4">
              <w:rPr>
                <w:sz w:val="22"/>
                <w:szCs w:val="22"/>
              </w:rPr>
              <w:t xml:space="preserve">2027 (FERC) Priorytet II: Zaawansowane usługi cyfrowe, Działanie 2.2. – Wzmocnienie krajowego systemu </w:t>
            </w:r>
            <w:proofErr w:type="spellStart"/>
            <w:r w:rsidRPr="00837AC4">
              <w:rPr>
                <w:sz w:val="22"/>
                <w:szCs w:val="22"/>
              </w:rPr>
              <w:t>cyberbezpieczeństwa</w:t>
            </w:r>
            <w:proofErr w:type="spellEnd"/>
            <w:r w:rsidRPr="00837AC4">
              <w:rPr>
                <w:sz w:val="22"/>
                <w:szCs w:val="22"/>
              </w:rPr>
              <w:t xml:space="preserve">. Wsparcie to jednostki samorządu terytorialnego będą mogły wykorzystać na modernizację rozwiązań w obszarze </w:t>
            </w:r>
            <w:proofErr w:type="spellStart"/>
            <w:r w:rsidRPr="00837AC4">
              <w:rPr>
                <w:sz w:val="22"/>
                <w:szCs w:val="22"/>
              </w:rPr>
              <w:t>cyberbezpieczeństwa</w:t>
            </w:r>
            <w:proofErr w:type="spellEnd"/>
            <w:r w:rsidRPr="00837AC4">
              <w:rPr>
                <w:sz w:val="22"/>
                <w:szCs w:val="22"/>
              </w:rPr>
              <w:t>. Łączna wartość wsparcia jaka zostanie przekazana wyniesie ok. 1,5 mld zł.</w:t>
            </w:r>
          </w:p>
        </w:tc>
      </w:tr>
      <w:tr w:rsidR="00600D9B" w:rsidRPr="00875DBE" w14:paraId="2826A409" w14:textId="77777777" w:rsidTr="006148BE">
        <w:trPr>
          <w:trHeight w:val="345"/>
        </w:trPr>
        <w:tc>
          <w:tcPr>
            <w:tcW w:w="5000" w:type="pct"/>
            <w:gridSpan w:val="28"/>
            <w:shd w:val="clear" w:color="auto" w:fill="99CCFF"/>
          </w:tcPr>
          <w:p w14:paraId="2578D8EC" w14:textId="2E3DB0D0" w:rsidR="00600D9B" w:rsidRPr="00875DBE" w:rsidRDefault="00600D9B" w:rsidP="00600D9B">
            <w:pPr>
              <w:numPr>
                <w:ilvl w:val="0"/>
                <w:numId w:val="3"/>
              </w:numPr>
              <w:spacing w:before="120"/>
              <w:rPr>
                <w:b/>
                <w:color w:val="000000"/>
                <w:spacing w:val="-2"/>
              </w:rPr>
            </w:pPr>
            <w:r w:rsidRPr="00875DBE">
              <w:rPr>
                <w:b/>
                <w:color w:val="000000"/>
                <w:spacing w:val="-2"/>
              </w:rPr>
              <w:lastRenderedPageBreak/>
              <w:t xml:space="preserve">Wpływ na </w:t>
            </w:r>
            <w:r w:rsidRPr="00875DBE">
              <w:rPr>
                <w:b/>
                <w:color w:val="000000"/>
              </w:rPr>
              <w:t xml:space="preserve">konkurencyjność gospodarki i przedsiębiorczość, w tym funkcjonowanie przedsiębiorców oraz na rodzinę, obywateli i gospodarstwa domowe </w:t>
            </w:r>
          </w:p>
        </w:tc>
      </w:tr>
      <w:tr w:rsidR="00600D9B" w:rsidRPr="00875DBE" w14:paraId="73253B20" w14:textId="77777777" w:rsidTr="006148BE">
        <w:trPr>
          <w:trHeight w:val="142"/>
        </w:trPr>
        <w:tc>
          <w:tcPr>
            <w:tcW w:w="5000" w:type="pct"/>
            <w:gridSpan w:val="28"/>
            <w:shd w:val="clear" w:color="auto" w:fill="FFFFFF" w:themeFill="background1"/>
          </w:tcPr>
          <w:p w14:paraId="6D6FBFFD" w14:textId="77777777" w:rsidR="00600D9B" w:rsidRPr="00875DBE" w:rsidRDefault="00600D9B" w:rsidP="00600D9B">
            <w:pPr>
              <w:jc w:val="center"/>
              <w:rPr>
                <w:color w:val="000000"/>
                <w:spacing w:val="-2"/>
              </w:rPr>
            </w:pPr>
            <w:r w:rsidRPr="00875DBE">
              <w:rPr>
                <w:color w:val="000000"/>
                <w:spacing w:val="-2"/>
              </w:rPr>
              <w:t>Skutki</w:t>
            </w:r>
          </w:p>
        </w:tc>
      </w:tr>
      <w:tr w:rsidR="00600D9B" w:rsidRPr="00875DBE" w14:paraId="3795EEE4" w14:textId="77777777" w:rsidTr="00E625E7">
        <w:trPr>
          <w:trHeight w:val="142"/>
        </w:trPr>
        <w:tc>
          <w:tcPr>
            <w:tcW w:w="2124" w:type="pct"/>
            <w:gridSpan w:val="10"/>
            <w:shd w:val="clear" w:color="auto" w:fill="FFFFFF" w:themeFill="background1"/>
          </w:tcPr>
          <w:p w14:paraId="765A4251" w14:textId="2B9EE8F2" w:rsidR="00600D9B" w:rsidRPr="00875DBE" w:rsidRDefault="00600D9B" w:rsidP="00600D9B">
            <w:pPr>
              <w:rPr>
                <w:color w:val="000000"/>
              </w:rPr>
            </w:pPr>
            <w:r w:rsidRPr="00875DBE">
              <w:rPr>
                <w:color w:val="000000"/>
              </w:rPr>
              <w:t>Czas w latach od wejścia w życie zmian</w:t>
            </w:r>
          </w:p>
        </w:tc>
        <w:tc>
          <w:tcPr>
            <w:tcW w:w="310" w:type="pct"/>
            <w:gridSpan w:val="2"/>
            <w:shd w:val="clear" w:color="auto" w:fill="FFFFFF" w:themeFill="background1"/>
          </w:tcPr>
          <w:p w14:paraId="7FAF1BD4" w14:textId="77777777" w:rsidR="00600D9B" w:rsidRPr="00875DBE" w:rsidRDefault="00600D9B" w:rsidP="00600D9B">
            <w:pPr>
              <w:jc w:val="center"/>
              <w:rPr>
                <w:color w:val="000000"/>
              </w:rPr>
            </w:pPr>
            <w:r w:rsidRPr="00875DBE">
              <w:rPr>
                <w:color w:val="000000"/>
              </w:rPr>
              <w:t>0</w:t>
            </w:r>
          </w:p>
        </w:tc>
        <w:tc>
          <w:tcPr>
            <w:tcW w:w="441" w:type="pct"/>
            <w:gridSpan w:val="3"/>
            <w:shd w:val="clear" w:color="auto" w:fill="FFFFFF" w:themeFill="background1"/>
          </w:tcPr>
          <w:p w14:paraId="7BCB7E56" w14:textId="77777777" w:rsidR="00600D9B" w:rsidRPr="00875DBE" w:rsidRDefault="00600D9B" w:rsidP="00600D9B">
            <w:pPr>
              <w:jc w:val="center"/>
              <w:rPr>
                <w:color w:val="000000"/>
              </w:rPr>
            </w:pPr>
            <w:r w:rsidRPr="00875DBE">
              <w:rPr>
                <w:color w:val="000000"/>
              </w:rPr>
              <w:t>1</w:t>
            </w:r>
          </w:p>
        </w:tc>
        <w:tc>
          <w:tcPr>
            <w:tcW w:w="436" w:type="pct"/>
            <w:gridSpan w:val="3"/>
            <w:shd w:val="clear" w:color="auto" w:fill="FFFFFF" w:themeFill="background1"/>
          </w:tcPr>
          <w:p w14:paraId="48BA9FDA" w14:textId="77777777" w:rsidR="00600D9B" w:rsidRPr="00875DBE" w:rsidRDefault="00600D9B" w:rsidP="00600D9B">
            <w:pPr>
              <w:jc w:val="center"/>
              <w:rPr>
                <w:color w:val="000000"/>
              </w:rPr>
            </w:pPr>
            <w:r w:rsidRPr="00875DBE">
              <w:rPr>
                <w:color w:val="000000"/>
              </w:rPr>
              <w:t>2</w:t>
            </w:r>
          </w:p>
        </w:tc>
        <w:tc>
          <w:tcPr>
            <w:tcW w:w="310" w:type="pct"/>
            <w:gridSpan w:val="3"/>
            <w:shd w:val="clear" w:color="auto" w:fill="FFFFFF" w:themeFill="background1"/>
          </w:tcPr>
          <w:p w14:paraId="3A935CB7" w14:textId="77777777" w:rsidR="00600D9B" w:rsidRPr="00875DBE" w:rsidRDefault="00600D9B" w:rsidP="00600D9B">
            <w:pPr>
              <w:jc w:val="center"/>
              <w:rPr>
                <w:color w:val="000000"/>
              </w:rPr>
            </w:pPr>
            <w:r w:rsidRPr="00875DBE">
              <w:rPr>
                <w:color w:val="000000"/>
              </w:rPr>
              <w:t>3</w:t>
            </w:r>
          </w:p>
        </w:tc>
        <w:tc>
          <w:tcPr>
            <w:tcW w:w="360" w:type="pct"/>
            <w:gridSpan w:val="3"/>
            <w:shd w:val="clear" w:color="auto" w:fill="FFFFFF" w:themeFill="background1"/>
          </w:tcPr>
          <w:p w14:paraId="4258AF3F" w14:textId="77777777" w:rsidR="00600D9B" w:rsidRPr="00875DBE" w:rsidRDefault="00600D9B" w:rsidP="00600D9B">
            <w:pPr>
              <w:jc w:val="center"/>
              <w:rPr>
                <w:color w:val="000000"/>
              </w:rPr>
            </w:pPr>
            <w:r w:rsidRPr="00875DBE">
              <w:rPr>
                <w:color w:val="000000"/>
              </w:rPr>
              <w:t>5</w:t>
            </w:r>
          </w:p>
        </w:tc>
        <w:tc>
          <w:tcPr>
            <w:tcW w:w="626" w:type="pct"/>
            <w:gridSpan w:val="3"/>
            <w:shd w:val="clear" w:color="auto" w:fill="FFFFFF" w:themeFill="background1"/>
          </w:tcPr>
          <w:p w14:paraId="5F47EAC3" w14:textId="77777777" w:rsidR="00600D9B" w:rsidRPr="00875DBE" w:rsidRDefault="00600D9B" w:rsidP="00600D9B">
            <w:pPr>
              <w:jc w:val="center"/>
              <w:rPr>
                <w:color w:val="000000"/>
              </w:rPr>
            </w:pPr>
            <w:r w:rsidRPr="00875DBE">
              <w:rPr>
                <w:color w:val="000000"/>
              </w:rPr>
              <w:t>10</w:t>
            </w:r>
          </w:p>
        </w:tc>
        <w:tc>
          <w:tcPr>
            <w:tcW w:w="393" w:type="pct"/>
            <w:shd w:val="clear" w:color="auto" w:fill="FFFFFF" w:themeFill="background1"/>
          </w:tcPr>
          <w:p w14:paraId="650623BD" w14:textId="77777777" w:rsidR="00600D9B" w:rsidRPr="00875DBE" w:rsidRDefault="00600D9B" w:rsidP="00600D9B">
            <w:pPr>
              <w:jc w:val="center"/>
              <w:rPr>
                <w:i/>
                <w:color w:val="000000"/>
                <w:spacing w:val="-2"/>
              </w:rPr>
            </w:pPr>
            <w:r w:rsidRPr="00875DBE">
              <w:rPr>
                <w:i/>
                <w:color w:val="000000"/>
                <w:spacing w:val="-2"/>
              </w:rPr>
              <w:t>Łącznie</w:t>
            </w:r>
            <w:r w:rsidRPr="00875DBE" w:rsidDel="0073273A">
              <w:rPr>
                <w:i/>
                <w:color w:val="000000"/>
                <w:spacing w:val="-2"/>
              </w:rPr>
              <w:t xml:space="preserve"> </w:t>
            </w:r>
            <w:r w:rsidRPr="00875DBE">
              <w:rPr>
                <w:i/>
                <w:color w:val="000000"/>
                <w:spacing w:val="-2"/>
              </w:rPr>
              <w:t>(0-10)</w:t>
            </w:r>
          </w:p>
        </w:tc>
      </w:tr>
      <w:tr w:rsidR="0035509B" w:rsidRPr="00875DBE" w14:paraId="0FB8951C" w14:textId="77777777" w:rsidTr="00E625E7">
        <w:trPr>
          <w:trHeight w:val="142"/>
        </w:trPr>
        <w:tc>
          <w:tcPr>
            <w:tcW w:w="637" w:type="pct"/>
            <w:gridSpan w:val="2"/>
            <w:vMerge w:val="restart"/>
            <w:shd w:val="clear" w:color="auto" w:fill="FFFFFF" w:themeFill="background1"/>
          </w:tcPr>
          <w:p w14:paraId="0DFA6385" w14:textId="77777777" w:rsidR="00600D9B" w:rsidRPr="00875DBE" w:rsidRDefault="00600D9B" w:rsidP="00600D9B">
            <w:pPr>
              <w:rPr>
                <w:color w:val="000000"/>
              </w:rPr>
            </w:pPr>
            <w:r w:rsidRPr="00875DBE">
              <w:rPr>
                <w:color w:val="000000"/>
              </w:rPr>
              <w:t>W ujęciu pieniężnym</w:t>
            </w:r>
          </w:p>
          <w:p w14:paraId="59C88BC1" w14:textId="77777777" w:rsidR="00600D9B" w:rsidRPr="00875DBE" w:rsidRDefault="00600D9B" w:rsidP="00600D9B">
            <w:pPr>
              <w:rPr>
                <w:spacing w:val="-2"/>
              </w:rPr>
            </w:pPr>
            <w:r w:rsidRPr="00875DBE">
              <w:rPr>
                <w:spacing w:val="-2"/>
              </w:rPr>
              <w:t xml:space="preserve">(w mln zł, </w:t>
            </w:r>
          </w:p>
          <w:p w14:paraId="7DA64BEB" w14:textId="0A5B598B" w:rsidR="00600D9B" w:rsidRPr="00875DBE" w:rsidRDefault="00600D9B" w:rsidP="00600D9B">
            <w:pPr>
              <w:rPr>
                <w:color w:val="000000"/>
              </w:rPr>
            </w:pPr>
            <w:r w:rsidRPr="00875DBE">
              <w:rPr>
                <w:spacing w:val="-2"/>
              </w:rPr>
              <w:t>ceny stałe z …… r.)</w:t>
            </w:r>
          </w:p>
        </w:tc>
        <w:tc>
          <w:tcPr>
            <w:tcW w:w="1487" w:type="pct"/>
            <w:gridSpan w:val="8"/>
            <w:shd w:val="clear" w:color="auto" w:fill="FFFFFF" w:themeFill="background1"/>
          </w:tcPr>
          <w:p w14:paraId="6FBB6A48" w14:textId="77777777" w:rsidR="00600D9B" w:rsidRPr="00875DBE" w:rsidRDefault="00600D9B" w:rsidP="00600D9B">
            <w:pPr>
              <w:rPr>
                <w:color w:val="000000"/>
              </w:rPr>
            </w:pPr>
            <w:r w:rsidRPr="00875DBE">
              <w:rPr>
                <w:color w:val="000000"/>
              </w:rPr>
              <w:t>duże przedsiębiorstwa</w:t>
            </w:r>
          </w:p>
        </w:tc>
        <w:tc>
          <w:tcPr>
            <w:tcW w:w="310" w:type="pct"/>
            <w:gridSpan w:val="2"/>
            <w:shd w:val="clear" w:color="auto" w:fill="FFFFFF" w:themeFill="background1"/>
          </w:tcPr>
          <w:p w14:paraId="03E94C5D" w14:textId="16AF1007" w:rsidR="00600D9B" w:rsidRPr="00875DBE" w:rsidRDefault="00600D9B" w:rsidP="00600D9B">
            <w:pPr>
              <w:rPr>
                <w:color w:val="000000"/>
              </w:rPr>
            </w:pPr>
          </w:p>
        </w:tc>
        <w:tc>
          <w:tcPr>
            <w:tcW w:w="441" w:type="pct"/>
            <w:gridSpan w:val="3"/>
            <w:shd w:val="clear" w:color="auto" w:fill="FFFFFF" w:themeFill="background1"/>
          </w:tcPr>
          <w:p w14:paraId="2823372C" w14:textId="7C2E0F2D" w:rsidR="00600D9B" w:rsidRPr="00875DBE" w:rsidRDefault="00600D9B" w:rsidP="00600D9B">
            <w:pPr>
              <w:rPr>
                <w:color w:val="000000"/>
              </w:rPr>
            </w:pPr>
          </w:p>
        </w:tc>
        <w:tc>
          <w:tcPr>
            <w:tcW w:w="436" w:type="pct"/>
            <w:gridSpan w:val="3"/>
            <w:shd w:val="clear" w:color="auto" w:fill="FFFFFF" w:themeFill="background1"/>
          </w:tcPr>
          <w:p w14:paraId="6A084CFA" w14:textId="12E6D2BA" w:rsidR="00600D9B" w:rsidRPr="00875DBE" w:rsidRDefault="00600D9B" w:rsidP="00600D9B">
            <w:pPr>
              <w:rPr>
                <w:color w:val="000000"/>
              </w:rPr>
            </w:pPr>
          </w:p>
        </w:tc>
        <w:tc>
          <w:tcPr>
            <w:tcW w:w="310" w:type="pct"/>
            <w:gridSpan w:val="3"/>
            <w:shd w:val="clear" w:color="auto" w:fill="FFFFFF" w:themeFill="background1"/>
          </w:tcPr>
          <w:p w14:paraId="5B7E0349" w14:textId="6E897405" w:rsidR="00600D9B" w:rsidRPr="00875DBE" w:rsidRDefault="00600D9B" w:rsidP="00600D9B">
            <w:pPr>
              <w:rPr>
                <w:color w:val="000000"/>
              </w:rPr>
            </w:pPr>
          </w:p>
        </w:tc>
        <w:tc>
          <w:tcPr>
            <w:tcW w:w="360" w:type="pct"/>
            <w:gridSpan w:val="3"/>
            <w:shd w:val="clear" w:color="auto" w:fill="FFFFFF" w:themeFill="background1"/>
          </w:tcPr>
          <w:p w14:paraId="0C50FA03" w14:textId="457EFAA4" w:rsidR="00600D9B" w:rsidRPr="00875DBE" w:rsidRDefault="00600D9B" w:rsidP="00600D9B">
            <w:pPr>
              <w:rPr>
                <w:color w:val="000000"/>
              </w:rPr>
            </w:pPr>
          </w:p>
        </w:tc>
        <w:tc>
          <w:tcPr>
            <w:tcW w:w="626" w:type="pct"/>
            <w:gridSpan w:val="3"/>
            <w:shd w:val="clear" w:color="auto" w:fill="FFFFFF" w:themeFill="background1"/>
          </w:tcPr>
          <w:p w14:paraId="19940D8C" w14:textId="5BF3D45C" w:rsidR="00600D9B" w:rsidRPr="00875DBE" w:rsidRDefault="00600D9B" w:rsidP="00600D9B">
            <w:pPr>
              <w:rPr>
                <w:color w:val="000000"/>
              </w:rPr>
            </w:pPr>
          </w:p>
        </w:tc>
        <w:tc>
          <w:tcPr>
            <w:tcW w:w="393" w:type="pct"/>
            <w:shd w:val="clear" w:color="auto" w:fill="FFFFFF" w:themeFill="background1"/>
          </w:tcPr>
          <w:p w14:paraId="5FD88022" w14:textId="4BFF4F16" w:rsidR="00600D9B" w:rsidRPr="00875DBE" w:rsidRDefault="00600D9B" w:rsidP="00600D9B">
            <w:pPr>
              <w:rPr>
                <w:color w:val="000000"/>
                <w:spacing w:val="-2"/>
              </w:rPr>
            </w:pPr>
          </w:p>
        </w:tc>
      </w:tr>
      <w:tr w:rsidR="0035509B" w:rsidRPr="00875DBE" w14:paraId="6FCB7CBA" w14:textId="77777777" w:rsidTr="00E625E7">
        <w:trPr>
          <w:trHeight w:val="142"/>
        </w:trPr>
        <w:tc>
          <w:tcPr>
            <w:tcW w:w="637" w:type="pct"/>
            <w:gridSpan w:val="2"/>
            <w:vMerge/>
          </w:tcPr>
          <w:p w14:paraId="373D1735" w14:textId="77777777" w:rsidR="00600D9B" w:rsidRPr="00875DBE" w:rsidRDefault="00600D9B" w:rsidP="00600D9B">
            <w:pPr>
              <w:rPr>
                <w:color w:val="000000"/>
              </w:rPr>
            </w:pPr>
          </w:p>
        </w:tc>
        <w:tc>
          <w:tcPr>
            <w:tcW w:w="1487" w:type="pct"/>
            <w:gridSpan w:val="8"/>
            <w:shd w:val="clear" w:color="auto" w:fill="FFFFFF" w:themeFill="background1"/>
          </w:tcPr>
          <w:p w14:paraId="3DB02365" w14:textId="6D86E3DD" w:rsidR="00600D9B" w:rsidRPr="00875DBE" w:rsidRDefault="00600D9B" w:rsidP="00600D9B">
            <w:pPr>
              <w:rPr>
                <w:color w:val="000000"/>
              </w:rPr>
            </w:pPr>
            <w:r w:rsidRPr="00875DBE">
              <w:rPr>
                <w:color w:val="000000"/>
              </w:rPr>
              <w:t>sektor mikro-, małych i średnich przedsiębiorstw</w:t>
            </w:r>
          </w:p>
        </w:tc>
        <w:tc>
          <w:tcPr>
            <w:tcW w:w="310" w:type="pct"/>
            <w:gridSpan w:val="2"/>
            <w:shd w:val="clear" w:color="auto" w:fill="FFFFFF" w:themeFill="background1"/>
          </w:tcPr>
          <w:p w14:paraId="294ABD0C" w14:textId="5E2E46A0" w:rsidR="00600D9B" w:rsidRPr="00875DBE" w:rsidRDefault="00600D9B" w:rsidP="00600D9B">
            <w:pPr>
              <w:rPr>
                <w:color w:val="000000"/>
              </w:rPr>
            </w:pPr>
          </w:p>
        </w:tc>
        <w:tc>
          <w:tcPr>
            <w:tcW w:w="441" w:type="pct"/>
            <w:gridSpan w:val="3"/>
            <w:shd w:val="clear" w:color="auto" w:fill="FFFFFF" w:themeFill="background1"/>
          </w:tcPr>
          <w:p w14:paraId="334349A8" w14:textId="30585320" w:rsidR="00600D9B" w:rsidRPr="00875DBE" w:rsidRDefault="00600D9B" w:rsidP="00600D9B">
            <w:pPr>
              <w:rPr>
                <w:color w:val="000000"/>
              </w:rPr>
            </w:pPr>
          </w:p>
        </w:tc>
        <w:tc>
          <w:tcPr>
            <w:tcW w:w="436" w:type="pct"/>
            <w:gridSpan w:val="3"/>
            <w:shd w:val="clear" w:color="auto" w:fill="FFFFFF" w:themeFill="background1"/>
          </w:tcPr>
          <w:p w14:paraId="376D72C5" w14:textId="4779B4C9" w:rsidR="00600D9B" w:rsidRPr="00875DBE" w:rsidRDefault="00600D9B" w:rsidP="00600D9B">
            <w:pPr>
              <w:rPr>
                <w:color w:val="000000"/>
              </w:rPr>
            </w:pPr>
          </w:p>
        </w:tc>
        <w:tc>
          <w:tcPr>
            <w:tcW w:w="310" w:type="pct"/>
            <w:gridSpan w:val="3"/>
            <w:shd w:val="clear" w:color="auto" w:fill="FFFFFF" w:themeFill="background1"/>
          </w:tcPr>
          <w:p w14:paraId="7CD8C701" w14:textId="23196BC5" w:rsidR="00600D9B" w:rsidRPr="00875DBE" w:rsidRDefault="00600D9B" w:rsidP="00600D9B">
            <w:pPr>
              <w:rPr>
                <w:color w:val="000000"/>
              </w:rPr>
            </w:pPr>
          </w:p>
        </w:tc>
        <w:tc>
          <w:tcPr>
            <w:tcW w:w="360" w:type="pct"/>
            <w:gridSpan w:val="3"/>
            <w:shd w:val="clear" w:color="auto" w:fill="FFFFFF" w:themeFill="background1"/>
          </w:tcPr>
          <w:p w14:paraId="23577098" w14:textId="21483BDC" w:rsidR="00600D9B" w:rsidRPr="00875DBE" w:rsidRDefault="00600D9B" w:rsidP="00600D9B">
            <w:pPr>
              <w:rPr>
                <w:color w:val="000000"/>
              </w:rPr>
            </w:pPr>
          </w:p>
        </w:tc>
        <w:tc>
          <w:tcPr>
            <w:tcW w:w="626" w:type="pct"/>
            <w:gridSpan w:val="3"/>
            <w:shd w:val="clear" w:color="auto" w:fill="FFFFFF" w:themeFill="background1"/>
          </w:tcPr>
          <w:p w14:paraId="6C873B2D" w14:textId="6B2D31D9" w:rsidR="00600D9B" w:rsidRPr="00875DBE" w:rsidRDefault="00600D9B" w:rsidP="00600D9B">
            <w:pPr>
              <w:rPr>
                <w:color w:val="000000"/>
              </w:rPr>
            </w:pPr>
          </w:p>
        </w:tc>
        <w:tc>
          <w:tcPr>
            <w:tcW w:w="393" w:type="pct"/>
            <w:shd w:val="clear" w:color="auto" w:fill="FFFFFF" w:themeFill="background1"/>
          </w:tcPr>
          <w:p w14:paraId="1AF623E3" w14:textId="3FDE443F" w:rsidR="00600D9B" w:rsidRPr="00875DBE" w:rsidRDefault="00600D9B" w:rsidP="00600D9B">
            <w:pPr>
              <w:rPr>
                <w:color w:val="000000"/>
                <w:spacing w:val="-2"/>
              </w:rPr>
            </w:pPr>
          </w:p>
        </w:tc>
      </w:tr>
      <w:tr w:rsidR="0035509B" w:rsidRPr="00875DBE" w14:paraId="202C0056" w14:textId="77777777" w:rsidTr="00E625E7">
        <w:trPr>
          <w:trHeight w:val="142"/>
        </w:trPr>
        <w:tc>
          <w:tcPr>
            <w:tcW w:w="637" w:type="pct"/>
            <w:gridSpan w:val="2"/>
            <w:vMerge/>
          </w:tcPr>
          <w:p w14:paraId="6C7CCD6D" w14:textId="77777777" w:rsidR="00600D9B" w:rsidRPr="00875DBE" w:rsidRDefault="00600D9B" w:rsidP="00600D9B">
            <w:pPr>
              <w:rPr>
                <w:color w:val="000000"/>
              </w:rPr>
            </w:pPr>
          </w:p>
        </w:tc>
        <w:tc>
          <w:tcPr>
            <w:tcW w:w="1487" w:type="pct"/>
            <w:gridSpan w:val="8"/>
            <w:shd w:val="clear" w:color="auto" w:fill="FFFFFF" w:themeFill="background1"/>
          </w:tcPr>
          <w:p w14:paraId="0AE1B122" w14:textId="77777777" w:rsidR="00600D9B" w:rsidRPr="00875DBE" w:rsidRDefault="00600D9B" w:rsidP="00600D9B">
            <w:pPr>
              <w:rPr>
                <w:color w:val="000000"/>
              </w:rPr>
            </w:pPr>
            <w:r w:rsidRPr="00875DBE">
              <w:t>rodzina, obywatele oraz gospodarstwa domowe</w:t>
            </w:r>
          </w:p>
        </w:tc>
        <w:tc>
          <w:tcPr>
            <w:tcW w:w="310" w:type="pct"/>
            <w:gridSpan w:val="2"/>
            <w:shd w:val="clear" w:color="auto" w:fill="FFFFFF" w:themeFill="background1"/>
          </w:tcPr>
          <w:p w14:paraId="0F551370" w14:textId="77777777" w:rsidR="00600D9B" w:rsidRPr="00875DBE" w:rsidRDefault="00600D9B" w:rsidP="00600D9B">
            <w:pPr>
              <w:rPr>
                <w:color w:val="000000"/>
              </w:rPr>
            </w:pPr>
          </w:p>
        </w:tc>
        <w:tc>
          <w:tcPr>
            <w:tcW w:w="441" w:type="pct"/>
            <w:gridSpan w:val="3"/>
            <w:shd w:val="clear" w:color="auto" w:fill="FFFFFF" w:themeFill="background1"/>
          </w:tcPr>
          <w:p w14:paraId="4DD75800" w14:textId="77777777" w:rsidR="00600D9B" w:rsidRPr="00875DBE" w:rsidRDefault="00600D9B" w:rsidP="00600D9B">
            <w:pPr>
              <w:rPr>
                <w:color w:val="000000"/>
              </w:rPr>
            </w:pPr>
          </w:p>
        </w:tc>
        <w:tc>
          <w:tcPr>
            <w:tcW w:w="436" w:type="pct"/>
            <w:gridSpan w:val="3"/>
            <w:shd w:val="clear" w:color="auto" w:fill="FFFFFF" w:themeFill="background1"/>
          </w:tcPr>
          <w:p w14:paraId="5957C733" w14:textId="77777777" w:rsidR="00600D9B" w:rsidRPr="00875DBE" w:rsidRDefault="00600D9B" w:rsidP="00600D9B">
            <w:pPr>
              <w:rPr>
                <w:color w:val="000000"/>
              </w:rPr>
            </w:pPr>
          </w:p>
        </w:tc>
        <w:tc>
          <w:tcPr>
            <w:tcW w:w="310" w:type="pct"/>
            <w:gridSpan w:val="3"/>
            <w:shd w:val="clear" w:color="auto" w:fill="FFFFFF" w:themeFill="background1"/>
          </w:tcPr>
          <w:p w14:paraId="1781C925" w14:textId="77777777" w:rsidR="00600D9B" w:rsidRPr="00875DBE" w:rsidRDefault="00600D9B" w:rsidP="00600D9B">
            <w:pPr>
              <w:rPr>
                <w:color w:val="000000"/>
              </w:rPr>
            </w:pPr>
          </w:p>
        </w:tc>
        <w:tc>
          <w:tcPr>
            <w:tcW w:w="360" w:type="pct"/>
            <w:gridSpan w:val="3"/>
            <w:shd w:val="clear" w:color="auto" w:fill="FFFFFF" w:themeFill="background1"/>
          </w:tcPr>
          <w:p w14:paraId="690E4D35" w14:textId="77777777" w:rsidR="00600D9B" w:rsidRPr="00875DBE" w:rsidRDefault="00600D9B" w:rsidP="00600D9B">
            <w:pPr>
              <w:rPr>
                <w:color w:val="000000"/>
              </w:rPr>
            </w:pPr>
          </w:p>
        </w:tc>
        <w:tc>
          <w:tcPr>
            <w:tcW w:w="626" w:type="pct"/>
            <w:gridSpan w:val="3"/>
            <w:shd w:val="clear" w:color="auto" w:fill="FFFFFF" w:themeFill="background1"/>
          </w:tcPr>
          <w:p w14:paraId="64B4D001" w14:textId="77777777" w:rsidR="00600D9B" w:rsidRPr="00875DBE" w:rsidRDefault="00600D9B" w:rsidP="00600D9B">
            <w:pPr>
              <w:rPr>
                <w:color w:val="000000"/>
              </w:rPr>
            </w:pPr>
          </w:p>
        </w:tc>
        <w:tc>
          <w:tcPr>
            <w:tcW w:w="393" w:type="pct"/>
            <w:shd w:val="clear" w:color="auto" w:fill="FFFFFF" w:themeFill="background1"/>
          </w:tcPr>
          <w:p w14:paraId="079CA9D5" w14:textId="77777777" w:rsidR="00600D9B" w:rsidRPr="00875DBE" w:rsidRDefault="00600D9B" w:rsidP="00600D9B">
            <w:pPr>
              <w:rPr>
                <w:color w:val="000000"/>
                <w:spacing w:val="-2"/>
              </w:rPr>
            </w:pPr>
          </w:p>
        </w:tc>
      </w:tr>
      <w:tr w:rsidR="0035509B" w:rsidRPr="00875DBE" w14:paraId="5295FD4F" w14:textId="77777777" w:rsidTr="00E625E7">
        <w:trPr>
          <w:trHeight w:val="142"/>
        </w:trPr>
        <w:tc>
          <w:tcPr>
            <w:tcW w:w="637" w:type="pct"/>
            <w:gridSpan w:val="2"/>
            <w:vMerge/>
          </w:tcPr>
          <w:p w14:paraId="5315A04F" w14:textId="77777777" w:rsidR="00600D9B" w:rsidRPr="00875DBE" w:rsidRDefault="00600D9B" w:rsidP="00600D9B">
            <w:pPr>
              <w:rPr>
                <w:color w:val="000000"/>
              </w:rPr>
            </w:pPr>
          </w:p>
        </w:tc>
        <w:tc>
          <w:tcPr>
            <w:tcW w:w="1487" w:type="pct"/>
            <w:gridSpan w:val="8"/>
            <w:shd w:val="clear" w:color="auto" w:fill="FFFFFF" w:themeFill="background1"/>
          </w:tcPr>
          <w:p w14:paraId="7FB3D1F5" w14:textId="77777777" w:rsidR="00600D9B" w:rsidRPr="00875DBE" w:rsidRDefault="00600D9B" w:rsidP="00600D9B">
            <w:pPr>
              <w:rPr>
                <w:color w:val="000000"/>
              </w:rPr>
            </w:pPr>
            <w:r w:rsidRPr="00875DBE">
              <w:rPr>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75DBE">
              <w:rPr>
                <w:color w:val="000000"/>
              </w:rPr>
              <w:instrText xml:space="preserve"> FORMTEXT </w:instrText>
            </w:r>
            <w:r w:rsidRPr="00875DBE">
              <w:rPr>
                <w:color w:val="000000"/>
              </w:rPr>
            </w:r>
            <w:r w:rsidRPr="00875DBE">
              <w:rPr>
                <w:color w:val="000000"/>
              </w:rPr>
              <w:fldChar w:fldCharType="separate"/>
            </w:r>
            <w:r w:rsidRPr="00875DBE">
              <w:rPr>
                <w:noProof/>
                <w:color w:val="000000"/>
              </w:rPr>
              <w:t>(dodaj/usuń)</w:t>
            </w:r>
            <w:r w:rsidRPr="00875DBE">
              <w:rPr>
                <w:color w:val="000000"/>
              </w:rPr>
              <w:fldChar w:fldCharType="end"/>
            </w:r>
          </w:p>
        </w:tc>
        <w:tc>
          <w:tcPr>
            <w:tcW w:w="310" w:type="pct"/>
            <w:gridSpan w:val="2"/>
            <w:shd w:val="clear" w:color="auto" w:fill="FFFFFF" w:themeFill="background1"/>
          </w:tcPr>
          <w:p w14:paraId="308AAD59" w14:textId="77777777" w:rsidR="00600D9B" w:rsidRPr="00875DBE" w:rsidRDefault="00600D9B" w:rsidP="00600D9B">
            <w:pPr>
              <w:rPr>
                <w:color w:val="000000"/>
              </w:rPr>
            </w:pPr>
          </w:p>
        </w:tc>
        <w:tc>
          <w:tcPr>
            <w:tcW w:w="441" w:type="pct"/>
            <w:gridSpan w:val="3"/>
            <w:shd w:val="clear" w:color="auto" w:fill="FFFFFF" w:themeFill="background1"/>
          </w:tcPr>
          <w:p w14:paraId="53290739" w14:textId="77777777" w:rsidR="00600D9B" w:rsidRPr="00875DBE" w:rsidRDefault="00600D9B" w:rsidP="00600D9B">
            <w:pPr>
              <w:rPr>
                <w:color w:val="000000"/>
              </w:rPr>
            </w:pPr>
          </w:p>
        </w:tc>
        <w:tc>
          <w:tcPr>
            <w:tcW w:w="436" w:type="pct"/>
            <w:gridSpan w:val="3"/>
            <w:shd w:val="clear" w:color="auto" w:fill="FFFFFF" w:themeFill="background1"/>
          </w:tcPr>
          <w:p w14:paraId="6806F204" w14:textId="77777777" w:rsidR="00600D9B" w:rsidRPr="00875DBE" w:rsidRDefault="00600D9B" w:rsidP="00600D9B">
            <w:pPr>
              <w:rPr>
                <w:color w:val="000000"/>
              </w:rPr>
            </w:pPr>
          </w:p>
        </w:tc>
        <w:tc>
          <w:tcPr>
            <w:tcW w:w="310" w:type="pct"/>
            <w:gridSpan w:val="3"/>
            <w:shd w:val="clear" w:color="auto" w:fill="FFFFFF" w:themeFill="background1"/>
          </w:tcPr>
          <w:p w14:paraId="6D7F7B43" w14:textId="77777777" w:rsidR="00600D9B" w:rsidRPr="00875DBE" w:rsidRDefault="00600D9B" w:rsidP="00600D9B">
            <w:pPr>
              <w:rPr>
                <w:color w:val="000000"/>
              </w:rPr>
            </w:pPr>
          </w:p>
        </w:tc>
        <w:tc>
          <w:tcPr>
            <w:tcW w:w="360" w:type="pct"/>
            <w:gridSpan w:val="3"/>
            <w:shd w:val="clear" w:color="auto" w:fill="FFFFFF" w:themeFill="background1"/>
          </w:tcPr>
          <w:p w14:paraId="4EA8A430" w14:textId="77777777" w:rsidR="00600D9B" w:rsidRPr="00875DBE" w:rsidRDefault="00600D9B" w:rsidP="00600D9B">
            <w:pPr>
              <w:rPr>
                <w:color w:val="000000"/>
              </w:rPr>
            </w:pPr>
          </w:p>
        </w:tc>
        <w:tc>
          <w:tcPr>
            <w:tcW w:w="626" w:type="pct"/>
            <w:gridSpan w:val="3"/>
            <w:shd w:val="clear" w:color="auto" w:fill="FFFFFF" w:themeFill="background1"/>
          </w:tcPr>
          <w:p w14:paraId="36AFA02D" w14:textId="77777777" w:rsidR="00600D9B" w:rsidRPr="00875DBE" w:rsidRDefault="00600D9B" w:rsidP="00600D9B">
            <w:pPr>
              <w:rPr>
                <w:color w:val="000000"/>
              </w:rPr>
            </w:pPr>
          </w:p>
        </w:tc>
        <w:tc>
          <w:tcPr>
            <w:tcW w:w="393" w:type="pct"/>
            <w:shd w:val="clear" w:color="auto" w:fill="FFFFFF" w:themeFill="background1"/>
          </w:tcPr>
          <w:p w14:paraId="0AA0B6EB" w14:textId="77777777" w:rsidR="00600D9B" w:rsidRPr="00875DBE" w:rsidRDefault="00600D9B" w:rsidP="00600D9B">
            <w:pPr>
              <w:rPr>
                <w:color w:val="000000"/>
                <w:spacing w:val="-2"/>
              </w:rPr>
            </w:pPr>
          </w:p>
        </w:tc>
      </w:tr>
      <w:tr w:rsidR="00600D9B" w:rsidRPr="00875DBE" w14:paraId="4D3F482F" w14:textId="77777777" w:rsidTr="00E625E7">
        <w:trPr>
          <w:trHeight w:val="142"/>
        </w:trPr>
        <w:tc>
          <w:tcPr>
            <w:tcW w:w="637" w:type="pct"/>
            <w:gridSpan w:val="2"/>
            <w:vMerge w:val="restart"/>
            <w:shd w:val="clear" w:color="auto" w:fill="FFFFFF" w:themeFill="background1"/>
          </w:tcPr>
          <w:p w14:paraId="5F23926B" w14:textId="77777777" w:rsidR="00600D9B" w:rsidRPr="00875DBE" w:rsidRDefault="00600D9B" w:rsidP="00600D9B">
            <w:pPr>
              <w:rPr>
                <w:color w:val="000000"/>
              </w:rPr>
            </w:pPr>
            <w:r w:rsidRPr="00875DBE">
              <w:rPr>
                <w:color w:val="000000"/>
              </w:rPr>
              <w:t>W ujęciu niepieniężnym</w:t>
            </w:r>
          </w:p>
        </w:tc>
        <w:tc>
          <w:tcPr>
            <w:tcW w:w="1487" w:type="pct"/>
            <w:gridSpan w:val="8"/>
            <w:shd w:val="clear" w:color="auto" w:fill="FFFFFF" w:themeFill="background1"/>
          </w:tcPr>
          <w:p w14:paraId="72B50116" w14:textId="77777777" w:rsidR="00600D9B" w:rsidRPr="00875DBE" w:rsidRDefault="00600D9B" w:rsidP="00600D9B">
            <w:pPr>
              <w:rPr>
                <w:color w:val="000000"/>
              </w:rPr>
            </w:pPr>
            <w:r w:rsidRPr="00875DBE">
              <w:rPr>
                <w:color w:val="000000"/>
              </w:rPr>
              <w:t>duże przedsiębiorstwa</w:t>
            </w:r>
          </w:p>
        </w:tc>
        <w:tc>
          <w:tcPr>
            <w:tcW w:w="2876" w:type="pct"/>
            <w:gridSpan w:val="18"/>
            <w:shd w:val="clear" w:color="auto" w:fill="FFFFFF" w:themeFill="background1"/>
          </w:tcPr>
          <w:p w14:paraId="7D93391D" w14:textId="77777777" w:rsidR="00600D9B" w:rsidRDefault="00600D9B" w:rsidP="00E625E7">
            <w:pPr>
              <w:spacing w:after="60"/>
              <w:ind w:right="118"/>
            </w:pPr>
            <w:r w:rsidRPr="00875DBE">
              <w:t>Celem dostosowania się do wymogów projektu przedsiębiorstwa będą musiały wdrożyć środki techniczne i organizacyjne proporcjonalne do wielkości podmiotu. W przypadku dużych przedsiębiorstw może to zająć pewien czas. Niezbędne będzie dokonanie inwentaryzacji infrastruktury, przeglądu procesów</w:t>
            </w:r>
            <w:r>
              <w:t xml:space="preserve"> </w:t>
            </w:r>
            <w:r w:rsidRPr="00875DBE">
              <w:t>i</w:t>
            </w:r>
            <w:r>
              <w:t> </w:t>
            </w:r>
            <w:r w:rsidRPr="00875DBE">
              <w:t xml:space="preserve">wewnętrznych procedur, przeprowadzenie wewnętrznych szkoleń. </w:t>
            </w:r>
            <w:r>
              <w:t>Każdy z podmiotów będzie musiał zbudować system zarządzania bezpieczeństwem uwzględniający kwestie takie jak np.</w:t>
            </w:r>
          </w:p>
          <w:p w14:paraId="07ECB4DD" w14:textId="5159A73D" w:rsidR="00600D9B" w:rsidRDefault="00600D9B" w:rsidP="00E625E7">
            <w:pPr>
              <w:spacing w:after="60"/>
              <w:ind w:right="118"/>
            </w:pPr>
            <w:r>
              <w:t>1) prowadzenie systematycznego szacowania ryzyka wystąpienia incydentu oraz zarządzanie tym ryzykiem;</w:t>
            </w:r>
          </w:p>
          <w:p w14:paraId="01D1807C" w14:textId="77719D02" w:rsidR="00600D9B" w:rsidRDefault="00600D9B" w:rsidP="00E625E7">
            <w:pPr>
              <w:spacing w:after="60"/>
              <w:ind w:right="118"/>
            </w:pPr>
            <w:r>
              <w:t xml:space="preserve">2) wdrożenie odpowiednich i proporcjonalnych do oszacowanego ryzyka środków technicznych i organizacyjnych, uwzględniających najnowszy stan wiedzy, koszty wdrożenia, </w:t>
            </w:r>
            <w:r>
              <w:lastRenderedPageBreak/>
              <w:t>wielkość podmiotu, prawdopodobieństwo wystąpienia incydentów, narażenie podmiotu na ryzyka, w szczególności utrzymanie i</w:t>
            </w:r>
            <w:r w:rsidR="00CA459D">
              <w:t> </w:t>
            </w:r>
            <w:r>
              <w:t>bezpieczną eksploatację systemu informacyjnego;</w:t>
            </w:r>
          </w:p>
          <w:p w14:paraId="2B0989C8" w14:textId="32D50F85" w:rsidR="00600D9B" w:rsidRDefault="00600D9B" w:rsidP="00E625E7">
            <w:pPr>
              <w:spacing w:after="60"/>
              <w:ind w:right="118"/>
            </w:pPr>
            <w:r>
              <w:t xml:space="preserve">3) zbieranie informacji o </w:t>
            </w:r>
            <w:proofErr w:type="spellStart"/>
            <w:r>
              <w:t>cyberzagrożeniach</w:t>
            </w:r>
            <w:proofErr w:type="spellEnd"/>
            <w:r>
              <w:t xml:space="preserve"> i podatnościach na incydenty systemu informacyjnego wykorzystywanego do</w:t>
            </w:r>
            <w:r w:rsidR="00CA459D">
              <w:t> </w:t>
            </w:r>
            <w:r>
              <w:t>świadczenia usługi;</w:t>
            </w:r>
          </w:p>
          <w:p w14:paraId="27F78F08" w14:textId="77777777" w:rsidR="00600D9B" w:rsidRDefault="00600D9B" w:rsidP="00E625E7">
            <w:pPr>
              <w:spacing w:after="60"/>
              <w:ind w:right="118"/>
            </w:pPr>
            <w:r>
              <w:t>4) zarządzanie incydentami;</w:t>
            </w:r>
          </w:p>
          <w:p w14:paraId="0E82F915" w14:textId="11AD93E9" w:rsidR="00600D9B" w:rsidRDefault="00600D9B" w:rsidP="00E625E7">
            <w:pPr>
              <w:spacing w:after="60"/>
              <w:ind w:right="118"/>
            </w:pPr>
            <w:r>
              <w:t xml:space="preserve">5) stosowanie środków zapobiegających i ograniczających wpływ incydentów na bezpieczeństwo systemu informacyjnego wykorzystywanego do świadczenia usługi. </w:t>
            </w:r>
          </w:p>
          <w:p w14:paraId="1F9129CE" w14:textId="77777777" w:rsidR="00600D9B" w:rsidRDefault="00600D9B" w:rsidP="00E625E7">
            <w:pPr>
              <w:spacing w:after="60"/>
              <w:ind w:right="118"/>
            </w:pPr>
          </w:p>
          <w:p w14:paraId="1B5C93B5" w14:textId="6ADAFA8E" w:rsidR="00600D9B" w:rsidRDefault="00600D9B" w:rsidP="00E625E7">
            <w:pPr>
              <w:spacing w:after="60"/>
              <w:ind w:right="118"/>
            </w:pPr>
            <w:r>
              <w:t>Dyrektywa NIS</w:t>
            </w:r>
            <w:r w:rsidR="004425CF">
              <w:t xml:space="preserve"> </w:t>
            </w:r>
            <w:r>
              <w:t xml:space="preserve">2 odeszła od wprowadzania konkretnych wymogów bezpieczeństwa na rzecz podejścia opartego na ryzyku. W związku z tym każdy podmiot objęty jej postanowieniami musi sam przeprowadzić analizę ryzyka oraz dostosować stosowane zabezpieczenia do wykrytego ryzyka. Takie rozwiązanie zapewnia elastyczność jak również proporcjonalność wprowadzanych zabezpieczeń do charakteru danej organizacji. </w:t>
            </w:r>
          </w:p>
          <w:p w14:paraId="14D44B6E" w14:textId="0E603962" w:rsidR="00600D9B" w:rsidRDefault="00600D9B" w:rsidP="00E625E7">
            <w:pPr>
              <w:spacing w:after="60"/>
              <w:ind w:right="118"/>
            </w:pPr>
            <w:r w:rsidRPr="00F35B07">
              <w:t>Na tym etapie nie jest możliwe oszacowanie kosztów dostosowawczych po stronie przedsiębiorców w zależności od ich rodzajów z uwagi na brak danych. Projekt oddziałuje na podmioty o zróżnicowanej wielkości – od małych do dużych. Koszty audytów bezpieczeństwa, zatrudnienia specjalistów z</w:t>
            </w:r>
            <w:r w:rsidR="00CA459D">
              <w:t> </w:t>
            </w:r>
            <w:r w:rsidRPr="00F35B07">
              <w:t xml:space="preserve">zakresu </w:t>
            </w:r>
            <w:proofErr w:type="spellStart"/>
            <w:r w:rsidRPr="00F35B07">
              <w:t>cyberbezpieczeństwa</w:t>
            </w:r>
            <w:proofErr w:type="spellEnd"/>
            <w:r w:rsidRPr="00F35B07">
              <w:t>, wdrożenia systemu zarządzania bezpieczeństwem informacji itd., będą się znacząco różnić od</w:t>
            </w:r>
            <w:r w:rsidR="00CA459D">
              <w:t> </w:t>
            </w:r>
            <w:r w:rsidRPr="00F35B07">
              <w:t xml:space="preserve">wielkości i charakteru usług świadczonych przez podmiot. </w:t>
            </w:r>
          </w:p>
          <w:p w14:paraId="1E5C3CFF" w14:textId="1C861F46" w:rsidR="00600D9B" w:rsidRDefault="00600D9B" w:rsidP="00E625E7">
            <w:pPr>
              <w:ind w:right="118"/>
            </w:pPr>
            <w:r w:rsidRPr="00875DBE">
              <w:t>Zasadne będzie poniesienie kosztów na sprzęt, oprogramowanie oraz zatrudnienie nowego personelu. Konieczny może być zakup zewnętrznych usług konsultingowych z</w:t>
            </w:r>
            <w:r w:rsidR="00CA459D">
              <w:t xml:space="preserve"> </w:t>
            </w:r>
            <w:r w:rsidRPr="00875DBE">
              <w:t xml:space="preserve">zakresu </w:t>
            </w:r>
            <w:proofErr w:type="spellStart"/>
            <w:r w:rsidRPr="00875DBE">
              <w:t>cyberbezpieczeństwa</w:t>
            </w:r>
            <w:proofErr w:type="spellEnd"/>
            <w:r w:rsidRPr="00875DBE">
              <w:t xml:space="preserve">. Warto zauważyć, że już obecnie duże przedsiębiorstwa mają działy zajmujące się </w:t>
            </w:r>
            <w:proofErr w:type="spellStart"/>
            <w:r w:rsidRPr="00875DBE">
              <w:t>cyberbezpieczeństwem</w:t>
            </w:r>
            <w:proofErr w:type="spellEnd"/>
            <w:r w:rsidRPr="00875DBE">
              <w:t>, co powinno im ułatwić dostosowanie się do projektu ustawy.</w:t>
            </w:r>
          </w:p>
          <w:p w14:paraId="3C5858A8" w14:textId="606A7C85" w:rsidR="00600D9B" w:rsidRDefault="00600D9B" w:rsidP="00E625E7">
            <w:pPr>
              <w:ind w:right="118"/>
            </w:pPr>
            <w:r>
              <w:t>Należy zauważyć, że wymogi te stosowane będą jednolicie w całej Unii Europejskiej w związku z czym nie powinno dojść do</w:t>
            </w:r>
            <w:r w:rsidR="00CA459D">
              <w:t> </w:t>
            </w:r>
            <w:r>
              <w:t xml:space="preserve">zaburzeń konkurencyjności. Sama ustawa przewiduje jednakowe dla wszystkich podmiotów kluczowych. Również wymogi dla pomiotów ważnych nie będą różnicowane. </w:t>
            </w:r>
          </w:p>
          <w:p w14:paraId="7DE02DDA" w14:textId="464EC673" w:rsidR="00600D9B" w:rsidRDefault="00600D9B" w:rsidP="00E625E7">
            <w:pPr>
              <w:ind w:right="118"/>
            </w:pPr>
            <w:r>
              <w:t xml:space="preserve">Podmioty krajowego systemu </w:t>
            </w:r>
            <w:proofErr w:type="spellStart"/>
            <w:r>
              <w:t>cyberbezpieczeństwa</w:t>
            </w:r>
            <w:proofErr w:type="spellEnd"/>
            <w:r>
              <w:t xml:space="preserve"> będą obowiązane wycofać produkty ICT, usługi ICT i procesy ICT dostawcy uznanego za dostawcę wysokiego ryzyka. Będzie to</w:t>
            </w:r>
            <w:r w:rsidR="00CA459D">
              <w:t> </w:t>
            </w:r>
            <w:r>
              <w:t>generowało koszty związane z wycofaniem tego tych produktów, usług i procesów oraz zastąpienie innymi. W</w:t>
            </w:r>
            <w:r w:rsidR="00CA459D">
              <w:t> </w:t>
            </w:r>
            <w:r>
              <w:t>tym</w:t>
            </w:r>
            <w:r w:rsidR="00CA459D">
              <w:t> </w:t>
            </w:r>
            <w:r>
              <w:t>momencie nie jest jednak możliwe oszacowanie tych kosztów.</w:t>
            </w:r>
          </w:p>
          <w:p w14:paraId="24F7B09D" w14:textId="5784D7EB" w:rsidR="00600D9B" w:rsidRPr="00875DBE" w:rsidRDefault="00600D9B" w:rsidP="00600D9B"/>
        </w:tc>
      </w:tr>
      <w:tr w:rsidR="00600D9B" w:rsidRPr="00875DBE" w14:paraId="35ADDEC5" w14:textId="77777777" w:rsidTr="00E625E7">
        <w:trPr>
          <w:trHeight w:val="142"/>
        </w:trPr>
        <w:tc>
          <w:tcPr>
            <w:tcW w:w="637" w:type="pct"/>
            <w:gridSpan w:val="2"/>
            <w:vMerge/>
          </w:tcPr>
          <w:p w14:paraId="0FC1020D" w14:textId="77777777" w:rsidR="00600D9B" w:rsidRPr="00875DBE" w:rsidRDefault="00600D9B" w:rsidP="00600D9B">
            <w:pPr>
              <w:rPr>
                <w:color w:val="000000"/>
              </w:rPr>
            </w:pPr>
          </w:p>
        </w:tc>
        <w:tc>
          <w:tcPr>
            <w:tcW w:w="1487" w:type="pct"/>
            <w:gridSpan w:val="8"/>
            <w:shd w:val="clear" w:color="auto" w:fill="FFFFFF" w:themeFill="background1"/>
          </w:tcPr>
          <w:p w14:paraId="7A78716E" w14:textId="6AE0823B" w:rsidR="00600D9B" w:rsidRPr="00875DBE" w:rsidRDefault="00600D9B" w:rsidP="00600D9B">
            <w:pPr>
              <w:rPr>
                <w:color w:val="000000"/>
              </w:rPr>
            </w:pPr>
            <w:r w:rsidRPr="00875DBE">
              <w:rPr>
                <w:color w:val="000000"/>
              </w:rPr>
              <w:t>sektor mikro-, małych i średnich przedsiębiorstw</w:t>
            </w:r>
          </w:p>
        </w:tc>
        <w:tc>
          <w:tcPr>
            <w:tcW w:w="2876" w:type="pct"/>
            <w:gridSpan w:val="18"/>
            <w:shd w:val="clear" w:color="auto" w:fill="FFFFFF" w:themeFill="background1"/>
          </w:tcPr>
          <w:p w14:paraId="394FE546" w14:textId="02A7B108" w:rsidR="00600D9B" w:rsidRDefault="00600D9B" w:rsidP="00E625E7">
            <w:pPr>
              <w:ind w:right="118"/>
            </w:pPr>
            <w:r w:rsidRPr="00875DBE">
              <w:t>Projekt ma wpływ na co najmniej średnie przedsiębiorstwa, z wyjątkami takimi jak przedsiębiorcy komunikacji elektronicznej czy dostawcy usług zaufania – ci będą podlegać ustawie niezależnie od wielkości. Projekt przewiduje, że podmioty kluczowe i </w:t>
            </w:r>
            <w:r w:rsidR="00CA459D">
              <w:t xml:space="preserve">podmioty </w:t>
            </w:r>
            <w:r w:rsidRPr="00875DBE">
              <w:t>ważne będą wdrażać środki techniczne i organizacyjne proporcjonalne do wielkości podmiotu – uwzględniona została więc sytuacja podmiotów z sektora MŚP.</w:t>
            </w:r>
            <w:r>
              <w:t xml:space="preserve"> </w:t>
            </w:r>
            <w:r w:rsidRPr="00F35B07">
              <w:t xml:space="preserve">Na tym etapie nie jest możliwe oszacowanie kosztów dostosowawczych po stronie przedsiębiorców w zależności od ich rodzajów z uwagi na brak danych. Projekt oddziałuje na podmioty o zróżnicowanej wielkości </w:t>
            </w:r>
            <w:r w:rsidRPr="00F35B07">
              <w:lastRenderedPageBreak/>
              <w:t xml:space="preserve">– od małych do dużych. Koszty audytów bezpieczeństwa, zatrudnienia specjalistów z zakresu </w:t>
            </w:r>
            <w:proofErr w:type="spellStart"/>
            <w:r w:rsidRPr="00F35B07">
              <w:t>cyberbezpieczeństwa</w:t>
            </w:r>
            <w:proofErr w:type="spellEnd"/>
            <w:r w:rsidRPr="00F35B07">
              <w:t>, wdrożenia systemu zarządzania bezpieczeństwem informacji itd., będą się znacząco różnić od wielkości i charakteru usług świadczonych przez podmiot. Projekt może być uzupełniony w tym zakresie, jeżeli w toku konsultacji publicznych zostaną przedstawione dane dot</w:t>
            </w:r>
            <w:r w:rsidR="00CA459D">
              <w:t>yczące</w:t>
            </w:r>
            <w:r w:rsidRPr="00F35B07">
              <w:t xml:space="preserve"> kosztów wdrożenia.</w:t>
            </w:r>
          </w:p>
          <w:p w14:paraId="79A47873" w14:textId="382CBB16" w:rsidR="00600D9B" w:rsidRPr="00875DBE" w:rsidRDefault="00600D9B" w:rsidP="00E625E7">
            <w:pPr>
              <w:ind w:right="118"/>
            </w:pPr>
            <w:r>
              <w:t xml:space="preserve">Podmioty krajowego systemu </w:t>
            </w:r>
            <w:proofErr w:type="spellStart"/>
            <w:r>
              <w:t>cyberbezpieczeństwa</w:t>
            </w:r>
            <w:proofErr w:type="spellEnd"/>
            <w:r>
              <w:t xml:space="preserve"> będą obowiązane wycofać produkty ICT, usługi ICT i procesy ICT dostawcy uznanego za dostawcę wysokiego ryzyka. Będzie to</w:t>
            </w:r>
            <w:r w:rsidR="00CA459D">
              <w:t> </w:t>
            </w:r>
            <w:r>
              <w:t>generowało koszty związane z wycofaniem tego tych produktów, usług i procesów oraz zastąpienie innymi. W</w:t>
            </w:r>
            <w:r w:rsidR="00CA459D">
              <w:t> </w:t>
            </w:r>
            <w:r>
              <w:t>tym</w:t>
            </w:r>
            <w:r w:rsidR="00CA459D">
              <w:t> </w:t>
            </w:r>
            <w:r>
              <w:t>momencie nie jest jednak możliwe oszacowanie tych kosztów.</w:t>
            </w:r>
          </w:p>
        </w:tc>
      </w:tr>
      <w:tr w:rsidR="00600D9B" w:rsidRPr="00875DBE" w14:paraId="262DD0F5" w14:textId="77777777" w:rsidTr="00E625E7">
        <w:trPr>
          <w:trHeight w:val="596"/>
        </w:trPr>
        <w:tc>
          <w:tcPr>
            <w:tcW w:w="637" w:type="pct"/>
            <w:gridSpan w:val="2"/>
            <w:vMerge/>
          </w:tcPr>
          <w:p w14:paraId="6A48034E" w14:textId="77777777" w:rsidR="00600D9B" w:rsidRPr="00875DBE" w:rsidRDefault="00600D9B" w:rsidP="00600D9B">
            <w:pPr>
              <w:rPr>
                <w:color w:val="000000"/>
              </w:rPr>
            </w:pPr>
          </w:p>
        </w:tc>
        <w:tc>
          <w:tcPr>
            <w:tcW w:w="1487" w:type="pct"/>
            <w:gridSpan w:val="8"/>
            <w:shd w:val="clear" w:color="auto" w:fill="FFFFFF" w:themeFill="background1"/>
          </w:tcPr>
          <w:p w14:paraId="67B3BC12" w14:textId="77777777" w:rsidR="00600D9B" w:rsidRPr="00875DBE" w:rsidRDefault="00600D9B" w:rsidP="00600D9B">
            <w:pPr>
              <w:tabs>
                <w:tab w:val="right" w:pos="1936"/>
              </w:tabs>
              <w:rPr>
                <w:color w:val="000000"/>
              </w:rPr>
            </w:pPr>
            <w:r w:rsidRPr="00875DBE">
              <w:t>rodzina, obywatele oraz gospodarstwa domowe</w:t>
            </w:r>
            <w:r w:rsidRPr="00875DBE">
              <w:rPr>
                <w:color w:val="000000"/>
              </w:rPr>
              <w:t xml:space="preserve"> </w:t>
            </w:r>
          </w:p>
        </w:tc>
        <w:tc>
          <w:tcPr>
            <w:tcW w:w="2876" w:type="pct"/>
            <w:gridSpan w:val="18"/>
            <w:shd w:val="clear" w:color="auto" w:fill="FFFFFF" w:themeFill="background1"/>
          </w:tcPr>
          <w:p w14:paraId="05313D22" w14:textId="777D7559" w:rsidR="00600D9B" w:rsidRPr="00875DBE" w:rsidRDefault="00600D9B" w:rsidP="00E625E7">
            <w:pPr>
              <w:ind w:right="118"/>
            </w:pPr>
            <w:r w:rsidRPr="00875DBE">
              <w:t xml:space="preserve">Rodziny, obywatele, gospodarstwa domowe – regulacje ustawowe przyczynią się do zwiększenia bezpieczeństwa usług, z których korzystają wszyscy obywatele. Zwiększą pewność ciągłości usług. </w:t>
            </w:r>
            <w:r>
              <w:t>Polepszy się ochrona danych osobowych przetwarzanych przez podmioty ważne i podmioty kluczowe.</w:t>
            </w:r>
            <w:r w:rsidRPr="00875DBE">
              <w:t xml:space="preserve"> Część kosztów wypełnienia obowiązków ustawowych, w przypadku niektórych sektorów, może przełożyć się na wyższy koszt usługi dla odbiorcy końcowego</w:t>
            </w:r>
            <w:r>
              <w:t xml:space="preserve"> - pośrednie koszty związane z wycofaniem i wymianą produktów, usług i procesów dostarczanych przez dostawcę wysokiego ryzyka ponosić będą konsumenci. Ponieważ są to koszty zależne od tych poniesionych przez podmioty kluczowe i</w:t>
            </w:r>
            <w:r w:rsidR="00850AC9">
              <w:t> </w:t>
            </w:r>
            <w:r w:rsidR="00CA459D">
              <w:t xml:space="preserve">podmioty </w:t>
            </w:r>
            <w:r>
              <w:t>ważne, nie jest możliwe ich oszacowanie na obecnym etapie.</w:t>
            </w:r>
          </w:p>
          <w:p w14:paraId="46535BD4" w14:textId="199DDDFF" w:rsidR="00600D9B" w:rsidRPr="00875DBE" w:rsidRDefault="00600D9B" w:rsidP="00E625E7">
            <w:pPr>
              <w:ind w:right="118"/>
            </w:pPr>
            <w:r w:rsidRPr="00875DBE">
              <w:t xml:space="preserve">Kierownik podmiotu kluczowego lub podmiotu ważnego będzie podlegał odpowiedzialności karno-administracyjnej za niewykonywanie zadań z zakresu </w:t>
            </w:r>
            <w:proofErr w:type="spellStart"/>
            <w:r w:rsidRPr="00875DBE">
              <w:t>cyberbezpieczeństwa</w:t>
            </w:r>
            <w:proofErr w:type="spellEnd"/>
            <w:r w:rsidRPr="00875DBE">
              <w:t xml:space="preserve"> w podmiocie.</w:t>
            </w:r>
          </w:p>
          <w:p w14:paraId="659AFDDF" w14:textId="044BC631" w:rsidR="00600D9B" w:rsidRDefault="00600D9B" w:rsidP="00E625E7">
            <w:pPr>
              <w:ind w:right="118"/>
            </w:pPr>
            <w:r>
              <w:t>Tylko o</w:t>
            </w:r>
            <w:r w:rsidRPr="00875DBE">
              <w:t>soby</w:t>
            </w:r>
            <w:r>
              <w:t xml:space="preserve"> niekarane za przestępstwa przeciwko ochronie informacji będą mogły</w:t>
            </w:r>
            <w:r w:rsidRPr="00875DBE">
              <w:t xml:space="preserve"> realiz</w:t>
            </w:r>
            <w:r>
              <w:t>ować</w:t>
            </w:r>
            <w:r w:rsidRPr="00875DBE">
              <w:t xml:space="preserve"> w podmiocie kluczowym lub podmiocie ważnym zadania związane z zarządzaniem ryzykiem </w:t>
            </w:r>
            <w:proofErr w:type="spellStart"/>
            <w:r w:rsidRPr="00875DBE">
              <w:t>cyberbezpieczeństwa</w:t>
            </w:r>
            <w:proofErr w:type="spellEnd"/>
            <w:r w:rsidRPr="00875DBE">
              <w:t xml:space="preserve"> oraz obsługi i zgłaszania incydentów</w:t>
            </w:r>
            <w:r>
              <w:t>.</w:t>
            </w:r>
          </w:p>
          <w:p w14:paraId="7542FE97" w14:textId="626E91DC" w:rsidR="00600D9B" w:rsidRPr="00875DBE" w:rsidRDefault="00600D9B" w:rsidP="00E625E7">
            <w:pPr>
              <w:ind w:right="118"/>
            </w:pPr>
            <w:r>
              <w:t xml:space="preserve">Organy właściwe do spraw </w:t>
            </w:r>
            <w:proofErr w:type="spellStart"/>
            <w:r>
              <w:t>cyberbezpieczeństwa</w:t>
            </w:r>
            <w:proofErr w:type="spellEnd"/>
            <w:r>
              <w:t>, zespoły CSIRT sektorowe, zespoły CSIRT poziomu krajowego i minister właściwy do spraw informatyzacji będą przetwarzały dane osobowe osób do kontaktu wskazanych przez podmioty kluczowe i podmioty ważne. Odbywać to się będzie z zachowaniem właściwości poszczególnych organów czy zespołów. Dane te będą znajdowały się w wykazie podmiotów kluczowych i podmiotów ważnych. Dane te nie będą dostępne publicznie. Obecnie istnieje podobny obowiązek wskazania po 1 osobie do kontaktu przez podmioty publiczne i operatorów usług kluczowych.</w:t>
            </w:r>
          </w:p>
        </w:tc>
      </w:tr>
      <w:tr w:rsidR="00600D9B" w:rsidRPr="00875DBE" w14:paraId="2C4E5864" w14:textId="77777777" w:rsidTr="00E625E7">
        <w:trPr>
          <w:trHeight w:val="142"/>
        </w:trPr>
        <w:tc>
          <w:tcPr>
            <w:tcW w:w="637" w:type="pct"/>
            <w:gridSpan w:val="2"/>
            <w:vMerge w:val="restart"/>
            <w:shd w:val="clear" w:color="auto" w:fill="FFFFFF" w:themeFill="background1"/>
          </w:tcPr>
          <w:p w14:paraId="58E4C87D" w14:textId="77777777" w:rsidR="00600D9B" w:rsidRPr="00875DBE" w:rsidRDefault="00600D9B" w:rsidP="00600D9B">
            <w:pPr>
              <w:rPr>
                <w:color w:val="000000"/>
              </w:rPr>
            </w:pPr>
            <w:r w:rsidRPr="00875DBE">
              <w:rPr>
                <w:color w:val="000000"/>
              </w:rPr>
              <w:t>Niemierzalne</w:t>
            </w:r>
          </w:p>
        </w:tc>
        <w:tc>
          <w:tcPr>
            <w:tcW w:w="1487" w:type="pct"/>
            <w:gridSpan w:val="8"/>
            <w:shd w:val="clear" w:color="auto" w:fill="FFFFFF" w:themeFill="background1"/>
          </w:tcPr>
          <w:p w14:paraId="5BEC5B38" w14:textId="41F0EF78" w:rsidR="00600D9B" w:rsidRPr="00875DBE" w:rsidRDefault="00600D9B" w:rsidP="00600D9B">
            <w:pPr>
              <w:rPr>
                <w:color w:val="000000"/>
              </w:rPr>
            </w:pPr>
            <w:r w:rsidRPr="00875DBE">
              <w:rPr>
                <w:color w:val="000000"/>
              </w:rPr>
              <w:t>Koszty związane z wycofaniem sprzętu lub oprogramowania od dostawców wysokiego ryzyka</w:t>
            </w:r>
          </w:p>
        </w:tc>
        <w:tc>
          <w:tcPr>
            <w:tcW w:w="2876" w:type="pct"/>
            <w:gridSpan w:val="18"/>
            <w:shd w:val="clear" w:color="auto" w:fill="FFFFFF" w:themeFill="background1"/>
          </w:tcPr>
          <w:p w14:paraId="6517B671" w14:textId="4CD3CA1A" w:rsidR="00600D9B" w:rsidRPr="00875DBE" w:rsidRDefault="00600D9B" w:rsidP="00E625E7">
            <w:pPr>
              <w:ind w:right="118"/>
            </w:pPr>
            <w:r w:rsidRPr="00875DBE">
              <w:t>Nowelizacja przewiduje kompetencję dla ministra właściwego do spraw informatyzacji do wydania decyzji o uznaniu dostawcy sprzętu lub oprogramowania za dostawcę wysokiego ryzyka. Nie jest możliwe w tej chwili wskazanie kosztów jakie poniosą podmioty kluczowe i podmioty ważne w związku z wycofaniem produktów ICT, usług ICT i procesów ICT pochodzących od dostawców wysokiego ryzyka, ponieważ nie można w tej chwili przewidzieć jaką decyzję wyda minister właściwy do spraw informatyzacji i w związku z tym jakie koszty poniosą podmioty zobowiązane do wycofania sprzętu.</w:t>
            </w:r>
          </w:p>
          <w:p w14:paraId="1613FA64" w14:textId="77777777" w:rsidR="00600D9B" w:rsidRDefault="00600D9B" w:rsidP="00E625E7">
            <w:pPr>
              <w:ind w:right="118"/>
            </w:pPr>
            <w:r w:rsidRPr="00875DBE">
              <w:lastRenderedPageBreak/>
              <w:t>Należy podkreślić, że w zaproponowanych przepisach prawa nie ma mechanizmu nakazującego natychmiastowe wycofanie sprzętu lub oprogramowania wskazanego w ocenie ryzyka dostawców. Podmioty kluczowe i podmioty ważne zostaną zobowiązane do wycofania danego sprzętu lub oprogramowania w określonym czasie. W przekazanym projekcie jest mowa o 5–7 latach - termin ten jest często uznawany za średni okres użytkowania sprzętu lub oprogramowania, czyli tzw. cykl życia urządzenia. Z uwagi na wskazanie tak długiego okresu na wdrożenie decyzji o ocenie ryzyka, nie są planowane rekompensaty dla przedsiębiorców z uwagi na konieczność wycofania sprzętu lub oprogramowania od dostawców uznanych za dostawców wysokiego ryzyka.</w:t>
            </w:r>
          </w:p>
          <w:p w14:paraId="15745E32" w14:textId="0F5B7D40" w:rsidR="00600D9B" w:rsidRPr="00875DBE" w:rsidRDefault="00600D9B" w:rsidP="00E625E7">
            <w:pPr>
              <w:ind w:right="118"/>
            </w:pPr>
            <w:r>
              <w:t>Pośrednie koszty związane z wycofaniem i wymianą produktów, usług i procesów dostarczanych przez dostawcę wysokiego ryzyka ponosić będą konsumenci. Ponieważ są to koszty zależne od tych poniesionych przez podmioty kluczowe i ważne, nie jest możliwe ich oszacowanie na obecnym etapie.</w:t>
            </w:r>
          </w:p>
        </w:tc>
      </w:tr>
      <w:tr w:rsidR="00600D9B" w:rsidRPr="00875DBE" w14:paraId="3A554147" w14:textId="77777777" w:rsidTr="00E625E7">
        <w:trPr>
          <w:trHeight w:val="142"/>
        </w:trPr>
        <w:tc>
          <w:tcPr>
            <w:tcW w:w="637" w:type="pct"/>
            <w:gridSpan w:val="2"/>
            <w:vMerge/>
          </w:tcPr>
          <w:p w14:paraId="54A1BEF5" w14:textId="77777777" w:rsidR="00600D9B" w:rsidRPr="00875DBE" w:rsidRDefault="00600D9B" w:rsidP="00600D9B">
            <w:pPr>
              <w:rPr>
                <w:color w:val="000000"/>
              </w:rPr>
            </w:pPr>
          </w:p>
        </w:tc>
        <w:tc>
          <w:tcPr>
            <w:tcW w:w="1487" w:type="pct"/>
            <w:gridSpan w:val="8"/>
            <w:shd w:val="clear" w:color="auto" w:fill="FFFFFF" w:themeFill="background1"/>
          </w:tcPr>
          <w:p w14:paraId="5C27938B" w14:textId="531FA6EF" w:rsidR="00600D9B" w:rsidRPr="00875DBE" w:rsidRDefault="00600D9B" w:rsidP="00600D9B">
            <w:pPr>
              <w:rPr>
                <w:color w:val="000000"/>
              </w:rPr>
            </w:pPr>
            <w:r w:rsidRPr="00875DBE">
              <w:t>Koszty związane z wykonaniem polecenia zabezpieczającego</w:t>
            </w:r>
          </w:p>
        </w:tc>
        <w:tc>
          <w:tcPr>
            <w:tcW w:w="2876" w:type="pct"/>
            <w:gridSpan w:val="18"/>
            <w:shd w:val="clear" w:color="auto" w:fill="FFFFFF" w:themeFill="background1"/>
          </w:tcPr>
          <w:p w14:paraId="755433D4" w14:textId="27120001" w:rsidR="00600D9B" w:rsidRPr="00875DBE" w:rsidRDefault="00600D9B" w:rsidP="00E625E7">
            <w:pPr>
              <w:ind w:right="118"/>
            </w:pPr>
            <w:r w:rsidRPr="00875DBE">
              <w:t>Nowelizacja przewiduje nowe kompetencję dla ministra właściwego do spraw informatyzacji do wydania polecenia zabezpieczającego w </w:t>
            </w:r>
            <w:r w:rsidR="00CA459D">
              <w:t>drodze</w:t>
            </w:r>
            <w:r w:rsidRPr="00875DBE">
              <w:t xml:space="preserve"> decyzji administracyjnej. Nie jest możliwe w tej chwili wskazanie kosztów jakie poniosą podmioty krajowego systemu </w:t>
            </w:r>
            <w:proofErr w:type="spellStart"/>
            <w:r w:rsidRPr="00875DBE">
              <w:t>cyberbezpieczeństwa</w:t>
            </w:r>
            <w:proofErr w:type="spellEnd"/>
            <w:r w:rsidRPr="00875DBE">
              <w:t xml:space="preserve">, ponieważ polecenie zabezpieczające będzie wydawane po wystąpieniu incydentu krytycznego. Podkreślić przy tym należy, że polecenie zabezpieczające ma być adekwatne do </w:t>
            </w:r>
            <w:proofErr w:type="spellStart"/>
            <w:r w:rsidRPr="00875DBE">
              <w:t>cyberzagrożenia</w:t>
            </w:r>
            <w:proofErr w:type="spellEnd"/>
            <w:r w:rsidRPr="00875DBE">
              <w:t>.</w:t>
            </w:r>
          </w:p>
        </w:tc>
      </w:tr>
      <w:tr w:rsidR="00600D9B" w:rsidRPr="00875DBE" w14:paraId="70C64854" w14:textId="77777777" w:rsidTr="00E625E7">
        <w:trPr>
          <w:trHeight w:val="1643"/>
        </w:trPr>
        <w:tc>
          <w:tcPr>
            <w:tcW w:w="759" w:type="pct"/>
            <w:gridSpan w:val="4"/>
            <w:shd w:val="clear" w:color="auto" w:fill="FFFFFF" w:themeFill="background1"/>
          </w:tcPr>
          <w:p w14:paraId="73B624F8" w14:textId="315A7937" w:rsidR="00600D9B" w:rsidRPr="00875DBE" w:rsidRDefault="00600D9B" w:rsidP="00600D9B">
            <w:pPr>
              <w:rPr>
                <w:color w:val="000000"/>
              </w:rPr>
            </w:pPr>
            <w:r w:rsidRPr="00875DBE">
              <w:rPr>
                <w:color w:val="000000"/>
              </w:rPr>
              <w:t xml:space="preserve">Dodatkowe informacje, w tym wskazanie źródeł danych i przyjętych do obliczeń założeń </w:t>
            </w:r>
          </w:p>
        </w:tc>
        <w:tc>
          <w:tcPr>
            <w:tcW w:w="4241" w:type="pct"/>
            <w:gridSpan w:val="24"/>
            <w:shd w:val="clear" w:color="auto" w:fill="FFFFFF" w:themeFill="background1"/>
            <w:vAlign w:val="center"/>
          </w:tcPr>
          <w:p w14:paraId="649C14BD" w14:textId="435081FC" w:rsidR="00600D9B" w:rsidRPr="00875DBE" w:rsidRDefault="00600D9B" w:rsidP="00E625E7">
            <w:pPr>
              <w:ind w:right="118"/>
            </w:pPr>
            <w:r w:rsidRPr="00875DBE">
              <w:t>Wpływ na konkurencyjność gospodarki i przedsiębiorczość będzie różnił się w zależności od typu podmiotu i sektora.</w:t>
            </w:r>
          </w:p>
          <w:p w14:paraId="68E65F5F" w14:textId="187DD2C3" w:rsidR="00600D9B" w:rsidRPr="00875DBE" w:rsidRDefault="00600D9B" w:rsidP="00E625E7">
            <w:pPr>
              <w:ind w:right="118"/>
            </w:pPr>
            <w:r w:rsidRPr="00875DBE">
              <w:t>Nie jest możliwe oszacowanie kosztów dostosowania się przedsiębiorców do wymogów określonych w nowelizacji. Wynika to z faktu, że konkretne środki techniczne i organizacyjne stosowane przez przedsiębiorców będą zależne od przeprowadzonego szacowania ryzyka. Innego rodzaju środki będą stosować operatorzy zarządzający własną infrastrukturą telekomunikacyjną, a</w:t>
            </w:r>
            <w:r w:rsidR="00850AC9">
              <w:t> </w:t>
            </w:r>
            <w:r w:rsidRPr="00875DBE">
              <w:t>inne dostawcy usług komunikacji elektronicznej, którzy swoją działalność opierają o infrastrukturę innego operatora. Ponadto nie są znane konkretne środki już teraz stosowane przez przedsiębiorców – często, z powodów bezpieczeństwa, informacja o tych środkach stanowi tajemnicę przedsiębiorstwa.</w:t>
            </w:r>
          </w:p>
          <w:p w14:paraId="1AEB5076" w14:textId="737AF0C4" w:rsidR="00600D9B" w:rsidRPr="00875DBE" w:rsidRDefault="00600D9B" w:rsidP="00E625E7">
            <w:pPr>
              <w:ind w:right="118"/>
            </w:pPr>
            <w:r w:rsidRPr="00875DBE">
              <w:t xml:space="preserve">Podkreślić należy, że nakładane obowiązki z zakresu zarządzania ryzykiem </w:t>
            </w:r>
            <w:proofErr w:type="spellStart"/>
            <w:r w:rsidRPr="00875DBE">
              <w:t>cyberbezpieczeństwa</w:t>
            </w:r>
            <w:proofErr w:type="spellEnd"/>
            <w:r w:rsidRPr="00875DBE">
              <w:t xml:space="preserve"> pokrywają się z normami technicznymi i innymi standardami stosowanymi dobrowolnie przez przedsiębiorców. Wielu przedsiębiorców już teraz wdraża systemy zarządzania bezpieczeństwem informacji zgodne z normą ISO 27001 oraz systemy zarządzania ciągłością działania zgodne z normą ISO 22301. Część z tych przedsiębiorców uzyskuje nawet certyfikację zgodności z tymi normami. Nie są to oczywiście jedyne sposoby zapewnienia zgodności z projektowanymi przepisami. Niemniej część obowiązków proponowanych w projekcie jest już obecnie stosowana przez przedsiębiorców. </w:t>
            </w:r>
          </w:p>
          <w:p w14:paraId="4220CE23" w14:textId="6BA1752D" w:rsidR="00600D9B" w:rsidRPr="00875DBE" w:rsidRDefault="00600D9B" w:rsidP="00E625E7">
            <w:pPr>
              <w:ind w:right="118"/>
            </w:pPr>
            <w:r w:rsidRPr="00875DBE">
              <w:t>Zakłada się, że nowo powstałe zespoły CSIRT sektorowe będą aktywnie wspierać przedsiębiorców w reagowaniu na incydenty, ale także w przekazywaniu informacji o</w:t>
            </w:r>
            <w:r>
              <w:t> </w:t>
            </w:r>
            <w:proofErr w:type="spellStart"/>
            <w:r w:rsidRPr="00875DBE">
              <w:t>cyberzagrożeniach</w:t>
            </w:r>
            <w:proofErr w:type="spellEnd"/>
            <w:r w:rsidRPr="00875DBE">
              <w:t xml:space="preserve"> i podatnościach. CSIRT sektorowe będą także prowadzić działalność szkoleniową. Ideałem jest osiągnięcie wzajemnego zaufania między podmiotami kluczowymi i podmiotami ważnymi z danego sektora a CSIRT sektorowym.</w:t>
            </w:r>
          </w:p>
          <w:p w14:paraId="41122946" w14:textId="7896E500" w:rsidR="00600D9B" w:rsidRPr="00875DBE" w:rsidRDefault="00600D9B" w:rsidP="00E625E7">
            <w:pPr>
              <w:ind w:right="118"/>
            </w:pPr>
            <w:r w:rsidRPr="00875DBE">
              <w:t>Projekt nakłada jedynie konieczne i niezbędne obowiązki, aby osiągnąć cele ustawy. Projekt nie wprowadza regulacji dot. zakazu wykonywania określonej działalności gospodarczej. Z tych</w:t>
            </w:r>
            <w:r w:rsidR="00CA459D">
              <w:t> </w:t>
            </w:r>
            <w:r w:rsidRPr="00875DBE">
              <w:t>powodów uznaje się, że projekt jest zgodny z ustawą z dnia 6 marca 2018 r. – Prawo przedsiębiorców</w:t>
            </w:r>
            <w:r>
              <w:t xml:space="preserve">. </w:t>
            </w:r>
          </w:p>
        </w:tc>
      </w:tr>
      <w:tr w:rsidR="00600D9B" w:rsidRPr="00875DBE" w14:paraId="66BC6885" w14:textId="77777777" w:rsidTr="006148BE">
        <w:trPr>
          <w:trHeight w:val="342"/>
        </w:trPr>
        <w:tc>
          <w:tcPr>
            <w:tcW w:w="5000" w:type="pct"/>
            <w:gridSpan w:val="28"/>
            <w:shd w:val="clear" w:color="auto" w:fill="99CCFF"/>
            <w:vAlign w:val="center"/>
          </w:tcPr>
          <w:p w14:paraId="01D1BFEC" w14:textId="3EBF6F4F" w:rsidR="00600D9B" w:rsidRPr="00875DBE" w:rsidRDefault="00600D9B" w:rsidP="00600D9B">
            <w:pPr>
              <w:numPr>
                <w:ilvl w:val="0"/>
                <w:numId w:val="3"/>
              </w:numPr>
              <w:spacing w:before="60" w:after="60"/>
              <w:ind w:left="318" w:hanging="284"/>
              <w:rPr>
                <w:b/>
                <w:color w:val="000000"/>
              </w:rPr>
            </w:pPr>
            <w:r w:rsidRPr="00875DBE">
              <w:rPr>
                <w:b/>
                <w:color w:val="000000"/>
              </w:rPr>
              <w:t xml:space="preserve"> Zmiana obciążeń regulacyjnych (w tym obowiązków informacyjnych) wynikających z projektu</w:t>
            </w:r>
          </w:p>
        </w:tc>
      </w:tr>
      <w:tr w:rsidR="00600D9B" w:rsidRPr="00875DBE" w14:paraId="30F93955" w14:textId="77777777" w:rsidTr="006148BE">
        <w:trPr>
          <w:trHeight w:val="151"/>
        </w:trPr>
        <w:tc>
          <w:tcPr>
            <w:tcW w:w="5000" w:type="pct"/>
            <w:gridSpan w:val="28"/>
            <w:shd w:val="clear" w:color="auto" w:fill="FFFFFF" w:themeFill="background1"/>
          </w:tcPr>
          <w:p w14:paraId="6502A177" w14:textId="77777777" w:rsidR="00600D9B" w:rsidRPr="00875DBE" w:rsidRDefault="00600D9B" w:rsidP="00600D9B">
            <w:pPr>
              <w:rPr>
                <w:color w:val="000000"/>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nie dotyczy</w:t>
            </w:r>
          </w:p>
        </w:tc>
      </w:tr>
      <w:tr w:rsidR="00600D9B" w:rsidRPr="00875DBE" w14:paraId="45573C1C" w14:textId="77777777" w:rsidTr="00E625E7">
        <w:trPr>
          <w:trHeight w:val="946"/>
        </w:trPr>
        <w:tc>
          <w:tcPr>
            <w:tcW w:w="2558" w:type="pct"/>
            <w:gridSpan w:val="13"/>
            <w:shd w:val="clear" w:color="auto" w:fill="FFFFFF" w:themeFill="background1"/>
          </w:tcPr>
          <w:p w14:paraId="64194951" w14:textId="511E09FB" w:rsidR="00600D9B" w:rsidRPr="00875DBE" w:rsidRDefault="00600D9B" w:rsidP="00600D9B">
            <w:pPr>
              <w:rPr>
                <w:color w:val="000000"/>
                <w:spacing w:val="-2"/>
              </w:rPr>
            </w:pPr>
            <w:r w:rsidRPr="00875DBE">
              <w:rPr>
                <w:color w:val="000000"/>
                <w:spacing w:val="-2"/>
              </w:rPr>
              <w:lastRenderedPageBreak/>
              <w:t xml:space="preserve">Wprowadzane są obciążenia poza bezwzględnie wymaganymi przez UE </w:t>
            </w:r>
            <w:r w:rsidRPr="00875DBE">
              <w:rPr>
                <w:color w:val="000000"/>
              </w:rPr>
              <w:t>(szczegóły w odwróconej tabeli zgodności).</w:t>
            </w:r>
          </w:p>
        </w:tc>
        <w:tc>
          <w:tcPr>
            <w:tcW w:w="2442" w:type="pct"/>
            <w:gridSpan w:val="15"/>
            <w:shd w:val="clear" w:color="auto" w:fill="FFFFFF" w:themeFill="background1"/>
          </w:tcPr>
          <w:p w14:paraId="391EA7A8" w14:textId="77777777" w:rsidR="00600D9B" w:rsidRPr="00875DBE" w:rsidRDefault="00600D9B" w:rsidP="00600D9B">
            <w:pPr>
              <w:rPr>
                <w:color w:val="000000"/>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tak</w:t>
            </w:r>
          </w:p>
          <w:p w14:paraId="68129BD7" w14:textId="77777777" w:rsidR="00600D9B" w:rsidRPr="00875DBE" w:rsidRDefault="00600D9B" w:rsidP="00600D9B">
            <w:pPr>
              <w:rPr>
                <w:color w:val="000000"/>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nie</w:t>
            </w:r>
          </w:p>
          <w:p w14:paraId="2CF16FB5" w14:textId="77777777" w:rsidR="00600D9B" w:rsidRPr="00875DBE" w:rsidRDefault="00600D9B" w:rsidP="00600D9B">
            <w:pPr>
              <w:rPr>
                <w:color w:val="000000"/>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nie dotyczy</w:t>
            </w:r>
          </w:p>
        </w:tc>
      </w:tr>
      <w:tr w:rsidR="00600D9B" w:rsidRPr="00875DBE" w14:paraId="1D457FD5" w14:textId="77777777" w:rsidTr="00E625E7">
        <w:trPr>
          <w:trHeight w:val="1245"/>
        </w:trPr>
        <w:tc>
          <w:tcPr>
            <w:tcW w:w="2558" w:type="pct"/>
            <w:gridSpan w:val="13"/>
            <w:shd w:val="clear" w:color="auto" w:fill="FFFFFF" w:themeFill="background1"/>
          </w:tcPr>
          <w:p w14:paraId="3EA9D158" w14:textId="77777777" w:rsidR="00600D9B" w:rsidRPr="00875DBE" w:rsidRDefault="00600D9B" w:rsidP="00600D9B">
            <w:pPr>
              <w:rPr>
                <w:color w:val="000000"/>
                <w:spacing w:val="-2"/>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 xml:space="preserve">zmniejszenie liczby dokumentów </w:t>
            </w:r>
          </w:p>
          <w:p w14:paraId="13D0E846" w14:textId="77777777" w:rsidR="00600D9B" w:rsidRPr="00875DBE" w:rsidRDefault="00600D9B" w:rsidP="00600D9B">
            <w:pPr>
              <w:rPr>
                <w:color w:val="000000"/>
                <w:spacing w:val="-2"/>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zmniejszenie liczby procedur</w:t>
            </w:r>
          </w:p>
          <w:p w14:paraId="506B8DF6" w14:textId="77777777" w:rsidR="00600D9B" w:rsidRPr="00875DBE" w:rsidRDefault="00600D9B" w:rsidP="00600D9B">
            <w:pPr>
              <w:rPr>
                <w:color w:val="000000"/>
                <w:spacing w:val="-2"/>
              </w:rPr>
            </w:pPr>
            <w:r w:rsidRPr="00875DBE">
              <w:rPr>
                <w:color w:val="000000"/>
              </w:rPr>
              <w:fldChar w:fldCharType="begin">
                <w:ffData>
                  <w:name w:val=""/>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skrócenie czasu na załatwienie sprawy</w:t>
            </w:r>
          </w:p>
          <w:p w14:paraId="4931E99D" w14:textId="77777777" w:rsidR="00600D9B" w:rsidRPr="00875DBE" w:rsidRDefault="00600D9B" w:rsidP="00600D9B">
            <w:pPr>
              <w:rPr>
                <w:b/>
                <w:color w:val="000000"/>
                <w:spacing w:val="-2"/>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inne:</w:t>
            </w:r>
            <w:r w:rsidRPr="00875DBE">
              <w:rPr>
                <w:color w:val="000000"/>
              </w:rPr>
              <w:t xml:space="preserve"> </w:t>
            </w:r>
            <w:r w:rsidRPr="00875DBE">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75DBE">
              <w:rPr>
                <w:color w:val="000000"/>
              </w:rPr>
              <w:instrText xml:space="preserve"> FORMTEXT </w:instrText>
            </w:r>
            <w:r w:rsidRPr="00875DBE">
              <w:rPr>
                <w:color w:val="000000"/>
              </w:rPr>
            </w:r>
            <w:r w:rsidRPr="00875DBE">
              <w:rPr>
                <w:color w:val="000000"/>
              </w:rPr>
              <w:fldChar w:fldCharType="separate"/>
            </w:r>
            <w:r w:rsidRPr="00875DBE">
              <w:rPr>
                <w:noProof/>
                <w:color w:val="000000"/>
              </w:rPr>
              <w:t> </w:t>
            </w:r>
            <w:r w:rsidRPr="00875DBE">
              <w:rPr>
                <w:noProof/>
                <w:color w:val="000000"/>
              </w:rPr>
              <w:t> </w:t>
            </w:r>
            <w:r w:rsidRPr="00875DBE">
              <w:rPr>
                <w:noProof/>
                <w:color w:val="000000"/>
              </w:rPr>
              <w:t> </w:t>
            </w:r>
            <w:r w:rsidRPr="00875DBE">
              <w:rPr>
                <w:noProof/>
                <w:color w:val="000000"/>
              </w:rPr>
              <w:t> </w:t>
            </w:r>
            <w:r w:rsidRPr="00875DBE">
              <w:rPr>
                <w:noProof/>
                <w:color w:val="000000"/>
              </w:rPr>
              <w:t> </w:t>
            </w:r>
            <w:r w:rsidRPr="00875DBE">
              <w:rPr>
                <w:color w:val="000000"/>
              </w:rPr>
              <w:fldChar w:fldCharType="end"/>
            </w:r>
          </w:p>
        </w:tc>
        <w:tc>
          <w:tcPr>
            <w:tcW w:w="2442" w:type="pct"/>
            <w:gridSpan w:val="15"/>
            <w:shd w:val="clear" w:color="auto" w:fill="FFFFFF" w:themeFill="background1"/>
          </w:tcPr>
          <w:p w14:paraId="1ADBFE4F" w14:textId="109FC8D3" w:rsidR="00600D9B" w:rsidRPr="00875DBE" w:rsidRDefault="00600D9B" w:rsidP="00600D9B">
            <w:pPr>
              <w:rPr>
                <w:color w:val="000000"/>
                <w:spacing w:val="-2"/>
              </w:rPr>
            </w:pPr>
            <w:r w:rsidRPr="00875DBE">
              <w:rPr>
                <w:color w:val="000000"/>
              </w:rPr>
              <w:fldChar w:fldCharType="begin">
                <w:ffData>
                  <w:name w:val=""/>
                  <w:enabled/>
                  <w:calcOnExit w:val="0"/>
                  <w:checkBox>
                    <w:sizeAuto/>
                    <w:default w:val="1"/>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zwiększenie liczby dokumentów</w:t>
            </w:r>
          </w:p>
          <w:p w14:paraId="04B7E11D" w14:textId="5CE80EBB" w:rsidR="00600D9B" w:rsidRPr="00875DBE" w:rsidRDefault="00600D9B" w:rsidP="00600D9B">
            <w:pPr>
              <w:rPr>
                <w:color w:val="000000"/>
                <w:spacing w:val="-2"/>
              </w:rPr>
            </w:pPr>
            <w:r w:rsidRPr="00875DBE">
              <w:rPr>
                <w:color w:val="000000"/>
              </w:rPr>
              <w:fldChar w:fldCharType="begin">
                <w:ffData>
                  <w:name w:val=""/>
                  <w:enabled/>
                  <w:calcOnExit w:val="0"/>
                  <w:checkBox>
                    <w:sizeAuto/>
                    <w:default w:val="1"/>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zwiększenie liczby procedur</w:t>
            </w:r>
          </w:p>
          <w:p w14:paraId="1D43C2CB" w14:textId="77777777" w:rsidR="00600D9B" w:rsidRPr="00875DBE" w:rsidRDefault="00600D9B" w:rsidP="00600D9B">
            <w:pPr>
              <w:rPr>
                <w:color w:val="000000"/>
                <w:spacing w:val="-2"/>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wydłużenie czasu na załatwienie sprawy</w:t>
            </w:r>
          </w:p>
          <w:p w14:paraId="4B94B47F" w14:textId="77777777" w:rsidR="00600D9B" w:rsidRPr="00875DBE" w:rsidRDefault="00600D9B" w:rsidP="00600D9B">
            <w:pPr>
              <w:rPr>
                <w:color w:val="000000"/>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inne:</w:t>
            </w:r>
            <w:r w:rsidRPr="00875DBE">
              <w:rPr>
                <w:color w:val="000000"/>
              </w:rPr>
              <w:t xml:space="preserve"> </w:t>
            </w:r>
            <w:r w:rsidRPr="00875DBE">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75DBE">
              <w:rPr>
                <w:color w:val="000000"/>
              </w:rPr>
              <w:instrText xml:space="preserve"> FORMTEXT </w:instrText>
            </w:r>
            <w:r w:rsidRPr="00875DBE">
              <w:rPr>
                <w:color w:val="000000"/>
              </w:rPr>
            </w:r>
            <w:r w:rsidRPr="00875DBE">
              <w:rPr>
                <w:color w:val="000000"/>
              </w:rPr>
              <w:fldChar w:fldCharType="separate"/>
            </w:r>
            <w:r w:rsidRPr="00875DBE">
              <w:rPr>
                <w:noProof/>
                <w:color w:val="000000"/>
              </w:rPr>
              <w:t> </w:t>
            </w:r>
            <w:r w:rsidRPr="00875DBE">
              <w:rPr>
                <w:noProof/>
                <w:color w:val="000000"/>
              </w:rPr>
              <w:t> </w:t>
            </w:r>
            <w:r w:rsidRPr="00875DBE">
              <w:rPr>
                <w:noProof/>
                <w:color w:val="000000"/>
              </w:rPr>
              <w:t> </w:t>
            </w:r>
            <w:r w:rsidRPr="00875DBE">
              <w:rPr>
                <w:noProof/>
                <w:color w:val="000000"/>
              </w:rPr>
              <w:t> </w:t>
            </w:r>
            <w:r w:rsidRPr="00875DBE">
              <w:rPr>
                <w:noProof/>
                <w:color w:val="000000"/>
              </w:rPr>
              <w:t> </w:t>
            </w:r>
            <w:r w:rsidRPr="00875DBE">
              <w:rPr>
                <w:color w:val="000000"/>
              </w:rPr>
              <w:fldChar w:fldCharType="end"/>
            </w:r>
          </w:p>
          <w:p w14:paraId="22DD424E" w14:textId="77777777" w:rsidR="00600D9B" w:rsidRPr="00875DBE" w:rsidRDefault="00600D9B" w:rsidP="00600D9B">
            <w:pPr>
              <w:rPr>
                <w:color w:val="000000"/>
              </w:rPr>
            </w:pPr>
          </w:p>
        </w:tc>
      </w:tr>
      <w:tr w:rsidR="00600D9B" w:rsidRPr="00875DBE" w14:paraId="27AEF7AF" w14:textId="77777777" w:rsidTr="00E625E7">
        <w:trPr>
          <w:trHeight w:val="870"/>
        </w:trPr>
        <w:tc>
          <w:tcPr>
            <w:tcW w:w="2558" w:type="pct"/>
            <w:gridSpan w:val="13"/>
            <w:shd w:val="clear" w:color="auto" w:fill="FFFFFF" w:themeFill="background1"/>
          </w:tcPr>
          <w:p w14:paraId="0E45CB86" w14:textId="77777777" w:rsidR="00600D9B" w:rsidRPr="00875DBE" w:rsidRDefault="00600D9B" w:rsidP="00600D9B">
            <w:pPr>
              <w:rPr>
                <w:color w:val="000000"/>
              </w:rPr>
            </w:pPr>
            <w:r w:rsidRPr="00875DBE">
              <w:rPr>
                <w:color w:val="000000"/>
                <w:spacing w:val="-2"/>
              </w:rPr>
              <w:t xml:space="preserve">Wprowadzane obciążenia są przystosowane do ich elektronizacji. </w:t>
            </w:r>
          </w:p>
        </w:tc>
        <w:tc>
          <w:tcPr>
            <w:tcW w:w="2442" w:type="pct"/>
            <w:gridSpan w:val="15"/>
            <w:shd w:val="clear" w:color="auto" w:fill="FFFFFF" w:themeFill="background1"/>
          </w:tcPr>
          <w:p w14:paraId="269D8F8D" w14:textId="4D8A1218" w:rsidR="00600D9B" w:rsidRPr="00875DBE" w:rsidRDefault="00600D9B" w:rsidP="00600D9B">
            <w:pPr>
              <w:rPr>
                <w:color w:val="000000"/>
              </w:rPr>
            </w:pPr>
            <w:r w:rsidRPr="00875DBE">
              <w:rPr>
                <w:color w:val="000000"/>
              </w:rPr>
              <w:fldChar w:fldCharType="begin">
                <w:ffData>
                  <w:name w:val=""/>
                  <w:enabled/>
                  <w:calcOnExit w:val="0"/>
                  <w:checkBox>
                    <w:sizeAuto/>
                    <w:default w:val="1"/>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tak</w:t>
            </w:r>
          </w:p>
          <w:p w14:paraId="0598CCB9" w14:textId="77777777" w:rsidR="00600D9B" w:rsidRPr="00875DBE" w:rsidRDefault="00600D9B" w:rsidP="00600D9B">
            <w:pPr>
              <w:rPr>
                <w:color w:val="000000"/>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nie</w:t>
            </w:r>
          </w:p>
          <w:p w14:paraId="51F28709" w14:textId="77777777" w:rsidR="00600D9B" w:rsidRPr="00875DBE" w:rsidRDefault="00600D9B" w:rsidP="00600D9B">
            <w:pPr>
              <w:rPr>
                <w:color w:val="000000"/>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nie dotyczy</w:t>
            </w:r>
          </w:p>
          <w:p w14:paraId="60333617" w14:textId="77777777" w:rsidR="00600D9B" w:rsidRPr="00875DBE" w:rsidRDefault="00600D9B" w:rsidP="00600D9B">
            <w:pPr>
              <w:rPr>
                <w:color w:val="000000"/>
              </w:rPr>
            </w:pPr>
          </w:p>
        </w:tc>
      </w:tr>
      <w:tr w:rsidR="00600D9B" w:rsidRPr="00875DBE" w14:paraId="3C0DF322" w14:textId="77777777" w:rsidTr="006148BE">
        <w:trPr>
          <w:trHeight w:val="630"/>
        </w:trPr>
        <w:tc>
          <w:tcPr>
            <w:tcW w:w="5000" w:type="pct"/>
            <w:gridSpan w:val="28"/>
            <w:shd w:val="clear" w:color="auto" w:fill="FFFFFF" w:themeFill="background1"/>
          </w:tcPr>
          <w:p w14:paraId="7E60BA8E" w14:textId="151DDAF0" w:rsidR="00600D9B" w:rsidRDefault="00600D9B" w:rsidP="00E625E7">
            <w:pPr>
              <w:ind w:right="118"/>
            </w:pPr>
            <w:r w:rsidRPr="00875DBE">
              <w:t>Komentarz:</w:t>
            </w:r>
          </w:p>
          <w:p w14:paraId="27B9C190" w14:textId="4C7DF377" w:rsidR="00600D9B" w:rsidRDefault="00600D9B" w:rsidP="00E625E7">
            <w:pPr>
              <w:ind w:right="118"/>
            </w:pPr>
            <w:r>
              <w:t>Nałożono obowiązki na podmioty kluczowe i podmioty ważne zgodne z wykazem tych podmiotów wskazanych w</w:t>
            </w:r>
            <w:r w:rsidR="00CA459D">
              <w:t> </w:t>
            </w:r>
            <w:r>
              <w:t xml:space="preserve">załączniku nr 1 i 2 do dyrektywy NIS2. Będą one obowiązane dokonać </w:t>
            </w:r>
            <w:proofErr w:type="spellStart"/>
            <w:r>
              <w:t>samorejestracji</w:t>
            </w:r>
            <w:proofErr w:type="spellEnd"/>
            <w:r>
              <w:t xml:space="preserve"> w wykazie podmiotów kluczowych i ważnych, co umożliwi ich identyfikację, aktywne wsparcie ich przez zespoły CSIRT sektorowe i zespoły CSIRT poziomu krajowego oraz wykonywanie czynności nadzorczych przez organy właściwe do spraw </w:t>
            </w:r>
            <w:proofErr w:type="spellStart"/>
            <w:r>
              <w:t>cyberbezpieczeństwa</w:t>
            </w:r>
            <w:proofErr w:type="spellEnd"/>
            <w:r>
              <w:t>. Umożliwi to także przekazywanie danych o liczbie tych podmiotów do Komisji Europejskiej i</w:t>
            </w:r>
            <w:r w:rsidR="00CA459D">
              <w:t> </w:t>
            </w:r>
            <w:r>
              <w:t xml:space="preserve">Agencji Unii Europejskiej do spraw </w:t>
            </w:r>
            <w:proofErr w:type="spellStart"/>
            <w:r>
              <w:t>Cyberbezpieczeństwa</w:t>
            </w:r>
            <w:proofErr w:type="spellEnd"/>
            <w:r>
              <w:t>.</w:t>
            </w:r>
          </w:p>
          <w:p w14:paraId="1C436E62" w14:textId="1F306377" w:rsidR="00600D9B" w:rsidRDefault="00600D9B" w:rsidP="00E625E7">
            <w:pPr>
              <w:ind w:right="118"/>
            </w:pPr>
            <w:r>
              <w:t>Podmioty kluczowe i podmioty ważne będą obowiązane wprowadzić system zarządzania bezpieczeństwem informacji w procesach służących świadczeniu usług przez te podmioty. Odpowiada to zakresowi wymogów co do środków zarządzania ryzykiem wskazanych w art. 21 dyrektywy NIS</w:t>
            </w:r>
            <w:r w:rsidR="004425CF">
              <w:t xml:space="preserve"> </w:t>
            </w:r>
            <w:r>
              <w:t>2.</w:t>
            </w:r>
          </w:p>
          <w:p w14:paraId="61EE5A80" w14:textId="7A911ADB" w:rsidR="00600D9B" w:rsidRDefault="00600D9B" w:rsidP="00E625E7">
            <w:pPr>
              <w:ind w:right="118"/>
            </w:pPr>
            <w:r>
              <w:t>Kierownik podmiotu kluczowego lub</w:t>
            </w:r>
            <w:r w:rsidR="00CA459D">
              <w:t xml:space="preserve"> podmiotu</w:t>
            </w:r>
            <w:r>
              <w:t xml:space="preserve"> ważnego będzie odpowiedzialny za realizację tych zadań przez podmiot – i będą mogły być nałożone na niego kary. Będzie miał też obowiązek przejścia stosownego szkolenia z zakresu </w:t>
            </w:r>
            <w:proofErr w:type="spellStart"/>
            <w:r>
              <w:t>cyberbezpieczeństwa</w:t>
            </w:r>
            <w:proofErr w:type="spellEnd"/>
            <w:r>
              <w:t>.</w:t>
            </w:r>
          </w:p>
          <w:p w14:paraId="64F50B8E" w14:textId="1012C37C" w:rsidR="00600D9B" w:rsidRPr="00875DBE" w:rsidRDefault="00600D9B" w:rsidP="00E625E7">
            <w:pPr>
              <w:ind w:right="118"/>
            </w:pPr>
            <w:r>
              <w:t>Tak jak do tej pory operatorzy usług kluczowych tak i inne podmioty kluczowe i ważne będą obowiązane przeprowadzać audyty bezpieczeństwa swoich systemów informacyjnych co dwa lata.</w:t>
            </w:r>
          </w:p>
          <w:p w14:paraId="036E4F09" w14:textId="16F0C650" w:rsidR="00600D9B" w:rsidRPr="00875DBE" w:rsidRDefault="00600D9B" w:rsidP="00E625E7">
            <w:pPr>
              <w:ind w:right="118"/>
            </w:pPr>
            <w:r w:rsidRPr="00875DBE">
              <w:t xml:space="preserve">Projektowana ustawa w zakresie zgłaszania incydentów zwiększa liczbę obowiązków nakładanych na podmioty objęte jej regulacją. </w:t>
            </w:r>
            <w:r>
              <w:t xml:space="preserve">Podmioty kluczowe i ważne będą w pierwszej kolejności zgłaszać </w:t>
            </w:r>
            <w:r w:rsidRPr="00875DBE">
              <w:t xml:space="preserve">wczesne </w:t>
            </w:r>
            <w:r>
              <w:t>ostrzeżenie</w:t>
            </w:r>
            <w:r w:rsidRPr="00875DBE">
              <w:t xml:space="preserve"> o incydencie poważnym</w:t>
            </w:r>
            <w:r>
              <w:t xml:space="preserve">. Zgłoszenia będą kierowane do CSIRT sektorowego. </w:t>
            </w:r>
            <w:r w:rsidRPr="006148BE">
              <w:rPr>
                <w:rFonts w:ascii="Times" w:eastAsia="Times" w:hAnsi="Times" w:cs="Times"/>
              </w:rPr>
              <w:t>Wczesne ostrzeżenie będzie mogło zawierać wniosek o wskazanie wytycznych dotyczących możliwych do wdrożenia środków ograniczających skutki incydentu poważnego lub o wsparcie techniczne przy obsłudz</w:t>
            </w:r>
            <w:r w:rsidRPr="28F7A7D4">
              <w:rPr>
                <w:rFonts w:ascii="Times" w:eastAsia="Times" w:hAnsi="Times" w:cs="Times"/>
                <w:sz w:val="24"/>
                <w:szCs w:val="24"/>
              </w:rPr>
              <w:t xml:space="preserve">e </w:t>
            </w:r>
            <w:r w:rsidRPr="006148BE">
              <w:rPr>
                <w:rFonts w:ascii="Times" w:eastAsia="Times" w:hAnsi="Times" w:cs="Times"/>
              </w:rPr>
              <w:t>incydentu</w:t>
            </w:r>
            <w:r w:rsidRPr="28F7A7D4">
              <w:rPr>
                <w:rFonts w:ascii="Times" w:eastAsia="Times" w:hAnsi="Times" w:cs="Times"/>
              </w:rPr>
              <w:t xml:space="preserve">. Po otrzymaniu takiego wniosku CSIRT sektorowy zobowiązany będzie do </w:t>
            </w:r>
            <w:r w:rsidRPr="683873BA">
              <w:rPr>
                <w:rFonts w:ascii="Times" w:eastAsia="Times" w:hAnsi="Times" w:cs="Times"/>
              </w:rPr>
              <w:t>udzielenia</w:t>
            </w:r>
            <w:r w:rsidRPr="28F7A7D4">
              <w:rPr>
                <w:rFonts w:ascii="Times" w:eastAsia="Times" w:hAnsi="Times" w:cs="Times"/>
              </w:rPr>
              <w:t xml:space="preserve"> stosownego wsparcia podmiotowi</w:t>
            </w:r>
            <w:r w:rsidRPr="683873BA">
              <w:rPr>
                <w:rFonts w:ascii="Times" w:eastAsia="Times" w:hAnsi="Times" w:cs="Times"/>
              </w:rPr>
              <w:t xml:space="preserve"> zgłaszającemu taki wniosek. </w:t>
            </w:r>
            <w:r w:rsidRPr="74623E0F">
              <w:rPr>
                <w:rFonts w:ascii="Times" w:eastAsia="Times" w:hAnsi="Times" w:cs="Times"/>
              </w:rPr>
              <w:t>Następnie</w:t>
            </w:r>
            <w:r w:rsidRPr="67BC91F3">
              <w:rPr>
                <w:rFonts w:ascii="Times" w:eastAsia="Times" w:hAnsi="Times" w:cs="Times"/>
              </w:rPr>
              <w:t xml:space="preserve"> dokonywane</w:t>
            </w:r>
            <w:r w:rsidRPr="1A1F4FC3">
              <w:rPr>
                <w:rFonts w:ascii="Times" w:eastAsia="Times" w:hAnsi="Times" w:cs="Times"/>
              </w:rPr>
              <w:t xml:space="preserve"> </w:t>
            </w:r>
            <w:r w:rsidRPr="63DC5E17">
              <w:rPr>
                <w:rFonts w:ascii="Times" w:eastAsia="Times" w:hAnsi="Times" w:cs="Times"/>
              </w:rPr>
              <w:t xml:space="preserve">będzie </w:t>
            </w:r>
            <w:r w:rsidRPr="669BD6D1">
              <w:rPr>
                <w:rFonts w:ascii="Times" w:eastAsia="Times" w:hAnsi="Times" w:cs="Times"/>
              </w:rPr>
              <w:t xml:space="preserve">zgłoszenie incydentu. </w:t>
            </w:r>
            <w:r w:rsidRPr="28CDFC65">
              <w:rPr>
                <w:rFonts w:ascii="Times" w:eastAsia="Times" w:hAnsi="Times" w:cs="Times"/>
              </w:rPr>
              <w:t xml:space="preserve">W </w:t>
            </w:r>
            <w:r w:rsidRPr="59C388DA">
              <w:rPr>
                <w:rFonts w:ascii="Times" w:eastAsia="Times" w:hAnsi="Times" w:cs="Times"/>
              </w:rPr>
              <w:t>trakcie obsługi</w:t>
            </w:r>
            <w:r w:rsidRPr="4B3139E0">
              <w:rPr>
                <w:rFonts w:ascii="Times" w:eastAsia="Times" w:hAnsi="Times" w:cs="Times"/>
              </w:rPr>
              <w:t xml:space="preserve"> incydentu</w:t>
            </w:r>
            <w:r w:rsidRPr="609857BA">
              <w:rPr>
                <w:rFonts w:ascii="Times" w:eastAsia="Times" w:hAnsi="Times" w:cs="Times"/>
              </w:rPr>
              <w:t xml:space="preserve">, </w:t>
            </w:r>
            <w:r w:rsidRPr="63C3632F">
              <w:rPr>
                <w:rFonts w:ascii="Times" w:eastAsia="Times" w:hAnsi="Times" w:cs="Times"/>
              </w:rPr>
              <w:t xml:space="preserve">na </w:t>
            </w:r>
            <w:r w:rsidRPr="6B658C04">
              <w:rPr>
                <w:rFonts w:ascii="Times" w:eastAsia="Times" w:hAnsi="Times" w:cs="Times"/>
              </w:rPr>
              <w:t xml:space="preserve">wniosek </w:t>
            </w:r>
            <w:r w:rsidRPr="2B2F5B4B">
              <w:rPr>
                <w:rFonts w:ascii="Times" w:eastAsia="Times" w:hAnsi="Times" w:cs="Times"/>
              </w:rPr>
              <w:t>właściwego</w:t>
            </w:r>
            <w:r w:rsidRPr="683873BA">
              <w:rPr>
                <w:rFonts w:ascii="Times" w:eastAsia="Times" w:hAnsi="Times" w:cs="Times"/>
              </w:rPr>
              <w:t xml:space="preserve"> CSIRT </w:t>
            </w:r>
            <w:r w:rsidRPr="3A1AD2D0">
              <w:rPr>
                <w:rFonts w:ascii="Times" w:eastAsia="Times" w:hAnsi="Times" w:cs="Times"/>
              </w:rPr>
              <w:t>sektorowego</w:t>
            </w:r>
            <w:r>
              <w:rPr>
                <w:rFonts w:ascii="Times" w:eastAsia="Times" w:hAnsi="Times" w:cs="Times"/>
              </w:rPr>
              <w:t>, przekazywane będzie sprawozdanie okresowe, a po zakończeniu obsługi incydentu – sprawozdanie końcowe.</w:t>
            </w:r>
          </w:p>
          <w:p w14:paraId="31E3586B" w14:textId="6516A0D3" w:rsidR="00600D9B" w:rsidRPr="00875DBE" w:rsidRDefault="00600D9B" w:rsidP="00E625E7">
            <w:pPr>
              <w:ind w:right="118"/>
            </w:pPr>
            <w:r w:rsidRPr="00875DBE">
              <w:t xml:space="preserve">CSIRT sektorowe będą przedstawiały Pełnomocnikowi Rządu do Spraw </w:t>
            </w:r>
            <w:proofErr w:type="spellStart"/>
            <w:r w:rsidRPr="00875DBE">
              <w:t>Cyberbezpieczeństwa</w:t>
            </w:r>
            <w:proofErr w:type="spellEnd"/>
            <w:r w:rsidRPr="00875DBE">
              <w:t xml:space="preserve"> sprawozdanie z działalności za poprzedni rok.</w:t>
            </w:r>
          </w:p>
          <w:p w14:paraId="42118CA2" w14:textId="77777777" w:rsidR="00600D9B" w:rsidRDefault="00600D9B" w:rsidP="00E625E7">
            <w:pPr>
              <w:ind w:right="118"/>
            </w:pPr>
            <w:r w:rsidRPr="00875DBE">
              <w:t xml:space="preserve">Podmioty, które mogą spełniać kryteria uznania za podmioty kluczowe lub podmioty ważne będą mogły być </w:t>
            </w:r>
            <w:r>
              <w:t>„</w:t>
            </w:r>
            <w:r w:rsidRPr="00875DBE">
              <w:t>odpytywane</w:t>
            </w:r>
            <w:r>
              <w:t>”</w:t>
            </w:r>
            <w:r w:rsidRPr="00875DBE">
              <w:t xml:space="preserve"> przez organy właściwe do spraw </w:t>
            </w:r>
            <w:proofErr w:type="spellStart"/>
            <w:r w:rsidRPr="00875DBE">
              <w:t>cyberbezpieczeństwa</w:t>
            </w:r>
            <w:proofErr w:type="spellEnd"/>
            <w:r w:rsidRPr="00875DBE">
              <w:t xml:space="preserve"> o informacje, które pozwolą ustalić ich status. Brak udzielenia odpowiedzi będzie skutkował </w:t>
            </w:r>
            <w:r>
              <w:t xml:space="preserve">nałożeniem </w:t>
            </w:r>
            <w:r w:rsidRPr="00875DBE">
              <w:t>administracyjn</w:t>
            </w:r>
            <w:r>
              <w:t>ej</w:t>
            </w:r>
            <w:r w:rsidRPr="00875DBE">
              <w:t xml:space="preserve"> kar</w:t>
            </w:r>
            <w:r>
              <w:t>y</w:t>
            </w:r>
            <w:r w:rsidRPr="00875DBE">
              <w:t xml:space="preserve"> pieniężn</w:t>
            </w:r>
            <w:r>
              <w:t>ej</w:t>
            </w:r>
            <w:r w:rsidRPr="00875DBE">
              <w:t>.</w:t>
            </w:r>
          </w:p>
          <w:p w14:paraId="4E1EDA27" w14:textId="67990A6A" w:rsidR="00600D9B" w:rsidRPr="006148BE" w:rsidRDefault="00600D9B" w:rsidP="00E625E7">
            <w:pPr>
              <w:ind w:right="118"/>
              <w:rPr>
                <w:rFonts w:eastAsia="Times New Roman"/>
                <w:lang w:eastAsia="pl-PL"/>
              </w:rPr>
            </w:pPr>
            <w:r>
              <w:t xml:space="preserve">Nowym zadaniem ministra właściwego do spraw informatyzacji będzie przygotowanie </w:t>
            </w:r>
            <w:r w:rsidR="00CA459D">
              <w:t>K</w:t>
            </w:r>
            <w:r w:rsidRPr="001415BE">
              <w:t>rajow</w:t>
            </w:r>
            <w:r>
              <w:t>ego</w:t>
            </w:r>
            <w:r w:rsidRPr="001415BE">
              <w:t xml:space="preserve"> </w:t>
            </w:r>
            <w:r w:rsidR="00CA459D">
              <w:t>P</w:t>
            </w:r>
            <w:r w:rsidRPr="001415BE">
              <w:t>lan</w:t>
            </w:r>
            <w:r w:rsidR="00CA459D">
              <w:t>u</w:t>
            </w:r>
            <w:r w:rsidRPr="001415BE">
              <w:t xml:space="preserve"> reagowania na incydenty i sytuacje kryzysowe w </w:t>
            </w:r>
            <w:proofErr w:type="spellStart"/>
            <w:r w:rsidRPr="001415BE">
              <w:t>cyberbezpieczeństwie</w:t>
            </w:r>
            <w:proofErr w:type="spellEnd"/>
            <w:r w:rsidRPr="001415BE">
              <w:t xml:space="preserve"> na dużą skalę</w:t>
            </w:r>
            <w:r>
              <w:t xml:space="preserve">. </w:t>
            </w:r>
            <w:r>
              <w:rPr>
                <w:rFonts w:eastAsia="Times New Roman"/>
                <w:lang w:eastAsia="pl-PL"/>
              </w:rPr>
              <w:t xml:space="preserve">Dokument ten będzie określał zasady postępowania w przypadku wystąpienia takiego incydentu oraz zasady współpracy między organami realizującymi zadania z zakresu </w:t>
            </w:r>
            <w:proofErr w:type="spellStart"/>
            <w:r>
              <w:rPr>
                <w:rFonts w:eastAsia="Times New Roman"/>
                <w:lang w:eastAsia="pl-PL"/>
              </w:rPr>
              <w:t>cyberbezpieczeństwa</w:t>
            </w:r>
            <w:proofErr w:type="spellEnd"/>
            <w:r>
              <w:rPr>
                <w:rFonts w:eastAsia="Times New Roman"/>
                <w:lang w:eastAsia="pl-PL"/>
              </w:rPr>
              <w:t xml:space="preserve"> oraz organami właściwymi do spraw zarządzania kryzysowego. </w:t>
            </w:r>
            <w:r w:rsidR="00CA459D">
              <w:rPr>
                <w:rFonts w:eastAsia="Times New Roman"/>
                <w:lang w:eastAsia="pl-PL"/>
              </w:rPr>
              <w:t xml:space="preserve">i będzie </w:t>
            </w:r>
            <w:r>
              <w:rPr>
                <w:rFonts w:eastAsia="Times New Roman"/>
                <w:lang w:eastAsia="pl-PL"/>
              </w:rPr>
              <w:t xml:space="preserve">przyjmowany w drodze uchwały Rady Ministrów. Minister właściwy do spraw informatyzacji będzie również prosił o wkłady inne organy, zwłaszcza te działające w obszarze zarządzania kryzysowego. </w:t>
            </w:r>
          </w:p>
          <w:p w14:paraId="7DE5A3D6" w14:textId="671CF598" w:rsidR="00600D9B" w:rsidRDefault="00600D9B" w:rsidP="00E625E7">
            <w:pPr>
              <w:ind w:right="118"/>
            </w:pPr>
            <w:r>
              <w:t xml:space="preserve">Minister właściwy do spraw informatyzacji będzie również dalej realizował zadania pojedynczego punktu kontaktowego oraz przygotowywał i aktualizował krajową strategię </w:t>
            </w:r>
            <w:proofErr w:type="spellStart"/>
            <w:r>
              <w:t>cyberbezpieczeństwa</w:t>
            </w:r>
            <w:proofErr w:type="spellEnd"/>
            <w:r>
              <w:t xml:space="preserve">. Dalej będzie również działał w ciałach kolegialnych UE zajmujących się </w:t>
            </w:r>
            <w:proofErr w:type="spellStart"/>
            <w:r>
              <w:t>cyberbezpieczeństwem</w:t>
            </w:r>
            <w:proofErr w:type="spellEnd"/>
            <w:r>
              <w:t>.</w:t>
            </w:r>
          </w:p>
          <w:p w14:paraId="53CF957A" w14:textId="0425352D" w:rsidR="00600D9B" w:rsidRDefault="00600D9B" w:rsidP="00E625E7">
            <w:pPr>
              <w:ind w:right="118"/>
              <w:rPr>
                <w:color w:val="000000"/>
                <w:shd w:val="clear" w:color="auto" w:fill="FFFFFF"/>
              </w:rPr>
            </w:pPr>
            <w:r>
              <w:lastRenderedPageBreak/>
              <w:t xml:space="preserve">CSIRT NASK będzie pełnił rolę </w:t>
            </w:r>
            <w:r>
              <w:rPr>
                <w:color w:val="000000"/>
                <w:shd w:val="clear" w:color="auto" w:fill="FFFFFF"/>
              </w:rPr>
              <w:t>koordynatora na potrzeby skoordynowanego ujawniania podatności. W związku z</w:t>
            </w:r>
            <w:r w:rsidR="004E7A92">
              <w:rPr>
                <w:color w:val="000000"/>
                <w:shd w:val="clear" w:color="auto" w:fill="FFFFFF"/>
              </w:rPr>
              <w:t> </w:t>
            </w:r>
            <w:r>
              <w:rPr>
                <w:color w:val="000000"/>
                <w:shd w:val="clear" w:color="auto" w:fill="FFFFFF"/>
              </w:rPr>
              <w:t>powyższym konieczne będzie przygotowanie procedur w tym zakresie, w szczególności w obszarze komunikacji z</w:t>
            </w:r>
            <w:r w:rsidR="004E7A92">
              <w:rPr>
                <w:color w:val="000000"/>
                <w:shd w:val="clear" w:color="auto" w:fill="FFFFFF"/>
              </w:rPr>
              <w:t> </w:t>
            </w:r>
            <w:r>
              <w:rPr>
                <w:color w:val="000000"/>
                <w:shd w:val="clear" w:color="auto" w:fill="FFFFFF"/>
              </w:rPr>
              <w:t xml:space="preserve">producentami sprzętu i oprogramowania, u których będą wykrywane podatności. </w:t>
            </w:r>
          </w:p>
          <w:p w14:paraId="7189AFD4" w14:textId="77777777" w:rsidR="00600D9B" w:rsidRDefault="00600D9B" w:rsidP="00E625E7">
            <w:pPr>
              <w:ind w:right="118"/>
              <w:rPr>
                <w:color w:val="000000"/>
                <w:shd w:val="clear" w:color="auto" w:fill="FFFFFF"/>
              </w:rPr>
            </w:pPr>
            <w:r>
              <w:rPr>
                <w:color w:val="000000"/>
                <w:shd w:val="clear" w:color="auto" w:fill="FFFFFF"/>
              </w:rPr>
              <w:t xml:space="preserve">Projektowane przepisy przewidują również udział polskich organów ds. </w:t>
            </w:r>
            <w:proofErr w:type="spellStart"/>
            <w:r>
              <w:rPr>
                <w:color w:val="000000"/>
                <w:shd w:val="clear" w:color="auto" w:fill="FFFFFF"/>
              </w:rPr>
              <w:t>cyberbezpieczeństwa</w:t>
            </w:r>
            <w:proofErr w:type="spellEnd"/>
            <w:r>
              <w:rPr>
                <w:color w:val="000000"/>
                <w:shd w:val="clear" w:color="auto" w:fill="FFFFFF"/>
              </w:rPr>
              <w:t xml:space="preserve"> w procedurze wzajemnej oceny z organami z innych krajów UE. Wymaga to przygotowania procedur związanych z ich wyjazdami zagranicznymi oraz przyjmowaniem przedstawicieli innych państw w Polsce. </w:t>
            </w:r>
          </w:p>
          <w:p w14:paraId="6360B698" w14:textId="1F891011" w:rsidR="00600D9B" w:rsidRDefault="00600D9B" w:rsidP="00E625E7">
            <w:pPr>
              <w:ind w:right="118"/>
            </w:pPr>
            <w:r>
              <w:t xml:space="preserve">W związku z nałożeniem na podmioty krajowego systemu </w:t>
            </w:r>
            <w:proofErr w:type="spellStart"/>
            <w:r>
              <w:t>cyberbezpieczeństwa</w:t>
            </w:r>
            <w:proofErr w:type="spellEnd"/>
            <w:r>
              <w:t xml:space="preserve"> szeregu obowiązków istotne zmiany zachodzą w przepisach dotyczących nadzoru i egzekwowania przepisów, a także nakładania kar administracyjnych. Projektowane regulacje wyposażają organy właściwe do spraw </w:t>
            </w:r>
            <w:proofErr w:type="spellStart"/>
            <w:r>
              <w:t>cyberbezpieczeństwa</w:t>
            </w:r>
            <w:proofErr w:type="spellEnd"/>
            <w:r>
              <w:t xml:space="preserve"> w szerokie kompetencje nadzoru i egzek</w:t>
            </w:r>
            <w:r w:rsidR="004E7A92">
              <w:t>w</w:t>
            </w:r>
            <w:r>
              <w:t xml:space="preserve">owania przepisów takie jak wydawanie ostrzeżeń, nakazów, decyzji administracyjnych nakazujących podjęcie lub zaniechanie określonego działania. Organy te zostaną również wyposażone w środki, które znajdą zastosowanie w sytuacji, w której podmiot kluczowy lub </w:t>
            </w:r>
            <w:r w:rsidR="004E7A92">
              <w:t xml:space="preserve">podmiot </w:t>
            </w:r>
            <w:r>
              <w:t xml:space="preserve">ważny nie wykonał w terminie postanowień określonych w ostrzeżeniu, nakazie czy decyzji. Wśród obowiązków nakładanych na organy właściwe do spraw </w:t>
            </w:r>
            <w:proofErr w:type="spellStart"/>
            <w:r>
              <w:t>cyberbezpieczeństwa</w:t>
            </w:r>
            <w:proofErr w:type="spellEnd"/>
            <w:r>
              <w:t xml:space="preserve"> należy wymienić w szczególności obowiązek brania pod uwagę określonych kryteriów, które należy przeanalizować w celu podjęcia działań nadzorczych i </w:t>
            </w:r>
            <w:proofErr w:type="spellStart"/>
            <w:r>
              <w:t>egzekowania</w:t>
            </w:r>
            <w:proofErr w:type="spellEnd"/>
            <w:r>
              <w:t xml:space="preserve"> przepisów, a także wymierzając karę pieniężną.</w:t>
            </w:r>
          </w:p>
          <w:p w14:paraId="4470F258" w14:textId="5564835F" w:rsidR="00600D9B" w:rsidRPr="00875DBE" w:rsidRDefault="00600D9B" w:rsidP="00E625E7">
            <w:pPr>
              <w:ind w:right="118"/>
            </w:pPr>
            <w:r>
              <w:t xml:space="preserve">Rozbudowany został również katalog przypadków określających kiedy podmioty kluczowe lub </w:t>
            </w:r>
            <w:r w:rsidR="004E7A92">
              <w:t xml:space="preserve">podmioty </w:t>
            </w:r>
            <w:r>
              <w:t xml:space="preserve">ważne podlegają karze pieniężnej. Oznacza to co do zasady zwiększenie zadań dla organów właściwych do spraw </w:t>
            </w:r>
            <w:proofErr w:type="spellStart"/>
            <w:r>
              <w:t>cyberbezpieczeństwa</w:t>
            </w:r>
            <w:proofErr w:type="spellEnd"/>
            <w:r>
              <w:t xml:space="preserve">, które będą musiały nakładać kary pieniężne za określone działania lub zaniechania, których dopuszczać się będą podmioty kluczowe lub </w:t>
            </w:r>
            <w:r w:rsidR="004E7A92">
              <w:t xml:space="preserve">podmioty </w:t>
            </w:r>
            <w:r>
              <w:t xml:space="preserve">ważne. Ponownie należy podkreślić, że wymierzając karę pieniężną organy właściwe do spraw </w:t>
            </w:r>
            <w:proofErr w:type="spellStart"/>
            <w:r>
              <w:t>cyberbezpieczeństwa</w:t>
            </w:r>
            <w:proofErr w:type="spellEnd"/>
            <w:r>
              <w:t xml:space="preserve"> obligatoryjnie będą musiały dokonywać analizy określonych w projektowanych przepisach przesłanek.</w:t>
            </w:r>
          </w:p>
        </w:tc>
      </w:tr>
      <w:tr w:rsidR="00600D9B" w:rsidRPr="00875DBE" w14:paraId="5BC01462" w14:textId="77777777" w:rsidTr="006148BE">
        <w:trPr>
          <w:trHeight w:val="142"/>
        </w:trPr>
        <w:tc>
          <w:tcPr>
            <w:tcW w:w="5000" w:type="pct"/>
            <w:gridSpan w:val="28"/>
            <w:shd w:val="clear" w:color="auto" w:fill="99CCFF"/>
          </w:tcPr>
          <w:p w14:paraId="7E353F08" w14:textId="59BBC1A5" w:rsidR="00600D9B" w:rsidRPr="00875DBE" w:rsidRDefault="00600D9B" w:rsidP="00600D9B">
            <w:pPr>
              <w:numPr>
                <w:ilvl w:val="0"/>
                <w:numId w:val="3"/>
              </w:numPr>
              <w:spacing w:before="60" w:after="60" w:line="259" w:lineRule="auto"/>
              <w:rPr>
                <w:b/>
                <w:color w:val="000000" w:themeColor="text1"/>
              </w:rPr>
            </w:pPr>
            <w:r w:rsidRPr="28F7A7D4">
              <w:rPr>
                <w:b/>
                <w:color w:val="000000" w:themeColor="text1"/>
              </w:rPr>
              <w:lastRenderedPageBreak/>
              <w:t xml:space="preserve">Wpływ na rynek pracy </w:t>
            </w:r>
          </w:p>
        </w:tc>
      </w:tr>
      <w:tr w:rsidR="00600D9B" w:rsidRPr="00875DBE" w14:paraId="77D90D92" w14:textId="77777777" w:rsidTr="006148BE">
        <w:trPr>
          <w:trHeight w:val="142"/>
        </w:trPr>
        <w:tc>
          <w:tcPr>
            <w:tcW w:w="5000" w:type="pct"/>
            <w:gridSpan w:val="28"/>
            <w:shd w:val="clear" w:color="auto" w:fill="auto"/>
          </w:tcPr>
          <w:p w14:paraId="72DAE4D1" w14:textId="5A1D0827" w:rsidR="00600D9B" w:rsidRPr="00875DBE" w:rsidRDefault="00600D9B" w:rsidP="00E625E7">
            <w:pPr>
              <w:ind w:right="118"/>
            </w:pPr>
            <w:r w:rsidRPr="00875DBE">
              <w:t xml:space="preserve">Nowe regulacje w związku z objęciem wielu nowych podmiotów obowiązkami zwiększą zapotrzebowanie na usługi i ekspertów z zakresu </w:t>
            </w:r>
            <w:proofErr w:type="spellStart"/>
            <w:r w:rsidRPr="00875DBE">
              <w:t>cyberbezpieczeństwa</w:t>
            </w:r>
            <w:proofErr w:type="spellEnd"/>
            <w:r w:rsidRPr="00875DBE">
              <w:t xml:space="preserve">. Wpłyną również pozytywnie na firmy świadczące usługi z tego zakresu, które mogą liczyć na zwiększenie popytu na ich usługi. W związku z tym należy spodziewać się, że aby poradzić sobie z tym wzrostem zapotrzebowania będą one musiały zatrudnić dodatkowe osoby. </w:t>
            </w:r>
          </w:p>
          <w:p w14:paraId="3783D01F" w14:textId="5EDD3190" w:rsidR="00600D9B" w:rsidRPr="00875DBE" w:rsidRDefault="00600D9B" w:rsidP="00E625E7">
            <w:pPr>
              <w:ind w:right="118"/>
            </w:pPr>
            <w:r w:rsidRPr="00875DBE">
              <w:t xml:space="preserve">Należy podkreślić, że większy nacisk jaki będzie kładziony na </w:t>
            </w:r>
            <w:proofErr w:type="spellStart"/>
            <w:r w:rsidRPr="00875DBE">
              <w:t>cyberbezpieczeństwo</w:t>
            </w:r>
            <w:proofErr w:type="spellEnd"/>
            <w:r w:rsidRPr="00875DBE">
              <w:t xml:space="preserve"> może wpłynąć pozytywnie również na inne zawody związane z informatyką. Dyrektywa NIS 2 promuje podejście „</w:t>
            </w:r>
            <w:proofErr w:type="spellStart"/>
            <w:r w:rsidRPr="00875DBE">
              <w:t>security</w:t>
            </w:r>
            <w:proofErr w:type="spellEnd"/>
            <w:r w:rsidRPr="00875DBE">
              <w:t xml:space="preserve"> by design”, które zakłada uwzględnienie wymagań bezpieczeństwa już na etapie projektowania rozwiązań informatycznych. Tworzenie takich rozwiązań oraz większa dbałość o bezpieczeństwie systemów w ramach codziennej działalności również będzie wymagało dodatkowych osób.</w:t>
            </w:r>
          </w:p>
          <w:p w14:paraId="0D848022" w14:textId="07F1DE1C" w:rsidR="00600D9B" w:rsidRPr="00875DBE" w:rsidRDefault="00600D9B" w:rsidP="00E625E7">
            <w:pPr>
              <w:ind w:right="118"/>
            </w:pPr>
            <w:r w:rsidRPr="00875DBE">
              <w:t xml:space="preserve">Projekt zwiększy zapotrzebowanie na specjalistów z zakresu </w:t>
            </w:r>
            <w:proofErr w:type="spellStart"/>
            <w:r w:rsidRPr="00875DBE">
              <w:t>cyberbezpieczeństwa</w:t>
            </w:r>
            <w:proofErr w:type="spellEnd"/>
            <w:r w:rsidRPr="00875DBE">
              <w:t xml:space="preserve"> – operatorów 1, 2, 3 linii operacyjnego centrum bezpieczeństwa, analityków </w:t>
            </w:r>
            <w:proofErr w:type="spellStart"/>
            <w:r w:rsidRPr="00875DBE">
              <w:t>cyberzagrożeń</w:t>
            </w:r>
            <w:proofErr w:type="spellEnd"/>
            <w:r w:rsidRPr="00875DBE">
              <w:t xml:space="preserve">, podatności, specjalistów ds. świadomości </w:t>
            </w:r>
            <w:proofErr w:type="spellStart"/>
            <w:r w:rsidRPr="00875DBE">
              <w:t>cyberbezpieczeństwa</w:t>
            </w:r>
            <w:proofErr w:type="spellEnd"/>
            <w:r w:rsidRPr="00875DBE">
              <w:t xml:space="preserve"> (</w:t>
            </w:r>
            <w:proofErr w:type="spellStart"/>
            <w:r w:rsidRPr="00875DBE">
              <w:t>awareness</w:t>
            </w:r>
            <w:proofErr w:type="spellEnd"/>
            <w:r w:rsidRPr="00875DBE">
              <w:t xml:space="preserve">), menedżerów z zakresu </w:t>
            </w:r>
            <w:proofErr w:type="spellStart"/>
            <w:r w:rsidRPr="00875DBE">
              <w:t>cyberbezpieczeństwa</w:t>
            </w:r>
            <w:proofErr w:type="spellEnd"/>
            <w:r w:rsidRPr="00875DBE">
              <w:t>. Ponadto będzie zapotrzebowanie na audytorów przeprowadzających audyty bezpieczeństwa.</w:t>
            </w:r>
          </w:p>
          <w:p w14:paraId="5CD1CE02" w14:textId="66C3396D" w:rsidR="00600D9B" w:rsidRPr="00875DBE" w:rsidRDefault="00600D9B" w:rsidP="00E625E7">
            <w:pPr>
              <w:ind w:right="118"/>
              <w:rPr>
                <w:color w:val="000000"/>
              </w:rPr>
            </w:pPr>
            <w:r w:rsidRPr="00875DBE">
              <w:t xml:space="preserve">Z powyższych względów wpływ projektu na rynek pracy należy uznać za pozytywny. </w:t>
            </w:r>
          </w:p>
        </w:tc>
      </w:tr>
      <w:tr w:rsidR="00600D9B" w:rsidRPr="00875DBE" w14:paraId="2F48CCFA" w14:textId="77777777" w:rsidTr="006148BE">
        <w:trPr>
          <w:trHeight w:val="142"/>
        </w:trPr>
        <w:tc>
          <w:tcPr>
            <w:tcW w:w="5000" w:type="pct"/>
            <w:gridSpan w:val="28"/>
            <w:shd w:val="clear" w:color="auto" w:fill="99CCFF"/>
          </w:tcPr>
          <w:p w14:paraId="5CEA9AFD" w14:textId="77777777" w:rsidR="00600D9B" w:rsidRPr="00875DBE" w:rsidRDefault="00600D9B" w:rsidP="00600D9B">
            <w:pPr>
              <w:numPr>
                <w:ilvl w:val="0"/>
                <w:numId w:val="3"/>
              </w:numPr>
              <w:spacing w:before="60" w:after="60"/>
              <w:rPr>
                <w:b/>
                <w:color w:val="000000"/>
              </w:rPr>
            </w:pPr>
            <w:r w:rsidRPr="28F7A7D4">
              <w:rPr>
                <w:b/>
                <w:color w:val="000000" w:themeColor="text1"/>
              </w:rPr>
              <w:t>Wpływ na pozostałe obszary</w:t>
            </w:r>
          </w:p>
        </w:tc>
      </w:tr>
      <w:tr w:rsidR="00600D9B" w:rsidRPr="00875DBE" w14:paraId="7584001E" w14:textId="77777777" w:rsidTr="00E625E7">
        <w:trPr>
          <w:trHeight w:val="1031"/>
        </w:trPr>
        <w:tc>
          <w:tcPr>
            <w:tcW w:w="1695" w:type="pct"/>
            <w:gridSpan w:val="8"/>
            <w:shd w:val="clear" w:color="auto" w:fill="FFFFFF" w:themeFill="background1"/>
          </w:tcPr>
          <w:p w14:paraId="16EC7055" w14:textId="77777777" w:rsidR="00600D9B" w:rsidRPr="00875DBE" w:rsidRDefault="00600D9B" w:rsidP="00600D9B">
            <w:pPr>
              <w:rPr>
                <w:color w:val="000000"/>
              </w:rPr>
            </w:pPr>
          </w:p>
          <w:p w14:paraId="079E3ABC" w14:textId="77777777" w:rsidR="00600D9B" w:rsidRPr="00875DBE" w:rsidRDefault="00600D9B" w:rsidP="00600D9B">
            <w:pPr>
              <w:rPr>
                <w:color w:val="000000"/>
                <w:spacing w:val="-2"/>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środowisko naturalne</w:t>
            </w:r>
          </w:p>
          <w:p w14:paraId="5C3FE735" w14:textId="1D9AB5AF" w:rsidR="00600D9B" w:rsidRPr="00875DBE" w:rsidRDefault="00600D9B" w:rsidP="00600D9B">
            <w:pPr>
              <w:rPr>
                <w:color w:val="000000"/>
              </w:rPr>
            </w:pPr>
            <w:r w:rsidRPr="00875DBE">
              <w:rPr>
                <w:color w:val="000000"/>
              </w:rPr>
              <w:fldChar w:fldCharType="begin">
                <w:ffData>
                  <w:name w:val=""/>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sytuacja i rozwój regionalny</w:t>
            </w:r>
          </w:p>
          <w:p w14:paraId="1A95BCD7" w14:textId="5338B817" w:rsidR="00600D9B" w:rsidRPr="00875DBE" w:rsidRDefault="00600D9B" w:rsidP="00600D9B">
            <w:pPr>
              <w:rPr>
                <w:color w:val="000000"/>
              </w:rPr>
            </w:pPr>
            <w:r w:rsidRPr="00875DBE">
              <w:rPr>
                <w:color w:val="000000"/>
              </w:rPr>
              <w:fldChar w:fldCharType="begin">
                <w:ffData>
                  <w:name w:val=""/>
                  <w:enabled/>
                  <w:calcOnExit w:val="0"/>
                  <w:checkBox>
                    <w:sizeAuto/>
                    <w:default w:val="1"/>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spacing w:val="-2"/>
              </w:rPr>
              <w:t>sądy powszechne, administracyjne lub wojskowe</w:t>
            </w:r>
          </w:p>
        </w:tc>
        <w:tc>
          <w:tcPr>
            <w:tcW w:w="1832" w:type="pct"/>
            <w:gridSpan w:val="12"/>
            <w:shd w:val="clear" w:color="auto" w:fill="FFFFFF" w:themeFill="background1"/>
          </w:tcPr>
          <w:p w14:paraId="7D7A3CBF" w14:textId="77777777" w:rsidR="00600D9B" w:rsidRPr="00875DBE" w:rsidRDefault="00600D9B" w:rsidP="00600D9B">
            <w:pPr>
              <w:rPr>
                <w:color w:val="000000"/>
              </w:rPr>
            </w:pPr>
          </w:p>
          <w:p w14:paraId="557977E0" w14:textId="77777777" w:rsidR="00600D9B" w:rsidRPr="00875DBE" w:rsidRDefault="00600D9B" w:rsidP="00600D9B">
            <w:pPr>
              <w:rPr>
                <w:color w:val="000000"/>
                <w:spacing w:val="-2"/>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demografia</w:t>
            </w:r>
          </w:p>
          <w:p w14:paraId="2FF8BC65" w14:textId="77777777" w:rsidR="00600D9B" w:rsidRPr="00875DBE" w:rsidRDefault="00600D9B" w:rsidP="00600D9B">
            <w:pPr>
              <w:rPr>
                <w:color w:val="000000"/>
              </w:rPr>
            </w:pPr>
            <w:r w:rsidRPr="00875DBE">
              <w:rPr>
                <w:color w:val="000000"/>
              </w:rPr>
              <w:fldChar w:fldCharType="begin">
                <w:ffData>
                  <w:name w:val=""/>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mienie państwowe</w:t>
            </w:r>
          </w:p>
          <w:p w14:paraId="7460375E" w14:textId="77777777" w:rsidR="00600D9B" w:rsidRPr="00875DBE" w:rsidRDefault="00600D9B" w:rsidP="00600D9B">
            <w:pPr>
              <w:rPr>
                <w:color w:val="000000"/>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 xml:space="preserve">inne: </w:t>
            </w:r>
            <w:r w:rsidRPr="00875DBE">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75DBE">
              <w:rPr>
                <w:color w:val="000000"/>
              </w:rPr>
              <w:instrText xml:space="preserve"> FORMTEXT </w:instrText>
            </w:r>
            <w:r w:rsidRPr="00875DBE">
              <w:rPr>
                <w:color w:val="000000"/>
              </w:rPr>
            </w:r>
            <w:r w:rsidRPr="00875DBE">
              <w:rPr>
                <w:color w:val="000000"/>
              </w:rPr>
              <w:fldChar w:fldCharType="separate"/>
            </w:r>
            <w:r w:rsidRPr="00875DBE">
              <w:rPr>
                <w:noProof/>
                <w:color w:val="000000"/>
              </w:rPr>
              <w:t> </w:t>
            </w:r>
            <w:r w:rsidRPr="00875DBE">
              <w:rPr>
                <w:noProof/>
                <w:color w:val="000000"/>
              </w:rPr>
              <w:t> </w:t>
            </w:r>
            <w:r w:rsidRPr="00875DBE">
              <w:rPr>
                <w:noProof/>
                <w:color w:val="000000"/>
              </w:rPr>
              <w:t> </w:t>
            </w:r>
            <w:r w:rsidRPr="00875DBE">
              <w:rPr>
                <w:noProof/>
                <w:color w:val="000000"/>
              </w:rPr>
              <w:t> </w:t>
            </w:r>
            <w:r w:rsidRPr="00875DBE">
              <w:rPr>
                <w:noProof/>
                <w:color w:val="000000"/>
              </w:rPr>
              <w:t> </w:t>
            </w:r>
            <w:r w:rsidRPr="00875DBE">
              <w:rPr>
                <w:color w:val="000000"/>
              </w:rPr>
              <w:fldChar w:fldCharType="end"/>
            </w:r>
          </w:p>
        </w:tc>
        <w:tc>
          <w:tcPr>
            <w:tcW w:w="1473" w:type="pct"/>
            <w:gridSpan w:val="8"/>
            <w:shd w:val="clear" w:color="auto" w:fill="FFFFFF" w:themeFill="background1"/>
          </w:tcPr>
          <w:p w14:paraId="2A3918B2" w14:textId="77777777" w:rsidR="00600D9B" w:rsidRPr="00875DBE" w:rsidRDefault="00600D9B" w:rsidP="00600D9B">
            <w:pPr>
              <w:rPr>
                <w:color w:val="000000"/>
              </w:rPr>
            </w:pPr>
          </w:p>
          <w:p w14:paraId="6B752EC4" w14:textId="41FB2911" w:rsidR="00600D9B" w:rsidRPr="00875DBE" w:rsidRDefault="00600D9B" w:rsidP="00600D9B">
            <w:pPr>
              <w:rPr>
                <w:color w:val="000000"/>
                <w:spacing w:val="-2"/>
              </w:rPr>
            </w:pPr>
            <w:r w:rsidRPr="00875DBE">
              <w:rPr>
                <w:color w:val="000000"/>
              </w:rPr>
              <w:fldChar w:fldCharType="begin">
                <w:ffData>
                  <w:name w:val=""/>
                  <w:enabled/>
                  <w:calcOnExit w:val="0"/>
                  <w:checkBox>
                    <w:sizeAuto/>
                    <w:default w:val="1"/>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informatyzacja</w:t>
            </w:r>
          </w:p>
          <w:p w14:paraId="099007B2" w14:textId="77777777" w:rsidR="00600D9B" w:rsidRPr="00875DBE" w:rsidRDefault="00600D9B" w:rsidP="00600D9B">
            <w:pPr>
              <w:rPr>
                <w:color w:val="000000"/>
              </w:rPr>
            </w:pPr>
            <w:r w:rsidRPr="00875DBE">
              <w:rPr>
                <w:color w:val="000000"/>
              </w:rPr>
              <w:fldChar w:fldCharType="begin">
                <w:ffData>
                  <w:name w:val="Wybór1"/>
                  <w:enabled/>
                  <w:calcOnExit w:val="0"/>
                  <w:checkBox>
                    <w:sizeAuto/>
                    <w:default w:val="0"/>
                  </w:checkBox>
                </w:ffData>
              </w:fldChar>
            </w:r>
            <w:r w:rsidRPr="00875DBE">
              <w:rPr>
                <w:color w:val="000000"/>
              </w:rPr>
              <w:instrText xml:space="preserve"> FORMCHECKBOX </w:instrText>
            </w:r>
            <w:r w:rsidR="001875AA">
              <w:rPr>
                <w:color w:val="000000"/>
              </w:rPr>
            </w:r>
            <w:r w:rsidR="001875AA">
              <w:rPr>
                <w:color w:val="000000"/>
              </w:rPr>
              <w:fldChar w:fldCharType="separate"/>
            </w:r>
            <w:r w:rsidRPr="00875DBE">
              <w:rPr>
                <w:color w:val="000000"/>
              </w:rPr>
              <w:fldChar w:fldCharType="end"/>
            </w:r>
            <w:r w:rsidRPr="00875DBE">
              <w:rPr>
                <w:color w:val="000000"/>
              </w:rPr>
              <w:t xml:space="preserve"> </w:t>
            </w:r>
            <w:r w:rsidRPr="00875DBE">
              <w:rPr>
                <w:color w:val="000000"/>
                <w:spacing w:val="-2"/>
              </w:rPr>
              <w:t>zdrowie</w:t>
            </w:r>
          </w:p>
        </w:tc>
      </w:tr>
      <w:tr w:rsidR="00600D9B" w:rsidRPr="00875DBE" w14:paraId="5A6A18BF" w14:textId="77777777" w:rsidTr="00E625E7">
        <w:trPr>
          <w:trHeight w:val="712"/>
        </w:trPr>
        <w:tc>
          <w:tcPr>
            <w:tcW w:w="759" w:type="pct"/>
            <w:gridSpan w:val="4"/>
            <w:shd w:val="clear" w:color="auto" w:fill="FFFFFF" w:themeFill="background1"/>
            <w:vAlign w:val="center"/>
          </w:tcPr>
          <w:p w14:paraId="64057189" w14:textId="77777777" w:rsidR="00600D9B" w:rsidRPr="00875DBE" w:rsidRDefault="00600D9B" w:rsidP="00600D9B">
            <w:pPr>
              <w:rPr>
                <w:color w:val="000000"/>
              </w:rPr>
            </w:pPr>
            <w:r w:rsidRPr="00875DBE">
              <w:rPr>
                <w:color w:val="000000"/>
              </w:rPr>
              <w:t>Omówienie wpływu</w:t>
            </w:r>
          </w:p>
        </w:tc>
        <w:tc>
          <w:tcPr>
            <w:tcW w:w="4241" w:type="pct"/>
            <w:gridSpan w:val="24"/>
            <w:shd w:val="clear" w:color="auto" w:fill="FFFFFF" w:themeFill="background1"/>
            <w:vAlign w:val="center"/>
          </w:tcPr>
          <w:p w14:paraId="3FE191AD" w14:textId="79DC5942" w:rsidR="00600D9B" w:rsidRPr="00875DBE" w:rsidRDefault="00600D9B" w:rsidP="00E625E7">
            <w:pPr>
              <w:ind w:right="118"/>
            </w:pPr>
            <w:r w:rsidRPr="00875DBE">
              <w:t xml:space="preserve">Znaczne zwiększenie nacisku na </w:t>
            </w:r>
            <w:proofErr w:type="spellStart"/>
            <w:r w:rsidRPr="00875DBE">
              <w:t>cyberbezpieczeństwo</w:t>
            </w:r>
            <w:proofErr w:type="spellEnd"/>
            <w:r w:rsidRPr="00875DBE">
              <w:t xml:space="preserve"> będzie miało pozytywny wpływ na informatyzację. Nowe wymogi sprawią, że wzrośnie znaczenie rynkowe produktów, które zapewniają odpowiedni poziom </w:t>
            </w:r>
            <w:proofErr w:type="spellStart"/>
            <w:r w:rsidRPr="00875DBE">
              <w:t>cyberbezpieczeństwa</w:t>
            </w:r>
            <w:proofErr w:type="spellEnd"/>
            <w:r w:rsidRPr="00875DBE">
              <w:t xml:space="preserve">. Wzrost popytu na takie rozwiązania będzie powodował, że producenci będą musieli dostarczyć produkty i usługi dostosowane do klientów. Przy projektowaniu i tworzeniu tych produktów będą brane pod uwagę kwestie </w:t>
            </w:r>
            <w:proofErr w:type="spellStart"/>
            <w:r w:rsidRPr="00875DBE">
              <w:t>cyberbezpieczeństwa</w:t>
            </w:r>
            <w:proofErr w:type="spellEnd"/>
            <w:r w:rsidRPr="00875DBE">
              <w:t xml:space="preserve">. Będzie to miało pozytywny wpływ na cały rynek ICT, gdyż zwiększy dostępność bezpiecznych rozwiązań ICT. </w:t>
            </w:r>
          </w:p>
          <w:p w14:paraId="33E93B10" w14:textId="77777777" w:rsidR="00600D9B" w:rsidRDefault="00600D9B" w:rsidP="00E625E7">
            <w:pPr>
              <w:ind w:right="118"/>
            </w:pPr>
            <w:r w:rsidRPr="00875DBE">
              <w:t>Projekt ustawy przewiduje nowe administracyjne kary pieniężne. Skargi na decyzje administracyjne w sprawie nałożenia kary będą rozpatrywały sądy administracyjne.</w:t>
            </w:r>
          </w:p>
          <w:p w14:paraId="3614E38B" w14:textId="1A768203" w:rsidR="00600D9B" w:rsidRPr="00875DBE" w:rsidRDefault="00600D9B" w:rsidP="00E625E7">
            <w:pPr>
              <w:ind w:right="118"/>
            </w:pPr>
            <w:r>
              <w:lastRenderedPageBreak/>
              <w:t>Utworzony zostanie nowy wykaz – wykaz podmiotów kluczowych i podmiotów ważnych. Za jego funkcjonowanie będzie odpowiedzialny minister właściwy do spraw informatyzacji. Przewiduje się powierzenie realizacji tego zadania Naukowej i Akademickiej Sieci Komputerowej</w:t>
            </w:r>
            <w:r w:rsidR="004425CF">
              <w:t>–</w:t>
            </w:r>
            <w:r>
              <w:t>Państwowemu Instytutowi Badawczemu, z uwagi na to, że wykaz będzie funkcjonował w systemie S46, który już obecnie jest prowadzony przez NASK</w:t>
            </w:r>
            <w:r w:rsidR="004E7A92">
              <w:t>–</w:t>
            </w:r>
            <w:r>
              <w:t>PIB.</w:t>
            </w:r>
          </w:p>
        </w:tc>
      </w:tr>
      <w:tr w:rsidR="00600D9B" w:rsidRPr="00875DBE" w14:paraId="5BB0DDC4" w14:textId="77777777" w:rsidTr="006148BE">
        <w:trPr>
          <w:trHeight w:val="142"/>
        </w:trPr>
        <w:tc>
          <w:tcPr>
            <w:tcW w:w="5000" w:type="pct"/>
            <w:gridSpan w:val="28"/>
            <w:shd w:val="clear" w:color="auto" w:fill="99CCFF"/>
          </w:tcPr>
          <w:p w14:paraId="33443BA4" w14:textId="77777777" w:rsidR="00600D9B" w:rsidRPr="00875DBE" w:rsidRDefault="00600D9B" w:rsidP="00600D9B">
            <w:pPr>
              <w:numPr>
                <w:ilvl w:val="0"/>
                <w:numId w:val="3"/>
              </w:numPr>
              <w:spacing w:before="60" w:after="60"/>
              <w:ind w:left="318" w:hanging="284"/>
              <w:rPr>
                <w:b/>
              </w:rPr>
            </w:pPr>
            <w:r w:rsidRPr="00875DBE">
              <w:rPr>
                <w:b/>
                <w:spacing w:val="-2"/>
              </w:rPr>
              <w:lastRenderedPageBreak/>
              <w:t>Planowane wykonanie przepisów aktu prawnego</w:t>
            </w:r>
          </w:p>
        </w:tc>
      </w:tr>
      <w:tr w:rsidR="00600D9B" w:rsidRPr="00875DBE" w14:paraId="423C017A" w14:textId="77777777" w:rsidTr="006148BE">
        <w:trPr>
          <w:trHeight w:val="142"/>
        </w:trPr>
        <w:tc>
          <w:tcPr>
            <w:tcW w:w="5000" w:type="pct"/>
            <w:gridSpan w:val="28"/>
            <w:shd w:val="clear" w:color="auto" w:fill="FFFFFF" w:themeFill="background1"/>
          </w:tcPr>
          <w:p w14:paraId="373F3AAE" w14:textId="6789E5CF" w:rsidR="00600D9B" w:rsidRPr="00875DBE" w:rsidRDefault="00600D9B" w:rsidP="00E625E7">
            <w:pPr>
              <w:ind w:right="118"/>
            </w:pPr>
            <w:r w:rsidRPr="00875DBE">
              <w:t>Ustawa wejdzie w życie w terminie miesiąca od dnia ogłoszenia.</w:t>
            </w:r>
          </w:p>
          <w:p w14:paraId="5BFA836E" w14:textId="4F667EFC" w:rsidR="00600D9B" w:rsidRDefault="00600D9B" w:rsidP="00E625E7">
            <w:pPr>
              <w:ind w:right="118"/>
            </w:pPr>
            <w:r w:rsidRPr="00875DBE">
              <w:t xml:space="preserve">Pierwszym krokiem będzie utworzenie przez ministra właściwego do spraw informatyzacji wykazu podmiotów kluczowych i podmiotów ważnych. Podmioty, które w dniu wejścia w życie ustawy spełniają kryteria dla podmiotu kluczowego i podmiotu ważnego będą obowiązane zarejestrować się w wykazie. Minister </w:t>
            </w:r>
            <w:r w:rsidR="00C45E1B">
              <w:t xml:space="preserve">właściwy do spraw informatyzacji </w:t>
            </w:r>
            <w:r w:rsidR="008E4227">
              <w:t>udostępni</w:t>
            </w:r>
            <w:r w:rsidR="008E4227" w:rsidRPr="00875DBE">
              <w:t xml:space="preserve"> </w:t>
            </w:r>
            <w:r w:rsidRPr="00875DBE">
              <w:t>w Biuletynie Informacji Publicznej harmonogram rejestracji, aby przeciwdziałać obciążeniu systemu.</w:t>
            </w:r>
          </w:p>
          <w:p w14:paraId="77A41FE8" w14:textId="40ACD4AB" w:rsidR="00600D9B" w:rsidRPr="00875DBE" w:rsidRDefault="00600D9B" w:rsidP="00E625E7">
            <w:pPr>
              <w:ind w:right="118"/>
            </w:pPr>
            <w:r>
              <w:t>Podmioty kluczowe i podmioty ważne otrzymają 6 miesięcy okresu dostosowawczego do nowych obowiązków.</w:t>
            </w:r>
          </w:p>
          <w:p w14:paraId="6E46E79F" w14:textId="2A2277D8" w:rsidR="00600D9B" w:rsidRPr="00875DBE" w:rsidRDefault="00600D9B" w:rsidP="00E625E7">
            <w:pPr>
              <w:ind w:right="118"/>
            </w:pPr>
            <w:r w:rsidRPr="00875DBE">
              <w:t>W zakresie utworzenia CSIRT sektorowych pierwszym krokiem będzie zaplanowanie budowy takiej instytucji – wybranie podmiotu, który będzie realizował to zadanie, zaplanowanie budżetu, określenie liczby etatów, zaplanowanie struktury zespołu. Następnie konieczne będzie zapewnienie lokalizacji, sprzętu, oprogramowania, rekrutacja kadr. Po</w:t>
            </w:r>
            <w:r w:rsidR="004E7A92">
              <w:t> </w:t>
            </w:r>
            <w:r w:rsidRPr="00875DBE">
              <w:t xml:space="preserve">uzyskaniu zdolności operacyjnej nastąpi ogłoszenie tej informacji w dzienniku urzędowym organu właściwego do spraw </w:t>
            </w:r>
            <w:proofErr w:type="spellStart"/>
            <w:r w:rsidRPr="00875DBE">
              <w:t>cyberbezpieczeństwa</w:t>
            </w:r>
            <w:proofErr w:type="spellEnd"/>
            <w:r w:rsidRPr="00875DBE">
              <w:t xml:space="preserve"> – od tego momentu podmioty kluczowe/ podmioty ważne będą zgłaszać incydenty do danego CSIRT sektorowego. Niezależnie od tego powinna być przeprowadzona akcja informacyjna w ramach sektora – spotkania, konferencje mające przybliżyć zespół CSIRT, a także budować zaufanie między podmiotami a zespołem.</w:t>
            </w:r>
          </w:p>
          <w:p w14:paraId="34E14C61" w14:textId="3E67ACAC" w:rsidR="00600D9B" w:rsidRPr="00875DBE" w:rsidRDefault="00600D9B" w:rsidP="00E625E7">
            <w:pPr>
              <w:ind w:right="118"/>
            </w:pPr>
            <w:r w:rsidRPr="00875DBE">
              <w:t>Polecenie zabezpieczające oraz postępowanie w sprawie uznania za dostawcę wysokiego ryzyka będą stosowane w razie zaistnienia potrzeby.</w:t>
            </w:r>
          </w:p>
        </w:tc>
      </w:tr>
      <w:tr w:rsidR="00600D9B" w:rsidRPr="00875DBE" w14:paraId="1EFAD415" w14:textId="77777777" w:rsidTr="006148BE">
        <w:trPr>
          <w:trHeight w:val="142"/>
        </w:trPr>
        <w:tc>
          <w:tcPr>
            <w:tcW w:w="5000" w:type="pct"/>
            <w:gridSpan w:val="28"/>
            <w:shd w:val="clear" w:color="auto" w:fill="99CCFF"/>
          </w:tcPr>
          <w:p w14:paraId="13116FCD" w14:textId="1403E8C0" w:rsidR="00600D9B" w:rsidRPr="00875DBE" w:rsidRDefault="00600D9B" w:rsidP="00600D9B">
            <w:pPr>
              <w:numPr>
                <w:ilvl w:val="0"/>
                <w:numId w:val="3"/>
              </w:numPr>
              <w:spacing w:before="60" w:after="60"/>
              <w:ind w:left="318" w:hanging="284"/>
              <w:rPr>
                <w:b/>
                <w:color w:val="000000"/>
              </w:rPr>
            </w:pPr>
            <w:r w:rsidRPr="00875DBE">
              <w:rPr>
                <w:b/>
                <w:color w:val="000000"/>
              </w:rPr>
              <w:t xml:space="preserve"> w </w:t>
            </w:r>
            <w:r w:rsidRPr="00875DBE">
              <w:rPr>
                <w:b/>
                <w:spacing w:val="-2"/>
              </w:rPr>
              <w:t>jaki sposób i kiedy nastąpi ewaluacja efektów projektu oraz jakie mierniki zostaną zastosowane?</w:t>
            </w:r>
          </w:p>
        </w:tc>
      </w:tr>
      <w:tr w:rsidR="00600D9B" w:rsidRPr="00875DBE" w14:paraId="371C9D51" w14:textId="77777777" w:rsidTr="006148BE">
        <w:trPr>
          <w:trHeight w:val="142"/>
        </w:trPr>
        <w:tc>
          <w:tcPr>
            <w:tcW w:w="5000" w:type="pct"/>
            <w:gridSpan w:val="28"/>
            <w:shd w:val="clear" w:color="auto" w:fill="FFFFFF" w:themeFill="background1"/>
          </w:tcPr>
          <w:p w14:paraId="3D326655" w14:textId="16EC310E" w:rsidR="00600D9B" w:rsidRDefault="00600D9B" w:rsidP="00E625E7">
            <w:pPr>
              <w:ind w:right="118"/>
            </w:pPr>
            <w:r w:rsidRPr="00875DBE">
              <w:t>Zastosowane będą następujące mierniki:</w:t>
            </w:r>
          </w:p>
          <w:p w14:paraId="6FBBABEE" w14:textId="3E8B40B0" w:rsidR="00600D9B" w:rsidRPr="00335EED" w:rsidRDefault="00600D9B" w:rsidP="00E625E7">
            <w:pPr>
              <w:pStyle w:val="Akapitzlist"/>
              <w:numPr>
                <w:ilvl w:val="0"/>
                <w:numId w:val="46"/>
              </w:numPr>
              <w:ind w:right="118"/>
              <w:rPr>
                <w:rStyle w:val="normaltextrun"/>
              </w:rPr>
            </w:pPr>
            <w:r w:rsidRPr="00335EED">
              <w:rPr>
                <w:rStyle w:val="normaltextrun"/>
                <w:color w:val="000000"/>
              </w:rPr>
              <w:t>liczba podmiotów wpisanych do wykazu podmiotów kluczowych i podmiotów ważnych</w:t>
            </w:r>
            <w:r>
              <w:rPr>
                <w:rStyle w:val="normaltextrun"/>
                <w:color w:val="000000"/>
              </w:rPr>
              <w:t>;</w:t>
            </w:r>
          </w:p>
          <w:p w14:paraId="0DBFC4DF" w14:textId="3ED916C2" w:rsidR="00600D9B" w:rsidRPr="00335EED" w:rsidRDefault="00600D9B" w:rsidP="00E625E7">
            <w:pPr>
              <w:pStyle w:val="Akapitzlist"/>
              <w:numPr>
                <w:ilvl w:val="0"/>
                <w:numId w:val="46"/>
              </w:numPr>
              <w:ind w:right="118"/>
              <w:rPr>
                <w:rStyle w:val="normaltextrun"/>
              </w:rPr>
            </w:pPr>
            <w:r w:rsidRPr="00335EED">
              <w:rPr>
                <w:rStyle w:val="normaltextrun"/>
                <w:color w:val="000000"/>
              </w:rPr>
              <w:t>liczba zgłoszonych incydentów poważnych w danym roku kalendarzowym</w:t>
            </w:r>
            <w:r>
              <w:rPr>
                <w:rStyle w:val="normaltextrun"/>
                <w:color w:val="000000"/>
              </w:rPr>
              <w:t>;</w:t>
            </w:r>
          </w:p>
          <w:p w14:paraId="10F058C9" w14:textId="24B53300" w:rsidR="00600D9B" w:rsidRPr="00335EED" w:rsidRDefault="00600D9B" w:rsidP="00E625E7">
            <w:pPr>
              <w:pStyle w:val="Akapitzlist"/>
              <w:numPr>
                <w:ilvl w:val="0"/>
                <w:numId w:val="46"/>
              </w:numPr>
              <w:ind w:right="118"/>
              <w:rPr>
                <w:rStyle w:val="normaltextrun"/>
              </w:rPr>
            </w:pPr>
            <w:r w:rsidRPr="00335EED">
              <w:rPr>
                <w:rStyle w:val="normaltextrun"/>
                <w:color w:val="000000"/>
              </w:rPr>
              <w:t>liczba przeprowadzonych audytów przez podmioty kluczowe i podmioty ważne</w:t>
            </w:r>
            <w:r>
              <w:rPr>
                <w:rStyle w:val="normaltextrun"/>
                <w:color w:val="000000"/>
              </w:rPr>
              <w:t>;</w:t>
            </w:r>
          </w:p>
          <w:p w14:paraId="6F8ACC37" w14:textId="38663C14" w:rsidR="00600D9B" w:rsidRPr="00335EED" w:rsidRDefault="00600D9B" w:rsidP="00E625E7">
            <w:pPr>
              <w:pStyle w:val="Akapitzlist"/>
              <w:numPr>
                <w:ilvl w:val="0"/>
                <w:numId w:val="46"/>
              </w:numPr>
              <w:ind w:right="118"/>
              <w:rPr>
                <w:rStyle w:val="normaltextrun"/>
              </w:rPr>
            </w:pPr>
            <w:r w:rsidRPr="00335EED">
              <w:rPr>
                <w:rStyle w:val="normaltextrun"/>
                <w:color w:val="000000"/>
              </w:rPr>
              <w:t>liczba incydentów krytycznych w danym roku kalendarzowym</w:t>
            </w:r>
            <w:r>
              <w:rPr>
                <w:rStyle w:val="normaltextrun"/>
                <w:color w:val="000000"/>
              </w:rPr>
              <w:t>;</w:t>
            </w:r>
          </w:p>
          <w:p w14:paraId="3AC958D6" w14:textId="74696232" w:rsidR="00600D9B" w:rsidRPr="00875DBE" w:rsidRDefault="00600D9B" w:rsidP="00E625E7">
            <w:pPr>
              <w:pStyle w:val="Akapitzlist"/>
              <w:numPr>
                <w:ilvl w:val="0"/>
                <w:numId w:val="46"/>
              </w:numPr>
              <w:ind w:right="118"/>
            </w:pPr>
            <w:r w:rsidRPr="00335EED">
              <w:rPr>
                <w:rStyle w:val="normaltextrun"/>
                <w:color w:val="000000"/>
              </w:rPr>
              <w:t>liczba nałożonych administracyjnych kar pieniężnych.</w:t>
            </w:r>
            <w:r w:rsidRPr="00335EED">
              <w:rPr>
                <w:rStyle w:val="eop"/>
                <w:color w:val="000000"/>
              </w:rPr>
              <w:t> </w:t>
            </w:r>
          </w:p>
          <w:p w14:paraId="5961D126" w14:textId="6265C646" w:rsidR="00600D9B" w:rsidRPr="00875DBE" w:rsidRDefault="00600D9B" w:rsidP="00E625E7">
            <w:pPr>
              <w:ind w:right="118"/>
            </w:pPr>
            <w:r w:rsidRPr="00875DBE">
              <w:rPr>
                <w:rStyle w:val="normaltextrun"/>
                <w:color w:val="000000"/>
              </w:rPr>
              <w:t>Mierniki te dadzą odpowiedź na pytanie, czy i w jaki sposób przepisy ustawy są stosowane. Zostanie też przeprowadzona analiza orzecznictwa sądów w sprawach dot. odpowiedzialności administracyjnej wynikającej z nowych przepisów. Analiza ta wykaże istotne kwestie w wykładni przepisów ustawy przez sądy. Będzie ona stanowiła podstawę do ustalenia, czy konieczna jest interwencja prawodawcy celem doprecyzowania przepisów ustawy.</w:t>
            </w:r>
            <w:r w:rsidRPr="00875DBE">
              <w:rPr>
                <w:rStyle w:val="eop"/>
                <w:color w:val="000000"/>
              </w:rPr>
              <w:t> </w:t>
            </w:r>
          </w:p>
          <w:p w14:paraId="11F3E78D" w14:textId="167CAB74" w:rsidR="00600D9B" w:rsidRPr="00875DBE" w:rsidRDefault="00600D9B" w:rsidP="00E625E7">
            <w:pPr>
              <w:ind w:right="118"/>
            </w:pPr>
            <w:r w:rsidRPr="00875DBE">
              <w:t xml:space="preserve">Dzięki obowiązkowi sprawozdawania się przez CSIRT sektorowe Pełnomocnik Rządu do Spraw </w:t>
            </w:r>
            <w:proofErr w:type="spellStart"/>
            <w:r w:rsidRPr="00875DBE">
              <w:t>Cyberbezpieczeństwa</w:t>
            </w:r>
            <w:proofErr w:type="spellEnd"/>
            <w:r w:rsidRPr="00875DBE">
              <w:t xml:space="preserve"> będzie w stanie dokonać oceny ich funkcjonowania, w ramach jego kompetencji do oceny funkcjonowania krajowego systemu </w:t>
            </w:r>
            <w:proofErr w:type="spellStart"/>
            <w:r w:rsidRPr="00875DBE">
              <w:t>cyberbezpieczeństwa</w:t>
            </w:r>
            <w:proofErr w:type="spellEnd"/>
            <w:r w:rsidRPr="00875DBE">
              <w:t xml:space="preserve">, w szczególności wzięte pod uwagę zostaną takie kwestie jak: liczba zgłoszonych incydentów do danego CSIRT, w tym liczba zgłoszonych incydentów poważnych, czas reagowania na incydenty, a także pozostała działalność CSIRT sektorowego, liczba przeprowadzonych działań edukacyjnych wśród podmiotów kluczowych/ podmiotów ważnych. </w:t>
            </w:r>
          </w:p>
          <w:p w14:paraId="4DF6825A" w14:textId="77777777" w:rsidR="00600D9B" w:rsidRPr="00875DBE" w:rsidRDefault="00600D9B" w:rsidP="00E625E7">
            <w:pPr>
              <w:ind w:right="118"/>
            </w:pPr>
            <w:r w:rsidRPr="00875DBE">
              <w:t xml:space="preserve">Monitorowana będzie liczba incydentów poważnych, a także przyczyny ich wystąpienia. </w:t>
            </w:r>
          </w:p>
          <w:p w14:paraId="6C8EA353" w14:textId="443970F1" w:rsidR="00600D9B" w:rsidRPr="00875DBE" w:rsidRDefault="00600D9B" w:rsidP="00E625E7">
            <w:pPr>
              <w:ind w:right="118"/>
              <w:rPr>
                <w:spacing w:val="-2"/>
              </w:rPr>
            </w:pPr>
            <w:r w:rsidRPr="00875DBE">
              <w:t>Ewaluacja nastąpi dwa lata po wejściu ustawy w życie, a następnie będzie prowadzona cyklicznie, co dwa lata.</w:t>
            </w:r>
          </w:p>
        </w:tc>
      </w:tr>
      <w:tr w:rsidR="00600D9B" w:rsidRPr="00875DBE" w14:paraId="2DEE94D9" w14:textId="77777777" w:rsidTr="006148BE">
        <w:trPr>
          <w:trHeight w:val="142"/>
        </w:trPr>
        <w:tc>
          <w:tcPr>
            <w:tcW w:w="5000" w:type="pct"/>
            <w:gridSpan w:val="28"/>
            <w:shd w:val="clear" w:color="auto" w:fill="99CCFF"/>
          </w:tcPr>
          <w:p w14:paraId="5FCBF122" w14:textId="77777777" w:rsidR="00600D9B" w:rsidRPr="00875DBE" w:rsidRDefault="00600D9B" w:rsidP="00E625E7">
            <w:pPr>
              <w:numPr>
                <w:ilvl w:val="0"/>
                <w:numId w:val="3"/>
              </w:numPr>
              <w:spacing w:before="60" w:after="60"/>
              <w:ind w:left="318" w:right="118" w:hanging="284"/>
              <w:rPr>
                <w:b/>
                <w:color w:val="000000"/>
                <w:spacing w:val="-2"/>
              </w:rPr>
            </w:pPr>
            <w:r w:rsidRPr="00875DBE">
              <w:rPr>
                <w:b/>
                <w:color w:val="000000"/>
                <w:spacing w:val="-2"/>
              </w:rPr>
              <w:t xml:space="preserve">Załączniki </w:t>
            </w:r>
            <w:r w:rsidRPr="00875DBE">
              <w:rPr>
                <w:b/>
                <w:spacing w:val="-2"/>
              </w:rPr>
              <w:t>(istotne dokumenty źródłowe, badania, analizy itp.</w:t>
            </w:r>
            <w:r w:rsidRPr="00875DBE">
              <w:rPr>
                <w:b/>
                <w:color w:val="000000"/>
                <w:spacing w:val="-2"/>
              </w:rPr>
              <w:t xml:space="preserve">) </w:t>
            </w:r>
          </w:p>
        </w:tc>
      </w:tr>
      <w:tr w:rsidR="00600D9B" w:rsidRPr="00875DBE" w14:paraId="025730AC" w14:textId="77777777" w:rsidTr="006148BE">
        <w:trPr>
          <w:trHeight w:val="142"/>
        </w:trPr>
        <w:tc>
          <w:tcPr>
            <w:tcW w:w="5000" w:type="pct"/>
            <w:gridSpan w:val="28"/>
            <w:shd w:val="clear" w:color="auto" w:fill="FFFFFF" w:themeFill="background1"/>
          </w:tcPr>
          <w:p w14:paraId="14DA097E" w14:textId="075C5B56" w:rsidR="00600D9B" w:rsidRDefault="00600D9B" w:rsidP="00600D9B">
            <w:pPr>
              <w:rPr>
                <w:iCs/>
                <w:color w:val="000000"/>
                <w:spacing w:val="-2"/>
              </w:rPr>
            </w:pPr>
            <w:r>
              <w:t xml:space="preserve">Załącznik nr 1 do OSR </w:t>
            </w:r>
            <w:r w:rsidR="00C45E1B">
              <w:t>–</w:t>
            </w:r>
            <w:r>
              <w:t xml:space="preserve"> </w:t>
            </w:r>
            <w:r w:rsidRPr="00296084">
              <w:rPr>
                <w:iCs/>
                <w:color w:val="000000"/>
                <w:spacing w:val="-2"/>
              </w:rPr>
              <w:t xml:space="preserve">Dostawca wysokiego ryzyka (high </w:t>
            </w:r>
            <w:proofErr w:type="spellStart"/>
            <w:r w:rsidRPr="00296084">
              <w:rPr>
                <w:iCs/>
                <w:color w:val="000000"/>
                <w:spacing w:val="-2"/>
              </w:rPr>
              <w:t>risk</w:t>
            </w:r>
            <w:proofErr w:type="spellEnd"/>
            <w:r w:rsidRPr="00296084">
              <w:rPr>
                <w:iCs/>
                <w:color w:val="000000"/>
                <w:spacing w:val="-2"/>
              </w:rPr>
              <w:t xml:space="preserve"> </w:t>
            </w:r>
            <w:proofErr w:type="spellStart"/>
            <w:r w:rsidRPr="00296084">
              <w:rPr>
                <w:iCs/>
                <w:color w:val="000000"/>
                <w:spacing w:val="-2"/>
              </w:rPr>
              <w:t>vendor</w:t>
            </w:r>
            <w:proofErr w:type="spellEnd"/>
            <w:r w:rsidRPr="00296084">
              <w:rPr>
                <w:iCs/>
                <w:color w:val="000000"/>
                <w:spacing w:val="-2"/>
              </w:rPr>
              <w:t>) i bezpieczeństwo sieci 5G w Europie</w:t>
            </w:r>
          </w:p>
          <w:p w14:paraId="3D75D8E5" w14:textId="7D2898C0" w:rsidR="00600D9B" w:rsidRDefault="00600D9B" w:rsidP="00600D9B">
            <w:pPr>
              <w:rPr>
                <w:iCs/>
                <w:color w:val="000000"/>
                <w:spacing w:val="-2"/>
              </w:rPr>
            </w:pPr>
            <w:r>
              <w:rPr>
                <w:iCs/>
                <w:color w:val="000000"/>
                <w:spacing w:val="-2"/>
              </w:rPr>
              <w:t xml:space="preserve">Załącznik nr 2 do OSR </w:t>
            </w:r>
            <w:r w:rsidR="005B7C1C">
              <w:t xml:space="preserve"> </w:t>
            </w:r>
            <w:r w:rsidR="00C45E1B">
              <w:t>–</w:t>
            </w:r>
            <w:r>
              <w:rPr>
                <w:iCs/>
                <w:color w:val="000000"/>
                <w:spacing w:val="-2"/>
              </w:rPr>
              <w:t>K</w:t>
            </w:r>
            <w:r w:rsidRPr="007A7D54">
              <w:rPr>
                <w:iCs/>
                <w:color w:val="000000"/>
                <w:spacing w:val="-2"/>
              </w:rPr>
              <w:t>oszty pojedynczego zespołu CSIRT sektorowego w zł</w:t>
            </w:r>
          </w:p>
          <w:p w14:paraId="64F92F38" w14:textId="53C9F355" w:rsidR="00600D9B" w:rsidRDefault="00600D9B" w:rsidP="00E625E7">
            <w:pPr>
              <w:ind w:right="118"/>
              <w:rPr>
                <w:iCs/>
                <w:color w:val="000000"/>
                <w:spacing w:val="-2"/>
              </w:rPr>
            </w:pPr>
            <w:r>
              <w:rPr>
                <w:iCs/>
                <w:color w:val="000000"/>
                <w:spacing w:val="-2"/>
              </w:rPr>
              <w:t xml:space="preserve">Załącznik nr 3 do OSR </w:t>
            </w:r>
            <w:r w:rsidR="00C45E1B">
              <w:t xml:space="preserve">– </w:t>
            </w:r>
            <w:r w:rsidRPr="00C92E6C">
              <w:rPr>
                <w:iCs/>
                <w:color w:val="000000"/>
                <w:spacing w:val="-2"/>
              </w:rPr>
              <w:t xml:space="preserve">wzrost dotacji dla </w:t>
            </w:r>
            <w:r>
              <w:rPr>
                <w:iCs/>
                <w:color w:val="000000"/>
                <w:spacing w:val="-2"/>
              </w:rPr>
              <w:t>Naukowej i Akademickiej Sieci Komputerowej</w:t>
            </w:r>
            <w:r w:rsidR="005B7C1C">
              <w:rPr>
                <w:iCs/>
                <w:color w:val="000000"/>
                <w:spacing w:val="-2"/>
              </w:rPr>
              <w:t xml:space="preserve"> </w:t>
            </w:r>
            <w:r w:rsidR="00C45E1B">
              <w:rPr>
                <w:iCs/>
                <w:color w:val="000000"/>
                <w:spacing w:val="-2"/>
              </w:rPr>
              <w:t>–</w:t>
            </w:r>
            <w:r w:rsidR="005B7C1C">
              <w:rPr>
                <w:iCs/>
                <w:color w:val="000000"/>
                <w:spacing w:val="-2"/>
              </w:rPr>
              <w:t xml:space="preserve"> </w:t>
            </w:r>
            <w:r>
              <w:rPr>
                <w:iCs/>
                <w:color w:val="000000"/>
                <w:spacing w:val="-2"/>
              </w:rPr>
              <w:t>Państwowego Instytutu Badawczego</w:t>
            </w:r>
            <w:r w:rsidRPr="00C92E6C">
              <w:rPr>
                <w:iCs/>
                <w:color w:val="000000"/>
                <w:spacing w:val="-2"/>
              </w:rPr>
              <w:t xml:space="preserve"> w zł</w:t>
            </w:r>
          </w:p>
          <w:p w14:paraId="284F3955" w14:textId="0588E4FD" w:rsidR="00600D9B" w:rsidRPr="00335EED" w:rsidRDefault="00600D9B" w:rsidP="00600D9B">
            <w:pPr>
              <w:rPr>
                <w:iCs/>
                <w:color w:val="000000"/>
                <w:spacing w:val="-2"/>
              </w:rPr>
            </w:pPr>
            <w:r>
              <w:rPr>
                <w:iCs/>
                <w:color w:val="000000"/>
                <w:spacing w:val="-2"/>
              </w:rPr>
              <w:t xml:space="preserve">Załącznik nr 4 do OSR </w:t>
            </w:r>
            <w:r w:rsidR="00C45E1B">
              <w:t xml:space="preserve">– </w:t>
            </w:r>
            <w:r w:rsidRPr="00AA13FC">
              <w:rPr>
                <w:iCs/>
                <w:color w:val="000000"/>
                <w:spacing w:val="-2"/>
              </w:rPr>
              <w:t>podsumowanie wydatków dla poszczególnych części budżetowych w zł</w:t>
            </w:r>
          </w:p>
        </w:tc>
      </w:tr>
    </w:tbl>
    <w:p w14:paraId="52C4725D" w14:textId="21B0E63B" w:rsidR="006176ED" w:rsidRPr="00875DBE" w:rsidRDefault="006176ED" w:rsidP="00FD25AD">
      <w:pPr>
        <w:pStyle w:val="Nagwek1"/>
        <w:rPr>
          <w:rFonts w:cs="Times New Roman"/>
          <w:sz w:val="22"/>
          <w:szCs w:val="22"/>
        </w:rPr>
      </w:pPr>
    </w:p>
    <w:sectPr w:rsidR="006176ED" w:rsidRPr="00875DBE" w:rsidSect="00551D9A">
      <w:footerReference w:type="default" r:id="rId9"/>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9B36B" w14:textId="77777777" w:rsidR="00551D9A" w:rsidRDefault="00551D9A" w:rsidP="00044739">
      <w:r>
        <w:separator/>
      </w:r>
    </w:p>
  </w:endnote>
  <w:endnote w:type="continuationSeparator" w:id="0">
    <w:p w14:paraId="08760A80" w14:textId="77777777" w:rsidR="00551D9A" w:rsidRDefault="00551D9A" w:rsidP="00044739">
      <w:r>
        <w:continuationSeparator/>
      </w:r>
    </w:p>
  </w:endnote>
  <w:endnote w:type="continuationNotice" w:id="1">
    <w:p w14:paraId="7364C6A9" w14:textId="77777777" w:rsidR="00551D9A" w:rsidRDefault="00551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4198335"/>
      <w:docPartObj>
        <w:docPartGallery w:val="Page Numbers (Bottom of Page)"/>
        <w:docPartUnique/>
      </w:docPartObj>
    </w:sdtPr>
    <w:sdtEndPr/>
    <w:sdtContent>
      <w:sdt>
        <w:sdtPr>
          <w:id w:val="1728636285"/>
          <w:docPartObj>
            <w:docPartGallery w:val="Page Numbers (Top of Page)"/>
            <w:docPartUnique/>
          </w:docPartObj>
        </w:sdtPr>
        <w:sdtEndPr/>
        <w:sdtContent>
          <w:p w14:paraId="3A929FB6" w14:textId="43597731" w:rsidR="00D832B2" w:rsidRDefault="00D832B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sidR="00E32125">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9ABD287" w14:textId="77777777" w:rsidR="00D832B2" w:rsidRDefault="00D832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81A77" w14:textId="77777777" w:rsidR="00551D9A" w:rsidRDefault="00551D9A" w:rsidP="00044739">
      <w:r>
        <w:separator/>
      </w:r>
    </w:p>
  </w:footnote>
  <w:footnote w:type="continuationSeparator" w:id="0">
    <w:p w14:paraId="09968240" w14:textId="77777777" w:rsidR="00551D9A" w:rsidRDefault="00551D9A" w:rsidP="00044739">
      <w:r>
        <w:continuationSeparator/>
      </w:r>
    </w:p>
  </w:footnote>
  <w:footnote w:type="continuationNotice" w:id="1">
    <w:p w14:paraId="63836F54" w14:textId="77777777" w:rsidR="00551D9A" w:rsidRDefault="00551D9A"/>
  </w:footnote>
  <w:footnote w:id="2">
    <w:p w14:paraId="68D57387" w14:textId="77777777" w:rsidR="00E87C7D" w:rsidRDefault="00E87C7D" w:rsidP="00E87C7D">
      <w:pPr>
        <w:pStyle w:val="Tekstprzypisudolnego"/>
        <w:rPr>
          <w:rFonts w:eastAsia="Times New Roman"/>
          <w:lang w:val="en-GB" w:eastAsia="pl-PL"/>
        </w:rPr>
      </w:pPr>
      <w:r>
        <w:rPr>
          <w:rStyle w:val="Odwoanieprzypisudolnego"/>
        </w:rPr>
        <w:footnoteRef/>
      </w:r>
      <w:r>
        <w:rPr>
          <w:vertAlign w:val="superscript"/>
          <w:lang w:val="en-GB"/>
        </w:rPr>
        <w:t>)</w:t>
      </w:r>
      <w:r>
        <w:rPr>
          <w:lang w:val="en-GB"/>
        </w:rPr>
        <w:t xml:space="preserve"> </w:t>
      </w:r>
      <w:r>
        <w:rPr>
          <w:i/>
          <w:lang w:val="en-GB"/>
        </w:rPr>
        <w:t>Cybersecurity of 5G networks. EU Toolbox of risk mitigating measures,</w:t>
      </w:r>
      <w:r>
        <w:rPr>
          <w:lang w:val="en-GB"/>
        </w:rPr>
        <w:t xml:space="preserve"> </w:t>
      </w:r>
      <w:hyperlink r:id="rId1" w:history="1">
        <w:r>
          <w:rPr>
            <w:rStyle w:val="Hipercze"/>
            <w:lang w:val="en-GB"/>
          </w:rPr>
          <w:t>https://digital-strategy.ec.europa.eu/en/library/cybersecurity-5g-networks-eu-toolbox-risk-mitigating-measures</w:t>
        </w:r>
      </w:hyperlink>
      <w:r>
        <w:rPr>
          <w:lang w:val="en-GB"/>
        </w:rPr>
        <w:t>.</w:t>
      </w:r>
    </w:p>
  </w:footnote>
  <w:footnote w:id="3">
    <w:p w14:paraId="745E032F" w14:textId="6FC580F8" w:rsidR="003A304A" w:rsidRPr="006148BE" w:rsidRDefault="003A304A">
      <w:pPr>
        <w:pStyle w:val="Tekstprzypisudolnego"/>
        <w:rPr>
          <w:lang w:val="en-GB"/>
        </w:rPr>
      </w:pPr>
      <w:r>
        <w:rPr>
          <w:rStyle w:val="Odwoanieprzypisudolnego"/>
        </w:rPr>
        <w:footnoteRef/>
      </w:r>
      <w:r w:rsidR="00710702">
        <w:rPr>
          <w:vertAlign w:val="superscript"/>
          <w:lang w:val="en-GB"/>
        </w:rPr>
        <w:t>)</w:t>
      </w:r>
      <w:hyperlink r:id="rId2" w:history="1">
        <w:r w:rsidR="00710702" w:rsidRPr="00710702">
          <w:rPr>
            <w:rStyle w:val="Hipercze"/>
            <w:lang w:val="en-GB"/>
          </w:rPr>
          <w:t>https://eur-lex.europa.eu/legal-content/PL/TXT/?uri=COM:2020:0050:FIN&amp;_sm_au_=iVVZRW54FHZ10n2PVkFHNKt0jRsMJ</w:t>
        </w:r>
      </w:hyperlink>
      <w:r>
        <w:rPr>
          <w:lang w:val="en-GB"/>
        </w:rPr>
        <w:t xml:space="preserve"> </w:t>
      </w:r>
    </w:p>
  </w:footnote>
  <w:footnote w:id="4">
    <w:p w14:paraId="40A0E4C8" w14:textId="77777777" w:rsidR="00A91530" w:rsidRPr="001E4595" w:rsidRDefault="00A91530" w:rsidP="00A91530">
      <w:pPr>
        <w:pStyle w:val="Tekstprzypisudolnego"/>
        <w:rPr>
          <w:rFonts w:eastAsia="Times New Roman"/>
          <w:lang w:val="en-GB" w:eastAsia="pl-PL"/>
        </w:rPr>
      </w:pPr>
      <w:r>
        <w:rPr>
          <w:rStyle w:val="Odwoanieprzypisudolnego"/>
        </w:rPr>
        <w:footnoteRef/>
      </w:r>
      <w:r w:rsidRPr="001E4595">
        <w:rPr>
          <w:vertAlign w:val="superscript"/>
          <w:lang w:val="en-GB"/>
        </w:rPr>
        <w:t>)</w:t>
      </w:r>
      <w:r w:rsidRPr="001E4595">
        <w:rPr>
          <w:lang w:val="en-GB"/>
        </w:rPr>
        <w:t xml:space="preserve"> </w:t>
      </w:r>
      <w:r w:rsidRPr="001E4595">
        <w:rPr>
          <w:lang w:val="en-GB"/>
        </w:rPr>
        <w:t xml:space="preserve">Zákon č. 181/2014 Sb. Zákon o kybernetické bezpečnosti a o změně souvisejících zákonů (zákon o kybernetické bezpečnosti) </w:t>
      </w:r>
      <w:hyperlink r:id="rId3" w:history="1">
        <w:r w:rsidRPr="001E4595">
          <w:rPr>
            <w:rStyle w:val="Hipercze"/>
            <w:lang w:val="en-GB"/>
          </w:rPr>
          <w:t>https://www.zakonyprolidi.cz/cs/2014-181</w:t>
        </w:r>
      </w:hyperlink>
      <w:r w:rsidRPr="001E4595">
        <w:rPr>
          <w:lang w:val="en-GB"/>
        </w:rPr>
        <w:t xml:space="preserve">. </w:t>
      </w:r>
    </w:p>
  </w:footnote>
  <w:footnote w:id="5">
    <w:p w14:paraId="777590C3" w14:textId="77777777" w:rsidR="00A91530" w:rsidRPr="001E4595" w:rsidRDefault="00A91530" w:rsidP="00A91530">
      <w:pPr>
        <w:pStyle w:val="Tekstprzypisudolnego"/>
        <w:rPr>
          <w:lang w:val="en-GB"/>
        </w:rPr>
      </w:pPr>
      <w:r>
        <w:rPr>
          <w:rStyle w:val="Odwoanieprzypisudolnego"/>
        </w:rPr>
        <w:footnoteRef/>
      </w:r>
      <w:r w:rsidRPr="001E4595">
        <w:rPr>
          <w:vertAlign w:val="superscript"/>
          <w:lang w:val="en-GB"/>
        </w:rPr>
        <w:t>)</w:t>
      </w:r>
      <w:r w:rsidRPr="001E4595">
        <w:rPr>
          <w:lang w:val="en-GB"/>
        </w:rPr>
        <w:t xml:space="preserve"> </w:t>
      </w:r>
      <w:hyperlink r:id="rId4" w:history="1">
        <w:r w:rsidRPr="001E4595">
          <w:rPr>
            <w:rStyle w:val="Hipercze"/>
            <w:lang w:val="en-GB"/>
          </w:rPr>
          <w:t>https://www.nukib.cz/download/publications_en/Warning-NUKIB-2020-04-16.pdf</w:t>
        </w:r>
      </w:hyperlink>
      <w:r w:rsidRPr="001E4595">
        <w:rPr>
          <w:lang w:val="en-GB"/>
        </w:rPr>
        <w:t xml:space="preserve">. </w:t>
      </w:r>
    </w:p>
  </w:footnote>
  <w:footnote w:id="6">
    <w:p w14:paraId="743F8D4F" w14:textId="77777777" w:rsidR="00A91530" w:rsidRPr="001E4595" w:rsidRDefault="00A91530" w:rsidP="00A91530">
      <w:pPr>
        <w:pStyle w:val="Tekstprzypisudolnego"/>
        <w:rPr>
          <w:lang w:val="en-GB"/>
        </w:rPr>
      </w:pPr>
      <w:r>
        <w:rPr>
          <w:rStyle w:val="Odwoanieprzypisudolnego"/>
        </w:rPr>
        <w:footnoteRef/>
      </w:r>
      <w:r w:rsidRPr="001E4595">
        <w:rPr>
          <w:vertAlign w:val="superscript"/>
          <w:lang w:val="en-GB"/>
        </w:rPr>
        <w:t>)</w:t>
      </w:r>
      <w:r w:rsidRPr="001E4595">
        <w:rPr>
          <w:lang w:val="en-GB"/>
        </w:rPr>
        <w:t xml:space="preserve"> </w:t>
      </w:r>
      <w:hyperlink r:id="rId5" w:history="1">
        <w:r w:rsidRPr="001E4595">
          <w:rPr>
            <w:rStyle w:val="Hipercze"/>
            <w:lang w:val="en-GB"/>
          </w:rPr>
          <w:t>https://nukib.cz/download/aktuality/2021-01-17_varovani_v.1.7_EN.pdf</w:t>
        </w:r>
      </w:hyperlink>
      <w:r w:rsidRPr="001E4595">
        <w:rPr>
          <w:lang w:val="en-GB"/>
        </w:rPr>
        <w:t>.</w:t>
      </w:r>
    </w:p>
  </w:footnote>
  <w:footnote w:id="7">
    <w:p w14:paraId="451D154C" w14:textId="77777777" w:rsidR="00A91530" w:rsidRDefault="00A91530" w:rsidP="00A91530">
      <w:pPr>
        <w:pStyle w:val="Tekstprzypisudolnego"/>
        <w:rPr>
          <w:lang w:val="en-GB"/>
        </w:rPr>
      </w:pPr>
      <w:r>
        <w:rPr>
          <w:rStyle w:val="Odwoanieprzypisudolnego"/>
        </w:rPr>
        <w:footnoteRef/>
      </w:r>
      <w:r>
        <w:rPr>
          <w:vertAlign w:val="superscript"/>
          <w:lang w:val="en-GB"/>
        </w:rPr>
        <w:t>)</w:t>
      </w:r>
      <w:r>
        <w:rPr>
          <w:lang w:val="en-GB"/>
        </w:rPr>
        <w:t xml:space="preserve"> </w:t>
      </w:r>
      <w:r>
        <w:rPr>
          <w:lang w:val="en-GB"/>
        </w:rPr>
        <w:t xml:space="preserve">Gesetz über das Bundesamt für Sicherheit in der Informationstechnik </w:t>
      </w:r>
      <w:hyperlink r:id="rId6" w:history="1">
        <w:r>
          <w:rPr>
            <w:rStyle w:val="Hipercze"/>
            <w:lang w:val="en-GB"/>
          </w:rPr>
          <w:t>https://www.gesetze-im-internet.de/bsig_2009/BJNR282110009.html</w:t>
        </w:r>
      </w:hyperlink>
      <w:r>
        <w:rPr>
          <w:lang w:val="en-GB"/>
        </w:rPr>
        <w:t xml:space="preserve">. </w:t>
      </w:r>
    </w:p>
  </w:footnote>
  <w:footnote w:id="8">
    <w:p w14:paraId="07C6D95B" w14:textId="77777777" w:rsidR="00A91530" w:rsidRPr="001E4595" w:rsidRDefault="00A91530" w:rsidP="00A91530">
      <w:pPr>
        <w:pStyle w:val="Tekstprzypisudolnego"/>
      </w:pPr>
      <w:r>
        <w:rPr>
          <w:rStyle w:val="Odwoanieprzypisudolnego"/>
        </w:rPr>
        <w:footnoteRef/>
      </w:r>
      <w:r>
        <w:rPr>
          <w:vertAlign w:val="superscript"/>
          <w:lang w:val="en-GB"/>
        </w:rPr>
        <w:t>)</w:t>
      </w:r>
      <w:r>
        <w:rPr>
          <w:lang w:val="en-GB"/>
        </w:rPr>
        <w:t xml:space="preserve"> </w:t>
      </w:r>
      <w:r>
        <w:rPr>
          <w:lang w:val="en-GB"/>
        </w:rPr>
        <w:t xml:space="preserve">Decreto-legge 21 settembre 2019, n. 105 Disposizioni urgenti in materia di perimetro di sicurezza nazionale cibernetica. </w:t>
      </w:r>
      <w:hyperlink r:id="rId7" w:history="1">
        <w:r w:rsidRPr="001E4595">
          <w:rPr>
            <w:rStyle w:val="Hipercze"/>
          </w:rPr>
          <w:t>https://www.gazzettaufficiale.it/eli/id/2019/09/21/19G00111/sg</w:t>
        </w:r>
      </w:hyperlink>
      <w:r w:rsidRPr="001E4595">
        <w:t xml:space="preserve">. </w:t>
      </w:r>
    </w:p>
  </w:footnote>
  <w:footnote w:id="9">
    <w:p w14:paraId="2D28C4E8" w14:textId="6D9CCC25" w:rsidR="00CB10BA" w:rsidRDefault="00CB10BA">
      <w:pPr>
        <w:pStyle w:val="Tekstprzypisudolnego"/>
      </w:pPr>
      <w:r>
        <w:rPr>
          <w:rStyle w:val="Odwoanieprzypisudolnego"/>
        </w:rPr>
        <w:footnoteRef/>
      </w:r>
      <w:hyperlink r:id="rId8" w:history="1">
        <w:r w:rsidR="000E58F4" w:rsidRPr="000E58F4">
          <w:rPr>
            <w:rStyle w:val="Hipercze"/>
          </w:rPr>
          <w:t>https://stat.gov.pl/obszary-tematyczne/podmioty-gospodarcze-wyniki-finansowe/zmiany-strukturalne-grup-podmiotow/kwartalna-informacja-o-podmiotach-gospodarki-narodowej-w-rejestrze-regon-rok-2023,7,13.html</w:t>
        </w:r>
      </w:hyperlink>
      <w:r w:rsidR="00EF0958">
        <w:t xml:space="preserve"> </w:t>
      </w:r>
    </w:p>
  </w:footnote>
  <w:footnote w:id="10">
    <w:p w14:paraId="25B03006" w14:textId="7BFF2A77" w:rsidR="000632C3" w:rsidRDefault="000632C3">
      <w:pPr>
        <w:pStyle w:val="Tekstprzypisudolnego"/>
      </w:pPr>
      <w:r>
        <w:rPr>
          <w:rStyle w:val="Odwoanieprzypisudolnego"/>
        </w:rPr>
        <w:footnoteRef/>
      </w:r>
      <w:r w:rsidR="000E58F4">
        <w:rPr>
          <w:vertAlign w:val="superscript"/>
        </w:rPr>
        <w:t>)</w:t>
      </w:r>
      <w:r>
        <w:t xml:space="preserve"> </w:t>
      </w:r>
      <w:hyperlink r:id="rId9" w:history="1">
        <w:r w:rsidRPr="00CE6E1C">
          <w:rPr>
            <w:rStyle w:val="Hipercze"/>
          </w:rPr>
          <w:t>https://www.enisa.europa.eu/topics/incident-response/csirt-inventory/certs-by-country-interactive-map</w:t>
        </w:r>
      </w:hyperlink>
      <w:r>
        <w:t xml:space="preserve"> </w:t>
      </w:r>
    </w:p>
  </w:footnote>
  <w:footnote w:id="11">
    <w:p w14:paraId="5250DF8B" w14:textId="4E5A29E0" w:rsidR="00600D9B" w:rsidRDefault="00600D9B" w:rsidP="00E625E7">
      <w:pPr>
        <w:pStyle w:val="Tekstprzypisudolnego"/>
        <w:ind w:left="284" w:hanging="284"/>
      </w:pPr>
    </w:p>
    <w:p w14:paraId="6E6C8670" w14:textId="06F199BE" w:rsidR="00600D9B" w:rsidRDefault="00343ABE">
      <w:pPr>
        <w:pStyle w:val="Tekstprzypisudolnego"/>
      </w:pPr>
      <w:r>
        <w:rPr>
          <w:vertAlign w:val="superscript"/>
        </w:rPr>
        <w:t>10</w:t>
      </w:r>
      <w:r w:rsidR="00600D9B">
        <w:rPr>
          <w:vertAlign w:val="superscript"/>
        </w:rPr>
        <w:t>)</w:t>
      </w:r>
      <w:r w:rsidR="00600D9B">
        <w:t xml:space="preserve"> Plan finansowy Centrum </w:t>
      </w:r>
      <w:r w:rsidR="00600D9B">
        <w:t xml:space="preserve">Cyberbezpieczeństwa zawiera załącznik nr 12 do ustawy budżetowej na </w:t>
      </w:r>
      <w:r w:rsidR="00600D9B" w:rsidRPr="00594A44">
        <w:t>rok 2024 z dnia 18 stycznia 2024 r.</w:t>
      </w:r>
      <w:r w:rsidR="00600D9B">
        <w:t xml:space="preserve"> (Dz.</w:t>
      </w:r>
      <w:r>
        <w:t> </w:t>
      </w:r>
      <w:r w:rsidR="00600D9B">
        <w:t>U. poz. 122).</w:t>
      </w:r>
    </w:p>
  </w:footnote>
  <w:footnote w:id="12">
    <w:p w14:paraId="117C411F" w14:textId="3F726143" w:rsidR="00600D9B" w:rsidRDefault="00600D9B">
      <w:pPr>
        <w:pStyle w:val="Tekstprzypisudolnego"/>
      </w:pPr>
      <w:r>
        <w:rPr>
          <w:rStyle w:val="Odwoanieprzypisudolnego"/>
        </w:rPr>
        <w:footnoteRef/>
      </w:r>
      <w:r>
        <w:rPr>
          <w:vertAlign w:val="superscript"/>
        </w:rPr>
        <w:t>)</w:t>
      </w:r>
      <w:r>
        <w:t xml:space="preserve"> § 2 ust. 1 z</w:t>
      </w:r>
      <w:r w:rsidRPr="000028AC">
        <w:t>arządzeni</w:t>
      </w:r>
      <w:r>
        <w:t>a</w:t>
      </w:r>
      <w:r w:rsidRPr="000028AC">
        <w:t xml:space="preserve"> Ministra Sprawiedliwości</w:t>
      </w:r>
      <w:r>
        <w:t xml:space="preserve"> z </w:t>
      </w:r>
      <w:r w:rsidRPr="00A21659">
        <w:t>dnia 8 października 2021 r.</w:t>
      </w:r>
      <w:r>
        <w:t xml:space="preserve"> w </w:t>
      </w:r>
      <w:r w:rsidRPr="000028AC">
        <w:t>sprawie utworzenia</w:t>
      </w:r>
      <w:r>
        <w:t xml:space="preserve"> i </w:t>
      </w:r>
      <w:r w:rsidRPr="000028AC">
        <w:t xml:space="preserve">nadania statutu instytucji gospodarki budżetowej pod nazwą „Centrum </w:t>
      </w:r>
      <w:r w:rsidRPr="000028AC">
        <w:t>Cyberbezpieczeństwa</w:t>
      </w:r>
      <w:r>
        <w:t xml:space="preserve"> Zamość</w:t>
      </w:r>
      <w:r w:rsidRPr="000028AC">
        <w:t>”</w:t>
      </w:r>
      <w:r>
        <w:t xml:space="preserve"> (</w:t>
      </w:r>
      <w:r w:rsidRPr="00A21659">
        <w:t>Dz.</w:t>
      </w:r>
      <w:r>
        <w:t xml:space="preserve"> </w:t>
      </w:r>
      <w:r w:rsidRPr="00A21659">
        <w:t>Urz.</w:t>
      </w:r>
      <w:r>
        <w:t xml:space="preserve"> </w:t>
      </w:r>
      <w:r w:rsidRPr="00A21659">
        <w:t>M</w:t>
      </w:r>
      <w:r>
        <w:t xml:space="preserve">in. </w:t>
      </w:r>
      <w:r w:rsidRPr="00A21659">
        <w:t>S</w:t>
      </w:r>
      <w:r>
        <w:t>prawiedl.</w:t>
      </w:r>
      <w:r w:rsidRPr="00A21659">
        <w:t xml:space="preserve"> poz. 238</w:t>
      </w:r>
      <w:r>
        <w:t>).</w:t>
      </w:r>
    </w:p>
  </w:footnote>
  <w:footnote w:id="13">
    <w:p w14:paraId="3A015D1E" w14:textId="039CAB45" w:rsidR="00600D9B" w:rsidRDefault="00600D9B">
      <w:pPr>
        <w:pStyle w:val="Tekstprzypisudolnego"/>
      </w:pPr>
      <w:r>
        <w:rPr>
          <w:rStyle w:val="Odwoanieprzypisudolnego"/>
        </w:rPr>
        <w:footnoteRef/>
      </w:r>
      <w:r>
        <w:rPr>
          <w:vertAlign w:val="superscript"/>
        </w:rPr>
        <w:t>)</w:t>
      </w:r>
      <w:r>
        <w:t xml:space="preserve"> 20 osób zatrudnionych przyjęto za informacją dodatkową Centrum </w:t>
      </w:r>
      <w:r>
        <w:t>Cyberbezpieczeństwa do sprawozdania finansowego za 2022 r.</w:t>
      </w:r>
    </w:p>
  </w:footnote>
  <w:footnote w:id="14">
    <w:p w14:paraId="2BC54B41" w14:textId="7795728B" w:rsidR="00600D9B" w:rsidRDefault="00600D9B">
      <w:pPr>
        <w:pStyle w:val="Tekstprzypisudolnego"/>
      </w:pPr>
      <w:r>
        <w:rPr>
          <w:rStyle w:val="Odwoanieprzypisudolnego"/>
        </w:rPr>
        <w:footnoteRef/>
      </w:r>
      <w:r>
        <w:rPr>
          <w:vertAlign w:val="superscript"/>
        </w:rPr>
        <w:t>)</w:t>
      </w:r>
      <w:r>
        <w:t xml:space="preserve"> </w:t>
      </w:r>
      <w:r w:rsidRPr="00256407">
        <w:t>https://www.gov.pl/web/finanse/wytyczne-sytuacja-makroekonomiczna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B08BE"/>
    <w:multiLevelType w:val="hybridMultilevel"/>
    <w:tmpl w:val="235870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DC28C1"/>
    <w:multiLevelType w:val="hybridMultilevel"/>
    <w:tmpl w:val="6AE200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E85E21"/>
    <w:multiLevelType w:val="hybridMultilevel"/>
    <w:tmpl w:val="BAB42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93333"/>
    <w:multiLevelType w:val="multilevel"/>
    <w:tmpl w:val="AD201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7" w15:restartNumberingAfterBreak="0">
    <w:nsid w:val="1EA568CB"/>
    <w:multiLevelType w:val="hybridMultilevel"/>
    <w:tmpl w:val="F2E87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0E6994"/>
    <w:multiLevelType w:val="hybridMultilevel"/>
    <w:tmpl w:val="56462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E70053"/>
    <w:multiLevelType w:val="hybridMultilevel"/>
    <w:tmpl w:val="60A04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1F4CA1"/>
    <w:multiLevelType w:val="hybridMultilevel"/>
    <w:tmpl w:val="2E6651F4"/>
    <w:lvl w:ilvl="0" w:tplc="4BBA9C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5" w15:restartNumberingAfterBreak="0">
    <w:nsid w:val="236872E4"/>
    <w:multiLevelType w:val="multilevel"/>
    <w:tmpl w:val="D40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DE21D8"/>
    <w:multiLevelType w:val="multilevel"/>
    <w:tmpl w:val="DB3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CA549E"/>
    <w:multiLevelType w:val="hybridMultilevel"/>
    <w:tmpl w:val="CED0A4A8"/>
    <w:lvl w:ilvl="0" w:tplc="9D2C0646">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E8725A"/>
    <w:multiLevelType w:val="hybridMultilevel"/>
    <w:tmpl w:val="8D7C3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506A03"/>
    <w:multiLevelType w:val="multilevel"/>
    <w:tmpl w:val="DB3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4D137F"/>
    <w:multiLevelType w:val="hybridMultilevel"/>
    <w:tmpl w:val="4E5C8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1E6706F"/>
    <w:multiLevelType w:val="multilevel"/>
    <w:tmpl w:val="DB3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5" w15:restartNumberingAfterBreak="0">
    <w:nsid w:val="3ADB28F6"/>
    <w:multiLevelType w:val="hybridMultilevel"/>
    <w:tmpl w:val="7270C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444707B8"/>
    <w:multiLevelType w:val="hybridMultilevel"/>
    <w:tmpl w:val="8E722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77550F"/>
    <w:multiLevelType w:val="multilevel"/>
    <w:tmpl w:val="DB3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94364AC"/>
    <w:multiLevelType w:val="hybridMultilevel"/>
    <w:tmpl w:val="BD04E5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32"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530A5FCD"/>
    <w:multiLevelType w:val="hybridMultilevel"/>
    <w:tmpl w:val="EDDE0E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9" w15:restartNumberingAfterBreak="0">
    <w:nsid w:val="66AB016E"/>
    <w:multiLevelType w:val="hybridMultilevel"/>
    <w:tmpl w:val="EAA696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6E12C8"/>
    <w:multiLevelType w:val="hybridMultilevel"/>
    <w:tmpl w:val="91EEFA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817158"/>
    <w:multiLevelType w:val="hybridMultilevel"/>
    <w:tmpl w:val="08921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3D4870"/>
    <w:multiLevelType w:val="hybridMultilevel"/>
    <w:tmpl w:val="48BEFE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FE8376F"/>
    <w:multiLevelType w:val="multilevel"/>
    <w:tmpl w:val="D76E0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60820226">
    <w:abstractNumId w:val="8"/>
  </w:num>
  <w:num w:numId="2" w16cid:durableId="1892423944">
    <w:abstractNumId w:val="0"/>
  </w:num>
  <w:num w:numId="3" w16cid:durableId="54357114">
    <w:abstractNumId w:val="23"/>
  </w:num>
  <w:num w:numId="4" w16cid:durableId="1321542645">
    <w:abstractNumId w:val="37"/>
  </w:num>
  <w:num w:numId="5" w16cid:durableId="432284107">
    <w:abstractNumId w:val="4"/>
  </w:num>
  <w:num w:numId="6" w16cid:durableId="608004464">
    <w:abstractNumId w:val="18"/>
  </w:num>
  <w:num w:numId="7" w16cid:durableId="691495920">
    <w:abstractNumId w:val="29"/>
  </w:num>
  <w:num w:numId="8" w16cid:durableId="1028483412">
    <w:abstractNumId w:val="9"/>
  </w:num>
  <w:num w:numId="9" w16cid:durableId="233976175">
    <w:abstractNumId w:val="32"/>
  </w:num>
  <w:num w:numId="10" w16cid:durableId="757362324">
    <w:abstractNumId w:val="26"/>
  </w:num>
  <w:num w:numId="11" w16cid:durableId="1642346099">
    <w:abstractNumId w:val="31"/>
  </w:num>
  <w:num w:numId="12" w16cid:durableId="427583129">
    <w:abstractNumId w:val="6"/>
  </w:num>
  <w:num w:numId="13" w16cid:durableId="1338923310">
    <w:abstractNumId w:val="24"/>
  </w:num>
  <w:num w:numId="14" w16cid:durableId="1954627333">
    <w:abstractNumId w:val="38"/>
  </w:num>
  <w:num w:numId="15" w16cid:durableId="1591699036">
    <w:abstractNumId w:val="34"/>
  </w:num>
  <w:num w:numId="16" w16cid:durableId="613245621">
    <w:abstractNumId w:val="36"/>
  </w:num>
  <w:num w:numId="17" w16cid:durableId="255750399">
    <w:abstractNumId w:val="13"/>
  </w:num>
  <w:num w:numId="18" w16cid:durableId="912619098">
    <w:abstractNumId w:val="41"/>
  </w:num>
  <w:num w:numId="19" w16cid:durableId="510871652">
    <w:abstractNumId w:val="44"/>
  </w:num>
  <w:num w:numId="20" w16cid:durableId="1608351165">
    <w:abstractNumId w:val="35"/>
  </w:num>
  <w:num w:numId="21" w16cid:durableId="219950973">
    <w:abstractNumId w:val="14"/>
  </w:num>
  <w:num w:numId="22" w16cid:durableId="1605570391">
    <w:abstractNumId w:val="10"/>
  </w:num>
  <w:num w:numId="23" w16cid:durableId="827793048">
    <w:abstractNumId w:val="19"/>
  </w:num>
  <w:num w:numId="24" w16cid:durableId="529950347">
    <w:abstractNumId w:val="25"/>
  </w:num>
  <w:num w:numId="25" w16cid:durableId="1023552077">
    <w:abstractNumId w:val="17"/>
  </w:num>
  <w:num w:numId="26" w16cid:durableId="1414744598">
    <w:abstractNumId w:val="3"/>
  </w:num>
  <w:num w:numId="27" w16cid:durableId="85393477">
    <w:abstractNumId w:val="12"/>
  </w:num>
  <w:num w:numId="28" w16cid:durableId="307174845">
    <w:abstractNumId w:val="7"/>
  </w:num>
  <w:num w:numId="29" w16cid:durableId="2141680605">
    <w:abstractNumId w:val="21"/>
  </w:num>
  <w:num w:numId="30" w16cid:durableId="2111274825">
    <w:abstractNumId w:val="15"/>
  </w:num>
  <w:num w:numId="31" w16cid:durableId="1159539425">
    <w:abstractNumId w:val="27"/>
  </w:num>
  <w:num w:numId="32" w16cid:durableId="396708111">
    <w:abstractNumId w:val="45"/>
    <w:lvlOverride w:ilvl="0"/>
    <w:lvlOverride w:ilvl="1">
      <w:startOverride w:val="1"/>
    </w:lvlOverride>
    <w:lvlOverride w:ilvl="2"/>
    <w:lvlOverride w:ilvl="3"/>
    <w:lvlOverride w:ilvl="4"/>
    <w:lvlOverride w:ilvl="5"/>
    <w:lvlOverride w:ilvl="6"/>
    <w:lvlOverride w:ilvl="7"/>
    <w:lvlOverride w:ilvl="8"/>
  </w:num>
  <w:num w:numId="33" w16cid:durableId="266234418">
    <w:abstractNumId w:val="5"/>
  </w:num>
  <w:num w:numId="34" w16cid:durableId="606086597">
    <w:abstractNumId w:val="30"/>
  </w:num>
  <w:num w:numId="35" w16cid:durableId="62804246">
    <w:abstractNumId w:val="28"/>
  </w:num>
  <w:num w:numId="36" w16cid:durableId="748230277">
    <w:abstractNumId w:val="16"/>
  </w:num>
  <w:num w:numId="37" w16cid:durableId="682904216">
    <w:abstractNumId w:val="40"/>
  </w:num>
  <w:num w:numId="38" w16cid:durableId="991912557">
    <w:abstractNumId w:val="20"/>
  </w:num>
  <w:num w:numId="39" w16cid:durableId="704209523">
    <w:abstractNumId w:val="22"/>
  </w:num>
  <w:num w:numId="40" w16cid:durableId="1898738972">
    <w:abstractNumId w:val="1"/>
  </w:num>
  <w:num w:numId="41" w16cid:durableId="828860772">
    <w:abstractNumId w:val="42"/>
  </w:num>
  <w:num w:numId="42" w16cid:durableId="1862547236">
    <w:abstractNumId w:val="11"/>
  </w:num>
  <w:num w:numId="43" w16cid:durableId="942416076">
    <w:abstractNumId w:val="43"/>
  </w:num>
  <w:num w:numId="44" w16cid:durableId="1535188786">
    <w:abstractNumId w:val="2"/>
  </w:num>
  <w:num w:numId="45" w16cid:durableId="288050179">
    <w:abstractNumId w:val="39"/>
  </w:num>
  <w:num w:numId="46" w16cid:durableId="5998717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1B5"/>
    <w:rsid w:val="0000061F"/>
    <w:rsid w:val="000008E5"/>
    <w:rsid w:val="000009E0"/>
    <w:rsid w:val="00000B0B"/>
    <w:rsid w:val="000015EE"/>
    <w:rsid w:val="00002140"/>
    <w:rsid w:val="000022D5"/>
    <w:rsid w:val="000028AC"/>
    <w:rsid w:val="00002DE5"/>
    <w:rsid w:val="00003E07"/>
    <w:rsid w:val="00004C6A"/>
    <w:rsid w:val="00006D49"/>
    <w:rsid w:val="0000745E"/>
    <w:rsid w:val="000078D7"/>
    <w:rsid w:val="00007C96"/>
    <w:rsid w:val="00010D70"/>
    <w:rsid w:val="00011AED"/>
    <w:rsid w:val="00012D11"/>
    <w:rsid w:val="000135C2"/>
    <w:rsid w:val="00013D7D"/>
    <w:rsid w:val="00013EB5"/>
    <w:rsid w:val="0001488E"/>
    <w:rsid w:val="00014DE8"/>
    <w:rsid w:val="00015EF5"/>
    <w:rsid w:val="00016F5E"/>
    <w:rsid w:val="0002055D"/>
    <w:rsid w:val="0002151C"/>
    <w:rsid w:val="000222D6"/>
    <w:rsid w:val="00022D09"/>
    <w:rsid w:val="00023836"/>
    <w:rsid w:val="00023CAD"/>
    <w:rsid w:val="000248E8"/>
    <w:rsid w:val="00024FBD"/>
    <w:rsid w:val="00025C99"/>
    <w:rsid w:val="00025F1B"/>
    <w:rsid w:val="000303EB"/>
    <w:rsid w:val="0003047E"/>
    <w:rsid w:val="00034B4C"/>
    <w:rsid w:val="000356A9"/>
    <w:rsid w:val="00035759"/>
    <w:rsid w:val="000375FD"/>
    <w:rsid w:val="000379DB"/>
    <w:rsid w:val="000425D6"/>
    <w:rsid w:val="00043FDC"/>
    <w:rsid w:val="00044138"/>
    <w:rsid w:val="00044739"/>
    <w:rsid w:val="00051637"/>
    <w:rsid w:val="000535F9"/>
    <w:rsid w:val="00056681"/>
    <w:rsid w:val="000632C3"/>
    <w:rsid w:val="00063F51"/>
    <w:rsid w:val="00063FB1"/>
    <w:rsid w:val="000648A7"/>
    <w:rsid w:val="000648D0"/>
    <w:rsid w:val="000648DF"/>
    <w:rsid w:val="00064B74"/>
    <w:rsid w:val="00065276"/>
    <w:rsid w:val="0006618B"/>
    <w:rsid w:val="000670C0"/>
    <w:rsid w:val="00067521"/>
    <w:rsid w:val="00070EE3"/>
    <w:rsid w:val="00071782"/>
    <w:rsid w:val="00071B99"/>
    <w:rsid w:val="00072234"/>
    <w:rsid w:val="0007240A"/>
    <w:rsid w:val="0007290B"/>
    <w:rsid w:val="0007361A"/>
    <w:rsid w:val="00074385"/>
    <w:rsid w:val="000743DE"/>
    <w:rsid w:val="000756E5"/>
    <w:rsid w:val="00076612"/>
    <w:rsid w:val="00076921"/>
    <w:rsid w:val="00076A41"/>
    <w:rsid w:val="0007704E"/>
    <w:rsid w:val="000803A8"/>
    <w:rsid w:val="00080EC8"/>
    <w:rsid w:val="0008162A"/>
    <w:rsid w:val="0008493E"/>
    <w:rsid w:val="00085374"/>
    <w:rsid w:val="00087E25"/>
    <w:rsid w:val="0009082D"/>
    <w:rsid w:val="0009185B"/>
    <w:rsid w:val="00091D76"/>
    <w:rsid w:val="00092000"/>
    <w:rsid w:val="00093383"/>
    <w:rsid w:val="000944AC"/>
    <w:rsid w:val="00094B3E"/>
    <w:rsid w:val="00094CB9"/>
    <w:rsid w:val="000956B2"/>
    <w:rsid w:val="000969E7"/>
    <w:rsid w:val="00097748"/>
    <w:rsid w:val="000A0598"/>
    <w:rsid w:val="000A109F"/>
    <w:rsid w:val="000A12E3"/>
    <w:rsid w:val="000A23DE"/>
    <w:rsid w:val="000A34C4"/>
    <w:rsid w:val="000A3B5E"/>
    <w:rsid w:val="000A3F67"/>
    <w:rsid w:val="000A4020"/>
    <w:rsid w:val="000A566A"/>
    <w:rsid w:val="000A6279"/>
    <w:rsid w:val="000B0799"/>
    <w:rsid w:val="000B151C"/>
    <w:rsid w:val="000B19DF"/>
    <w:rsid w:val="000B1F84"/>
    <w:rsid w:val="000B34D8"/>
    <w:rsid w:val="000B3A59"/>
    <w:rsid w:val="000B4AD9"/>
    <w:rsid w:val="000B4AEA"/>
    <w:rsid w:val="000B54FB"/>
    <w:rsid w:val="000B6085"/>
    <w:rsid w:val="000B7A0D"/>
    <w:rsid w:val="000C0E25"/>
    <w:rsid w:val="000C11F3"/>
    <w:rsid w:val="000C20B6"/>
    <w:rsid w:val="000C24A1"/>
    <w:rsid w:val="000C29B0"/>
    <w:rsid w:val="000C30BF"/>
    <w:rsid w:val="000C53CF"/>
    <w:rsid w:val="000C76FC"/>
    <w:rsid w:val="000C7E3F"/>
    <w:rsid w:val="000D0276"/>
    <w:rsid w:val="000D03A1"/>
    <w:rsid w:val="000D07F5"/>
    <w:rsid w:val="000D119D"/>
    <w:rsid w:val="000D17B4"/>
    <w:rsid w:val="000D1B3E"/>
    <w:rsid w:val="000D2EEF"/>
    <w:rsid w:val="000D3856"/>
    <w:rsid w:val="000D38D6"/>
    <w:rsid w:val="000D38FC"/>
    <w:rsid w:val="000D3F8F"/>
    <w:rsid w:val="000D4D90"/>
    <w:rsid w:val="000D53AB"/>
    <w:rsid w:val="000D54CB"/>
    <w:rsid w:val="000D54F2"/>
    <w:rsid w:val="000D59A4"/>
    <w:rsid w:val="000D5A34"/>
    <w:rsid w:val="000D667E"/>
    <w:rsid w:val="000D6DA0"/>
    <w:rsid w:val="000D7625"/>
    <w:rsid w:val="000E15D7"/>
    <w:rsid w:val="000E1F9A"/>
    <w:rsid w:val="000E2D10"/>
    <w:rsid w:val="000E38CB"/>
    <w:rsid w:val="000E41EF"/>
    <w:rsid w:val="000E44A8"/>
    <w:rsid w:val="000E4F99"/>
    <w:rsid w:val="000E58F4"/>
    <w:rsid w:val="000E6500"/>
    <w:rsid w:val="000F1302"/>
    <w:rsid w:val="000F1B94"/>
    <w:rsid w:val="000F1D06"/>
    <w:rsid w:val="000F1FD0"/>
    <w:rsid w:val="000F3204"/>
    <w:rsid w:val="000F34D1"/>
    <w:rsid w:val="000F37FF"/>
    <w:rsid w:val="000F4FF8"/>
    <w:rsid w:val="000F5454"/>
    <w:rsid w:val="000F5C15"/>
    <w:rsid w:val="000F5FF4"/>
    <w:rsid w:val="000F7335"/>
    <w:rsid w:val="00101F25"/>
    <w:rsid w:val="00103ABB"/>
    <w:rsid w:val="00103C0F"/>
    <w:rsid w:val="00103DAC"/>
    <w:rsid w:val="00103FF9"/>
    <w:rsid w:val="0010443A"/>
    <w:rsid w:val="0010548B"/>
    <w:rsid w:val="00105741"/>
    <w:rsid w:val="001072D1"/>
    <w:rsid w:val="0011004C"/>
    <w:rsid w:val="00110125"/>
    <w:rsid w:val="00113F42"/>
    <w:rsid w:val="001158DE"/>
    <w:rsid w:val="00117017"/>
    <w:rsid w:val="00121D32"/>
    <w:rsid w:val="00122675"/>
    <w:rsid w:val="00122ADC"/>
    <w:rsid w:val="00123F19"/>
    <w:rsid w:val="001265B5"/>
    <w:rsid w:val="00126B95"/>
    <w:rsid w:val="00127191"/>
    <w:rsid w:val="0012749E"/>
    <w:rsid w:val="00130655"/>
    <w:rsid w:val="00130E8E"/>
    <w:rsid w:val="001311FB"/>
    <w:rsid w:val="00131CF2"/>
    <w:rsid w:val="0013216E"/>
    <w:rsid w:val="00133EDB"/>
    <w:rsid w:val="00135013"/>
    <w:rsid w:val="00136844"/>
    <w:rsid w:val="001401B5"/>
    <w:rsid w:val="001404D9"/>
    <w:rsid w:val="00140638"/>
    <w:rsid w:val="001415BE"/>
    <w:rsid w:val="001422B9"/>
    <w:rsid w:val="00144DD0"/>
    <w:rsid w:val="001451F5"/>
    <w:rsid w:val="0014665F"/>
    <w:rsid w:val="00147BEF"/>
    <w:rsid w:val="00150044"/>
    <w:rsid w:val="00151838"/>
    <w:rsid w:val="001523BC"/>
    <w:rsid w:val="00152E86"/>
    <w:rsid w:val="00153464"/>
    <w:rsid w:val="00153EA0"/>
    <w:rsid w:val="001541B3"/>
    <w:rsid w:val="00155B15"/>
    <w:rsid w:val="00155E4D"/>
    <w:rsid w:val="00160105"/>
    <w:rsid w:val="00160943"/>
    <w:rsid w:val="00161368"/>
    <w:rsid w:val="0016189C"/>
    <w:rsid w:val="001618C3"/>
    <w:rsid w:val="00161B30"/>
    <w:rsid w:val="00162075"/>
    <w:rsid w:val="0016221D"/>
    <w:rsid w:val="0016247D"/>
    <w:rsid w:val="001625BE"/>
    <w:rsid w:val="00164287"/>
    <w:rsid w:val="001643A4"/>
    <w:rsid w:val="001654C3"/>
    <w:rsid w:val="00165C21"/>
    <w:rsid w:val="001674F8"/>
    <w:rsid w:val="001727BB"/>
    <w:rsid w:val="0017355D"/>
    <w:rsid w:val="001743E2"/>
    <w:rsid w:val="00176469"/>
    <w:rsid w:val="0018023C"/>
    <w:rsid w:val="00180D25"/>
    <w:rsid w:val="00180E19"/>
    <w:rsid w:val="00182091"/>
    <w:rsid w:val="0018310E"/>
    <w:rsid w:val="0018318D"/>
    <w:rsid w:val="001842A0"/>
    <w:rsid w:val="0018572C"/>
    <w:rsid w:val="00186128"/>
    <w:rsid w:val="00186BED"/>
    <w:rsid w:val="001875AA"/>
    <w:rsid w:val="00187E79"/>
    <w:rsid w:val="00187F0D"/>
    <w:rsid w:val="00192458"/>
    <w:rsid w:val="00192CC5"/>
    <w:rsid w:val="00192CD6"/>
    <w:rsid w:val="00192F51"/>
    <w:rsid w:val="001937CD"/>
    <w:rsid w:val="001950B2"/>
    <w:rsid w:val="001956A7"/>
    <w:rsid w:val="001968AB"/>
    <w:rsid w:val="001A0842"/>
    <w:rsid w:val="001A0BD1"/>
    <w:rsid w:val="001A106E"/>
    <w:rsid w:val="001A118A"/>
    <w:rsid w:val="001A1A71"/>
    <w:rsid w:val="001A2724"/>
    <w:rsid w:val="001A27F4"/>
    <w:rsid w:val="001A2D95"/>
    <w:rsid w:val="001A34A3"/>
    <w:rsid w:val="001A504D"/>
    <w:rsid w:val="001A59A0"/>
    <w:rsid w:val="001A70F1"/>
    <w:rsid w:val="001B3460"/>
    <w:rsid w:val="001B4CA1"/>
    <w:rsid w:val="001B5F26"/>
    <w:rsid w:val="001B676F"/>
    <w:rsid w:val="001B67F2"/>
    <w:rsid w:val="001B75D8"/>
    <w:rsid w:val="001C0ADA"/>
    <w:rsid w:val="001C1060"/>
    <w:rsid w:val="001C2492"/>
    <w:rsid w:val="001C3C63"/>
    <w:rsid w:val="001C3C6B"/>
    <w:rsid w:val="001C624C"/>
    <w:rsid w:val="001C76E6"/>
    <w:rsid w:val="001C7EE8"/>
    <w:rsid w:val="001D04A7"/>
    <w:rsid w:val="001D097A"/>
    <w:rsid w:val="001D1931"/>
    <w:rsid w:val="001D19A0"/>
    <w:rsid w:val="001D2287"/>
    <w:rsid w:val="001D2ECA"/>
    <w:rsid w:val="001D37F9"/>
    <w:rsid w:val="001D4732"/>
    <w:rsid w:val="001D6A3C"/>
    <w:rsid w:val="001D6D51"/>
    <w:rsid w:val="001E09B2"/>
    <w:rsid w:val="001E1280"/>
    <w:rsid w:val="001E144F"/>
    <w:rsid w:val="001E18CF"/>
    <w:rsid w:val="001E23B7"/>
    <w:rsid w:val="001E32E4"/>
    <w:rsid w:val="001E4595"/>
    <w:rsid w:val="001E5094"/>
    <w:rsid w:val="001E6B19"/>
    <w:rsid w:val="001E7260"/>
    <w:rsid w:val="001E7FC8"/>
    <w:rsid w:val="001F2A03"/>
    <w:rsid w:val="001F352D"/>
    <w:rsid w:val="001F3FBA"/>
    <w:rsid w:val="001F653A"/>
    <w:rsid w:val="001F66BC"/>
    <w:rsid w:val="001F66C3"/>
    <w:rsid w:val="001F6979"/>
    <w:rsid w:val="001F6A11"/>
    <w:rsid w:val="001F6A2B"/>
    <w:rsid w:val="001F734C"/>
    <w:rsid w:val="00200DC8"/>
    <w:rsid w:val="0020229E"/>
    <w:rsid w:val="002022B0"/>
    <w:rsid w:val="00202BC6"/>
    <w:rsid w:val="00202FD3"/>
    <w:rsid w:val="0020463B"/>
    <w:rsid w:val="00205117"/>
    <w:rsid w:val="00205141"/>
    <w:rsid w:val="0020516B"/>
    <w:rsid w:val="00205263"/>
    <w:rsid w:val="00207B18"/>
    <w:rsid w:val="002103B0"/>
    <w:rsid w:val="00210EAB"/>
    <w:rsid w:val="00212D71"/>
    <w:rsid w:val="00213559"/>
    <w:rsid w:val="00213D38"/>
    <w:rsid w:val="00213EFD"/>
    <w:rsid w:val="00214F65"/>
    <w:rsid w:val="002155FE"/>
    <w:rsid w:val="00215EB3"/>
    <w:rsid w:val="00216942"/>
    <w:rsid w:val="002172F1"/>
    <w:rsid w:val="00217657"/>
    <w:rsid w:val="0021795D"/>
    <w:rsid w:val="00217FB3"/>
    <w:rsid w:val="002224B2"/>
    <w:rsid w:val="00222FF0"/>
    <w:rsid w:val="00223C7B"/>
    <w:rsid w:val="00224327"/>
    <w:rsid w:val="00224AB1"/>
    <w:rsid w:val="002253BA"/>
    <w:rsid w:val="0022687A"/>
    <w:rsid w:val="002306F0"/>
    <w:rsid w:val="00230728"/>
    <w:rsid w:val="00232193"/>
    <w:rsid w:val="00232E44"/>
    <w:rsid w:val="00232FE8"/>
    <w:rsid w:val="002337E2"/>
    <w:rsid w:val="00234040"/>
    <w:rsid w:val="0023445F"/>
    <w:rsid w:val="00234FC2"/>
    <w:rsid w:val="0023525C"/>
    <w:rsid w:val="002359A4"/>
    <w:rsid w:val="00235CD2"/>
    <w:rsid w:val="00236021"/>
    <w:rsid w:val="00236CA8"/>
    <w:rsid w:val="00236F2A"/>
    <w:rsid w:val="0024141D"/>
    <w:rsid w:val="002440B5"/>
    <w:rsid w:val="00247B8B"/>
    <w:rsid w:val="00247E1F"/>
    <w:rsid w:val="002507CE"/>
    <w:rsid w:val="002523AC"/>
    <w:rsid w:val="00253B63"/>
    <w:rsid w:val="00254614"/>
    <w:rsid w:val="00254DED"/>
    <w:rsid w:val="00255619"/>
    <w:rsid w:val="00255DAD"/>
    <w:rsid w:val="00256108"/>
    <w:rsid w:val="00256407"/>
    <w:rsid w:val="002577FB"/>
    <w:rsid w:val="00260F33"/>
    <w:rsid w:val="002613BD"/>
    <w:rsid w:val="002622D3"/>
    <w:rsid w:val="002624F1"/>
    <w:rsid w:val="00262FD2"/>
    <w:rsid w:val="00264B73"/>
    <w:rsid w:val="00265354"/>
    <w:rsid w:val="002655FF"/>
    <w:rsid w:val="00265C37"/>
    <w:rsid w:val="00266E24"/>
    <w:rsid w:val="00266F84"/>
    <w:rsid w:val="00270C81"/>
    <w:rsid w:val="00271558"/>
    <w:rsid w:val="002716D3"/>
    <w:rsid w:val="00271854"/>
    <w:rsid w:val="00271E4B"/>
    <w:rsid w:val="0027228B"/>
    <w:rsid w:val="0027314F"/>
    <w:rsid w:val="00274862"/>
    <w:rsid w:val="0027628B"/>
    <w:rsid w:val="00277013"/>
    <w:rsid w:val="00277A5E"/>
    <w:rsid w:val="0028039A"/>
    <w:rsid w:val="00280760"/>
    <w:rsid w:val="00282D72"/>
    <w:rsid w:val="00282F8F"/>
    <w:rsid w:val="00283402"/>
    <w:rsid w:val="002841E1"/>
    <w:rsid w:val="002843F0"/>
    <w:rsid w:val="00285177"/>
    <w:rsid w:val="00290FD6"/>
    <w:rsid w:val="002911AB"/>
    <w:rsid w:val="002914AF"/>
    <w:rsid w:val="00291600"/>
    <w:rsid w:val="00294259"/>
    <w:rsid w:val="00294642"/>
    <w:rsid w:val="00296084"/>
    <w:rsid w:val="002A00BD"/>
    <w:rsid w:val="002A06AD"/>
    <w:rsid w:val="002A0CE2"/>
    <w:rsid w:val="002A1AA1"/>
    <w:rsid w:val="002A1CF6"/>
    <w:rsid w:val="002A2C81"/>
    <w:rsid w:val="002A2F86"/>
    <w:rsid w:val="002A300F"/>
    <w:rsid w:val="002A5DAD"/>
    <w:rsid w:val="002B0612"/>
    <w:rsid w:val="002B273D"/>
    <w:rsid w:val="002B2E7C"/>
    <w:rsid w:val="002B321D"/>
    <w:rsid w:val="002B3D1A"/>
    <w:rsid w:val="002B40EF"/>
    <w:rsid w:val="002B651A"/>
    <w:rsid w:val="002B6BF7"/>
    <w:rsid w:val="002B702A"/>
    <w:rsid w:val="002B702C"/>
    <w:rsid w:val="002B7D2F"/>
    <w:rsid w:val="002C0A0B"/>
    <w:rsid w:val="002C27D0"/>
    <w:rsid w:val="002C2B3D"/>
    <w:rsid w:val="002C2C9B"/>
    <w:rsid w:val="002C3488"/>
    <w:rsid w:val="002C4299"/>
    <w:rsid w:val="002C4478"/>
    <w:rsid w:val="002C5356"/>
    <w:rsid w:val="002C6525"/>
    <w:rsid w:val="002C76E2"/>
    <w:rsid w:val="002D17D6"/>
    <w:rsid w:val="002D18D7"/>
    <w:rsid w:val="002D1A32"/>
    <w:rsid w:val="002D21CE"/>
    <w:rsid w:val="002D355F"/>
    <w:rsid w:val="002D405C"/>
    <w:rsid w:val="002D4DC6"/>
    <w:rsid w:val="002D57B9"/>
    <w:rsid w:val="002D69B2"/>
    <w:rsid w:val="002D6CD1"/>
    <w:rsid w:val="002D73D1"/>
    <w:rsid w:val="002E3DA3"/>
    <w:rsid w:val="002E450F"/>
    <w:rsid w:val="002E4D44"/>
    <w:rsid w:val="002E5DA8"/>
    <w:rsid w:val="002E6B38"/>
    <w:rsid w:val="002E6C80"/>
    <w:rsid w:val="002E6D63"/>
    <w:rsid w:val="002E6E2B"/>
    <w:rsid w:val="002F00FE"/>
    <w:rsid w:val="002F1E5B"/>
    <w:rsid w:val="002F307F"/>
    <w:rsid w:val="002F409C"/>
    <w:rsid w:val="002F47A6"/>
    <w:rsid w:val="002F500B"/>
    <w:rsid w:val="002F5DA8"/>
    <w:rsid w:val="002F5FD3"/>
    <w:rsid w:val="00300991"/>
    <w:rsid w:val="00301959"/>
    <w:rsid w:val="00301E57"/>
    <w:rsid w:val="00302666"/>
    <w:rsid w:val="00302BF7"/>
    <w:rsid w:val="003039ED"/>
    <w:rsid w:val="00303DF6"/>
    <w:rsid w:val="0030536C"/>
    <w:rsid w:val="00305B8A"/>
    <w:rsid w:val="00305DB0"/>
    <w:rsid w:val="00306580"/>
    <w:rsid w:val="0030660F"/>
    <w:rsid w:val="00306EB7"/>
    <w:rsid w:val="00306F63"/>
    <w:rsid w:val="003074D7"/>
    <w:rsid w:val="00310461"/>
    <w:rsid w:val="00310793"/>
    <w:rsid w:val="00310BFC"/>
    <w:rsid w:val="003115AF"/>
    <w:rsid w:val="00312849"/>
    <w:rsid w:val="003171D8"/>
    <w:rsid w:val="00317AC3"/>
    <w:rsid w:val="00322B23"/>
    <w:rsid w:val="00324633"/>
    <w:rsid w:val="00325662"/>
    <w:rsid w:val="003302AD"/>
    <w:rsid w:val="003313C7"/>
    <w:rsid w:val="00331BF9"/>
    <w:rsid w:val="00331E03"/>
    <w:rsid w:val="00331E9B"/>
    <w:rsid w:val="0033268F"/>
    <w:rsid w:val="00333880"/>
    <w:rsid w:val="003343EA"/>
    <w:rsid w:val="0033464A"/>
    <w:rsid w:val="0033495E"/>
    <w:rsid w:val="00334A79"/>
    <w:rsid w:val="00334D8D"/>
    <w:rsid w:val="00335EED"/>
    <w:rsid w:val="003365B6"/>
    <w:rsid w:val="00337345"/>
    <w:rsid w:val="00337C90"/>
    <w:rsid w:val="00337DD2"/>
    <w:rsid w:val="003404D1"/>
    <w:rsid w:val="00343ABE"/>
    <w:rsid w:val="003443FF"/>
    <w:rsid w:val="0034457F"/>
    <w:rsid w:val="00346241"/>
    <w:rsid w:val="00346DA3"/>
    <w:rsid w:val="00347742"/>
    <w:rsid w:val="00350906"/>
    <w:rsid w:val="00351473"/>
    <w:rsid w:val="00351C07"/>
    <w:rsid w:val="00351CF2"/>
    <w:rsid w:val="0035210A"/>
    <w:rsid w:val="00352DA3"/>
    <w:rsid w:val="00353B44"/>
    <w:rsid w:val="00353E12"/>
    <w:rsid w:val="003546B4"/>
    <w:rsid w:val="00354F8C"/>
    <w:rsid w:val="0035509B"/>
    <w:rsid w:val="00355808"/>
    <w:rsid w:val="0035642D"/>
    <w:rsid w:val="003624DF"/>
    <w:rsid w:val="00362C7E"/>
    <w:rsid w:val="00363309"/>
    <w:rsid w:val="00363601"/>
    <w:rsid w:val="00363B6F"/>
    <w:rsid w:val="0036575E"/>
    <w:rsid w:val="00365BA9"/>
    <w:rsid w:val="003671FF"/>
    <w:rsid w:val="003675C2"/>
    <w:rsid w:val="00370167"/>
    <w:rsid w:val="0037030D"/>
    <w:rsid w:val="00370D1B"/>
    <w:rsid w:val="003718F0"/>
    <w:rsid w:val="00372FA8"/>
    <w:rsid w:val="00373102"/>
    <w:rsid w:val="00373C73"/>
    <w:rsid w:val="003743AA"/>
    <w:rsid w:val="003748BE"/>
    <w:rsid w:val="00374ACD"/>
    <w:rsid w:val="00374C0A"/>
    <w:rsid w:val="00376475"/>
    <w:rsid w:val="00376AC9"/>
    <w:rsid w:val="003878AA"/>
    <w:rsid w:val="00393032"/>
    <w:rsid w:val="00394B69"/>
    <w:rsid w:val="00395230"/>
    <w:rsid w:val="00395353"/>
    <w:rsid w:val="00396AE3"/>
    <w:rsid w:val="00397078"/>
    <w:rsid w:val="003A18C3"/>
    <w:rsid w:val="003A2558"/>
    <w:rsid w:val="003A304A"/>
    <w:rsid w:val="003A4973"/>
    <w:rsid w:val="003A4DA4"/>
    <w:rsid w:val="003A544E"/>
    <w:rsid w:val="003A57DC"/>
    <w:rsid w:val="003A63BF"/>
    <w:rsid w:val="003A6953"/>
    <w:rsid w:val="003A6EAF"/>
    <w:rsid w:val="003A7E12"/>
    <w:rsid w:val="003B0839"/>
    <w:rsid w:val="003B0E97"/>
    <w:rsid w:val="003B1CB4"/>
    <w:rsid w:val="003B23DB"/>
    <w:rsid w:val="003B2AAA"/>
    <w:rsid w:val="003B4706"/>
    <w:rsid w:val="003B4B96"/>
    <w:rsid w:val="003B4E0E"/>
    <w:rsid w:val="003B6083"/>
    <w:rsid w:val="003B6CA4"/>
    <w:rsid w:val="003B70D7"/>
    <w:rsid w:val="003B7111"/>
    <w:rsid w:val="003B7702"/>
    <w:rsid w:val="003C1B66"/>
    <w:rsid w:val="003C3190"/>
    <w:rsid w:val="003C3838"/>
    <w:rsid w:val="003C3B05"/>
    <w:rsid w:val="003C4215"/>
    <w:rsid w:val="003C46A4"/>
    <w:rsid w:val="003C4EB0"/>
    <w:rsid w:val="003C5847"/>
    <w:rsid w:val="003C5B6E"/>
    <w:rsid w:val="003C6C40"/>
    <w:rsid w:val="003C7001"/>
    <w:rsid w:val="003D0681"/>
    <w:rsid w:val="003D12F6"/>
    <w:rsid w:val="003D1426"/>
    <w:rsid w:val="003D1E99"/>
    <w:rsid w:val="003D4E26"/>
    <w:rsid w:val="003D66DB"/>
    <w:rsid w:val="003E0152"/>
    <w:rsid w:val="003E1FD2"/>
    <w:rsid w:val="003E2329"/>
    <w:rsid w:val="003E2F4E"/>
    <w:rsid w:val="003E35A1"/>
    <w:rsid w:val="003E459F"/>
    <w:rsid w:val="003E6B85"/>
    <w:rsid w:val="003E720A"/>
    <w:rsid w:val="003E7D27"/>
    <w:rsid w:val="003F024B"/>
    <w:rsid w:val="003F1021"/>
    <w:rsid w:val="003F229B"/>
    <w:rsid w:val="003F4E05"/>
    <w:rsid w:val="003F5706"/>
    <w:rsid w:val="003F5F91"/>
    <w:rsid w:val="00400076"/>
    <w:rsid w:val="0040186D"/>
    <w:rsid w:val="0040288B"/>
    <w:rsid w:val="00403E6E"/>
    <w:rsid w:val="00405364"/>
    <w:rsid w:val="00406BAB"/>
    <w:rsid w:val="00406DD7"/>
    <w:rsid w:val="00406FCE"/>
    <w:rsid w:val="004079FD"/>
    <w:rsid w:val="0041252C"/>
    <w:rsid w:val="004129B4"/>
    <w:rsid w:val="004142AF"/>
    <w:rsid w:val="00414438"/>
    <w:rsid w:val="0041692B"/>
    <w:rsid w:val="00416A9E"/>
    <w:rsid w:val="004172E8"/>
    <w:rsid w:val="00417EF0"/>
    <w:rsid w:val="00420B6D"/>
    <w:rsid w:val="00422181"/>
    <w:rsid w:val="004224B5"/>
    <w:rsid w:val="00423A27"/>
    <w:rsid w:val="00423A8C"/>
    <w:rsid w:val="00423E51"/>
    <w:rsid w:val="00423F69"/>
    <w:rsid w:val="004244A8"/>
    <w:rsid w:val="00424E6B"/>
    <w:rsid w:val="00425F72"/>
    <w:rsid w:val="00427736"/>
    <w:rsid w:val="00431839"/>
    <w:rsid w:val="0043194A"/>
    <w:rsid w:val="00431992"/>
    <w:rsid w:val="00431FE1"/>
    <w:rsid w:val="00432B91"/>
    <w:rsid w:val="00433D13"/>
    <w:rsid w:val="00437284"/>
    <w:rsid w:val="00440664"/>
    <w:rsid w:val="00441787"/>
    <w:rsid w:val="0044210C"/>
    <w:rsid w:val="004425CF"/>
    <w:rsid w:val="0044260B"/>
    <w:rsid w:val="004440C6"/>
    <w:rsid w:val="00444F2D"/>
    <w:rsid w:val="004452BE"/>
    <w:rsid w:val="00452034"/>
    <w:rsid w:val="0045592A"/>
    <w:rsid w:val="0045598B"/>
    <w:rsid w:val="00455B42"/>
    <w:rsid w:val="00455FA6"/>
    <w:rsid w:val="0046015B"/>
    <w:rsid w:val="004605BB"/>
    <w:rsid w:val="00460718"/>
    <w:rsid w:val="00460C2B"/>
    <w:rsid w:val="00460DE9"/>
    <w:rsid w:val="00461D55"/>
    <w:rsid w:val="0046334F"/>
    <w:rsid w:val="004639EE"/>
    <w:rsid w:val="00465A6D"/>
    <w:rsid w:val="00465B7C"/>
    <w:rsid w:val="00466C70"/>
    <w:rsid w:val="00466EB5"/>
    <w:rsid w:val="004702C9"/>
    <w:rsid w:val="00470A15"/>
    <w:rsid w:val="00470BC8"/>
    <w:rsid w:val="004710ED"/>
    <w:rsid w:val="004711AF"/>
    <w:rsid w:val="0047246F"/>
    <w:rsid w:val="00472B35"/>
    <w:rsid w:val="00472E45"/>
    <w:rsid w:val="00473CA4"/>
    <w:rsid w:val="00473FEA"/>
    <w:rsid w:val="0047579D"/>
    <w:rsid w:val="00475C78"/>
    <w:rsid w:val="0047620E"/>
    <w:rsid w:val="00477380"/>
    <w:rsid w:val="00480D2C"/>
    <w:rsid w:val="004815C8"/>
    <w:rsid w:val="0048296C"/>
    <w:rsid w:val="00483262"/>
    <w:rsid w:val="0048336E"/>
    <w:rsid w:val="00484107"/>
    <w:rsid w:val="00485CC5"/>
    <w:rsid w:val="00485D46"/>
    <w:rsid w:val="00485E99"/>
    <w:rsid w:val="00486DC3"/>
    <w:rsid w:val="00487359"/>
    <w:rsid w:val="00492267"/>
    <w:rsid w:val="0049260B"/>
    <w:rsid w:val="00492CBD"/>
    <w:rsid w:val="0049343F"/>
    <w:rsid w:val="0049374D"/>
    <w:rsid w:val="004964FC"/>
    <w:rsid w:val="0049692D"/>
    <w:rsid w:val="00497045"/>
    <w:rsid w:val="004970B9"/>
    <w:rsid w:val="004971DD"/>
    <w:rsid w:val="004A044F"/>
    <w:rsid w:val="004A0B0A"/>
    <w:rsid w:val="004A0D5F"/>
    <w:rsid w:val="004A1245"/>
    <w:rsid w:val="004A145E"/>
    <w:rsid w:val="004A1F15"/>
    <w:rsid w:val="004A2A81"/>
    <w:rsid w:val="004A2C30"/>
    <w:rsid w:val="004A2CF6"/>
    <w:rsid w:val="004A33A7"/>
    <w:rsid w:val="004A42FF"/>
    <w:rsid w:val="004A6F09"/>
    <w:rsid w:val="004A7455"/>
    <w:rsid w:val="004A77CC"/>
    <w:rsid w:val="004A7BD7"/>
    <w:rsid w:val="004B2247"/>
    <w:rsid w:val="004B4EC8"/>
    <w:rsid w:val="004B4FF6"/>
    <w:rsid w:val="004B74CE"/>
    <w:rsid w:val="004C09C3"/>
    <w:rsid w:val="004C15C2"/>
    <w:rsid w:val="004C1BE9"/>
    <w:rsid w:val="004C33A5"/>
    <w:rsid w:val="004C36D8"/>
    <w:rsid w:val="004C3B6E"/>
    <w:rsid w:val="004C4CBA"/>
    <w:rsid w:val="004C6906"/>
    <w:rsid w:val="004C6A0C"/>
    <w:rsid w:val="004C7349"/>
    <w:rsid w:val="004C7966"/>
    <w:rsid w:val="004C7B45"/>
    <w:rsid w:val="004D07E0"/>
    <w:rsid w:val="004D0DF9"/>
    <w:rsid w:val="004D1248"/>
    <w:rsid w:val="004D1E3C"/>
    <w:rsid w:val="004D1FD0"/>
    <w:rsid w:val="004D221B"/>
    <w:rsid w:val="004D25AB"/>
    <w:rsid w:val="004D2C34"/>
    <w:rsid w:val="004D4169"/>
    <w:rsid w:val="004D4D22"/>
    <w:rsid w:val="004D6D8E"/>
    <w:rsid w:val="004D6E14"/>
    <w:rsid w:val="004D7B35"/>
    <w:rsid w:val="004E010B"/>
    <w:rsid w:val="004E4349"/>
    <w:rsid w:val="004E4826"/>
    <w:rsid w:val="004E7A92"/>
    <w:rsid w:val="004F395A"/>
    <w:rsid w:val="004F4E17"/>
    <w:rsid w:val="004F560E"/>
    <w:rsid w:val="004F5CC5"/>
    <w:rsid w:val="0050082F"/>
    <w:rsid w:val="00500C56"/>
    <w:rsid w:val="0050101C"/>
    <w:rsid w:val="00501713"/>
    <w:rsid w:val="00502D82"/>
    <w:rsid w:val="00504162"/>
    <w:rsid w:val="0050427E"/>
    <w:rsid w:val="00506568"/>
    <w:rsid w:val="00507BC8"/>
    <w:rsid w:val="005107B4"/>
    <w:rsid w:val="00514539"/>
    <w:rsid w:val="0051551B"/>
    <w:rsid w:val="0051645F"/>
    <w:rsid w:val="0052031B"/>
    <w:rsid w:val="005205A0"/>
    <w:rsid w:val="00520C57"/>
    <w:rsid w:val="00521008"/>
    <w:rsid w:val="005210EC"/>
    <w:rsid w:val="00521521"/>
    <w:rsid w:val="00521F09"/>
    <w:rsid w:val="005223EB"/>
    <w:rsid w:val="00522D94"/>
    <w:rsid w:val="00524877"/>
    <w:rsid w:val="00525401"/>
    <w:rsid w:val="00527621"/>
    <w:rsid w:val="005313A8"/>
    <w:rsid w:val="00531AC8"/>
    <w:rsid w:val="00533D89"/>
    <w:rsid w:val="005353C7"/>
    <w:rsid w:val="0053638E"/>
    <w:rsid w:val="00536564"/>
    <w:rsid w:val="00537DC9"/>
    <w:rsid w:val="00544597"/>
    <w:rsid w:val="00544BE8"/>
    <w:rsid w:val="00544FFE"/>
    <w:rsid w:val="0054564C"/>
    <w:rsid w:val="005473F5"/>
    <w:rsid w:val="005477E7"/>
    <w:rsid w:val="005506CB"/>
    <w:rsid w:val="00551D9A"/>
    <w:rsid w:val="00552794"/>
    <w:rsid w:val="00552EDE"/>
    <w:rsid w:val="00554E3E"/>
    <w:rsid w:val="005562F9"/>
    <w:rsid w:val="00556DFA"/>
    <w:rsid w:val="00557073"/>
    <w:rsid w:val="00562076"/>
    <w:rsid w:val="00562D56"/>
    <w:rsid w:val="00562E35"/>
    <w:rsid w:val="00563199"/>
    <w:rsid w:val="00563F17"/>
    <w:rsid w:val="00564874"/>
    <w:rsid w:val="00564F8A"/>
    <w:rsid w:val="00567963"/>
    <w:rsid w:val="0057009A"/>
    <w:rsid w:val="00570FA0"/>
    <w:rsid w:val="00571260"/>
    <w:rsid w:val="0057189C"/>
    <w:rsid w:val="00571B02"/>
    <w:rsid w:val="00571ECF"/>
    <w:rsid w:val="005726FC"/>
    <w:rsid w:val="005739E4"/>
    <w:rsid w:val="005739FF"/>
    <w:rsid w:val="00573C7A"/>
    <w:rsid w:val="00573FC1"/>
    <w:rsid w:val="00574035"/>
    <w:rsid w:val="005741EE"/>
    <w:rsid w:val="00575818"/>
    <w:rsid w:val="0057643C"/>
    <w:rsid w:val="0057668E"/>
    <w:rsid w:val="0058038C"/>
    <w:rsid w:val="0058168D"/>
    <w:rsid w:val="00582FD3"/>
    <w:rsid w:val="00585A32"/>
    <w:rsid w:val="00586650"/>
    <w:rsid w:val="00587271"/>
    <w:rsid w:val="005900A1"/>
    <w:rsid w:val="00590ACE"/>
    <w:rsid w:val="00590C5A"/>
    <w:rsid w:val="0059438F"/>
    <w:rsid w:val="005944CB"/>
    <w:rsid w:val="00594A44"/>
    <w:rsid w:val="00594A9A"/>
    <w:rsid w:val="00595E83"/>
    <w:rsid w:val="00596530"/>
    <w:rsid w:val="005967F3"/>
    <w:rsid w:val="00596B2D"/>
    <w:rsid w:val="00596CB9"/>
    <w:rsid w:val="005A0391"/>
    <w:rsid w:val="005A06DF"/>
    <w:rsid w:val="005A0F14"/>
    <w:rsid w:val="005A3E0F"/>
    <w:rsid w:val="005A5527"/>
    <w:rsid w:val="005A5AE6"/>
    <w:rsid w:val="005A7B8C"/>
    <w:rsid w:val="005B0790"/>
    <w:rsid w:val="005B0A0A"/>
    <w:rsid w:val="005B1206"/>
    <w:rsid w:val="005B243A"/>
    <w:rsid w:val="005B2955"/>
    <w:rsid w:val="005B37E8"/>
    <w:rsid w:val="005B5161"/>
    <w:rsid w:val="005B62C1"/>
    <w:rsid w:val="005B6948"/>
    <w:rsid w:val="005B7C1C"/>
    <w:rsid w:val="005C0056"/>
    <w:rsid w:val="005C0D60"/>
    <w:rsid w:val="005C3460"/>
    <w:rsid w:val="005C3A5C"/>
    <w:rsid w:val="005C3BE6"/>
    <w:rsid w:val="005C45A5"/>
    <w:rsid w:val="005C6C2F"/>
    <w:rsid w:val="005D157C"/>
    <w:rsid w:val="005D1C0B"/>
    <w:rsid w:val="005D3083"/>
    <w:rsid w:val="005D61D6"/>
    <w:rsid w:val="005D6C24"/>
    <w:rsid w:val="005E0D13"/>
    <w:rsid w:val="005E26B3"/>
    <w:rsid w:val="005E2F89"/>
    <w:rsid w:val="005E3860"/>
    <w:rsid w:val="005E3B50"/>
    <w:rsid w:val="005E5047"/>
    <w:rsid w:val="005E6FB3"/>
    <w:rsid w:val="005E7205"/>
    <w:rsid w:val="005E7371"/>
    <w:rsid w:val="005E7F41"/>
    <w:rsid w:val="005F0B25"/>
    <w:rsid w:val="005F10F0"/>
    <w:rsid w:val="005F116C"/>
    <w:rsid w:val="005F2131"/>
    <w:rsid w:val="005F289E"/>
    <w:rsid w:val="005F32E3"/>
    <w:rsid w:val="005F603F"/>
    <w:rsid w:val="005F6878"/>
    <w:rsid w:val="00600631"/>
    <w:rsid w:val="006009CF"/>
    <w:rsid w:val="00600D9B"/>
    <w:rsid w:val="00602D95"/>
    <w:rsid w:val="00603DED"/>
    <w:rsid w:val="00603FD6"/>
    <w:rsid w:val="00604A4E"/>
    <w:rsid w:val="00605CF7"/>
    <w:rsid w:val="00605EF6"/>
    <w:rsid w:val="00606455"/>
    <w:rsid w:val="00607B3B"/>
    <w:rsid w:val="006131C3"/>
    <w:rsid w:val="0061378F"/>
    <w:rsid w:val="006148BE"/>
    <w:rsid w:val="00614929"/>
    <w:rsid w:val="0061650B"/>
    <w:rsid w:val="00616511"/>
    <w:rsid w:val="0061719F"/>
    <w:rsid w:val="006176ED"/>
    <w:rsid w:val="00617A35"/>
    <w:rsid w:val="006202F3"/>
    <w:rsid w:val="0062097A"/>
    <w:rsid w:val="00621DA6"/>
    <w:rsid w:val="006222BB"/>
    <w:rsid w:val="00623588"/>
    <w:rsid w:val="00623CFE"/>
    <w:rsid w:val="0062423C"/>
    <w:rsid w:val="0062504E"/>
    <w:rsid w:val="00627221"/>
    <w:rsid w:val="00627EE8"/>
    <w:rsid w:val="006307F3"/>
    <w:rsid w:val="006316FA"/>
    <w:rsid w:val="00632BDB"/>
    <w:rsid w:val="0063455C"/>
    <w:rsid w:val="00635645"/>
    <w:rsid w:val="00636220"/>
    <w:rsid w:val="006370D2"/>
    <w:rsid w:val="00637A42"/>
    <w:rsid w:val="00637DA1"/>
    <w:rsid w:val="00637FEB"/>
    <w:rsid w:val="0064074F"/>
    <w:rsid w:val="00640B3C"/>
    <w:rsid w:val="00641280"/>
    <w:rsid w:val="00641926"/>
    <w:rsid w:val="00641F55"/>
    <w:rsid w:val="00642CCD"/>
    <w:rsid w:val="00643661"/>
    <w:rsid w:val="00644290"/>
    <w:rsid w:val="006447A9"/>
    <w:rsid w:val="00645132"/>
    <w:rsid w:val="00645E4A"/>
    <w:rsid w:val="00646981"/>
    <w:rsid w:val="0064747A"/>
    <w:rsid w:val="0065176E"/>
    <w:rsid w:val="00651C39"/>
    <w:rsid w:val="00653688"/>
    <w:rsid w:val="006559FB"/>
    <w:rsid w:val="00657540"/>
    <w:rsid w:val="0065781F"/>
    <w:rsid w:val="0066091B"/>
    <w:rsid w:val="00661800"/>
    <w:rsid w:val="00661961"/>
    <w:rsid w:val="00662629"/>
    <w:rsid w:val="0066271E"/>
    <w:rsid w:val="00662918"/>
    <w:rsid w:val="00662997"/>
    <w:rsid w:val="0066399B"/>
    <w:rsid w:val="00663AC6"/>
    <w:rsid w:val="006641D5"/>
    <w:rsid w:val="006660E9"/>
    <w:rsid w:val="00666320"/>
    <w:rsid w:val="00666720"/>
    <w:rsid w:val="00667249"/>
    <w:rsid w:val="00667558"/>
    <w:rsid w:val="00667EE9"/>
    <w:rsid w:val="00671523"/>
    <w:rsid w:val="00672455"/>
    <w:rsid w:val="006726FF"/>
    <w:rsid w:val="00672C73"/>
    <w:rsid w:val="00672CF9"/>
    <w:rsid w:val="00674C5F"/>
    <w:rsid w:val="006754EF"/>
    <w:rsid w:val="00675C53"/>
    <w:rsid w:val="00676B63"/>
    <w:rsid w:val="00676C8D"/>
    <w:rsid w:val="00676F1F"/>
    <w:rsid w:val="00677381"/>
    <w:rsid w:val="00677414"/>
    <w:rsid w:val="00677F0D"/>
    <w:rsid w:val="00680367"/>
    <w:rsid w:val="006812D8"/>
    <w:rsid w:val="006814FC"/>
    <w:rsid w:val="006816BD"/>
    <w:rsid w:val="006832CF"/>
    <w:rsid w:val="0068364B"/>
    <w:rsid w:val="0068601E"/>
    <w:rsid w:val="00691EC2"/>
    <w:rsid w:val="00692065"/>
    <w:rsid w:val="006928CC"/>
    <w:rsid w:val="00692FE5"/>
    <w:rsid w:val="006939EB"/>
    <w:rsid w:val="0069486B"/>
    <w:rsid w:val="0069596D"/>
    <w:rsid w:val="00695A32"/>
    <w:rsid w:val="00697A9D"/>
    <w:rsid w:val="006A0174"/>
    <w:rsid w:val="006A049F"/>
    <w:rsid w:val="006A20BD"/>
    <w:rsid w:val="006A2CD4"/>
    <w:rsid w:val="006A2D1D"/>
    <w:rsid w:val="006A4849"/>
    <w:rsid w:val="006A4904"/>
    <w:rsid w:val="006A4F1E"/>
    <w:rsid w:val="006A548F"/>
    <w:rsid w:val="006A57E4"/>
    <w:rsid w:val="006A5DD1"/>
    <w:rsid w:val="006A6195"/>
    <w:rsid w:val="006A6B11"/>
    <w:rsid w:val="006A701A"/>
    <w:rsid w:val="006B03A2"/>
    <w:rsid w:val="006B0868"/>
    <w:rsid w:val="006B1035"/>
    <w:rsid w:val="006B1BAB"/>
    <w:rsid w:val="006B2E0E"/>
    <w:rsid w:val="006B393C"/>
    <w:rsid w:val="006B522E"/>
    <w:rsid w:val="006B5A61"/>
    <w:rsid w:val="006B63A1"/>
    <w:rsid w:val="006B64DC"/>
    <w:rsid w:val="006B7A91"/>
    <w:rsid w:val="006C5130"/>
    <w:rsid w:val="006C6FBA"/>
    <w:rsid w:val="006C768D"/>
    <w:rsid w:val="006D0BE5"/>
    <w:rsid w:val="006D0ECE"/>
    <w:rsid w:val="006D18AB"/>
    <w:rsid w:val="006D1901"/>
    <w:rsid w:val="006D216D"/>
    <w:rsid w:val="006D2C61"/>
    <w:rsid w:val="006D2CA0"/>
    <w:rsid w:val="006D46C4"/>
    <w:rsid w:val="006D4704"/>
    <w:rsid w:val="006D4B15"/>
    <w:rsid w:val="006D5907"/>
    <w:rsid w:val="006D5A41"/>
    <w:rsid w:val="006D6406"/>
    <w:rsid w:val="006D6A2D"/>
    <w:rsid w:val="006D7607"/>
    <w:rsid w:val="006E18B7"/>
    <w:rsid w:val="006E1E18"/>
    <w:rsid w:val="006E31CE"/>
    <w:rsid w:val="006E34D3"/>
    <w:rsid w:val="006E6B33"/>
    <w:rsid w:val="006E6EAE"/>
    <w:rsid w:val="006E7607"/>
    <w:rsid w:val="006E7FC3"/>
    <w:rsid w:val="006F1435"/>
    <w:rsid w:val="006F1675"/>
    <w:rsid w:val="006F5BF6"/>
    <w:rsid w:val="006F683A"/>
    <w:rsid w:val="006F78C4"/>
    <w:rsid w:val="006F7E67"/>
    <w:rsid w:val="00700930"/>
    <w:rsid w:val="007024B3"/>
    <w:rsid w:val="00702B81"/>
    <w:rsid w:val="00702C0E"/>
    <w:rsid w:val="00702C21"/>
    <w:rsid w:val="007031A0"/>
    <w:rsid w:val="00705A29"/>
    <w:rsid w:val="00707498"/>
    <w:rsid w:val="00707A5C"/>
    <w:rsid w:val="00707E42"/>
    <w:rsid w:val="00710312"/>
    <w:rsid w:val="00710702"/>
    <w:rsid w:val="00711A65"/>
    <w:rsid w:val="00714133"/>
    <w:rsid w:val="007146B4"/>
    <w:rsid w:val="00714DA4"/>
    <w:rsid w:val="007158B2"/>
    <w:rsid w:val="00716081"/>
    <w:rsid w:val="0072057B"/>
    <w:rsid w:val="007226E6"/>
    <w:rsid w:val="00722B48"/>
    <w:rsid w:val="00724164"/>
    <w:rsid w:val="00724398"/>
    <w:rsid w:val="0072518B"/>
    <w:rsid w:val="00725DE7"/>
    <w:rsid w:val="0072636A"/>
    <w:rsid w:val="00726B44"/>
    <w:rsid w:val="00730EB5"/>
    <w:rsid w:val="007318DD"/>
    <w:rsid w:val="00732E13"/>
    <w:rsid w:val="00732E44"/>
    <w:rsid w:val="00733167"/>
    <w:rsid w:val="007346F9"/>
    <w:rsid w:val="0073475A"/>
    <w:rsid w:val="00734CF1"/>
    <w:rsid w:val="00735442"/>
    <w:rsid w:val="00737CFB"/>
    <w:rsid w:val="00737DE4"/>
    <w:rsid w:val="00737DEA"/>
    <w:rsid w:val="0074019E"/>
    <w:rsid w:val="00740D2C"/>
    <w:rsid w:val="00740F21"/>
    <w:rsid w:val="00741D86"/>
    <w:rsid w:val="007435A3"/>
    <w:rsid w:val="00743917"/>
    <w:rsid w:val="00743BD1"/>
    <w:rsid w:val="0074417F"/>
    <w:rsid w:val="00744BF9"/>
    <w:rsid w:val="007458DE"/>
    <w:rsid w:val="00746214"/>
    <w:rsid w:val="0074693C"/>
    <w:rsid w:val="007475C7"/>
    <w:rsid w:val="0075208B"/>
    <w:rsid w:val="007522FF"/>
    <w:rsid w:val="00752623"/>
    <w:rsid w:val="007540BE"/>
    <w:rsid w:val="0075455E"/>
    <w:rsid w:val="00754935"/>
    <w:rsid w:val="00756A8F"/>
    <w:rsid w:val="00757218"/>
    <w:rsid w:val="00757BA9"/>
    <w:rsid w:val="00757C9C"/>
    <w:rsid w:val="007608EF"/>
    <w:rsid w:val="00760F1F"/>
    <w:rsid w:val="00761F1B"/>
    <w:rsid w:val="007626FD"/>
    <w:rsid w:val="00763D21"/>
    <w:rsid w:val="0076423E"/>
    <w:rsid w:val="007646CB"/>
    <w:rsid w:val="0076653A"/>
    <w:rsid w:val="0076658F"/>
    <w:rsid w:val="00766A3C"/>
    <w:rsid w:val="007673F0"/>
    <w:rsid w:val="0077040A"/>
    <w:rsid w:val="007707BE"/>
    <w:rsid w:val="00770BCC"/>
    <w:rsid w:val="00770C03"/>
    <w:rsid w:val="00771A30"/>
    <w:rsid w:val="00772C60"/>
    <w:rsid w:val="00772D64"/>
    <w:rsid w:val="00773A03"/>
    <w:rsid w:val="00775B60"/>
    <w:rsid w:val="00777522"/>
    <w:rsid w:val="007815B3"/>
    <w:rsid w:val="00781B0E"/>
    <w:rsid w:val="007831B3"/>
    <w:rsid w:val="00784016"/>
    <w:rsid w:val="00784D87"/>
    <w:rsid w:val="00787502"/>
    <w:rsid w:val="00787DB5"/>
    <w:rsid w:val="00792383"/>
    <w:rsid w:val="00792609"/>
    <w:rsid w:val="00792887"/>
    <w:rsid w:val="00792ADC"/>
    <w:rsid w:val="00793A2F"/>
    <w:rsid w:val="007943E2"/>
    <w:rsid w:val="00794F2C"/>
    <w:rsid w:val="0079605B"/>
    <w:rsid w:val="00796460"/>
    <w:rsid w:val="0079654F"/>
    <w:rsid w:val="007A2BC3"/>
    <w:rsid w:val="007A3BA1"/>
    <w:rsid w:val="007A3BBA"/>
    <w:rsid w:val="007A3BC7"/>
    <w:rsid w:val="007A57CA"/>
    <w:rsid w:val="007A5AC4"/>
    <w:rsid w:val="007A66C6"/>
    <w:rsid w:val="007A7D32"/>
    <w:rsid w:val="007A7D54"/>
    <w:rsid w:val="007B0FDD"/>
    <w:rsid w:val="007B140B"/>
    <w:rsid w:val="007B1871"/>
    <w:rsid w:val="007B1A8B"/>
    <w:rsid w:val="007B3064"/>
    <w:rsid w:val="007B39C1"/>
    <w:rsid w:val="007B45B5"/>
    <w:rsid w:val="007B4802"/>
    <w:rsid w:val="007B510C"/>
    <w:rsid w:val="007B61D3"/>
    <w:rsid w:val="007B649A"/>
    <w:rsid w:val="007B6668"/>
    <w:rsid w:val="007B6B33"/>
    <w:rsid w:val="007B6CF7"/>
    <w:rsid w:val="007B71F5"/>
    <w:rsid w:val="007C001C"/>
    <w:rsid w:val="007C07A4"/>
    <w:rsid w:val="007C1004"/>
    <w:rsid w:val="007C122A"/>
    <w:rsid w:val="007C2701"/>
    <w:rsid w:val="007C366B"/>
    <w:rsid w:val="007C4CC5"/>
    <w:rsid w:val="007C6351"/>
    <w:rsid w:val="007C63EB"/>
    <w:rsid w:val="007C6C44"/>
    <w:rsid w:val="007C7724"/>
    <w:rsid w:val="007C780E"/>
    <w:rsid w:val="007C7CF6"/>
    <w:rsid w:val="007C7ED6"/>
    <w:rsid w:val="007D0717"/>
    <w:rsid w:val="007D0A07"/>
    <w:rsid w:val="007D207A"/>
    <w:rsid w:val="007D2192"/>
    <w:rsid w:val="007D2FB7"/>
    <w:rsid w:val="007D4039"/>
    <w:rsid w:val="007D4982"/>
    <w:rsid w:val="007D57F5"/>
    <w:rsid w:val="007D6AF9"/>
    <w:rsid w:val="007D7391"/>
    <w:rsid w:val="007D7606"/>
    <w:rsid w:val="007E0D91"/>
    <w:rsid w:val="007E1B28"/>
    <w:rsid w:val="007E1EB2"/>
    <w:rsid w:val="007E28A3"/>
    <w:rsid w:val="007E2CC5"/>
    <w:rsid w:val="007E2F8A"/>
    <w:rsid w:val="007E4373"/>
    <w:rsid w:val="007E656B"/>
    <w:rsid w:val="007E77FE"/>
    <w:rsid w:val="007E7804"/>
    <w:rsid w:val="007F0021"/>
    <w:rsid w:val="007F1120"/>
    <w:rsid w:val="007F2F52"/>
    <w:rsid w:val="007F4C35"/>
    <w:rsid w:val="007F5CAA"/>
    <w:rsid w:val="007F5EE6"/>
    <w:rsid w:val="007F5EF1"/>
    <w:rsid w:val="007F63D8"/>
    <w:rsid w:val="007F765F"/>
    <w:rsid w:val="00800B0E"/>
    <w:rsid w:val="00801F71"/>
    <w:rsid w:val="00805F28"/>
    <w:rsid w:val="00806A57"/>
    <w:rsid w:val="00806DD5"/>
    <w:rsid w:val="0080749F"/>
    <w:rsid w:val="0081004D"/>
    <w:rsid w:val="00811D46"/>
    <w:rsid w:val="008120BB"/>
    <w:rsid w:val="008125B0"/>
    <w:rsid w:val="008128ED"/>
    <w:rsid w:val="00812AD7"/>
    <w:rsid w:val="008144CB"/>
    <w:rsid w:val="00815C10"/>
    <w:rsid w:val="00815D57"/>
    <w:rsid w:val="00816461"/>
    <w:rsid w:val="0081666B"/>
    <w:rsid w:val="00817C86"/>
    <w:rsid w:val="00820DB9"/>
    <w:rsid w:val="00821717"/>
    <w:rsid w:val="00823E8E"/>
    <w:rsid w:val="00824210"/>
    <w:rsid w:val="00824EA7"/>
    <w:rsid w:val="00825344"/>
    <w:rsid w:val="00825A12"/>
    <w:rsid w:val="008263C0"/>
    <w:rsid w:val="00827B55"/>
    <w:rsid w:val="0083063C"/>
    <w:rsid w:val="008308FE"/>
    <w:rsid w:val="00830F0C"/>
    <w:rsid w:val="0083153A"/>
    <w:rsid w:val="008332D3"/>
    <w:rsid w:val="00833F98"/>
    <w:rsid w:val="00835234"/>
    <w:rsid w:val="00835FF9"/>
    <w:rsid w:val="00836153"/>
    <w:rsid w:val="0083655E"/>
    <w:rsid w:val="008379E2"/>
    <w:rsid w:val="00837AC4"/>
    <w:rsid w:val="00837BD2"/>
    <w:rsid w:val="00840807"/>
    <w:rsid w:val="00841422"/>
    <w:rsid w:val="00841D3B"/>
    <w:rsid w:val="0084314C"/>
    <w:rsid w:val="00843171"/>
    <w:rsid w:val="00843261"/>
    <w:rsid w:val="0084430B"/>
    <w:rsid w:val="00844756"/>
    <w:rsid w:val="00844A6B"/>
    <w:rsid w:val="00844BF6"/>
    <w:rsid w:val="00846F5F"/>
    <w:rsid w:val="00847D7D"/>
    <w:rsid w:val="00850AC9"/>
    <w:rsid w:val="00852D28"/>
    <w:rsid w:val="00853066"/>
    <w:rsid w:val="0085394C"/>
    <w:rsid w:val="00854719"/>
    <w:rsid w:val="00854EFF"/>
    <w:rsid w:val="008552DD"/>
    <w:rsid w:val="008554EC"/>
    <w:rsid w:val="0085601F"/>
    <w:rsid w:val="00856330"/>
    <w:rsid w:val="008575C3"/>
    <w:rsid w:val="00857A24"/>
    <w:rsid w:val="008611B0"/>
    <w:rsid w:val="00861467"/>
    <w:rsid w:val="00861518"/>
    <w:rsid w:val="00861A0F"/>
    <w:rsid w:val="008627CD"/>
    <w:rsid w:val="00862806"/>
    <w:rsid w:val="008630F1"/>
    <w:rsid w:val="008632BF"/>
    <w:rsid w:val="00863D28"/>
    <w:rsid w:val="00864744"/>
    <w:rsid w:val="008648C3"/>
    <w:rsid w:val="008654DB"/>
    <w:rsid w:val="00867B7D"/>
    <w:rsid w:val="0087062B"/>
    <w:rsid w:val="008716D8"/>
    <w:rsid w:val="00873510"/>
    <w:rsid w:val="00874E96"/>
    <w:rsid w:val="00875DBE"/>
    <w:rsid w:val="0087740B"/>
    <w:rsid w:val="0087763C"/>
    <w:rsid w:val="00880F26"/>
    <w:rsid w:val="00880FC3"/>
    <w:rsid w:val="00882499"/>
    <w:rsid w:val="0088422F"/>
    <w:rsid w:val="00884423"/>
    <w:rsid w:val="00886D0C"/>
    <w:rsid w:val="008870A5"/>
    <w:rsid w:val="00890540"/>
    <w:rsid w:val="00890BB1"/>
    <w:rsid w:val="00892F4C"/>
    <w:rsid w:val="008934A9"/>
    <w:rsid w:val="00896617"/>
    <w:rsid w:val="00896ADA"/>
    <w:rsid w:val="00896BFC"/>
    <w:rsid w:val="00896C2E"/>
    <w:rsid w:val="008A15F7"/>
    <w:rsid w:val="008A1BC1"/>
    <w:rsid w:val="008A3F4A"/>
    <w:rsid w:val="008A4E81"/>
    <w:rsid w:val="008A5095"/>
    <w:rsid w:val="008A5518"/>
    <w:rsid w:val="008A608F"/>
    <w:rsid w:val="008A65E7"/>
    <w:rsid w:val="008A708D"/>
    <w:rsid w:val="008B09A2"/>
    <w:rsid w:val="008B110F"/>
    <w:rsid w:val="008B1A9A"/>
    <w:rsid w:val="008B2AE3"/>
    <w:rsid w:val="008B3AD9"/>
    <w:rsid w:val="008B4552"/>
    <w:rsid w:val="008B4FE6"/>
    <w:rsid w:val="008B6C37"/>
    <w:rsid w:val="008B70B7"/>
    <w:rsid w:val="008B75DB"/>
    <w:rsid w:val="008B7F98"/>
    <w:rsid w:val="008C07E0"/>
    <w:rsid w:val="008C1B16"/>
    <w:rsid w:val="008C357D"/>
    <w:rsid w:val="008C5153"/>
    <w:rsid w:val="008C5775"/>
    <w:rsid w:val="008C59D0"/>
    <w:rsid w:val="008C655F"/>
    <w:rsid w:val="008D00CA"/>
    <w:rsid w:val="008D1A74"/>
    <w:rsid w:val="008D467F"/>
    <w:rsid w:val="008D4989"/>
    <w:rsid w:val="008D5EB1"/>
    <w:rsid w:val="008D661F"/>
    <w:rsid w:val="008E165E"/>
    <w:rsid w:val="008E18F7"/>
    <w:rsid w:val="008E1E10"/>
    <w:rsid w:val="008E23A5"/>
    <w:rsid w:val="008E281F"/>
    <w:rsid w:val="008E291B"/>
    <w:rsid w:val="008E2DD8"/>
    <w:rsid w:val="008E4227"/>
    <w:rsid w:val="008E4A54"/>
    <w:rsid w:val="008E4F2F"/>
    <w:rsid w:val="008E5385"/>
    <w:rsid w:val="008E6782"/>
    <w:rsid w:val="008E74B0"/>
    <w:rsid w:val="008F0477"/>
    <w:rsid w:val="008F0C78"/>
    <w:rsid w:val="008F22E4"/>
    <w:rsid w:val="008F2386"/>
    <w:rsid w:val="008F263E"/>
    <w:rsid w:val="008F280E"/>
    <w:rsid w:val="008F4ED7"/>
    <w:rsid w:val="008F6EC7"/>
    <w:rsid w:val="009008A8"/>
    <w:rsid w:val="00901339"/>
    <w:rsid w:val="00902B47"/>
    <w:rsid w:val="009038A7"/>
    <w:rsid w:val="00906087"/>
    <w:rsid w:val="009063B0"/>
    <w:rsid w:val="00907106"/>
    <w:rsid w:val="009107FD"/>
    <w:rsid w:val="0091083D"/>
    <w:rsid w:val="0091137C"/>
    <w:rsid w:val="00911567"/>
    <w:rsid w:val="00913E69"/>
    <w:rsid w:val="0091483F"/>
    <w:rsid w:val="00915649"/>
    <w:rsid w:val="00915BB6"/>
    <w:rsid w:val="00916CCA"/>
    <w:rsid w:val="00917AAE"/>
    <w:rsid w:val="00920EF9"/>
    <w:rsid w:val="00922BFE"/>
    <w:rsid w:val="009251A9"/>
    <w:rsid w:val="009251BC"/>
    <w:rsid w:val="009257A7"/>
    <w:rsid w:val="00927089"/>
    <w:rsid w:val="00930699"/>
    <w:rsid w:val="009308C1"/>
    <w:rsid w:val="00930C4F"/>
    <w:rsid w:val="0093121E"/>
    <w:rsid w:val="00931F69"/>
    <w:rsid w:val="0093228F"/>
    <w:rsid w:val="00932887"/>
    <w:rsid w:val="00934123"/>
    <w:rsid w:val="00934164"/>
    <w:rsid w:val="00936F0E"/>
    <w:rsid w:val="009374C6"/>
    <w:rsid w:val="00940A16"/>
    <w:rsid w:val="00942A92"/>
    <w:rsid w:val="009430EF"/>
    <w:rsid w:val="00945669"/>
    <w:rsid w:val="0094714C"/>
    <w:rsid w:val="0094733E"/>
    <w:rsid w:val="00950323"/>
    <w:rsid w:val="009522B5"/>
    <w:rsid w:val="009539D5"/>
    <w:rsid w:val="009548E7"/>
    <w:rsid w:val="00955774"/>
    <w:rsid w:val="009560B5"/>
    <w:rsid w:val="00956A5C"/>
    <w:rsid w:val="00956B7A"/>
    <w:rsid w:val="009609DC"/>
    <w:rsid w:val="00960D73"/>
    <w:rsid w:val="00962AA9"/>
    <w:rsid w:val="009645E2"/>
    <w:rsid w:val="0096486F"/>
    <w:rsid w:val="00964C1D"/>
    <w:rsid w:val="00965C75"/>
    <w:rsid w:val="00967B8D"/>
    <w:rsid w:val="00967D91"/>
    <w:rsid w:val="009700C8"/>
    <w:rsid w:val="009703D6"/>
    <w:rsid w:val="00970810"/>
    <w:rsid w:val="00970A11"/>
    <w:rsid w:val="00970A86"/>
    <w:rsid w:val="00971068"/>
    <w:rsid w:val="0097130F"/>
    <w:rsid w:val="0097181B"/>
    <w:rsid w:val="00971AE1"/>
    <w:rsid w:val="00971EC7"/>
    <w:rsid w:val="00972B36"/>
    <w:rsid w:val="00973786"/>
    <w:rsid w:val="00973925"/>
    <w:rsid w:val="009740D2"/>
    <w:rsid w:val="00975598"/>
    <w:rsid w:val="00975F9F"/>
    <w:rsid w:val="009766E4"/>
    <w:rsid w:val="00976A45"/>
    <w:rsid w:val="00976DC5"/>
    <w:rsid w:val="00981554"/>
    <w:rsid w:val="009818C7"/>
    <w:rsid w:val="00982945"/>
    <w:rsid w:val="00982DD4"/>
    <w:rsid w:val="00983451"/>
    <w:rsid w:val="00983CC3"/>
    <w:rsid w:val="00983DAB"/>
    <w:rsid w:val="009841E5"/>
    <w:rsid w:val="0098479F"/>
    <w:rsid w:val="00984A8A"/>
    <w:rsid w:val="0098547A"/>
    <w:rsid w:val="009857B6"/>
    <w:rsid w:val="00985A8D"/>
    <w:rsid w:val="00986062"/>
    <w:rsid w:val="00986610"/>
    <w:rsid w:val="00986918"/>
    <w:rsid w:val="009877DC"/>
    <w:rsid w:val="00991F96"/>
    <w:rsid w:val="00993488"/>
    <w:rsid w:val="00995B54"/>
    <w:rsid w:val="00995D66"/>
    <w:rsid w:val="0099636F"/>
    <w:rsid w:val="00996F0A"/>
    <w:rsid w:val="009A00E2"/>
    <w:rsid w:val="009A1D86"/>
    <w:rsid w:val="009A1F29"/>
    <w:rsid w:val="009A3954"/>
    <w:rsid w:val="009A3F8E"/>
    <w:rsid w:val="009A7655"/>
    <w:rsid w:val="009B049C"/>
    <w:rsid w:val="009B0878"/>
    <w:rsid w:val="009B11C8"/>
    <w:rsid w:val="009B2BCF"/>
    <w:rsid w:val="009B2FF8"/>
    <w:rsid w:val="009B4DEE"/>
    <w:rsid w:val="009B5BA2"/>
    <w:rsid w:val="009B5BA3"/>
    <w:rsid w:val="009B62F5"/>
    <w:rsid w:val="009C0FE9"/>
    <w:rsid w:val="009C2759"/>
    <w:rsid w:val="009C27B9"/>
    <w:rsid w:val="009C2B63"/>
    <w:rsid w:val="009C2C23"/>
    <w:rsid w:val="009C3B73"/>
    <w:rsid w:val="009C3BB9"/>
    <w:rsid w:val="009C42E8"/>
    <w:rsid w:val="009C46E1"/>
    <w:rsid w:val="009C714E"/>
    <w:rsid w:val="009C71E9"/>
    <w:rsid w:val="009C7746"/>
    <w:rsid w:val="009D0027"/>
    <w:rsid w:val="009D0655"/>
    <w:rsid w:val="009D138E"/>
    <w:rsid w:val="009D152C"/>
    <w:rsid w:val="009D183E"/>
    <w:rsid w:val="009D32C5"/>
    <w:rsid w:val="009D5DF7"/>
    <w:rsid w:val="009D6F11"/>
    <w:rsid w:val="009D7406"/>
    <w:rsid w:val="009D7BBA"/>
    <w:rsid w:val="009E0C1B"/>
    <w:rsid w:val="009E0DC3"/>
    <w:rsid w:val="009E0F46"/>
    <w:rsid w:val="009E125D"/>
    <w:rsid w:val="009E1E98"/>
    <w:rsid w:val="009E2568"/>
    <w:rsid w:val="009E2A57"/>
    <w:rsid w:val="009E3694"/>
    <w:rsid w:val="009E3ABE"/>
    <w:rsid w:val="009E3C4B"/>
    <w:rsid w:val="009E4F31"/>
    <w:rsid w:val="009E5159"/>
    <w:rsid w:val="009E790A"/>
    <w:rsid w:val="009E7FB0"/>
    <w:rsid w:val="009F01B8"/>
    <w:rsid w:val="009F0637"/>
    <w:rsid w:val="009F0D06"/>
    <w:rsid w:val="009F189D"/>
    <w:rsid w:val="009F21B1"/>
    <w:rsid w:val="009F5B47"/>
    <w:rsid w:val="009F62A6"/>
    <w:rsid w:val="009F62CA"/>
    <w:rsid w:val="009F674F"/>
    <w:rsid w:val="009F6C09"/>
    <w:rsid w:val="009F76FC"/>
    <w:rsid w:val="009F799E"/>
    <w:rsid w:val="009F7A19"/>
    <w:rsid w:val="009F7C22"/>
    <w:rsid w:val="00A019C7"/>
    <w:rsid w:val="00A02020"/>
    <w:rsid w:val="00A026F9"/>
    <w:rsid w:val="00A04B36"/>
    <w:rsid w:val="00A056CB"/>
    <w:rsid w:val="00A07A29"/>
    <w:rsid w:val="00A108EF"/>
    <w:rsid w:val="00A10FF1"/>
    <w:rsid w:val="00A1379B"/>
    <w:rsid w:val="00A13D2A"/>
    <w:rsid w:val="00A14A2F"/>
    <w:rsid w:val="00A1506B"/>
    <w:rsid w:val="00A15288"/>
    <w:rsid w:val="00A15D4A"/>
    <w:rsid w:val="00A15DCE"/>
    <w:rsid w:val="00A1675F"/>
    <w:rsid w:val="00A17CB2"/>
    <w:rsid w:val="00A200D4"/>
    <w:rsid w:val="00A20828"/>
    <w:rsid w:val="00A21659"/>
    <w:rsid w:val="00A22888"/>
    <w:rsid w:val="00A22E2C"/>
    <w:rsid w:val="00A23191"/>
    <w:rsid w:val="00A258D7"/>
    <w:rsid w:val="00A25CA6"/>
    <w:rsid w:val="00A25FC0"/>
    <w:rsid w:val="00A2702C"/>
    <w:rsid w:val="00A270CF"/>
    <w:rsid w:val="00A274E0"/>
    <w:rsid w:val="00A275E9"/>
    <w:rsid w:val="00A27EEE"/>
    <w:rsid w:val="00A30E64"/>
    <w:rsid w:val="00A31953"/>
    <w:rsid w:val="00A319C0"/>
    <w:rsid w:val="00A320E0"/>
    <w:rsid w:val="00A331E8"/>
    <w:rsid w:val="00A33560"/>
    <w:rsid w:val="00A33ADC"/>
    <w:rsid w:val="00A357D8"/>
    <w:rsid w:val="00A364E4"/>
    <w:rsid w:val="00A371A5"/>
    <w:rsid w:val="00A3728D"/>
    <w:rsid w:val="00A40116"/>
    <w:rsid w:val="00A420E0"/>
    <w:rsid w:val="00A42ECB"/>
    <w:rsid w:val="00A43B91"/>
    <w:rsid w:val="00A45196"/>
    <w:rsid w:val="00A4547B"/>
    <w:rsid w:val="00A457DF"/>
    <w:rsid w:val="00A460B3"/>
    <w:rsid w:val="00A462A0"/>
    <w:rsid w:val="00A47BDF"/>
    <w:rsid w:val="00A50067"/>
    <w:rsid w:val="00A507E4"/>
    <w:rsid w:val="00A51CCA"/>
    <w:rsid w:val="00A51CD7"/>
    <w:rsid w:val="00A52ADB"/>
    <w:rsid w:val="00A52FF8"/>
    <w:rsid w:val="00A530B3"/>
    <w:rsid w:val="00A533E8"/>
    <w:rsid w:val="00A53C47"/>
    <w:rsid w:val="00A542D9"/>
    <w:rsid w:val="00A56E64"/>
    <w:rsid w:val="00A61868"/>
    <w:rsid w:val="00A62347"/>
    <w:rsid w:val="00A624C3"/>
    <w:rsid w:val="00A625C2"/>
    <w:rsid w:val="00A63171"/>
    <w:rsid w:val="00A639AF"/>
    <w:rsid w:val="00A64A65"/>
    <w:rsid w:val="00A6641C"/>
    <w:rsid w:val="00A67160"/>
    <w:rsid w:val="00A67546"/>
    <w:rsid w:val="00A70515"/>
    <w:rsid w:val="00A7091F"/>
    <w:rsid w:val="00A70D8D"/>
    <w:rsid w:val="00A7170D"/>
    <w:rsid w:val="00A7392E"/>
    <w:rsid w:val="00A73C7A"/>
    <w:rsid w:val="00A74A5A"/>
    <w:rsid w:val="00A767D2"/>
    <w:rsid w:val="00A77616"/>
    <w:rsid w:val="00A80247"/>
    <w:rsid w:val="00A805DA"/>
    <w:rsid w:val="00A80D04"/>
    <w:rsid w:val="00A811B4"/>
    <w:rsid w:val="00A817B7"/>
    <w:rsid w:val="00A83BE9"/>
    <w:rsid w:val="00A84E0B"/>
    <w:rsid w:val="00A86FDF"/>
    <w:rsid w:val="00A870FE"/>
    <w:rsid w:val="00A87A9B"/>
    <w:rsid w:val="00A87CDE"/>
    <w:rsid w:val="00A87EE1"/>
    <w:rsid w:val="00A91530"/>
    <w:rsid w:val="00A92BAF"/>
    <w:rsid w:val="00A92DE7"/>
    <w:rsid w:val="00A9311F"/>
    <w:rsid w:val="00A94737"/>
    <w:rsid w:val="00A94781"/>
    <w:rsid w:val="00A94BA3"/>
    <w:rsid w:val="00A94E0D"/>
    <w:rsid w:val="00A957F4"/>
    <w:rsid w:val="00A9618E"/>
    <w:rsid w:val="00A96CBA"/>
    <w:rsid w:val="00A97E70"/>
    <w:rsid w:val="00AA13FC"/>
    <w:rsid w:val="00AA1A1A"/>
    <w:rsid w:val="00AA4A6D"/>
    <w:rsid w:val="00AA4ECB"/>
    <w:rsid w:val="00AA6237"/>
    <w:rsid w:val="00AA69D7"/>
    <w:rsid w:val="00AA7B21"/>
    <w:rsid w:val="00AB1ACD"/>
    <w:rsid w:val="00AB277F"/>
    <w:rsid w:val="00AB2C6B"/>
    <w:rsid w:val="00AB32D3"/>
    <w:rsid w:val="00AB3355"/>
    <w:rsid w:val="00AB4016"/>
    <w:rsid w:val="00AB4099"/>
    <w:rsid w:val="00AB449A"/>
    <w:rsid w:val="00AB58D7"/>
    <w:rsid w:val="00AC135F"/>
    <w:rsid w:val="00AC2662"/>
    <w:rsid w:val="00AC3B28"/>
    <w:rsid w:val="00AC5507"/>
    <w:rsid w:val="00AC5E52"/>
    <w:rsid w:val="00AC74C8"/>
    <w:rsid w:val="00AD0CBB"/>
    <w:rsid w:val="00AD10CC"/>
    <w:rsid w:val="00AD14F9"/>
    <w:rsid w:val="00AD1EF5"/>
    <w:rsid w:val="00AD3501"/>
    <w:rsid w:val="00AD35D6"/>
    <w:rsid w:val="00AD38BA"/>
    <w:rsid w:val="00AD58C5"/>
    <w:rsid w:val="00AD60F5"/>
    <w:rsid w:val="00AD6A6C"/>
    <w:rsid w:val="00AE04A9"/>
    <w:rsid w:val="00AE173B"/>
    <w:rsid w:val="00AE214E"/>
    <w:rsid w:val="00AE240B"/>
    <w:rsid w:val="00AE28FC"/>
    <w:rsid w:val="00AE2FDE"/>
    <w:rsid w:val="00AE36C4"/>
    <w:rsid w:val="00AE394D"/>
    <w:rsid w:val="00AE472C"/>
    <w:rsid w:val="00AE5375"/>
    <w:rsid w:val="00AE5B63"/>
    <w:rsid w:val="00AE5BBB"/>
    <w:rsid w:val="00AE6CF8"/>
    <w:rsid w:val="00AE6ECD"/>
    <w:rsid w:val="00AE7E1E"/>
    <w:rsid w:val="00AF163A"/>
    <w:rsid w:val="00AF1E08"/>
    <w:rsid w:val="00AF4CAC"/>
    <w:rsid w:val="00B00E83"/>
    <w:rsid w:val="00B03E0D"/>
    <w:rsid w:val="00B03E91"/>
    <w:rsid w:val="00B04574"/>
    <w:rsid w:val="00B054F8"/>
    <w:rsid w:val="00B0658D"/>
    <w:rsid w:val="00B069F7"/>
    <w:rsid w:val="00B1045F"/>
    <w:rsid w:val="00B104DE"/>
    <w:rsid w:val="00B10B8C"/>
    <w:rsid w:val="00B1108E"/>
    <w:rsid w:val="00B13791"/>
    <w:rsid w:val="00B13AE6"/>
    <w:rsid w:val="00B13BEF"/>
    <w:rsid w:val="00B13FAD"/>
    <w:rsid w:val="00B168F2"/>
    <w:rsid w:val="00B16BB4"/>
    <w:rsid w:val="00B16D60"/>
    <w:rsid w:val="00B2219A"/>
    <w:rsid w:val="00B226F3"/>
    <w:rsid w:val="00B24264"/>
    <w:rsid w:val="00B30741"/>
    <w:rsid w:val="00B30D72"/>
    <w:rsid w:val="00B314F4"/>
    <w:rsid w:val="00B339EC"/>
    <w:rsid w:val="00B3441D"/>
    <w:rsid w:val="00B34691"/>
    <w:rsid w:val="00B34951"/>
    <w:rsid w:val="00B35619"/>
    <w:rsid w:val="00B3581B"/>
    <w:rsid w:val="00B36654"/>
    <w:rsid w:val="00B36B81"/>
    <w:rsid w:val="00B36E12"/>
    <w:rsid w:val="00B36FEE"/>
    <w:rsid w:val="00B37C80"/>
    <w:rsid w:val="00B404F0"/>
    <w:rsid w:val="00B40836"/>
    <w:rsid w:val="00B40AAD"/>
    <w:rsid w:val="00B414EB"/>
    <w:rsid w:val="00B41F78"/>
    <w:rsid w:val="00B42708"/>
    <w:rsid w:val="00B43BE4"/>
    <w:rsid w:val="00B452CA"/>
    <w:rsid w:val="00B4560D"/>
    <w:rsid w:val="00B4626E"/>
    <w:rsid w:val="00B46905"/>
    <w:rsid w:val="00B501A7"/>
    <w:rsid w:val="00B507CF"/>
    <w:rsid w:val="00B5092B"/>
    <w:rsid w:val="00B50A6F"/>
    <w:rsid w:val="00B5194E"/>
    <w:rsid w:val="00B51AF5"/>
    <w:rsid w:val="00B51B75"/>
    <w:rsid w:val="00B531FC"/>
    <w:rsid w:val="00B54288"/>
    <w:rsid w:val="00B55347"/>
    <w:rsid w:val="00B56061"/>
    <w:rsid w:val="00B56EC7"/>
    <w:rsid w:val="00B57655"/>
    <w:rsid w:val="00B57E5E"/>
    <w:rsid w:val="00B6064E"/>
    <w:rsid w:val="00B60B0C"/>
    <w:rsid w:val="00B61360"/>
    <w:rsid w:val="00B61F37"/>
    <w:rsid w:val="00B62042"/>
    <w:rsid w:val="00B626BD"/>
    <w:rsid w:val="00B62A9E"/>
    <w:rsid w:val="00B6624B"/>
    <w:rsid w:val="00B70A8C"/>
    <w:rsid w:val="00B7235D"/>
    <w:rsid w:val="00B7552D"/>
    <w:rsid w:val="00B76C4E"/>
    <w:rsid w:val="00B7770F"/>
    <w:rsid w:val="00B77A89"/>
    <w:rsid w:val="00B77B27"/>
    <w:rsid w:val="00B802F6"/>
    <w:rsid w:val="00B8093A"/>
    <w:rsid w:val="00B8134E"/>
    <w:rsid w:val="00B81584"/>
    <w:rsid w:val="00B816D9"/>
    <w:rsid w:val="00B81B55"/>
    <w:rsid w:val="00B838A4"/>
    <w:rsid w:val="00B84613"/>
    <w:rsid w:val="00B85198"/>
    <w:rsid w:val="00B85EB1"/>
    <w:rsid w:val="00B86BCA"/>
    <w:rsid w:val="00B87AF0"/>
    <w:rsid w:val="00B9037B"/>
    <w:rsid w:val="00B9080C"/>
    <w:rsid w:val="00B910BD"/>
    <w:rsid w:val="00B93834"/>
    <w:rsid w:val="00B93C0D"/>
    <w:rsid w:val="00B94381"/>
    <w:rsid w:val="00B94B5F"/>
    <w:rsid w:val="00B9530F"/>
    <w:rsid w:val="00B96469"/>
    <w:rsid w:val="00BA0DA2"/>
    <w:rsid w:val="00BA2981"/>
    <w:rsid w:val="00BA2CFD"/>
    <w:rsid w:val="00BA33B3"/>
    <w:rsid w:val="00BA3DFB"/>
    <w:rsid w:val="00BA4146"/>
    <w:rsid w:val="00BA42EE"/>
    <w:rsid w:val="00BA48F9"/>
    <w:rsid w:val="00BA4935"/>
    <w:rsid w:val="00BA5539"/>
    <w:rsid w:val="00BA5903"/>
    <w:rsid w:val="00BA73C3"/>
    <w:rsid w:val="00BB07D9"/>
    <w:rsid w:val="00BB0DCA"/>
    <w:rsid w:val="00BB2666"/>
    <w:rsid w:val="00BB39F0"/>
    <w:rsid w:val="00BB444E"/>
    <w:rsid w:val="00BB52DC"/>
    <w:rsid w:val="00BB6B80"/>
    <w:rsid w:val="00BB6D3E"/>
    <w:rsid w:val="00BB7F2F"/>
    <w:rsid w:val="00BC0CEC"/>
    <w:rsid w:val="00BC101B"/>
    <w:rsid w:val="00BC117E"/>
    <w:rsid w:val="00BC1ED3"/>
    <w:rsid w:val="00BC20CA"/>
    <w:rsid w:val="00BC24F6"/>
    <w:rsid w:val="00BC2632"/>
    <w:rsid w:val="00BC3773"/>
    <w:rsid w:val="00BC381A"/>
    <w:rsid w:val="00BC5BA0"/>
    <w:rsid w:val="00BC5CA1"/>
    <w:rsid w:val="00BC7B6A"/>
    <w:rsid w:val="00BD0962"/>
    <w:rsid w:val="00BD1ED1"/>
    <w:rsid w:val="00BD1EED"/>
    <w:rsid w:val="00BD3BED"/>
    <w:rsid w:val="00BE0520"/>
    <w:rsid w:val="00BE068A"/>
    <w:rsid w:val="00BE3459"/>
    <w:rsid w:val="00BE3E29"/>
    <w:rsid w:val="00BE4D67"/>
    <w:rsid w:val="00BF0DA2"/>
    <w:rsid w:val="00BF109C"/>
    <w:rsid w:val="00BF19A3"/>
    <w:rsid w:val="00BF1D4E"/>
    <w:rsid w:val="00BF23C7"/>
    <w:rsid w:val="00BF26FE"/>
    <w:rsid w:val="00BF2EE6"/>
    <w:rsid w:val="00BF34FA"/>
    <w:rsid w:val="00BF6667"/>
    <w:rsid w:val="00BF6AAF"/>
    <w:rsid w:val="00C004B6"/>
    <w:rsid w:val="00C033DC"/>
    <w:rsid w:val="00C047A7"/>
    <w:rsid w:val="00C05A79"/>
    <w:rsid w:val="00C05DE5"/>
    <w:rsid w:val="00C0672E"/>
    <w:rsid w:val="00C0770E"/>
    <w:rsid w:val="00C07944"/>
    <w:rsid w:val="00C07E45"/>
    <w:rsid w:val="00C10A5F"/>
    <w:rsid w:val="00C1236F"/>
    <w:rsid w:val="00C13342"/>
    <w:rsid w:val="00C1752A"/>
    <w:rsid w:val="00C203C8"/>
    <w:rsid w:val="00C21614"/>
    <w:rsid w:val="00C229E3"/>
    <w:rsid w:val="00C235F8"/>
    <w:rsid w:val="00C24169"/>
    <w:rsid w:val="00C26A65"/>
    <w:rsid w:val="00C26A83"/>
    <w:rsid w:val="00C26CE4"/>
    <w:rsid w:val="00C27505"/>
    <w:rsid w:val="00C31764"/>
    <w:rsid w:val="00C328B0"/>
    <w:rsid w:val="00C32C78"/>
    <w:rsid w:val="00C33027"/>
    <w:rsid w:val="00C33483"/>
    <w:rsid w:val="00C37667"/>
    <w:rsid w:val="00C41CFE"/>
    <w:rsid w:val="00C42ACB"/>
    <w:rsid w:val="00C435DB"/>
    <w:rsid w:val="00C43BB5"/>
    <w:rsid w:val="00C44D73"/>
    <w:rsid w:val="00C44F7F"/>
    <w:rsid w:val="00C45E1B"/>
    <w:rsid w:val="00C46CE9"/>
    <w:rsid w:val="00C476C3"/>
    <w:rsid w:val="00C5097C"/>
    <w:rsid w:val="00C50B42"/>
    <w:rsid w:val="00C50B6A"/>
    <w:rsid w:val="00C512FD"/>
    <w:rsid w:val="00C516FF"/>
    <w:rsid w:val="00C51974"/>
    <w:rsid w:val="00C519FF"/>
    <w:rsid w:val="00C52BFA"/>
    <w:rsid w:val="00C52D3B"/>
    <w:rsid w:val="00C53D1D"/>
    <w:rsid w:val="00C53DBC"/>
    <w:rsid w:val="00C53F26"/>
    <w:rsid w:val="00C540BC"/>
    <w:rsid w:val="00C542D5"/>
    <w:rsid w:val="00C544C0"/>
    <w:rsid w:val="00C55C49"/>
    <w:rsid w:val="00C55FDB"/>
    <w:rsid w:val="00C56D5D"/>
    <w:rsid w:val="00C5735C"/>
    <w:rsid w:val="00C63C26"/>
    <w:rsid w:val="00C64208"/>
    <w:rsid w:val="00C64400"/>
    <w:rsid w:val="00C64F7D"/>
    <w:rsid w:val="00C653EC"/>
    <w:rsid w:val="00C66322"/>
    <w:rsid w:val="00C66BAB"/>
    <w:rsid w:val="00C67309"/>
    <w:rsid w:val="00C70AD1"/>
    <w:rsid w:val="00C7614E"/>
    <w:rsid w:val="00C77BF1"/>
    <w:rsid w:val="00C807F3"/>
    <w:rsid w:val="00C80D60"/>
    <w:rsid w:val="00C821A0"/>
    <w:rsid w:val="00C822D9"/>
    <w:rsid w:val="00C82FBD"/>
    <w:rsid w:val="00C85267"/>
    <w:rsid w:val="00C8721B"/>
    <w:rsid w:val="00C8793B"/>
    <w:rsid w:val="00C92E6C"/>
    <w:rsid w:val="00C93027"/>
    <w:rsid w:val="00C9372C"/>
    <w:rsid w:val="00C94575"/>
    <w:rsid w:val="00C9470E"/>
    <w:rsid w:val="00C948CF"/>
    <w:rsid w:val="00C95CEB"/>
    <w:rsid w:val="00C9692E"/>
    <w:rsid w:val="00C96E26"/>
    <w:rsid w:val="00CA038D"/>
    <w:rsid w:val="00CA1054"/>
    <w:rsid w:val="00CA1258"/>
    <w:rsid w:val="00CA41F5"/>
    <w:rsid w:val="00CA459D"/>
    <w:rsid w:val="00CA63EB"/>
    <w:rsid w:val="00CA69F1"/>
    <w:rsid w:val="00CA7CF2"/>
    <w:rsid w:val="00CB0B17"/>
    <w:rsid w:val="00CB0B1D"/>
    <w:rsid w:val="00CB10BA"/>
    <w:rsid w:val="00CB2980"/>
    <w:rsid w:val="00CB3010"/>
    <w:rsid w:val="00CB4A60"/>
    <w:rsid w:val="00CB59BB"/>
    <w:rsid w:val="00CB5D38"/>
    <w:rsid w:val="00CB647A"/>
    <w:rsid w:val="00CB6991"/>
    <w:rsid w:val="00CB69E5"/>
    <w:rsid w:val="00CC05DC"/>
    <w:rsid w:val="00CC1EFE"/>
    <w:rsid w:val="00CC2D53"/>
    <w:rsid w:val="00CC3454"/>
    <w:rsid w:val="00CC35CA"/>
    <w:rsid w:val="00CC3CAA"/>
    <w:rsid w:val="00CC6194"/>
    <w:rsid w:val="00CC6305"/>
    <w:rsid w:val="00CC6507"/>
    <w:rsid w:val="00CC73A9"/>
    <w:rsid w:val="00CC78A5"/>
    <w:rsid w:val="00CC7A08"/>
    <w:rsid w:val="00CD0516"/>
    <w:rsid w:val="00CD0E70"/>
    <w:rsid w:val="00CD10BF"/>
    <w:rsid w:val="00CD1987"/>
    <w:rsid w:val="00CD1BD2"/>
    <w:rsid w:val="00CD3B7D"/>
    <w:rsid w:val="00CD6075"/>
    <w:rsid w:val="00CD756B"/>
    <w:rsid w:val="00CE0287"/>
    <w:rsid w:val="00CE2EEF"/>
    <w:rsid w:val="00CE3438"/>
    <w:rsid w:val="00CE39AC"/>
    <w:rsid w:val="00CE4AD4"/>
    <w:rsid w:val="00CE5046"/>
    <w:rsid w:val="00CE67B0"/>
    <w:rsid w:val="00CE734F"/>
    <w:rsid w:val="00CE7E1A"/>
    <w:rsid w:val="00CF095C"/>
    <w:rsid w:val="00CF112E"/>
    <w:rsid w:val="00CF1573"/>
    <w:rsid w:val="00CF161D"/>
    <w:rsid w:val="00CF1D17"/>
    <w:rsid w:val="00CF243F"/>
    <w:rsid w:val="00CF3833"/>
    <w:rsid w:val="00CF3AD1"/>
    <w:rsid w:val="00CF3BF7"/>
    <w:rsid w:val="00CF4818"/>
    <w:rsid w:val="00CF5078"/>
    <w:rsid w:val="00CF5F4F"/>
    <w:rsid w:val="00CF6460"/>
    <w:rsid w:val="00D04DD2"/>
    <w:rsid w:val="00D06B2D"/>
    <w:rsid w:val="00D10162"/>
    <w:rsid w:val="00D105A2"/>
    <w:rsid w:val="00D10E71"/>
    <w:rsid w:val="00D11EBD"/>
    <w:rsid w:val="00D12BDC"/>
    <w:rsid w:val="00D13566"/>
    <w:rsid w:val="00D13931"/>
    <w:rsid w:val="00D1398B"/>
    <w:rsid w:val="00D1743D"/>
    <w:rsid w:val="00D208D0"/>
    <w:rsid w:val="00D218DC"/>
    <w:rsid w:val="00D21D6D"/>
    <w:rsid w:val="00D22638"/>
    <w:rsid w:val="00D22D35"/>
    <w:rsid w:val="00D24013"/>
    <w:rsid w:val="00D24806"/>
    <w:rsid w:val="00D24A00"/>
    <w:rsid w:val="00D24E56"/>
    <w:rsid w:val="00D24F4F"/>
    <w:rsid w:val="00D25DF0"/>
    <w:rsid w:val="00D25F66"/>
    <w:rsid w:val="00D260A3"/>
    <w:rsid w:val="00D31011"/>
    <w:rsid w:val="00D31643"/>
    <w:rsid w:val="00D31AEB"/>
    <w:rsid w:val="00D32DDF"/>
    <w:rsid w:val="00D32ECD"/>
    <w:rsid w:val="00D33473"/>
    <w:rsid w:val="00D33773"/>
    <w:rsid w:val="00D33A09"/>
    <w:rsid w:val="00D35CD3"/>
    <w:rsid w:val="00D361E4"/>
    <w:rsid w:val="00D373BF"/>
    <w:rsid w:val="00D3769D"/>
    <w:rsid w:val="00D40418"/>
    <w:rsid w:val="00D40A91"/>
    <w:rsid w:val="00D425F9"/>
    <w:rsid w:val="00D426EB"/>
    <w:rsid w:val="00D42A8F"/>
    <w:rsid w:val="00D4311B"/>
    <w:rsid w:val="00D435FA"/>
    <w:rsid w:val="00D439F6"/>
    <w:rsid w:val="00D45747"/>
    <w:rsid w:val="00D459C6"/>
    <w:rsid w:val="00D462E7"/>
    <w:rsid w:val="00D50079"/>
    <w:rsid w:val="00D50412"/>
    <w:rsid w:val="00D5061D"/>
    <w:rsid w:val="00D50729"/>
    <w:rsid w:val="00D50C19"/>
    <w:rsid w:val="00D50CBC"/>
    <w:rsid w:val="00D53406"/>
    <w:rsid w:val="00D5379E"/>
    <w:rsid w:val="00D54FC8"/>
    <w:rsid w:val="00D56355"/>
    <w:rsid w:val="00D57182"/>
    <w:rsid w:val="00D574F1"/>
    <w:rsid w:val="00D57983"/>
    <w:rsid w:val="00D600E2"/>
    <w:rsid w:val="00D6067E"/>
    <w:rsid w:val="00D61ABE"/>
    <w:rsid w:val="00D62643"/>
    <w:rsid w:val="00D63BE1"/>
    <w:rsid w:val="00D64C0F"/>
    <w:rsid w:val="00D66600"/>
    <w:rsid w:val="00D666DA"/>
    <w:rsid w:val="00D72436"/>
    <w:rsid w:val="00D7268A"/>
    <w:rsid w:val="00D72EFE"/>
    <w:rsid w:val="00D73577"/>
    <w:rsid w:val="00D7362C"/>
    <w:rsid w:val="00D759F3"/>
    <w:rsid w:val="00D76227"/>
    <w:rsid w:val="00D77DF1"/>
    <w:rsid w:val="00D77F7F"/>
    <w:rsid w:val="00D800CB"/>
    <w:rsid w:val="00D80250"/>
    <w:rsid w:val="00D81103"/>
    <w:rsid w:val="00D81FAD"/>
    <w:rsid w:val="00D82209"/>
    <w:rsid w:val="00D82C3F"/>
    <w:rsid w:val="00D832B2"/>
    <w:rsid w:val="00D857B7"/>
    <w:rsid w:val="00D86874"/>
    <w:rsid w:val="00D86A36"/>
    <w:rsid w:val="00D86AFF"/>
    <w:rsid w:val="00D86F13"/>
    <w:rsid w:val="00D93C2B"/>
    <w:rsid w:val="00D94A43"/>
    <w:rsid w:val="00D952B5"/>
    <w:rsid w:val="00D95A44"/>
    <w:rsid w:val="00D95D16"/>
    <w:rsid w:val="00D97B07"/>
    <w:rsid w:val="00D97C76"/>
    <w:rsid w:val="00DA0EC4"/>
    <w:rsid w:val="00DA1501"/>
    <w:rsid w:val="00DA5C18"/>
    <w:rsid w:val="00DA7D52"/>
    <w:rsid w:val="00DB02B4"/>
    <w:rsid w:val="00DB05F4"/>
    <w:rsid w:val="00DB1E76"/>
    <w:rsid w:val="00DB3509"/>
    <w:rsid w:val="00DB538D"/>
    <w:rsid w:val="00DB538F"/>
    <w:rsid w:val="00DC1C61"/>
    <w:rsid w:val="00DC20DA"/>
    <w:rsid w:val="00DC275C"/>
    <w:rsid w:val="00DC2796"/>
    <w:rsid w:val="00DC2909"/>
    <w:rsid w:val="00DC3108"/>
    <w:rsid w:val="00DC474E"/>
    <w:rsid w:val="00DC4B0D"/>
    <w:rsid w:val="00DC4C2B"/>
    <w:rsid w:val="00DC4F81"/>
    <w:rsid w:val="00DC5CF9"/>
    <w:rsid w:val="00DC6091"/>
    <w:rsid w:val="00DC79CB"/>
    <w:rsid w:val="00DC7FE1"/>
    <w:rsid w:val="00DD2EFB"/>
    <w:rsid w:val="00DD325D"/>
    <w:rsid w:val="00DD3F3F"/>
    <w:rsid w:val="00DD5572"/>
    <w:rsid w:val="00DD65FF"/>
    <w:rsid w:val="00DD7770"/>
    <w:rsid w:val="00DE0242"/>
    <w:rsid w:val="00DE049C"/>
    <w:rsid w:val="00DE2D75"/>
    <w:rsid w:val="00DE44B1"/>
    <w:rsid w:val="00DE5D80"/>
    <w:rsid w:val="00DF116D"/>
    <w:rsid w:val="00DF2422"/>
    <w:rsid w:val="00DF2D24"/>
    <w:rsid w:val="00DF34DC"/>
    <w:rsid w:val="00DF362A"/>
    <w:rsid w:val="00DF3E6A"/>
    <w:rsid w:val="00DF58CD"/>
    <w:rsid w:val="00DF5E95"/>
    <w:rsid w:val="00DF65DE"/>
    <w:rsid w:val="00DF6C7D"/>
    <w:rsid w:val="00E00035"/>
    <w:rsid w:val="00E008F1"/>
    <w:rsid w:val="00E014B6"/>
    <w:rsid w:val="00E019A5"/>
    <w:rsid w:val="00E01EA0"/>
    <w:rsid w:val="00E02EC8"/>
    <w:rsid w:val="00E0359C"/>
    <w:rsid w:val="00E03747"/>
    <w:rsid w:val="00E037F5"/>
    <w:rsid w:val="00E04ECB"/>
    <w:rsid w:val="00E058C4"/>
    <w:rsid w:val="00E05A09"/>
    <w:rsid w:val="00E05B7B"/>
    <w:rsid w:val="00E06531"/>
    <w:rsid w:val="00E06CA1"/>
    <w:rsid w:val="00E117CD"/>
    <w:rsid w:val="00E11FC0"/>
    <w:rsid w:val="00E12546"/>
    <w:rsid w:val="00E12A06"/>
    <w:rsid w:val="00E141B4"/>
    <w:rsid w:val="00E15C1E"/>
    <w:rsid w:val="00E16E1E"/>
    <w:rsid w:val="00E172B8"/>
    <w:rsid w:val="00E17FB4"/>
    <w:rsid w:val="00E20B75"/>
    <w:rsid w:val="00E214F2"/>
    <w:rsid w:val="00E21939"/>
    <w:rsid w:val="00E2371E"/>
    <w:rsid w:val="00E23E2C"/>
    <w:rsid w:val="00E23E3A"/>
    <w:rsid w:val="00E242C0"/>
    <w:rsid w:val="00E24BD7"/>
    <w:rsid w:val="00E24CEA"/>
    <w:rsid w:val="00E24F44"/>
    <w:rsid w:val="00E25929"/>
    <w:rsid w:val="00E25B97"/>
    <w:rsid w:val="00E26523"/>
    <w:rsid w:val="00E26809"/>
    <w:rsid w:val="00E271A8"/>
    <w:rsid w:val="00E27BB4"/>
    <w:rsid w:val="00E304CC"/>
    <w:rsid w:val="00E30D3D"/>
    <w:rsid w:val="00E3151D"/>
    <w:rsid w:val="00E32125"/>
    <w:rsid w:val="00E33785"/>
    <w:rsid w:val="00E33BEF"/>
    <w:rsid w:val="00E3412D"/>
    <w:rsid w:val="00E3460C"/>
    <w:rsid w:val="00E36F10"/>
    <w:rsid w:val="00E37D00"/>
    <w:rsid w:val="00E40436"/>
    <w:rsid w:val="00E40DE9"/>
    <w:rsid w:val="00E41258"/>
    <w:rsid w:val="00E412A0"/>
    <w:rsid w:val="00E415D3"/>
    <w:rsid w:val="00E41C6F"/>
    <w:rsid w:val="00E421E6"/>
    <w:rsid w:val="00E42B28"/>
    <w:rsid w:val="00E51625"/>
    <w:rsid w:val="00E52B34"/>
    <w:rsid w:val="00E53328"/>
    <w:rsid w:val="00E53966"/>
    <w:rsid w:val="00E53987"/>
    <w:rsid w:val="00E5611D"/>
    <w:rsid w:val="00E57178"/>
    <w:rsid w:val="00E57322"/>
    <w:rsid w:val="00E6166A"/>
    <w:rsid w:val="00E625E7"/>
    <w:rsid w:val="00E628CB"/>
    <w:rsid w:val="00E62A87"/>
    <w:rsid w:val="00E62AD9"/>
    <w:rsid w:val="00E630E5"/>
    <w:rsid w:val="00E638C8"/>
    <w:rsid w:val="00E64C28"/>
    <w:rsid w:val="00E64E87"/>
    <w:rsid w:val="00E66E4E"/>
    <w:rsid w:val="00E6710E"/>
    <w:rsid w:val="00E67433"/>
    <w:rsid w:val="00E713B6"/>
    <w:rsid w:val="00E716FB"/>
    <w:rsid w:val="00E7251F"/>
    <w:rsid w:val="00E72C44"/>
    <w:rsid w:val="00E746B4"/>
    <w:rsid w:val="00E7509B"/>
    <w:rsid w:val="00E750EC"/>
    <w:rsid w:val="00E761A3"/>
    <w:rsid w:val="00E761F7"/>
    <w:rsid w:val="00E776B4"/>
    <w:rsid w:val="00E8039B"/>
    <w:rsid w:val="00E80419"/>
    <w:rsid w:val="00E8062C"/>
    <w:rsid w:val="00E80ADF"/>
    <w:rsid w:val="00E86590"/>
    <w:rsid w:val="00E86AF4"/>
    <w:rsid w:val="00E86D96"/>
    <w:rsid w:val="00E876A8"/>
    <w:rsid w:val="00E87C7D"/>
    <w:rsid w:val="00E900E8"/>
    <w:rsid w:val="00E9020B"/>
    <w:rsid w:val="00E9060A"/>
    <w:rsid w:val="00E907FF"/>
    <w:rsid w:val="00E91365"/>
    <w:rsid w:val="00E91B32"/>
    <w:rsid w:val="00E9387D"/>
    <w:rsid w:val="00E938F8"/>
    <w:rsid w:val="00E94CDB"/>
    <w:rsid w:val="00E9517E"/>
    <w:rsid w:val="00E95971"/>
    <w:rsid w:val="00EA0877"/>
    <w:rsid w:val="00EA1115"/>
    <w:rsid w:val="00EA139A"/>
    <w:rsid w:val="00EA172F"/>
    <w:rsid w:val="00EA42D1"/>
    <w:rsid w:val="00EA42EF"/>
    <w:rsid w:val="00EA58A1"/>
    <w:rsid w:val="00EA733E"/>
    <w:rsid w:val="00EB2DD1"/>
    <w:rsid w:val="00EB2F66"/>
    <w:rsid w:val="00EB3544"/>
    <w:rsid w:val="00EB4D3D"/>
    <w:rsid w:val="00EB6B37"/>
    <w:rsid w:val="00EB706A"/>
    <w:rsid w:val="00EB7250"/>
    <w:rsid w:val="00EC0D68"/>
    <w:rsid w:val="00EC1250"/>
    <w:rsid w:val="00EC2110"/>
    <w:rsid w:val="00EC29FE"/>
    <w:rsid w:val="00EC3C70"/>
    <w:rsid w:val="00EC73C4"/>
    <w:rsid w:val="00EC7DCB"/>
    <w:rsid w:val="00ED0C8B"/>
    <w:rsid w:val="00ED0D52"/>
    <w:rsid w:val="00ED1770"/>
    <w:rsid w:val="00ED1DBF"/>
    <w:rsid w:val="00ED274F"/>
    <w:rsid w:val="00ED2790"/>
    <w:rsid w:val="00ED3A3D"/>
    <w:rsid w:val="00ED4005"/>
    <w:rsid w:val="00ED538A"/>
    <w:rsid w:val="00ED6FBC"/>
    <w:rsid w:val="00EE043B"/>
    <w:rsid w:val="00EE1B13"/>
    <w:rsid w:val="00EE2D99"/>
    <w:rsid w:val="00EE2F16"/>
    <w:rsid w:val="00EE3861"/>
    <w:rsid w:val="00EE48FF"/>
    <w:rsid w:val="00EE6083"/>
    <w:rsid w:val="00EE66B1"/>
    <w:rsid w:val="00EE78E1"/>
    <w:rsid w:val="00EF0958"/>
    <w:rsid w:val="00EF16A8"/>
    <w:rsid w:val="00EF19AB"/>
    <w:rsid w:val="00EF2E73"/>
    <w:rsid w:val="00EF3929"/>
    <w:rsid w:val="00EF60A1"/>
    <w:rsid w:val="00EF60A4"/>
    <w:rsid w:val="00EF701F"/>
    <w:rsid w:val="00EF75EB"/>
    <w:rsid w:val="00EF7616"/>
    <w:rsid w:val="00EF7683"/>
    <w:rsid w:val="00EF7A2D"/>
    <w:rsid w:val="00F0043F"/>
    <w:rsid w:val="00F00A96"/>
    <w:rsid w:val="00F044FF"/>
    <w:rsid w:val="00F04627"/>
    <w:rsid w:val="00F04F8D"/>
    <w:rsid w:val="00F05AEF"/>
    <w:rsid w:val="00F062D1"/>
    <w:rsid w:val="00F071B5"/>
    <w:rsid w:val="00F10AD0"/>
    <w:rsid w:val="00F116CC"/>
    <w:rsid w:val="00F12BD1"/>
    <w:rsid w:val="00F139EB"/>
    <w:rsid w:val="00F14EC4"/>
    <w:rsid w:val="00F15327"/>
    <w:rsid w:val="00F168CF"/>
    <w:rsid w:val="00F178D0"/>
    <w:rsid w:val="00F17C9D"/>
    <w:rsid w:val="00F202D7"/>
    <w:rsid w:val="00F22945"/>
    <w:rsid w:val="00F23386"/>
    <w:rsid w:val="00F23509"/>
    <w:rsid w:val="00F23CB6"/>
    <w:rsid w:val="00F25488"/>
    <w:rsid w:val="00F2555C"/>
    <w:rsid w:val="00F25DFB"/>
    <w:rsid w:val="00F271CD"/>
    <w:rsid w:val="00F27208"/>
    <w:rsid w:val="00F272E6"/>
    <w:rsid w:val="00F31DF3"/>
    <w:rsid w:val="00F33AE5"/>
    <w:rsid w:val="00F33EEB"/>
    <w:rsid w:val="00F3597D"/>
    <w:rsid w:val="00F35B07"/>
    <w:rsid w:val="00F36F51"/>
    <w:rsid w:val="00F4003B"/>
    <w:rsid w:val="00F405B7"/>
    <w:rsid w:val="00F422AB"/>
    <w:rsid w:val="00F4376D"/>
    <w:rsid w:val="00F45399"/>
    <w:rsid w:val="00F4552E"/>
    <w:rsid w:val="00F45B13"/>
    <w:rsid w:val="00F46141"/>
    <w:rsid w:val="00F465EA"/>
    <w:rsid w:val="00F46ACD"/>
    <w:rsid w:val="00F473E2"/>
    <w:rsid w:val="00F47B5F"/>
    <w:rsid w:val="00F502D5"/>
    <w:rsid w:val="00F509D6"/>
    <w:rsid w:val="00F52EB0"/>
    <w:rsid w:val="00F53186"/>
    <w:rsid w:val="00F54E7B"/>
    <w:rsid w:val="00F55A88"/>
    <w:rsid w:val="00F55F52"/>
    <w:rsid w:val="00F57F6B"/>
    <w:rsid w:val="00F612BB"/>
    <w:rsid w:val="00F617A2"/>
    <w:rsid w:val="00F63D09"/>
    <w:rsid w:val="00F64CAE"/>
    <w:rsid w:val="00F669C1"/>
    <w:rsid w:val="00F721A5"/>
    <w:rsid w:val="00F72CFE"/>
    <w:rsid w:val="00F7318D"/>
    <w:rsid w:val="00F736BC"/>
    <w:rsid w:val="00F74005"/>
    <w:rsid w:val="00F7456E"/>
    <w:rsid w:val="00F74BD8"/>
    <w:rsid w:val="00F74F58"/>
    <w:rsid w:val="00F756C0"/>
    <w:rsid w:val="00F75FFB"/>
    <w:rsid w:val="00F76305"/>
    <w:rsid w:val="00F76631"/>
    <w:rsid w:val="00F76884"/>
    <w:rsid w:val="00F77E36"/>
    <w:rsid w:val="00F800B6"/>
    <w:rsid w:val="00F80A4B"/>
    <w:rsid w:val="00F80A69"/>
    <w:rsid w:val="00F810DE"/>
    <w:rsid w:val="00F81F4D"/>
    <w:rsid w:val="00F8223D"/>
    <w:rsid w:val="00F839CC"/>
    <w:rsid w:val="00F83D24"/>
    <w:rsid w:val="00F83DD9"/>
    <w:rsid w:val="00F83F40"/>
    <w:rsid w:val="00F86F25"/>
    <w:rsid w:val="00F874F7"/>
    <w:rsid w:val="00F87BB5"/>
    <w:rsid w:val="00F91AFD"/>
    <w:rsid w:val="00F92FBF"/>
    <w:rsid w:val="00F93B33"/>
    <w:rsid w:val="00F9585A"/>
    <w:rsid w:val="00F95BD5"/>
    <w:rsid w:val="00FA0DD5"/>
    <w:rsid w:val="00FA0F09"/>
    <w:rsid w:val="00FA108F"/>
    <w:rsid w:val="00FA117A"/>
    <w:rsid w:val="00FA2B2D"/>
    <w:rsid w:val="00FA363E"/>
    <w:rsid w:val="00FA3F27"/>
    <w:rsid w:val="00FA5AD0"/>
    <w:rsid w:val="00FA601D"/>
    <w:rsid w:val="00FA6597"/>
    <w:rsid w:val="00FB0631"/>
    <w:rsid w:val="00FB2168"/>
    <w:rsid w:val="00FB298C"/>
    <w:rsid w:val="00FB2B96"/>
    <w:rsid w:val="00FB2CCB"/>
    <w:rsid w:val="00FB2D8B"/>
    <w:rsid w:val="00FB386A"/>
    <w:rsid w:val="00FB387B"/>
    <w:rsid w:val="00FB4D70"/>
    <w:rsid w:val="00FB6FCE"/>
    <w:rsid w:val="00FC06CA"/>
    <w:rsid w:val="00FC0786"/>
    <w:rsid w:val="00FC0E4C"/>
    <w:rsid w:val="00FC1CC8"/>
    <w:rsid w:val="00FC3BD3"/>
    <w:rsid w:val="00FC3BD9"/>
    <w:rsid w:val="00FC4755"/>
    <w:rsid w:val="00FC49EF"/>
    <w:rsid w:val="00FC5B57"/>
    <w:rsid w:val="00FC6E79"/>
    <w:rsid w:val="00FC78C7"/>
    <w:rsid w:val="00FD0B5F"/>
    <w:rsid w:val="00FD0BDF"/>
    <w:rsid w:val="00FD121A"/>
    <w:rsid w:val="00FD173B"/>
    <w:rsid w:val="00FD17F9"/>
    <w:rsid w:val="00FD25AD"/>
    <w:rsid w:val="00FD30BC"/>
    <w:rsid w:val="00FD344B"/>
    <w:rsid w:val="00FD4EFF"/>
    <w:rsid w:val="00FD69D4"/>
    <w:rsid w:val="00FD7D2E"/>
    <w:rsid w:val="00FE24AA"/>
    <w:rsid w:val="00FE260C"/>
    <w:rsid w:val="00FE2729"/>
    <w:rsid w:val="00FE2876"/>
    <w:rsid w:val="00FE36E2"/>
    <w:rsid w:val="00FE4229"/>
    <w:rsid w:val="00FE43FF"/>
    <w:rsid w:val="00FE44B1"/>
    <w:rsid w:val="00FE4CA9"/>
    <w:rsid w:val="00FE54A3"/>
    <w:rsid w:val="00FE7B86"/>
    <w:rsid w:val="00FE7BF2"/>
    <w:rsid w:val="00FF0754"/>
    <w:rsid w:val="00FF07D4"/>
    <w:rsid w:val="00FF11AD"/>
    <w:rsid w:val="00FF167A"/>
    <w:rsid w:val="00FF2971"/>
    <w:rsid w:val="00FF2B5A"/>
    <w:rsid w:val="00FF2F5D"/>
    <w:rsid w:val="00FF34D4"/>
    <w:rsid w:val="00FF35A1"/>
    <w:rsid w:val="00FF3960"/>
    <w:rsid w:val="00FF5BDA"/>
    <w:rsid w:val="00FF5C59"/>
    <w:rsid w:val="00FF6268"/>
    <w:rsid w:val="00FF64F7"/>
    <w:rsid w:val="00FF778F"/>
    <w:rsid w:val="00FF7849"/>
    <w:rsid w:val="046913C0"/>
    <w:rsid w:val="05D16A9C"/>
    <w:rsid w:val="0C6FDE0D"/>
    <w:rsid w:val="0DCF0471"/>
    <w:rsid w:val="12126F7D"/>
    <w:rsid w:val="1259D33C"/>
    <w:rsid w:val="15AA8FF7"/>
    <w:rsid w:val="1A1F4FC3"/>
    <w:rsid w:val="1E62692F"/>
    <w:rsid w:val="1F1E8FFF"/>
    <w:rsid w:val="1FEA4509"/>
    <w:rsid w:val="20E4C4AB"/>
    <w:rsid w:val="23661BB7"/>
    <w:rsid w:val="253129AE"/>
    <w:rsid w:val="28CDFC65"/>
    <w:rsid w:val="28F7A7D4"/>
    <w:rsid w:val="293A2DC4"/>
    <w:rsid w:val="2A088291"/>
    <w:rsid w:val="2B2F5B4B"/>
    <w:rsid w:val="2F2C0B65"/>
    <w:rsid w:val="2FFF61D9"/>
    <w:rsid w:val="31A6EFD8"/>
    <w:rsid w:val="337279CD"/>
    <w:rsid w:val="33E9F74C"/>
    <w:rsid w:val="3642F3B6"/>
    <w:rsid w:val="37135EC2"/>
    <w:rsid w:val="3A1AD2D0"/>
    <w:rsid w:val="3D96FE5E"/>
    <w:rsid w:val="3E3731EC"/>
    <w:rsid w:val="3E870B57"/>
    <w:rsid w:val="3EEE08F8"/>
    <w:rsid w:val="40A80B02"/>
    <w:rsid w:val="4189A366"/>
    <w:rsid w:val="42CB26F5"/>
    <w:rsid w:val="4B3139E0"/>
    <w:rsid w:val="51E526ED"/>
    <w:rsid w:val="5260EC6E"/>
    <w:rsid w:val="57D5799C"/>
    <w:rsid w:val="58E5317B"/>
    <w:rsid w:val="5912D878"/>
    <w:rsid w:val="59C388DA"/>
    <w:rsid w:val="5B2A18E6"/>
    <w:rsid w:val="5E3AA7A8"/>
    <w:rsid w:val="60755FDB"/>
    <w:rsid w:val="609857BA"/>
    <w:rsid w:val="62844E68"/>
    <w:rsid w:val="63BD8B5C"/>
    <w:rsid w:val="63C3632F"/>
    <w:rsid w:val="63DC5E17"/>
    <w:rsid w:val="6633BA4C"/>
    <w:rsid w:val="669BD6D1"/>
    <w:rsid w:val="67BC91F3"/>
    <w:rsid w:val="67F2DA38"/>
    <w:rsid w:val="683873BA"/>
    <w:rsid w:val="6B658C04"/>
    <w:rsid w:val="6C0273A8"/>
    <w:rsid w:val="6FF5734E"/>
    <w:rsid w:val="708B0D77"/>
    <w:rsid w:val="70C65F69"/>
    <w:rsid w:val="71A99D62"/>
    <w:rsid w:val="7376163C"/>
    <w:rsid w:val="74623E0F"/>
    <w:rsid w:val="7719C7F5"/>
    <w:rsid w:val="789171D7"/>
    <w:rsid w:val="7AD343B1"/>
    <w:rsid w:val="7BF253D7"/>
    <w:rsid w:val="7FB232F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2186D"/>
  <w15:chartTrackingRefBased/>
  <w15:docId w15:val="{8C0DD22D-008D-4E5A-B743-15960947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DE9"/>
    <w:pPr>
      <w:spacing w:after="120"/>
      <w:jc w:val="both"/>
    </w:pPr>
    <w:rPr>
      <w:rFonts w:ascii="Times New Roman" w:hAnsi="Times New Roman"/>
      <w:sz w:val="22"/>
      <w:szCs w:val="22"/>
      <w:lang w:eastAsia="en-US"/>
    </w:rPr>
  </w:style>
  <w:style w:type="paragraph" w:styleId="Nagwek1">
    <w:name w:val="heading 1"/>
    <w:basedOn w:val="Normalny"/>
    <w:next w:val="Normalny"/>
    <w:qFormat/>
    <w:locked/>
    <w:rsid w:val="008D661F"/>
    <w:pPr>
      <w:keepNext/>
      <w:spacing w:before="240" w:after="60"/>
      <w:outlineLvl w:val="0"/>
    </w:pPr>
    <w:rPr>
      <w:rFonts w:eastAsia="Times New Roman" w:cs="Arial"/>
      <w:b/>
      <w:bCs/>
      <w:kern w:val="32"/>
      <w:sz w:val="24"/>
      <w:szCs w:val="32"/>
      <w:lang w:eastAsia="pl-PL"/>
    </w:rPr>
  </w:style>
  <w:style w:type="paragraph" w:styleId="Nagwek3">
    <w:name w:val="heading 3"/>
    <w:basedOn w:val="Normalny"/>
    <w:next w:val="Normalny"/>
    <w:qFormat/>
    <w:locked/>
    <w:rsid w:val="00522D94"/>
    <w:pPr>
      <w:keepNext/>
      <w:spacing w:before="240" w:after="60"/>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lang w:eastAsia="en-US"/>
    </w:rPr>
  </w:style>
  <w:style w:type="paragraph" w:styleId="Nagwek">
    <w:name w:val="header"/>
    <w:basedOn w:val="Normalny"/>
    <w:link w:val="NagwekZnak"/>
    <w:uiPriority w:val="99"/>
    <w:unhideWhenUsed/>
    <w:rsid w:val="00044739"/>
    <w:pPr>
      <w:tabs>
        <w:tab w:val="center" w:pos="4536"/>
        <w:tab w:val="right" w:pos="9072"/>
      </w:tabs>
    </w:pPr>
  </w:style>
  <w:style w:type="character" w:customStyle="1" w:styleId="NagwekZnak">
    <w:name w:val="Nagłówek Znak"/>
    <w:link w:val="Nagwek"/>
    <w:uiPriority w:val="99"/>
    <w:rsid w:val="00044739"/>
    <w:rPr>
      <w:rFonts w:ascii="Times New Roman" w:hAnsi="Times New Roman"/>
      <w:sz w:val="22"/>
      <w:szCs w:val="22"/>
      <w:lang w:eastAsia="en-US"/>
    </w:rPr>
  </w:style>
  <w:style w:type="paragraph" w:styleId="Stopka">
    <w:name w:val="footer"/>
    <w:basedOn w:val="Normalny"/>
    <w:link w:val="StopkaZnak"/>
    <w:uiPriority w:val="99"/>
    <w:unhideWhenUsed/>
    <w:rsid w:val="00044739"/>
    <w:pPr>
      <w:tabs>
        <w:tab w:val="center" w:pos="4536"/>
        <w:tab w:val="right" w:pos="9072"/>
      </w:tabs>
    </w:pPr>
  </w:style>
  <w:style w:type="character" w:customStyle="1" w:styleId="StopkaZnak">
    <w:name w:val="Stopka Znak"/>
    <w:link w:val="Stopka"/>
    <w:uiPriority w:val="99"/>
    <w:rsid w:val="00044739"/>
    <w:rPr>
      <w:rFonts w:ascii="Times New Roman" w:hAnsi="Times New Roman"/>
      <w:sz w:val="22"/>
      <w:szCs w:val="22"/>
      <w:lang w:eastAsia="en-US"/>
    </w:rPr>
  </w:style>
  <w:style w:type="paragraph" w:styleId="Tekstprzypisukocowego">
    <w:name w:val="endnote text"/>
    <w:basedOn w:val="Normalny"/>
    <w:link w:val="TekstprzypisukocowegoZnak"/>
    <w:uiPriority w:val="99"/>
    <w:semiHidden/>
    <w:unhideWhenUsed/>
    <w:rsid w:val="00DF58CD"/>
    <w:rPr>
      <w:sz w:val="20"/>
      <w:szCs w:val="20"/>
    </w:rPr>
  </w:style>
  <w:style w:type="character" w:customStyle="1" w:styleId="TekstprzypisukocowegoZnak">
    <w:name w:val="Tekst przypisu końcowego Znak"/>
    <w:link w:val="Tekstprzypisukocowego"/>
    <w:uiPriority w:val="99"/>
    <w:semiHidden/>
    <w:rsid w:val="00DF58CD"/>
    <w:rPr>
      <w:rFonts w:ascii="Times New Roman" w:hAnsi="Times New Roman"/>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aliases w:val="Podrozdział,Podrozdział Znak,Podrozdział Znak Znak,Tekst przypisu,tekst przypisu,tekst przypisu1,tekst przypisu2,tekst przypisu3,tekst przypisu4,tekst przypisu5,tekst przypisu11,tekst przypisu21,tekst przypisu31,tekst przypisu41,o"/>
    <w:basedOn w:val="Normalny"/>
    <w:link w:val="TekstprzypisudolnegoZnak"/>
    <w:uiPriority w:val="99"/>
    <w:semiHidden/>
    <w:unhideWhenUsed/>
    <w:qFormat/>
    <w:rsid w:val="00C047A7"/>
    <w:rPr>
      <w:sz w:val="20"/>
      <w:szCs w:val="20"/>
    </w:rPr>
  </w:style>
  <w:style w:type="character" w:customStyle="1" w:styleId="TekstprzypisudolnegoZnak">
    <w:name w:val="Tekst przypisu dolnego Znak"/>
    <w:aliases w:val="Podrozdział Znak1,Podrozdział Znak Znak1,Podrozdział Znak Znak Znak,Tekst przypisu Znak,tekst przypisu Znak,tekst przypisu1 Znak,tekst przypisu2 Znak,tekst przypisu3 Znak,tekst przypisu4 Znak,tekst przypisu5 Znak,o Znak"/>
    <w:link w:val="Tekstprzypisudolnego"/>
    <w:uiPriority w:val="99"/>
    <w:semiHidden/>
    <w:rsid w:val="00C047A7"/>
    <w:rPr>
      <w:lang w:eastAsia="en-US"/>
    </w:rPr>
  </w:style>
  <w:style w:type="character" w:styleId="Odwoanieprzypisudolnego">
    <w:name w:val="footnote reference"/>
    <w:aliases w:val="Footnote Reference Number,stylish Car Car,Footnote Refernece Car Car,BVI fnr Car Car,Fußnotenzeichen_Raxen Car Car,callout Car Car,Footnote Reference Number Car Car,Footnote Reference Superscript Car Car,Footnote symbol"/>
    <w:link w:val="stylishCar"/>
    <w:uiPriority w:val="99"/>
    <w:unhideWhenUsed/>
    <w:qFormat/>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Poprawka">
    <w:name w:val="Revision"/>
    <w:hidden/>
    <w:uiPriority w:val="99"/>
    <w:semiHidden/>
    <w:rsid w:val="00861467"/>
    <w:rPr>
      <w:sz w:val="22"/>
      <w:szCs w:val="22"/>
      <w:lang w:eastAsia="en-US"/>
    </w:rPr>
  </w:style>
  <w:style w:type="character" w:styleId="Tekstzastpczy">
    <w:name w:val="Placeholder Text"/>
    <w:basedOn w:val="Domylnaczcionkaakapitu"/>
    <w:uiPriority w:val="99"/>
    <w:semiHidden/>
    <w:rsid w:val="00861467"/>
    <w:rPr>
      <w:color w:val="808080"/>
    </w:rPr>
  </w:style>
  <w:style w:type="character" w:styleId="Wzmianka">
    <w:name w:val="Mention"/>
    <w:basedOn w:val="Domylnaczcionkaakapitu"/>
    <w:uiPriority w:val="99"/>
    <w:unhideWhenUsed/>
    <w:rsid w:val="00376475"/>
    <w:rPr>
      <w:color w:val="2B579A"/>
      <w:shd w:val="clear" w:color="auto" w:fill="E1DFDD"/>
    </w:rPr>
  </w:style>
  <w:style w:type="paragraph" w:customStyle="1" w:styleId="TYTTABELItytutabeli">
    <w:name w:val="TYT_TABELI – tytuł tabeli"/>
    <w:basedOn w:val="Normalny"/>
    <w:uiPriority w:val="22"/>
    <w:qFormat/>
    <w:rsid w:val="00CB4A60"/>
    <w:pPr>
      <w:keepNext/>
      <w:spacing w:before="120" w:after="0" w:line="360" w:lineRule="auto"/>
      <w:jc w:val="center"/>
    </w:pPr>
    <w:rPr>
      <w:rFonts w:ascii="Times" w:eastAsiaTheme="minorEastAsia" w:hAnsi="Times" w:cs="Arial"/>
      <w:b/>
      <w:bCs/>
      <w:caps/>
      <w:kern w:val="24"/>
      <w:sz w:val="24"/>
      <w:szCs w:val="24"/>
      <w:lang w:eastAsia="pl-PL"/>
    </w:rPr>
  </w:style>
  <w:style w:type="character" w:customStyle="1" w:styleId="ui-provider">
    <w:name w:val="ui-provider"/>
    <w:basedOn w:val="Domylnaczcionkaakapitu"/>
    <w:rsid w:val="00F7456E"/>
  </w:style>
  <w:style w:type="paragraph" w:customStyle="1" w:styleId="paragraph">
    <w:name w:val="paragraph"/>
    <w:basedOn w:val="Normalny"/>
    <w:rsid w:val="00AE7E1E"/>
    <w:pPr>
      <w:spacing w:before="100" w:beforeAutospacing="1" w:after="100" w:afterAutospacing="1"/>
    </w:pPr>
    <w:rPr>
      <w:rFonts w:eastAsia="Times New Roman"/>
      <w:sz w:val="24"/>
      <w:szCs w:val="24"/>
      <w:lang w:eastAsia="pl-PL"/>
    </w:rPr>
  </w:style>
  <w:style w:type="character" w:customStyle="1" w:styleId="normaltextrun">
    <w:name w:val="normaltextrun"/>
    <w:basedOn w:val="Domylnaczcionkaakapitu"/>
    <w:rsid w:val="00AE7E1E"/>
  </w:style>
  <w:style w:type="character" w:customStyle="1" w:styleId="eop">
    <w:name w:val="eop"/>
    <w:basedOn w:val="Domylnaczcionkaakapitu"/>
    <w:rsid w:val="00AE7E1E"/>
  </w:style>
  <w:style w:type="table" w:styleId="Tabelasiatki4akcent1">
    <w:name w:val="Grid Table 4 Accent 1"/>
    <w:basedOn w:val="Standardowy"/>
    <w:uiPriority w:val="49"/>
    <w:rsid w:val="00815C1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IEARTTEKSTtekstnieartykuowanynppodstprawnarozplubpreambua">
    <w:name w:val="NIEART_TEKST – tekst nieartykułowany (np. podst. prawna rozp. lub preambuła)"/>
    <w:basedOn w:val="Normalny"/>
    <w:next w:val="Normalny"/>
    <w:uiPriority w:val="7"/>
    <w:qFormat/>
    <w:rsid w:val="006A0174"/>
    <w:pPr>
      <w:suppressAutoHyphens/>
      <w:autoSpaceDE w:val="0"/>
      <w:autoSpaceDN w:val="0"/>
      <w:adjustRightInd w:val="0"/>
      <w:spacing w:before="120" w:after="0" w:line="360" w:lineRule="auto"/>
      <w:ind w:firstLine="510"/>
    </w:pPr>
    <w:rPr>
      <w:rFonts w:ascii="Times" w:eastAsiaTheme="minorEastAsia" w:hAnsi="Times" w:cs="Arial"/>
      <w:bCs/>
      <w:sz w:val="24"/>
      <w:szCs w:val="20"/>
      <w:lang w:eastAsia="pl-PL"/>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ny"/>
    <w:link w:val="Odwoanieprzypisudolnego"/>
    <w:uiPriority w:val="99"/>
    <w:rsid w:val="00A91530"/>
    <w:pPr>
      <w:spacing w:after="160" w:line="240" w:lineRule="exact"/>
    </w:pPr>
    <w:rPr>
      <w:rFonts w:ascii="Calibri" w:hAnsi="Calibri"/>
      <w:sz w:val="20"/>
      <w:szCs w:val="20"/>
      <w:vertAlign w:val="superscript"/>
      <w:lang w:eastAsia="pl-PL"/>
    </w:rPr>
  </w:style>
  <w:style w:type="paragraph" w:styleId="NormalnyWeb">
    <w:name w:val="Normal (Web)"/>
    <w:basedOn w:val="Normalny"/>
    <w:uiPriority w:val="99"/>
    <w:unhideWhenUsed/>
    <w:rsid w:val="00F75FFB"/>
    <w:pPr>
      <w:spacing w:before="100" w:beforeAutospacing="1" w:after="100" w:afterAutospacing="1"/>
    </w:pPr>
    <w:rPr>
      <w:rFonts w:eastAsia="Times New Roman"/>
      <w:sz w:val="24"/>
      <w:szCs w:val="24"/>
      <w:lang w:eastAsia="pl-PL"/>
    </w:rPr>
  </w:style>
  <w:style w:type="character" w:styleId="Nierozpoznanawzmianka">
    <w:name w:val="Unresolved Mention"/>
    <w:basedOn w:val="Domylnaczcionkaakapitu"/>
    <w:uiPriority w:val="99"/>
    <w:semiHidden/>
    <w:unhideWhenUsed/>
    <w:rsid w:val="00C519FF"/>
    <w:rPr>
      <w:color w:val="605E5C"/>
      <w:shd w:val="clear" w:color="auto" w:fill="E1DFDD"/>
    </w:rPr>
  </w:style>
  <w:style w:type="table" w:styleId="Tabelasiatki5ciemnaakcent1">
    <w:name w:val="Grid Table 5 Dark Accent 1"/>
    <w:basedOn w:val="Standardowy"/>
    <w:uiPriority w:val="50"/>
    <w:rsid w:val="00824E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58348067">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14645223">
      <w:bodyDiv w:val="1"/>
      <w:marLeft w:val="0"/>
      <w:marRight w:val="0"/>
      <w:marTop w:val="0"/>
      <w:marBottom w:val="0"/>
      <w:divBdr>
        <w:top w:val="none" w:sz="0" w:space="0" w:color="auto"/>
        <w:left w:val="none" w:sz="0" w:space="0" w:color="auto"/>
        <w:bottom w:val="none" w:sz="0" w:space="0" w:color="auto"/>
        <w:right w:val="none" w:sz="0" w:space="0" w:color="auto"/>
      </w:divBdr>
    </w:div>
    <w:div w:id="340662112">
      <w:bodyDiv w:val="1"/>
      <w:marLeft w:val="0"/>
      <w:marRight w:val="0"/>
      <w:marTop w:val="0"/>
      <w:marBottom w:val="0"/>
      <w:divBdr>
        <w:top w:val="none" w:sz="0" w:space="0" w:color="auto"/>
        <w:left w:val="none" w:sz="0" w:space="0" w:color="auto"/>
        <w:bottom w:val="none" w:sz="0" w:space="0" w:color="auto"/>
        <w:right w:val="none" w:sz="0" w:space="0" w:color="auto"/>
      </w:divBdr>
    </w:div>
    <w:div w:id="342126294">
      <w:bodyDiv w:val="1"/>
      <w:marLeft w:val="0"/>
      <w:marRight w:val="0"/>
      <w:marTop w:val="0"/>
      <w:marBottom w:val="0"/>
      <w:divBdr>
        <w:top w:val="none" w:sz="0" w:space="0" w:color="auto"/>
        <w:left w:val="none" w:sz="0" w:space="0" w:color="auto"/>
        <w:bottom w:val="none" w:sz="0" w:space="0" w:color="auto"/>
        <w:right w:val="none" w:sz="0" w:space="0" w:color="auto"/>
      </w:divBdr>
    </w:div>
    <w:div w:id="542642723">
      <w:bodyDiv w:val="1"/>
      <w:marLeft w:val="0"/>
      <w:marRight w:val="0"/>
      <w:marTop w:val="0"/>
      <w:marBottom w:val="0"/>
      <w:divBdr>
        <w:top w:val="none" w:sz="0" w:space="0" w:color="auto"/>
        <w:left w:val="none" w:sz="0" w:space="0" w:color="auto"/>
        <w:bottom w:val="none" w:sz="0" w:space="0" w:color="auto"/>
        <w:right w:val="none" w:sz="0" w:space="0" w:color="auto"/>
      </w:divBdr>
      <w:divsChild>
        <w:div w:id="440032755">
          <w:marLeft w:val="0"/>
          <w:marRight w:val="0"/>
          <w:marTop w:val="0"/>
          <w:marBottom w:val="0"/>
          <w:divBdr>
            <w:top w:val="none" w:sz="0" w:space="0" w:color="auto"/>
            <w:left w:val="none" w:sz="0" w:space="0" w:color="auto"/>
            <w:bottom w:val="none" w:sz="0" w:space="0" w:color="auto"/>
            <w:right w:val="none" w:sz="0" w:space="0" w:color="auto"/>
          </w:divBdr>
        </w:div>
        <w:div w:id="2003042572">
          <w:marLeft w:val="0"/>
          <w:marRight w:val="0"/>
          <w:marTop w:val="0"/>
          <w:marBottom w:val="0"/>
          <w:divBdr>
            <w:top w:val="none" w:sz="0" w:space="0" w:color="auto"/>
            <w:left w:val="none" w:sz="0" w:space="0" w:color="auto"/>
            <w:bottom w:val="none" w:sz="0" w:space="0" w:color="auto"/>
            <w:right w:val="none" w:sz="0" w:space="0" w:color="auto"/>
          </w:divBdr>
        </w:div>
      </w:divsChild>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1574474">
      <w:bodyDiv w:val="1"/>
      <w:marLeft w:val="0"/>
      <w:marRight w:val="0"/>
      <w:marTop w:val="0"/>
      <w:marBottom w:val="0"/>
      <w:divBdr>
        <w:top w:val="none" w:sz="0" w:space="0" w:color="auto"/>
        <w:left w:val="none" w:sz="0" w:space="0" w:color="auto"/>
        <w:bottom w:val="none" w:sz="0" w:space="0" w:color="auto"/>
        <w:right w:val="none" w:sz="0" w:space="0" w:color="auto"/>
      </w:divBdr>
    </w:div>
    <w:div w:id="588806980">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590092149">
      <w:bodyDiv w:val="1"/>
      <w:marLeft w:val="0"/>
      <w:marRight w:val="0"/>
      <w:marTop w:val="0"/>
      <w:marBottom w:val="0"/>
      <w:divBdr>
        <w:top w:val="none" w:sz="0" w:space="0" w:color="auto"/>
        <w:left w:val="none" w:sz="0" w:space="0" w:color="auto"/>
        <w:bottom w:val="none" w:sz="0" w:space="0" w:color="auto"/>
        <w:right w:val="none" w:sz="0" w:space="0" w:color="auto"/>
      </w:divBdr>
    </w:div>
    <w:div w:id="739328537">
      <w:bodyDiv w:val="1"/>
      <w:marLeft w:val="0"/>
      <w:marRight w:val="0"/>
      <w:marTop w:val="0"/>
      <w:marBottom w:val="0"/>
      <w:divBdr>
        <w:top w:val="none" w:sz="0" w:space="0" w:color="auto"/>
        <w:left w:val="none" w:sz="0" w:space="0" w:color="auto"/>
        <w:bottom w:val="none" w:sz="0" w:space="0" w:color="auto"/>
        <w:right w:val="none" w:sz="0" w:space="0" w:color="auto"/>
      </w:divBdr>
    </w:div>
    <w:div w:id="739521892">
      <w:bodyDiv w:val="1"/>
      <w:marLeft w:val="0"/>
      <w:marRight w:val="0"/>
      <w:marTop w:val="0"/>
      <w:marBottom w:val="0"/>
      <w:divBdr>
        <w:top w:val="none" w:sz="0" w:space="0" w:color="auto"/>
        <w:left w:val="none" w:sz="0" w:space="0" w:color="auto"/>
        <w:bottom w:val="none" w:sz="0" w:space="0" w:color="auto"/>
        <w:right w:val="none" w:sz="0" w:space="0" w:color="auto"/>
      </w:divBdr>
    </w:div>
    <w:div w:id="808743598">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43544605">
      <w:bodyDiv w:val="1"/>
      <w:marLeft w:val="0"/>
      <w:marRight w:val="0"/>
      <w:marTop w:val="0"/>
      <w:marBottom w:val="0"/>
      <w:divBdr>
        <w:top w:val="none" w:sz="0" w:space="0" w:color="auto"/>
        <w:left w:val="none" w:sz="0" w:space="0" w:color="auto"/>
        <w:bottom w:val="none" w:sz="0" w:space="0" w:color="auto"/>
        <w:right w:val="none" w:sz="0" w:space="0" w:color="auto"/>
      </w:divBdr>
    </w:div>
    <w:div w:id="844829871">
      <w:bodyDiv w:val="1"/>
      <w:marLeft w:val="0"/>
      <w:marRight w:val="0"/>
      <w:marTop w:val="0"/>
      <w:marBottom w:val="0"/>
      <w:divBdr>
        <w:top w:val="none" w:sz="0" w:space="0" w:color="auto"/>
        <w:left w:val="none" w:sz="0" w:space="0" w:color="auto"/>
        <w:bottom w:val="none" w:sz="0" w:space="0" w:color="auto"/>
        <w:right w:val="none" w:sz="0" w:space="0" w:color="auto"/>
      </w:divBdr>
    </w:div>
    <w:div w:id="883056148">
      <w:bodyDiv w:val="1"/>
      <w:marLeft w:val="0"/>
      <w:marRight w:val="0"/>
      <w:marTop w:val="0"/>
      <w:marBottom w:val="0"/>
      <w:divBdr>
        <w:top w:val="none" w:sz="0" w:space="0" w:color="auto"/>
        <w:left w:val="none" w:sz="0" w:space="0" w:color="auto"/>
        <w:bottom w:val="none" w:sz="0" w:space="0" w:color="auto"/>
        <w:right w:val="none" w:sz="0" w:space="0" w:color="auto"/>
      </w:divBdr>
      <w:divsChild>
        <w:div w:id="322784279">
          <w:marLeft w:val="0"/>
          <w:marRight w:val="0"/>
          <w:marTop w:val="0"/>
          <w:marBottom w:val="0"/>
          <w:divBdr>
            <w:top w:val="none" w:sz="0" w:space="0" w:color="auto"/>
            <w:left w:val="none" w:sz="0" w:space="0" w:color="auto"/>
            <w:bottom w:val="none" w:sz="0" w:space="0" w:color="auto"/>
            <w:right w:val="none" w:sz="0" w:space="0" w:color="auto"/>
          </w:divBdr>
        </w:div>
        <w:div w:id="424617857">
          <w:marLeft w:val="0"/>
          <w:marRight w:val="0"/>
          <w:marTop w:val="0"/>
          <w:marBottom w:val="0"/>
          <w:divBdr>
            <w:top w:val="none" w:sz="0" w:space="0" w:color="auto"/>
            <w:left w:val="none" w:sz="0" w:space="0" w:color="auto"/>
            <w:bottom w:val="none" w:sz="0" w:space="0" w:color="auto"/>
            <w:right w:val="none" w:sz="0" w:space="0" w:color="auto"/>
          </w:divBdr>
        </w:div>
        <w:div w:id="446582684">
          <w:marLeft w:val="0"/>
          <w:marRight w:val="0"/>
          <w:marTop w:val="0"/>
          <w:marBottom w:val="0"/>
          <w:divBdr>
            <w:top w:val="none" w:sz="0" w:space="0" w:color="auto"/>
            <w:left w:val="none" w:sz="0" w:space="0" w:color="auto"/>
            <w:bottom w:val="none" w:sz="0" w:space="0" w:color="auto"/>
            <w:right w:val="none" w:sz="0" w:space="0" w:color="auto"/>
          </w:divBdr>
        </w:div>
        <w:div w:id="1355882969">
          <w:marLeft w:val="0"/>
          <w:marRight w:val="0"/>
          <w:marTop w:val="0"/>
          <w:marBottom w:val="0"/>
          <w:divBdr>
            <w:top w:val="none" w:sz="0" w:space="0" w:color="auto"/>
            <w:left w:val="none" w:sz="0" w:space="0" w:color="auto"/>
            <w:bottom w:val="none" w:sz="0" w:space="0" w:color="auto"/>
            <w:right w:val="none" w:sz="0" w:space="0" w:color="auto"/>
          </w:divBdr>
        </w:div>
      </w:divsChild>
    </w:div>
    <w:div w:id="967272695">
      <w:bodyDiv w:val="1"/>
      <w:marLeft w:val="0"/>
      <w:marRight w:val="0"/>
      <w:marTop w:val="0"/>
      <w:marBottom w:val="0"/>
      <w:divBdr>
        <w:top w:val="none" w:sz="0" w:space="0" w:color="auto"/>
        <w:left w:val="none" w:sz="0" w:space="0" w:color="auto"/>
        <w:bottom w:val="none" w:sz="0" w:space="0" w:color="auto"/>
        <w:right w:val="none" w:sz="0" w:space="0" w:color="auto"/>
      </w:divBdr>
      <w:divsChild>
        <w:div w:id="1648900652">
          <w:marLeft w:val="1454"/>
          <w:marRight w:val="0"/>
          <w:marTop w:val="80"/>
          <w:marBottom w:val="96"/>
          <w:divBdr>
            <w:top w:val="none" w:sz="0" w:space="0" w:color="auto"/>
            <w:left w:val="none" w:sz="0" w:space="0" w:color="auto"/>
            <w:bottom w:val="none" w:sz="0" w:space="0" w:color="auto"/>
            <w:right w:val="none" w:sz="0" w:space="0" w:color="auto"/>
          </w:divBdr>
        </w:div>
      </w:divsChild>
    </w:div>
    <w:div w:id="989363747">
      <w:bodyDiv w:val="1"/>
      <w:marLeft w:val="0"/>
      <w:marRight w:val="0"/>
      <w:marTop w:val="0"/>
      <w:marBottom w:val="0"/>
      <w:divBdr>
        <w:top w:val="none" w:sz="0" w:space="0" w:color="auto"/>
        <w:left w:val="none" w:sz="0" w:space="0" w:color="auto"/>
        <w:bottom w:val="none" w:sz="0" w:space="0" w:color="auto"/>
        <w:right w:val="none" w:sz="0" w:space="0" w:color="auto"/>
      </w:divBdr>
    </w:div>
    <w:div w:id="1050688737">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97359782">
      <w:bodyDiv w:val="1"/>
      <w:marLeft w:val="0"/>
      <w:marRight w:val="0"/>
      <w:marTop w:val="0"/>
      <w:marBottom w:val="0"/>
      <w:divBdr>
        <w:top w:val="none" w:sz="0" w:space="0" w:color="auto"/>
        <w:left w:val="none" w:sz="0" w:space="0" w:color="auto"/>
        <w:bottom w:val="none" w:sz="0" w:space="0" w:color="auto"/>
        <w:right w:val="none" w:sz="0" w:space="0" w:color="auto"/>
      </w:divBdr>
    </w:div>
    <w:div w:id="1112283286">
      <w:bodyDiv w:val="1"/>
      <w:marLeft w:val="0"/>
      <w:marRight w:val="0"/>
      <w:marTop w:val="0"/>
      <w:marBottom w:val="0"/>
      <w:divBdr>
        <w:top w:val="none" w:sz="0" w:space="0" w:color="auto"/>
        <w:left w:val="none" w:sz="0" w:space="0" w:color="auto"/>
        <w:bottom w:val="none" w:sz="0" w:space="0" w:color="auto"/>
        <w:right w:val="none" w:sz="0" w:space="0" w:color="auto"/>
      </w:divBdr>
    </w:div>
    <w:div w:id="1120102471">
      <w:bodyDiv w:val="1"/>
      <w:marLeft w:val="0"/>
      <w:marRight w:val="0"/>
      <w:marTop w:val="0"/>
      <w:marBottom w:val="0"/>
      <w:divBdr>
        <w:top w:val="none" w:sz="0" w:space="0" w:color="auto"/>
        <w:left w:val="none" w:sz="0" w:space="0" w:color="auto"/>
        <w:bottom w:val="none" w:sz="0" w:space="0" w:color="auto"/>
        <w:right w:val="none" w:sz="0" w:space="0" w:color="auto"/>
      </w:divBdr>
    </w:div>
    <w:div w:id="1177186306">
      <w:bodyDiv w:val="1"/>
      <w:marLeft w:val="0"/>
      <w:marRight w:val="0"/>
      <w:marTop w:val="0"/>
      <w:marBottom w:val="0"/>
      <w:divBdr>
        <w:top w:val="none" w:sz="0" w:space="0" w:color="auto"/>
        <w:left w:val="none" w:sz="0" w:space="0" w:color="auto"/>
        <w:bottom w:val="none" w:sz="0" w:space="0" w:color="auto"/>
        <w:right w:val="none" w:sz="0" w:space="0" w:color="auto"/>
      </w:divBdr>
    </w:div>
    <w:div w:id="1387800574">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16243948">
      <w:bodyDiv w:val="1"/>
      <w:marLeft w:val="0"/>
      <w:marRight w:val="0"/>
      <w:marTop w:val="0"/>
      <w:marBottom w:val="0"/>
      <w:divBdr>
        <w:top w:val="none" w:sz="0" w:space="0" w:color="auto"/>
        <w:left w:val="none" w:sz="0" w:space="0" w:color="auto"/>
        <w:bottom w:val="none" w:sz="0" w:space="0" w:color="auto"/>
        <w:right w:val="none" w:sz="0" w:space="0" w:color="auto"/>
      </w:divBdr>
    </w:div>
    <w:div w:id="1424768095">
      <w:bodyDiv w:val="1"/>
      <w:marLeft w:val="0"/>
      <w:marRight w:val="0"/>
      <w:marTop w:val="0"/>
      <w:marBottom w:val="0"/>
      <w:divBdr>
        <w:top w:val="none" w:sz="0" w:space="0" w:color="auto"/>
        <w:left w:val="none" w:sz="0" w:space="0" w:color="auto"/>
        <w:bottom w:val="none" w:sz="0" w:space="0" w:color="auto"/>
        <w:right w:val="none" w:sz="0" w:space="0" w:color="auto"/>
      </w:divBdr>
    </w:div>
    <w:div w:id="1471363969">
      <w:bodyDiv w:val="1"/>
      <w:marLeft w:val="0"/>
      <w:marRight w:val="0"/>
      <w:marTop w:val="0"/>
      <w:marBottom w:val="0"/>
      <w:divBdr>
        <w:top w:val="none" w:sz="0" w:space="0" w:color="auto"/>
        <w:left w:val="none" w:sz="0" w:space="0" w:color="auto"/>
        <w:bottom w:val="none" w:sz="0" w:space="0" w:color="auto"/>
        <w:right w:val="none" w:sz="0" w:space="0" w:color="auto"/>
      </w:divBdr>
    </w:div>
    <w:div w:id="1487437031">
      <w:bodyDiv w:val="1"/>
      <w:marLeft w:val="0"/>
      <w:marRight w:val="0"/>
      <w:marTop w:val="0"/>
      <w:marBottom w:val="0"/>
      <w:divBdr>
        <w:top w:val="none" w:sz="0" w:space="0" w:color="auto"/>
        <w:left w:val="none" w:sz="0" w:space="0" w:color="auto"/>
        <w:bottom w:val="none" w:sz="0" w:space="0" w:color="auto"/>
        <w:right w:val="none" w:sz="0" w:space="0" w:color="auto"/>
      </w:divBdr>
    </w:div>
    <w:div w:id="1673099828">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9246734">
      <w:bodyDiv w:val="1"/>
      <w:marLeft w:val="0"/>
      <w:marRight w:val="0"/>
      <w:marTop w:val="0"/>
      <w:marBottom w:val="0"/>
      <w:divBdr>
        <w:top w:val="none" w:sz="0" w:space="0" w:color="auto"/>
        <w:left w:val="none" w:sz="0" w:space="0" w:color="auto"/>
        <w:bottom w:val="none" w:sz="0" w:space="0" w:color="auto"/>
        <w:right w:val="none" w:sz="0" w:space="0" w:color="auto"/>
      </w:divBdr>
    </w:div>
    <w:div w:id="1889143174">
      <w:bodyDiv w:val="1"/>
      <w:marLeft w:val="0"/>
      <w:marRight w:val="0"/>
      <w:marTop w:val="0"/>
      <w:marBottom w:val="0"/>
      <w:divBdr>
        <w:top w:val="none" w:sz="0" w:space="0" w:color="auto"/>
        <w:left w:val="none" w:sz="0" w:space="0" w:color="auto"/>
        <w:bottom w:val="none" w:sz="0" w:space="0" w:color="auto"/>
        <w:right w:val="none" w:sz="0" w:space="0" w:color="auto"/>
      </w:divBdr>
    </w:div>
    <w:div w:id="1901211360">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C@cyf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tat.gov.pl/obszary-tematyczne/podmioty-gospodarcze-wyniki-finansowe/zmiany-strukturalne-grup-podmiotow/kwartalna-informacja-o-podmiotach-gospodarki-narodowej-w-rejestrze-regon-rok-2023,7,13.html" TargetMode="External"/><Relationship Id="rId3" Type="http://schemas.openxmlformats.org/officeDocument/2006/relationships/hyperlink" Target="https://www.zakonyprolidi.cz/cs/2014-181" TargetMode="External"/><Relationship Id="rId7" Type="http://schemas.openxmlformats.org/officeDocument/2006/relationships/hyperlink" Target="https://www.gazzettaufficiale.it/eli/id/2019/09/21/19G00111/sg" TargetMode="External"/><Relationship Id="rId2" Type="http://schemas.openxmlformats.org/officeDocument/2006/relationships/hyperlink" Target="https://eur-lex.europa.eu/legal-content/PL/TXT/?uri=COM:2020:0050:FIN&amp;_sm_au_=iVVZRW54FHZ10n2PVkFHNKt0jRsMJ" TargetMode="External"/><Relationship Id="rId1" Type="http://schemas.openxmlformats.org/officeDocument/2006/relationships/hyperlink" Target="https://digital-strategy.ec.europa.eu/en/library/cybersecurity-5g-networks-eu-toolbox-risk-mitigating-measures" TargetMode="External"/><Relationship Id="rId6" Type="http://schemas.openxmlformats.org/officeDocument/2006/relationships/hyperlink" Target="https://www.gesetze-im-internet.de/bsig_2009/BJNR282110009.html" TargetMode="External"/><Relationship Id="rId5" Type="http://schemas.openxmlformats.org/officeDocument/2006/relationships/hyperlink" Target="https://nukib.cz/download/aktuality/2021-01-17_varovani_v.1.7_EN.pdf" TargetMode="External"/><Relationship Id="rId4" Type="http://schemas.openxmlformats.org/officeDocument/2006/relationships/hyperlink" Target="https://www.nukib.cz/download/publications_en/Warning-NUKIB-2020-04-16.pdf" TargetMode="External"/><Relationship Id="rId9" Type="http://schemas.openxmlformats.org/officeDocument/2006/relationships/hyperlink" Target="https://www.enisa.europa.eu/topics/incident-response/csirt-inventory/certs-by-country-interactive-ma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Ogólne"/>
          <w:gallery w:val="placeholder"/>
        </w:category>
        <w:types>
          <w:type w:val="bbPlcHdr"/>
        </w:types>
        <w:behaviors>
          <w:behavior w:val="content"/>
        </w:behaviors>
        <w:guid w:val="{A3B926D5-CE78-45F0-A228-69FECF3061A0}"/>
      </w:docPartPr>
      <w:docPartBody>
        <w:p w:rsidR="00220578" w:rsidRDefault="00C93027">
          <w:r w:rsidRPr="009234DD">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27"/>
    <w:rsid w:val="000A65BA"/>
    <w:rsid w:val="000D2383"/>
    <w:rsid w:val="000E0C71"/>
    <w:rsid w:val="000F6049"/>
    <w:rsid w:val="00144A72"/>
    <w:rsid w:val="0014787E"/>
    <w:rsid w:val="00204717"/>
    <w:rsid w:val="00204B01"/>
    <w:rsid w:val="00220578"/>
    <w:rsid w:val="00250238"/>
    <w:rsid w:val="00266922"/>
    <w:rsid w:val="002A1E2D"/>
    <w:rsid w:val="00360D40"/>
    <w:rsid w:val="0036140C"/>
    <w:rsid w:val="00393B5E"/>
    <w:rsid w:val="003A1C0B"/>
    <w:rsid w:val="003B12BE"/>
    <w:rsid w:val="003B452B"/>
    <w:rsid w:val="0044435F"/>
    <w:rsid w:val="00462330"/>
    <w:rsid w:val="004B5EEB"/>
    <w:rsid w:val="005558D8"/>
    <w:rsid w:val="005703F5"/>
    <w:rsid w:val="005A2BC4"/>
    <w:rsid w:val="00662B02"/>
    <w:rsid w:val="00671D47"/>
    <w:rsid w:val="006A7B98"/>
    <w:rsid w:val="00716A54"/>
    <w:rsid w:val="007256FB"/>
    <w:rsid w:val="007301D9"/>
    <w:rsid w:val="007524E3"/>
    <w:rsid w:val="00774806"/>
    <w:rsid w:val="0086660E"/>
    <w:rsid w:val="008756E4"/>
    <w:rsid w:val="008E5530"/>
    <w:rsid w:val="00940A61"/>
    <w:rsid w:val="00990AFB"/>
    <w:rsid w:val="009C57CD"/>
    <w:rsid w:val="00A21C1C"/>
    <w:rsid w:val="00A86D33"/>
    <w:rsid w:val="00B07ACB"/>
    <w:rsid w:val="00B31B2C"/>
    <w:rsid w:val="00BC314A"/>
    <w:rsid w:val="00BC4BDD"/>
    <w:rsid w:val="00BD48C8"/>
    <w:rsid w:val="00C93027"/>
    <w:rsid w:val="00CA1E61"/>
    <w:rsid w:val="00D33140"/>
    <w:rsid w:val="00D40EEE"/>
    <w:rsid w:val="00D422BC"/>
    <w:rsid w:val="00D558F4"/>
    <w:rsid w:val="00D649C4"/>
    <w:rsid w:val="00DA01A4"/>
    <w:rsid w:val="00DD3D51"/>
    <w:rsid w:val="00E079BA"/>
    <w:rsid w:val="00E221EF"/>
    <w:rsid w:val="00E266E1"/>
    <w:rsid w:val="00E40E6E"/>
    <w:rsid w:val="00E92C35"/>
    <w:rsid w:val="00EB1C3E"/>
    <w:rsid w:val="00EC2C1F"/>
    <w:rsid w:val="00ED137D"/>
    <w:rsid w:val="00ED64F6"/>
    <w:rsid w:val="00F25FF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930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FC9E-9744-458A-87E0-74D5D0CF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13764</Words>
  <Characters>93448</Characters>
  <Application>Microsoft Office Word</Application>
  <DocSecurity>0</DocSecurity>
  <Lines>778</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106999</CharactersWithSpaces>
  <SharedDoc>false</SharedDoc>
  <HLinks>
    <vt:vector size="60" baseType="variant">
      <vt:variant>
        <vt:i4>5177458</vt:i4>
      </vt:variant>
      <vt:variant>
        <vt:i4>0</vt:i4>
      </vt:variant>
      <vt:variant>
        <vt:i4>0</vt:i4>
      </vt:variant>
      <vt:variant>
        <vt:i4>5</vt:i4>
      </vt:variant>
      <vt:variant>
        <vt:lpwstr>mailto:Sekretariat.DC@cyfra.gov.pl</vt:lpwstr>
      </vt:variant>
      <vt:variant>
        <vt:lpwstr/>
      </vt:variant>
      <vt:variant>
        <vt:i4>4325440</vt:i4>
      </vt:variant>
      <vt:variant>
        <vt:i4>24</vt:i4>
      </vt:variant>
      <vt:variant>
        <vt:i4>0</vt:i4>
      </vt:variant>
      <vt:variant>
        <vt:i4>5</vt:i4>
      </vt:variant>
      <vt:variant>
        <vt:lpwstr>https://www.enisa.europa.eu/topics/incident-response/csirt-inventory/certs-by-country-interactive-map</vt:lpwstr>
      </vt:variant>
      <vt:variant>
        <vt:lpwstr/>
      </vt:variant>
      <vt:variant>
        <vt:i4>6422650</vt:i4>
      </vt:variant>
      <vt:variant>
        <vt:i4>21</vt:i4>
      </vt:variant>
      <vt:variant>
        <vt:i4>0</vt:i4>
      </vt:variant>
      <vt:variant>
        <vt:i4>5</vt:i4>
      </vt:variant>
      <vt:variant>
        <vt:lpwstr>https://stat.gov.pl/obszary-tematyczne/podmioty-gospodarcze-wyniki-finansowe/zmiany-strukturalne-grup-podmiotow/kwartalna-informacja-o-podmiotach-gospodarki-narodowej-w-rejestrze-regon-rok-2023,7,13.html</vt:lpwstr>
      </vt:variant>
      <vt:variant>
        <vt:lpwstr/>
      </vt:variant>
      <vt:variant>
        <vt:i4>6553643</vt:i4>
      </vt:variant>
      <vt:variant>
        <vt:i4>18</vt:i4>
      </vt:variant>
      <vt:variant>
        <vt:i4>0</vt:i4>
      </vt:variant>
      <vt:variant>
        <vt:i4>5</vt:i4>
      </vt:variant>
      <vt:variant>
        <vt:lpwstr>https://www.gazzettaufficiale.it/eli/id/2019/09/21/19G00111/sg</vt:lpwstr>
      </vt:variant>
      <vt:variant>
        <vt:lpwstr/>
      </vt:variant>
      <vt:variant>
        <vt:i4>6225961</vt:i4>
      </vt:variant>
      <vt:variant>
        <vt:i4>15</vt:i4>
      </vt:variant>
      <vt:variant>
        <vt:i4>0</vt:i4>
      </vt:variant>
      <vt:variant>
        <vt:i4>5</vt:i4>
      </vt:variant>
      <vt:variant>
        <vt:lpwstr>https://www.gesetze-im-internet.de/bsig_2009/BJNR282110009.html</vt:lpwstr>
      </vt:variant>
      <vt:variant>
        <vt:lpwstr/>
      </vt:variant>
      <vt:variant>
        <vt:i4>917550</vt:i4>
      </vt:variant>
      <vt:variant>
        <vt:i4>12</vt:i4>
      </vt:variant>
      <vt:variant>
        <vt:i4>0</vt:i4>
      </vt:variant>
      <vt:variant>
        <vt:i4>5</vt:i4>
      </vt:variant>
      <vt:variant>
        <vt:lpwstr>https://nukib.cz/download/aktuality/2021-01-17_varovani_v.1.7_EN.pdf</vt:lpwstr>
      </vt:variant>
      <vt:variant>
        <vt:lpwstr/>
      </vt:variant>
      <vt:variant>
        <vt:i4>2687043</vt:i4>
      </vt:variant>
      <vt:variant>
        <vt:i4>9</vt:i4>
      </vt:variant>
      <vt:variant>
        <vt:i4>0</vt:i4>
      </vt:variant>
      <vt:variant>
        <vt:i4>5</vt:i4>
      </vt:variant>
      <vt:variant>
        <vt:lpwstr>https://www.nukib.cz/download/publications_en/Warning-NUKIB-2020-04-16.pdf</vt:lpwstr>
      </vt:variant>
      <vt:variant>
        <vt:lpwstr/>
      </vt:variant>
      <vt:variant>
        <vt:i4>5832713</vt:i4>
      </vt:variant>
      <vt:variant>
        <vt:i4>6</vt:i4>
      </vt:variant>
      <vt:variant>
        <vt:i4>0</vt:i4>
      </vt:variant>
      <vt:variant>
        <vt:i4>5</vt:i4>
      </vt:variant>
      <vt:variant>
        <vt:lpwstr>https://www.zakonyprolidi.cz/cs/2014-181</vt:lpwstr>
      </vt:variant>
      <vt:variant>
        <vt:lpwstr/>
      </vt:variant>
      <vt:variant>
        <vt:i4>5374069</vt:i4>
      </vt:variant>
      <vt:variant>
        <vt:i4>3</vt:i4>
      </vt:variant>
      <vt:variant>
        <vt:i4>0</vt:i4>
      </vt:variant>
      <vt:variant>
        <vt:i4>5</vt:i4>
      </vt:variant>
      <vt:variant>
        <vt:lpwstr>https://eur-lex.europa.eu/legal-content/PL/TXT/?uri=COM:2020:0050:FIN&amp;_sm_au_=iVVZRW54FHZ10n2PVkFHNKt0jRsMJ</vt:lpwstr>
      </vt:variant>
      <vt:variant>
        <vt:lpwstr/>
      </vt:variant>
      <vt:variant>
        <vt:i4>8061036</vt:i4>
      </vt:variant>
      <vt:variant>
        <vt:i4>0</vt:i4>
      </vt:variant>
      <vt:variant>
        <vt:i4>0</vt:i4>
      </vt:variant>
      <vt:variant>
        <vt:i4>5</vt:i4>
      </vt:variant>
      <vt:variant>
        <vt:lpwstr>https://digital-strategy.ec.europa.eu/en/library/cybersecurity-5g-networks-eu-toolbox-risk-mitigating-measures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Przybylski Przemysław</dc:creator>
  <cp:keywords/>
  <cp:lastModifiedBy>Greupner Małgorzata</cp:lastModifiedBy>
  <cp:revision>2</cp:revision>
  <dcterms:created xsi:type="dcterms:W3CDTF">2024-04-24T10:09:00Z</dcterms:created>
  <dcterms:modified xsi:type="dcterms:W3CDTF">2024-04-24T10:09:00Z</dcterms:modified>
</cp:coreProperties>
</file>