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0"/>
        <w:gridCol w:w="839"/>
        <w:gridCol w:w="142"/>
        <w:gridCol w:w="513"/>
        <w:gridCol w:w="449"/>
        <w:gridCol w:w="205"/>
        <w:gridCol w:w="136"/>
        <w:gridCol w:w="519"/>
        <w:gridCol w:w="414"/>
        <w:gridCol w:w="284"/>
        <w:gridCol w:w="655"/>
        <w:gridCol w:w="73"/>
        <w:gridCol w:w="582"/>
        <w:gridCol w:w="205"/>
        <w:gridCol w:w="75"/>
        <w:gridCol w:w="375"/>
        <w:gridCol w:w="151"/>
        <w:gridCol w:w="407"/>
        <w:gridCol w:w="367"/>
        <w:gridCol w:w="385"/>
        <w:gridCol w:w="183"/>
        <w:gridCol w:w="471"/>
        <w:gridCol w:w="463"/>
        <w:gridCol w:w="192"/>
        <w:gridCol w:w="1411"/>
      </w:tblGrid>
      <w:tr w:rsidR="001E68F7" w:rsidRPr="001E68F7" w14:paraId="32E220A3" w14:textId="77777777" w:rsidTr="00D16DD1">
        <w:trPr>
          <w:trHeight w:val="1611"/>
        </w:trPr>
        <w:tc>
          <w:tcPr>
            <w:tcW w:w="6631" w:type="dxa"/>
            <w:gridSpan w:val="14"/>
          </w:tcPr>
          <w:p w14:paraId="4BE9DF48" w14:textId="56768296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bookmarkStart w:id="0" w:name="t1"/>
            <w:r w:rsidRPr="001E68F7">
              <w:rPr>
                <w:rFonts w:ascii="Times New Roman" w:eastAsia="Calibri" w:hAnsi="Times New Roman" w:cs="Times New Roman"/>
                <w:b/>
              </w:rPr>
              <w:t>Nazwa projektu</w:t>
            </w:r>
          </w:p>
          <w:p w14:paraId="277AC275" w14:textId="11D23E79" w:rsidR="002528F5" w:rsidRPr="001E68F7" w:rsidRDefault="00421D2E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 r</w:t>
            </w:r>
            <w:r w:rsidR="00FD25F0" w:rsidRPr="001E68F7">
              <w:rPr>
                <w:rFonts w:ascii="Times New Roman" w:eastAsia="Calibri" w:hAnsi="Times New Roman" w:cs="Times New Roman"/>
              </w:rPr>
              <w:t>ozporządzeni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Ministra Zdrowia zmieniając</w:t>
            </w:r>
            <w:r w:rsidR="002A1B92">
              <w:rPr>
                <w:rFonts w:ascii="Times New Roman" w:eastAsia="Calibri" w:hAnsi="Times New Roman" w:cs="Times New Roman"/>
              </w:rPr>
              <w:t>ego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rozporządzenie </w:t>
            </w:r>
          </w:p>
          <w:p w14:paraId="6627A86B" w14:textId="341901FD" w:rsidR="00FD25F0" w:rsidRPr="001E68F7" w:rsidRDefault="00FD25F0" w:rsidP="00421D2E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</w:t>
            </w:r>
            <w:r w:rsidR="002528F5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</w:rPr>
              <w:t xml:space="preserve">sprawie świadczeń gwarantowanych z zakresu </w:t>
            </w:r>
            <w:r w:rsidR="00421D2E">
              <w:rPr>
                <w:rFonts w:ascii="Times New Roman" w:eastAsia="Calibri" w:hAnsi="Times New Roman" w:cs="Times New Roman"/>
              </w:rPr>
              <w:t>programów zdrowotnych</w:t>
            </w:r>
          </w:p>
          <w:p w14:paraId="1A74F3DB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13BBCA04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bookmarkEnd w:id="0"/>
          <w:p w14:paraId="2641AA6F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Ministerstwo Zdrowia</w:t>
            </w:r>
          </w:p>
          <w:p w14:paraId="403439E5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</w:p>
          <w:p w14:paraId="2E9DCA4D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5E46927D" w:rsidR="00FD25F0" w:rsidRPr="001E68F7" w:rsidRDefault="00704359" w:rsidP="00421D2E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704359">
              <w:rPr>
                <w:rFonts w:ascii="Times New Roman" w:eastAsia="Calibri" w:hAnsi="Times New Roman" w:cs="Times New Roman"/>
              </w:rPr>
              <w:t>Izabela Leszczyna</w:t>
            </w:r>
            <w:r w:rsidR="00FD25F0" w:rsidRPr="00704359">
              <w:rPr>
                <w:rFonts w:ascii="Times New Roman" w:eastAsia="Calibri" w:hAnsi="Times New Roman" w:cs="Times New Roman"/>
              </w:rPr>
              <w:t xml:space="preserve"> – Minister Zdrowia</w:t>
            </w:r>
          </w:p>
          <w:p w14:paraId="606366DC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14:paraId="772A5417" w14:textId="2B002CB0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Dominika Janiszewska-Kajka, Zastępca Dyrektora Departamentu </w:t>
            </w:r>
            <w:r w:rsidR="00BB48AA" w:rsidRPr="001E68F7">
              <w:rPr>
                <w:rFonts w:ascii="Times New Roman" w:eastAsia="Calibri" w:hAnsi="Times New Roman" w:cs="Times New Roman"/>
              </w:rPr>
              <w:t>Lecznictwa</w:t>
            </w:r>
            <w:r w:rsidRPr="001E68F7">
              <w:rPr>
                <w:rFonts w:ascii="Times New Roman" w:eastAsia="Calibri" w:hAnsi="Times New Roman" w:cs="Times New Roman"/>
              </w:rPr>
              <w:t xml:space="preserve"> w Ministerstwie Zdrowia, tel. 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(22)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530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84</w:t>
            </w:r>
            <w:r w:rsidRPr="001E68F7">
              <w:rPr>
                <w:rFonts w:ascii="Times New Roman" w:eastAsia="Calibri" w:hAnsi="Times New Roman" w:cs="Times New Roman"/>
              </w:rPr>
              <w:t xml:space="preserve">, </w:t>
            </w:r>
            <w:r w:rsidR="001D398A">
              <w:rPr>
                <w:rFonts w:ascii="Times New Roman" w:eastAsia="Calibri" w:hAnsi="Times New Roman" w:cs="Times New Roman"/>
              </w:rPr>
              <w:br/>
            </w:r>
            <w:r w:rsidRPr="001E68F7">
              <w:rPr>
                <w:rFonts w:ascii="Times New Roman" w:eastAsia="Calibri" w:hAnsi="Times New Roman" w:cs="Times New Roman"/>
              </w:rPr>
              <w:t xml:space="preserve">e-mail: </w:t>
            </w:r>
            <w:hyperlink r:id="rId6" w:history="1">
              <w:r w:rsidR="00621DA2" w:rsidRPr="00463343">
                <w:rPr>
                  <w:rStyle w:val="Hipercze"/>
                  <w:rFonts w:ascii="Times New Roman" w:eastAsia="Calibri" w:hAnsi="Times New Roman" w:cs="Times New Roman"/>
                </w:rPr>
                <w:t>d.janiszewska@mz.gov.pl</w:t>
              </w:r>
            </w:hyperlink>
            <w:r w:rsidR="00621D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455" w:type="dxa"/>
            <w:gridSpan w:val="11"/>
            <w:shd w:val="clear" w:color="auto" w:fill="FFFFFF"/>
          </w:tcPr>
          <w:p w14:paraId="2DE8DB6F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59370C83" w14:textId="1B6B7F3C" w:rsidR="00FD25F0" w:rsidRPr="001E68F7" w:rsidRDefault="008945DD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F21B8">
              <w:rPr>
                <w:rFonts w:ascii="Times New Roman" w:eastAsia="Calibri" w:hAnsi="Times New Roman" w:cs="Times New Roman"/>
              </w:rPr>
              <w:t>2</w:t>
            </w:r>
            <w:r w:rsidR="0042239D">
              <w:rPr>
                <w:rFonts w:ascii="Times New Roman" w:eastAsia="Calibri" w:hAnsi="Times New Roman" w:cs="Times New Roman"/>
              </w:rPr>
              <w:t>.</w:t>
            </w:r>
            <w:r w:rsidR="00656B8E">
              <w:rPr>
                <w:rFonts w:ascii="Times New Roman" w:eastAsia="Calibri" w:hAnsi="Times New Roman" w:cs="Times New Roman"/>
              </w:rPr>
              <w:t>04</w:t>
            </w:r>
            <w:r w:rsidR="00365EAD" w:rsidRPr="001E68F7">
              <w:rPr>
                <w:rFonts w:ascii="Times New Roman" w:eastAsia="Calibri" w:hAnsi="Times New Roman" w:cs="Times New Roman"/>
              </w:rPr>
              <w:t>.</w:t>
            </w:r>
            <w:r w:rsidR="00FD25F0" w:rsidRPr="001E68F7">
              <w:rPr>
                <w:rFonts w:ascii="Times New Roman" w:eastAsia="Calibri" w:hAnsi="Times New Roman" w:cs="Times New Roman"/>
              </w:rPr>
              <w:t>202</w:t>
            </w:r>
            <w:r w:rsidR="000C7063">
              <w:rPr>
                <w:rFonts w:ascii="Times New Roman" w:eastAsia="Calibri" w:hAnsi="Times New Roman" w:cs="Times New Roman"/>
              </w:rPr>
              <w:t>4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r.</w:t>
            </w:r>
            <w:r w:rsidR="00FD25F0" w:rsidRPr="001E68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E7D99A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3B783FD3" w14:textId="627FA1D8" w:rsidR="00421D2E" w:rsidRPr="001E68F7" w:rsidRDefault="00FD25F0" w:rsidP="00421D2E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Źródło:</w:t>
            </w:r>
          </w:p>
          <w:p w14:paraId="63FEBA4B" w14:textId="0FA75195" w:rsidR="00421D2E" w:rsidRDefault="00421D2E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Upoważnienie ustawowe</w:t>
            </w:r>
          </w:p>
          <w:p w14:paraId="7BF4E711" w14:textId="0023F410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68F7">
              <w:rPr>
                <w:rFonts w:ascii="Times New Roman" w:eastAsia="Times New Roman" w:hAnsi="Times New Roman" w:cs="Times New Roman"/>
              </w:rPr>
              <w:t>Art. 31d ustawy z dnia 27 sierpnia 2004 r.</w:t>
            </w:r>
            <w:r w:rsidR="002528F5" w:rsidRPr="001E68F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o świadczeniach opieki zdrowotnej finansowanych ze środków publicznych </w:t>
            </w:r>
            <w:r w:rsidRPr="001E68F7">
              <w:rPr>
                <w:rFonts w:ascii="Times New Roman" w:eastAsia="Times New Roman" w:hAnsi="Times New Roman" w:cs="Times New Roman"/>
              </w:rPr>
              <w:br/>
              <w:t>(</w:t>
            </w:r>
            <w:r w:rsidR="0032665E" w:rsidRPr="0032665E">
              <w:rPr>
                <w:rFonts w:ascii="Times New Roman" w:eastAsia="Times New Roman" w:hAnsi="Times New Roman" w:cs="Times New Roman"/>
              </w:rPr>
              <w:t>Dz.</w:t>
            </w:r>
            <w:r w:rsidR="0032665E">
              <w:rPr>
                <w:rFonts w:ascii="Times New Roman" w:eastAsia="Times New Roman" w:hAnsi="Times New Roman" w:cs="Times New Roman"/>
              </w:rPr>
              <w:t xml:space="preserve"> </w:t>
            </w:r>
            <w:r w:rsidR="0032665E" w:rsidRPr="0032665E">
              <w:rPr>
                <w:rFonts w:ascii="Times New Roman" w:eastAsia="Times New Roman" w:hAnsi="Times New Roman" w:cs="Times New Roman"/>
              </w:rPr>
              <w:t>U. z 202</w:t>
            </w:r>
            <w:r w:rsidR="00E438BE">
              <w:rPr>
                <w:rFonts w:ascii="Times New Roman" w:eastAsia="Times New Roman" w:hAnsi="Times New Roman" w:cs="Times New Roman"/>
              </w:rPr>
              <w:t>4</w:t>
            </w:r>
            <w:r w:rsidR="0032665E" w:rsidRPr="0032665E">
              <w:rPr>
                <w:rFonts w:ascii="Times New Roman" w:eastAsia="Times New Roman" w:hAnsi="Times New Roman" w:cs="Times New Roman"/>
              </w:rPr>
              <w:t xml:space="preserve"> r. poz. </w:t>
            </w:r>
            <w:r w:rsidR="00E438BE">
              <w:rPr>
                <w:rFonts w:ascii="Times New Roman" w:eastAsia="Times New Roman" w:hAnsi="Times New Roman" w:cs="Times New Roman"/>
              </w:rPr>
              <w:t>146</w:t>
            </w:r>
            <w:r w:rsidRPr="001E68F7">
              <w:rPr>
                <w:rFonts w:ascii="Times New Roman" w:eastAsia="Times New Roman" w:hAnsi="Times New Roman" w:cs="Times New Roman"/>
              </w:rPr>
              <w:t>)</w:t>
            </w:r>
          </w:p>
          <w:p w14:paraId="7D5176C6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3291E3" w14:textId="77777777" w:rsidR="0032665E" w:rsidRDefault="00FD25F0" w:rsidP="0032665E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Nr w </w:t>
            </w:r>
            <w:r w:rsidR="00204850">
              <w:rPr>
                <w:rFonts w:ascii="Times New Roman" w:eastAsia="Calibri" w:hAnsi="Times New Roman" w:cs="Times New Roman"/>
                <w:b/>
              </w:rPr>
              <w:t>W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ykazie prac </w:t>
            </w:r>
            <w:r w:rsidR="001D398A">
              <w:rPr>
                <w:rFonts w:ascii="Times New Roman" w:eastAsia="Calibri" w:hAnsi="Times New Roman" w:cs="Times New Roman"/>
                <w:b/>
              </w:rPr>
              <w:t xml:space="preserve">legislacyjnych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Ministra Zdrowia: </w:t>
            </w:r>
          </w:p>
          <w:p w14:paraId="18A121C3" w14:textId="77777777" w:rsidR="00314CAD" w:rsidRDefault="00314CAD" w:rsidP="0032665E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</w:p>
          <w:p w14:paraId="2DEC9634" w14:textId="499BEF60" w:rsidR="00FD25F0" w:rsidRPr="0032665E" w:rsidRDefault="0032665E" w:rsidP="0032665E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MZ</w:t>
            </w:r>
            <w:r w:rsidR="00656B8E">
              <w:rPr>
                <w:rFonts w:ascii="Times New Roman" w:eastAsia="Calibri" w:hAnsi="Times New Roman" w:cs="Times New Roman"/>
              </w:rPr>
              <w:t xml:space="preserve"> 1668</w:t>
            </w:r>
          </w:p>
          <w:p w14:paraId="641C75DA" w14:textId="6A6132F3" w:rsidR="00796656" w:rsidRPr="001E68F7" w:rsidRDefault="00796656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E68F7" w:rsidRPr="001E68F7" w14:paraId="411BC620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280ACB08" w14:textId="082681E6" w:rsidR="00FD25F0" w:rsidRPr="001E68F7" w:rsidRDefault="00845C4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E68F7" w:rsidRPr="001E68F7" w14:paraId="69F38309" w14:textId="77777777" w:rsidTr="00D16DD1">
        <w:trPr>
          <w:trHeight w:val="333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618C99C2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1E68F7" w:rsidRPr="001E68F7" w14:paraId="1C3BD251" w14:textId="77777777" w:rsidTr="00875D69">
        <w:trPr>
          <w:trHeight w:val="822"/>
        </w:trPr>
        <w:tc>
          <w:tcPr>
            <w:tcW w:w="11086" w:type="dxa"/>
            <w:gridSpan w:val="25"/>
            <w:shd w:val="clear" w:color="auto" w:fill="FFFFFF"/>
          </w:tcPr>
          <w:p w14:paraId="7A3351A9" w14:textId="3D9C35AB" w:rsidR="00D918D4" w:rsidRDefault="009F6DF4" w:rsidP="00D918D4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Obecnie dostęp do badań prenatalnych</w:t>
            </w:r>
            <w:r w:rsidR="00362C16">
              <w:rPr>
                <w:sz w:val="22"/>
                <w:szCs w:val="18"/>
              </w:rPr>
              <w:t xml:space="preserve"> dla kobiet w ciąży</w:t>
            </w:r>
            <w:r>
              <w:rPr>
                <w:sz w:val="22"/>
                <w:szCs w:val="18"/>
              </w:rPr>
              <w:t xml:space="preserve"> jest </w:t>
            </w:r>
            <w:r w:rsidR="00362C16">
              <w:rPr>
                <w:sz w:val="22"/>
                <w:szCs w:val="18"/>
              </w:rPr>
              <w:t>ograniczony</w:t>
            </w:r>
            <w:r w:rsidR="00D918D4">
              <w:rPr>
                <w:sz w:val="22"/>
                <w:szCs w:val="18"/>
              </w:rPr>
              <w:t>. Pacjentka kwalifikuje się do programu badań prenatalnych</w:t>
            </w:r>
            <w:r w:rsidR="00A76B37">
              <w:rPr>
                <w:sz w:val="22"/>
                <w:szCs w:val="18"/>
              </w:rPr>
              <w:t xml:space="preserve"> </w:t>
            </w:r>
            <w:r w:rsidR="00D918D4">
              <w:rPr>
                <w:sz w:val="22"/>
                <w:szCs w:val="18"/>
              </w:rPr>
              <w:t>po spełnieniu co najmniej jednego z poniższych kryteriów:</w:t>
            </w:r>
          </w:p>
          <w:p w14:paraId="77CB5B8B" w14:textId="77777777" w:rsidR="00D918D4" w:rsidRPr="00D918D4" w:rsidRDefault="00D918D4" w:rsidP="00D918D4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918D4">
              <w:rPr>
                <w:sz w:val="22"/>
                <w:szCs w:val="22"/>
              </w:rPr>
              <w:t>1) wiek od ukończenia 35 lat (badanie przysługuje kobiecie począwszy od roku kalendarzowego, w którym kończy 35 lat);</w:t>
            </w:r>
          </w:p>
          <w:p w14:paraId="4F83D4DD" w14:textId="77777777" w:rsidR="00D918D4" w:rsidRPr="00D918D4" w:rsidRDefault="00D918D4" w:rsidP="00D918D4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918D4">
              <w:rPr>
                <w:sz w:val="22"/>
                <w:szCs w:val="22"/>
              </w:rPr>
              <w:t>2) wystąpienie w poprzedniej ciąży aberracji chromosomowej płodu lub dziecka;</w:t>
            </w:r>
          </w:p>
          <w:p w14:paraId="0F89F562" w14:textId="77777777" w:rsidR="00D918D4" w:rsidRPr="00D918D4" w:rsidRDefault="00D918D4" w:rsidP="00D918D4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918D4">
              <w:rPr>
                <w:sz w:val="22"/>
                <w:szCs w:val="22"/>
              </w:rPr>
              <w:t>3) stwierdzenie wystąpienia strukturalnych aberracji chromosomowych u ciężarnej lub u ojca dziecka;</w:t>
            </w:r>
          </w:p>
          <w:p w14:paraId="3A9774F0" w14:textId="77777777" w:rsidR="00D918D4" w:rsidRPr="00D918D4" w:rsidRDefault="00D918D4" w:rsidP="00D918D4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918D4">
              <w:rPr>
                <w:sz w:val="22"/>
                <w:szCs w:val="22"/>
              </w:rPr>
              <w:t xml:space="preserve">4) stwierdzenie znacznie większego ryzyka urodzenia dziecka dotkniętego chorobą uwarunkowaną </w:t>
            </w:r>
            <w:proofErr w:type="spellStart"/>
            <w:r w:rsidRPr="00D918D4">
              <w:rPr>
                <w:sz w:val="22"/>
                <w:szCs w:val="22"/>
              </w:rPr>
              <w:t>monogenowo</w:t>
            </w:r>
            <w:proofErr w:type="spellEnd"/>
            <w:r w:rsidRPr="00D918D4">
              <w:rPr>
                <w:sz w:val="22"/>
                <w:szCs w:val="22"/>
              </w:rPr>
              <w:t xml:space="preserve"> lub wieloczynnikową;</w:t>
            </w:r>
          </w:p>
          <w:p w14:paraId="52943ED8" w14:textId="47227DA0" w:rsidR="009A4844" w:rsidRPr="00621DA2" w:rsidRDefault="00D918D4" w:rsidP="00D918D4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918D4">
              <w:rPr>
                <w:sz w:val="22"/>
                <w:szCs w:val="22"/>
              </w:rPr>
              <w:t>5) stwierdzenie w czasie ciąży nieprawidłowego wyniku badania USG lub badań biochemicznych wskazujących na zwiększone ryzyko aberracji chromosomowej lub wady płodu.</w:t>
            </w:r>
          </w:p>
        </w:tc>
      </w:tr>
      <w:tr w:rsidR="001E68F7" w:rsidRPr="001E68F7" w14:paraId="279EBCB6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3E002BD7" w14:textId="15852E79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 i oczekiwany efekt</w:t>
            </w:r>
          </w:p>
        </w:tc>
      </w:tr>
      <w:tr w:rsidR="001E68F7" w:rsidRPr="001E68F7" w14:paraId="37C31463" w14:textId="77777777" w:rsidTr="00D16DD1">
        <w:trPr>
          <w:trHeight w:val="529"/>
        </w:trPr>
        <w:tc>
          <w:tcPr>
            <w:tcW w:w="11086" w:type="dxa"/>
            <w:gridSpan w:val="25"/>
            <w:shd w:val="clear" w:color="auto" w:fill="auto"/>
          </w:tcPr>
          <w:p w14:paraId="0F5F85E9" w14:textId="11C330A0" w:rsidR="00A532F2" w:rsidRPr="00A532F2" w:rsidRDefault="00A532F2" w:rsidP="00A47E66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532F2">
              <w:rPr>
                <w:sz w:val="22"/>
                <w:szCs w:val="22"/>
              </w:rPr>
              <w:t xml:space="preserve">W rozporządzeniu Ministra Zdrowia z dnia 6 listopada 2013 r. w sprawie świadczeń gwarantowanych z zakresu programów zdrowotnych (Dz. U. z 2023 r. poz. 916, z późn. zm.) w załączniku do rozporządzenia </w:t>
            </w:r>
            <w:r w:rsidR="00246C51">
              <w:rPr>
                <w:sz w:val="22"/>
                <w:szCs w:val="22"/>
              </w:rPr>
              <w:t xml:space="preserve">w </w:t>
            </w:r>
            <w:r w:rsidRPr="00A532F2">
              <w:rPr>
                <w:sz w:val="22"/>
                <w:szCs w:val="22"/>
              </w:rPr>
              <w:t>lp. 4 "Program badań prenatalnych"</w:t>
            </w:r>
            <w:r w:rsidR="00362C16">
              <w:rPr>
                <w:sz w:val="22"/>
                <w:szCs w:val="22"/>
              </w:rPr>
              <w:t xml:space="preserve">, w celu zwiększenia </w:t>
            </w:r>
            <w:r w:rsidR="00362C16" w:rsidRPr="00362C16">
              <w:rPr>
                <w:sz w:val="22"/>
                <w:szCs w:val="22"/>
              </w:rPr>
              <w:t>dostępności do badań prenatalnych dla wszystkich kobiet w ciąży</w:t>
            </w:r>
            <w:r w:rsidR="00362C16">
              <w:rPr>
                <w:sz w:val="22"/>
                <w:szCs w:val="22"/>
              </w:rPr>
              <w:t>, proponuje się następujące zmiany</w:t>
            </w:r>
            <w:r w:rsidRPr="00A532F2">
              <w:rPr>
                <w:sz w:val="22"/>
                <w:szCs w:val="22"/>
              </w:rPr>
              <w:t>:</w:t>
            </w:r>
          </w:p>
          <w:p w14:paraId="2C82C50A" w14:textId="63EBFACA" w:rsidR="00165BD5" w:rsidRPr="00165BD5" w:rsidRDefault="00A532F2" w:rsidP="00A47E66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532F2">
              <w:rPr>
                <w:sz w:val="22"/>
                <w:szCs w:val="22"/>
              </w:rPr>
              <w:t xml:space="preserve">1) </w:t>
            </w:r>
            <w:r w:rsidR="00165BD5" w:rsidRPr="00165BD5">
              <w:rPr>
                <w:sz w:val="22"/>
                <w:szCs w:val="22"/>
              </w:rPr>
              <w:t>usunięci</w:t>
            </w:r>
            <w:r w:rsidR="00165BD5">
              <w:rPr>
                <w:sz w:val="22"/>
                <w:szCs w:val="22"/>
              </w:rPr>
              <w:t>e</w:t>
            </w:r>
            <w:r w:rsidR="00165BD5" w:rsidRPr="00165BD5">
              <w:rPr>
                <w:sz w:val="22"/>
                <w:szCs w:val="22"/>
              </w:rPr>
              <w:t xml:space="preserve"> kryterium wieku jako kryterium kwalifikacji </w:t>
            </w:r>
            <w:r w:rsidR="00FF21B8" w:rsidRPr="00FF21B8">
              <w:rPr>
                <w:sz w:val="22"/>
                <w:szCs w:val="22"/>
              </w:rPr>
              <w:t xml:space="preserve">(do udziału w programie) </w:t>
            </w:r>
            <w:r w:rsidR="00165BD5" w:rsidRPr="00165BD5">
              <w:rPr>
                <w:sz w:val="22"/>
                <w:szCs w:val="22"/>
              </w:rPr>
              <w:t>ze wszystkich etapów programu;</w:t>
            </w:r>
          </w:p>
          <w:p w14:paraId="2FCDE1B5" w14:textId="3A09A3BF" w:rsidR="00165BD5" w:rsidRPr="00165BD5" w:rsidRDefault="00165BD5" w:rsidP="00A47E66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65BD5">
              <w:rPr>
                <w:sz w:val="22"/>
                <w:szCs w:val="22"/>
              </w:rPr>
              <w:t>2) usunięci</w:t>
            </w:r>
            <w:r>
              <w:rPr>
                <w:sz w:val="22"/>
                <w:szCs w:val="22"/>
              </w:rPr>
              <w:t>e</w:t>
            </w:r>
            <w:r w:rsidRPr="00165BD5">
              <w:rPr>
                <w:sz w:val="22"/>
                <w:szCs w:val="22"/>
              </w:rPr>
              <w:t xml:space="preserve"> obecnie obowiązujących kryteriów kwalifikacji (do udziału w programie) z etapu Poradnictwo i badania biochemiczne oraz Poradnictwo i USG płodu w kierunku diagnostyki wad wrodzonych;</w:t>
            </w:r>
          </w:p>
          <w:p w14:paraId="07E00240" w14:textId="26DFECD1" w:rsidR="00165BD5" w:rsidRPr="004108B1" w:rsidRDefault="00165BD5" w:rsidP="00A47E66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65BD5">
              <w:rPr>
                <w:sz w:val="22"/>
                <w:szCs w:val="22"/>
              </w:rPr>
              <w:t>3) doprecyzowani</w:t>
            </w:r>
            <w:r w:rsidR="00AB2194">
              <w:rPr>
                <w:sz w:val="22"/>
                <w:szCs w:val="22"/>
              </w:rPr>
              <w:t>e</w:t>
            </w:r>
            <w:r w:rsidRPr="00165BD5">
              <w:rPr>
                <w:sz w:val="22"/>
                <w:szCs w:val="22"/>
              </w:rPr>
              <w:t xml:space="preserve"> w etapie Poradnictwo i badania biochemiczne oraz Poradnictwo i USG płodu w kierunku diagnostyki wad wrodzonych terminu, w którym powinny zostać wykonane priorytetowe badania prenatalne.</w:t>
            </w:r>
          </w:p>
        </w:tc>
      </w:tr>
      <w:tr w:rsidR="001E68F7" w:rsidRPr="001E68F7" w14:paraId="48B30810" w14:textId="77777777" w:rsidTr="00D16DD1">
        <w:trPr>
          <w:trHeight w:val="307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51F1EA36" w14:textId="2F5BAA45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E68F7">
              <w:rPr>
                <w:rFonts w:ascii="Times New Roman" w:eastAsia="Calibri" w:hAnsi="Times New Roman" w:cs="Times New Roman"/>
                <w:b/>
              </w:rPr>
              <w:t>?</w:t>
            </w:r>
            <w:r w:rsidRPr="001E68F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E68F7" w:rsidRPr="001E68F7" w14:paraId="40488CA5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auto"/>
          </w:tcPr>
          <w:p w14:paraId="6B01D4AB" w14:textId="68E5CBB9" w:rsidR="00C97CFE" w:rsidRPr="001E68F7" w:rsidRDefault="002133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Rozwiązania przyjęte w innych krajach pozostają bez wpływu na projekt rozporządzenia.</w:t>
            </w:r>
          </w:p>
        </w:tc>
      </w:tr>
      <w:tr w:rsidR="001E68F7" w:rsidRPr="001E68F7" w14:paraId="0A340377" w14:textId="77777777" w:rsidTr="00D16DD1">
        <w:trPr>
          <w:trHeight w:val="359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3A487EC4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1E68F7" w:rsidRPr="001E68F7" w14:paraId="52D691AB" w14:textId="77777777" w:rsidTr="002F211B">
        <w:trPr>
          <w:trHeight w:val="142"/>
        </w:trPr>
        <w:tc>
          <w:tcPr>
            <w:tcW w:w="2581" w:type="dxa"/>
            <w:gridSpan w:val="3"/>
            <w:shd w:val="clear" w:color="auto" w:fill="auto"/>
          </w:tcPr>
          <w:p w14:paraId="0875B30B" w14:textId="77777777" w:rsidR="00FD25F0" w:rsidRPr="002F211B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3260" w:type="dxa"/>
            <w:gridSpan w:val="9"/>
            <w:shd w:val="clear" w:color="auto" w:fill="auto"/>
          </w:tcPr>
          <w:p w14:paraId="26625310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25194AC8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2F211B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56569673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BD0D8F" w:rsidRPr="001E68F7" w14:paraId="3B6BDAB6" w14:textId="77777777" w:rsidTr="002F211B">
        <w:trPr>
          <w:trHeight w:val="833"/>
        </w:trPr>
        <w:tc>
          <w:tcPr>
            <w:tcW w:w="2581" w:type="dxa"/>
            <w:gridSpan w:val="3"/>
            <w:shd w:val="clear" w:color="auto" w:fill="auto"/>
            <w:vAlign w:val="center"/>
          </w:tcPr>
          <w:p w14:paraId="0C9F2970" w14:textId="06162259" w:rsidR="00BD0D8F" w:rsidRPr="002F211B" w:rsidRDefault="006F1BA8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ś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wiadczeniobiorcy 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14:paraId="510558C5" w14:textId="23F4B7D0" w:rsidR="004E795A" w:rsidRPr="002F211B" w:rsidRDefault="009D49E1" w:rsidP="003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bookmarkStart w:id="2" w:name="_Hlk162603788"/>
            <w:r w:rsidRPr="009D49E1">
              <w:rPr>
                <w:rFonts w:ascii="Times New Roman" w:eastAsia="Times New Roman" w:hAnsi="Times New Roman" w:cs="Times New Roman"/>
                <w:lang w:eastAsia="pl-PL"/>
              </w:rPr>
              <w:t>210 079</w:t>
            </w:r>
            <w:bookmarkEnd w:id="2"/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552B686A" w14:textId="4B8D2D35" w:rsidR="008E46C7" w:rsidRPr="00777BAB" w:rsidRDefault="00621DA2" w:rsidP="00777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  </w:t>
            </w:r>
            <w:r w:rsidR="009D49E1">
              <w:rPr>
                <w:rFonts w:ascii="Times New Roman" w:eastAsia="Calibri" w:hAnsi="Times New Roman" w:cs="Times New Roman"/>
                <w:spacing w:val="-2"/>
              </w:rPr>
              <w:t>Agencja Oceny Technologii Medycznych i Taryfikacji na podstawie danych z Narodowego Funduszu Zdrowia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D518518" w14:textId="0CFB6B40" w:rsidR="00BD0D8F" w:rsidRPr="002F211B" w:rsidRDefault="006F1BA8" w:rsidP="00BD0D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AA12A9" w:rsidRPr="00AA12A9">
              <w:rPr>
                <w:rFonts w:ascii="Times New Roman" w:eastAsia="Calibri" w:hAnsi="Times New Roman" w:cs="Times New Roman"/>
              </w:rPr>
              <w:t xml:space="preserve">większenie dostępności do </w:t>
            </w:r>
            <w:r w:rsidR="00E438BE">
              <w:rPr>
                <w:rFonts w:ascii="Times New Roman" w:eastAsia="Calibri" w:hAnsi="Times New Roman" w:cs="Times New Roman"/>
              </w:rPr>
              <w:t>badań prenatalnych</w:t>
            </w:r>
          </w:p>
        </w:tc>
      </w:tr>
      <w:tr w:rsidR="00BD0D8F" w:rsidRPr="001E68F7" w14:paraId="3F313EA5" w14:textId="77777777" w:rsidTr="000918FE">
        <w:trPr>
          <w:trHeight w:val="246"/>
        </w:trPr>
        <w:tc>
          <w:tcPr>
            <w:tcW w:w="2581" w:type="dxa"/>
            <w:gridSpan w:val="3"/>
            <w:shd w:val="clear" w:color="auto" w:fill="auto"/>
            <w:vAlign w:val="center"/>
          </w:tcPr>
          <w:p w14:paraId="608F363E" w14:textId="279C7B39" w:rsidR="00BD0D8F" w:rsidRPr="002F211B" w:rsidRDefault="006F1BA8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ś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wiadczeniodawcy 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14:paraId="7120DFBB" w14:textId="58A901B0" w:rsidR="00960694" w:rsidRPr="002F211B" w:rsidRDefault="00BF5198" w:rsidP="00AC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153408C4" w14:textId="2721BC37" w:rsidR="00BD0D8F" w:rsidRPr="002F211B" w:rsidRDefault="00621DA2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21DA2">
              <w:rPr>
                <w:rFonts w:ascii="Times New Roman" w:eastAsia="Calibri" w:hAnsi="Times New Roman" w:cs="Times New Roman"/>
                <w:spacing w:val="-2"/>
              </w:rPr>
              <w:t>Narodowy Fundusz Zdrowia (</w:t>
            </w:r>
            <w:r w:rsidR="003F7CA9">
              <w:rPr>
                <w:rFonts w:ascii="Times New Roman" w:eastAsia="Calibri" w:hAnsi="Times New Roman" w:cs="Times New Roman"/>
                <w:spacing w:val="-2"/>
              </w:rPr>
              <w:t>NFZ</w:t>
            </w:r>
            <w:r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0840F630" w14:textId="28FEDF5D" w:rsidR="00BD0D8F" w:rsidRPr="002F211B" w:rsidRDefault="006F1BA8" w:rsidP="00384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pacing w:val="-2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384B4B" w:rsidRPr="00784FAB">
              <w:rPr>
                <w:rFonts w:ascii="Times New Roman" w:eastAsia="Times New Roman" w:hAnsi="Times New Roman" w:cs="Times New Roman"/>
                <w:lang w:eastAsia="pl-PL"/>
              </w:rPr>
              <w:t>ptymalizacja procesów diagnostycznych</w:t>
            </w:r>
          </w:p>
        </w:tc>
      </w:tr>
      <w:tr w:rsidR="00BD0D8F" w:rsidRPr="001E68F7" w14:paraId="215DC67C" w14:textId="77777777" w:rsidTr="00BD0D8F">
        <w:trPr>
          <w:trHeight w:val="1561"/>
        </w:trPr>
        <w:tc>
          <w:tcPr>
            <w:tcW w:w="2581" w:type="dxa"/>
            <w:gridSpan w:val="3"/>
            <w:shd w:val="clear" w:color="auto" w:fill="auto"/>
            <w:vAlign w:val="center"/>
          </w:tcPr>
          <w:p w14:paraId="33B24EA9" w14:textId="27F6A083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NFZ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14:paraId="5A807B5D" w14:textId="3B7899DB" w:rsidR="00BD0D8F" w:rsidRPr="002F211B" w:rsidRDefault="00BD0D8F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0E09940D" w14:textId="32DD3415" w:rsidR="00BD0D8F" w:rsidRPr="002F211B" w:rsidRDefault="00644832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stawa </w:t>
            </w:r>
            <w:r w:rsidR="00BD0D8F">
              <w:rPr>
                <w:rFonts w:ascii="Times New Roman" w:eastAsia="Calibri" w:hAnsi="Times New Roman" w:cs="Times New Roman"/>
                <w:spacing w:val="-2"/>
              </w:rPr>
              <w:t>z dnia 27 sierpnia 2004 r. o 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>świadczeniach opieki zdrowotnej finansowanych ze środków publicznych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20817477" w14:textId="4CBA31BD" w:rsidR="00BD0D8F" w:rsidRPr="002F211B" w:rsidRDefault="006F1BA8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BD0D8F" w:rsidRPr="002F211B">
              <w:rPr>
                <w:rFonts w:ascii="Times New Roman" w:eastAsia="Times New Roman" w:hAnsi="Times New Roman" w:cs="Times New Roman"/>
                <w:lang w:eastAsia="pl-PL"/>
              </w:rPr>
              <w:t>lokacja zasobów finansowych</w:t>
            </w:r>
          </w:p>
        </w:tc>
      </w:tr>
      <w:tr w:rsidR="00BD0D8F" w:rsidRPr="001E68F7" w14:paraId="438C1260" w14:textId="77777777" w:rsidTr="00D16DD1">
        <w:trPr>
          <w:trHeight w:val="302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259440F1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BD0D8F" w:rsidRPr="001E68F7" w14:paraId="56CEE4E7" w14:textId="77777777" w:rsidTr="00D16DD1">
        <w:trPr>
          <w:trHeight w:val="562"/>
        </w:trPr>
        <w:tc>
          <w:tcPr>
            <w:tcW w:w="11086" w:type="dxa"/>
            <w:gridSpan w:val="25"/>
            <w:shd w:val="clear" w:color="auto" w:fill="FFFFFF"/>
          </w:tcPr>
          <w:p w14:paraId="3637E7CE" w14:textId="42F9FBE0" w:rsidR="00E438BE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Projekt rozporządzenia nie był przedmiotem </w:t>
            </w:r>
            <w:proofErr w:type="spellStart"/>
            <w:r w:rsidRPr="001E68F7">
              <w:rPr>
                <w:rFonts w:ascii="Times New Roman" w:hAnsi="Times New Roman"/>
                <w:spacing w:val="-2"/>
              </w:rPr>
              <w:t>pre</w:t>
            </w:r>
            <w:proofErr w:type="spellEnd"/>
            <w:r w:rsidRPr="001E68F7">
              <w:rPr>
                <w:rFonts w:ascii="Times New Roman" w:hAnsi="Times New Roman"/>
                <w:spacing w:val="-2"/>
              </w:rPr>
              <w:t>-konsultacji.</w:t>
            </w:r>
          </w:p>
          <w:p w14:paraId="6A0FDA6A" w14:textId="126AB861" w:rsidR="00500B1D" w:rsidRDefault="00500B1D" w:rsidP="00D245C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1A1E3A72" w14:textId="1FDC3E4C" w:rsidR="00D245C9" w:rsidRPr="00D245C9" w:rsidRDefault="00500B1D" w:rsidP="00D245C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P</w:t>
            </w:r>
            <w:r w:rsidRPr="00500B1D">
              <w:rPr>
                <w:rFonts w:ascii="Times New Roman" w:hAnsi="Times New Roman"/>
                <w:shd w:val="clear" w:color="auto" w:fill="FFFFFF"/>
              </w:rPr>
              <w:t>rojekt zostanie skierowany do konsultacji publicznych i opiniowania</w:t>
            </w:r>
            <w:r w:rsidR="00295AE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56B8E" w:rsidRPr="00656B8E">
              <w:rPr>
                <w:rFonts w:ascii="Times New Roman" w:hAnsi="Times New Roman"/>
                <w:shd w:val="clear" w:color="auto" w:fill="FFFFFF"/>
              </w:rPr>
              <w:t>z 1</w:t>
            </w:r>
            <w:r w:rsidR="00656B8E">
              <w:rPr>
                <w:rFonts w:ascii="Times New Roman" w:hAnsi="Times New Roman"/>
                <w:shd w:val="clear" w:color="auto" w:fill="FFFFFF"/>
              </w:rPr>
              <w:t>0</w:t>
            </w:r>
            <w:r w:rsidR="00656B8E" w:rsidRPr="00656B8E">
              <w:rPr>
                <w:rFonts w:ascii="Times New Roman" w:hAnsi="Times New Roman"/>
                <w:shd w:val="clear" w:color="auto" w:fill="FFFFFF"/>
              </w:rPr>
              <w:t>-dniowym terminem na zgłaszanie uwag</w:t>
            </w:r>
            <w:r w:rsidR="00656B8E">
              <w:rPr>
                <w:rFonts w:ascii="Times New Roman" w:hAnsi="Times New Roman"/>
                <w:shd w:val="clear" w:color="auto" w:fill="FFFFFF"/>
              </w:rPr>
              <w:t>,</w:t>
            </w:r>
            <w:r w:rsidR="00656B8E" w:rsidRPr="00656B8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00B1D">
              <w:rPr>
                <w:rFonts w:ascii="Times New Roman" w:hAnsi="Times New Roman"/>
                <w:shd w:val="clear" w:color="auto" w:fill="FFFFFF"/>
              </w:rPr>
              <w:t>do następujących podmiotów:</w:t>
            </w:r>
          </w:p>
          <w:p w14:paraId="401D5AA4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>
              <w:rPr>
                <w:rFonts w:ascii="Times New Roman" w:hAnsi="Times New Roman"/>
                <w:color w:val="000000"/>
                <w:spacing w:val="-2"/>
              </w:rPr>
              <w:t>diagnostyki laboratoryjnej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12B0C3C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>
              <w:rPr>
                <w:rFonts w:ascii="Times New Roman" w:hAnsi="Times New Roman"/>
                <w:color w:val="000000"/>
                <w:spacing w:val="-2"/>
              </w:rPr>
              <w:t>genetyki klinicznej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B813EA7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>
              <w:rPr>
                <w:rFonts w:ascii="Times New Roman" w:hAnsi="Times New Roman"/>
                <w:color w:val="000000"/>
                <w:spacing w:val="-2"/>
              </w:rPr>
              <w:t>laboratoryjnej genetyki medycznej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84D52E1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>
              <w:rPr>
                <w:rFonts w:ascii="Times New Roman" w:hAnsi="Times New Roman"/>
                <w:color w:val="000000"/>
                <w:spacing w:val="-2"/>
              </w:rPr>
              <w:t>neonatologii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9713CC8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>konsultanta krajowego w dziedzinie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pediatrii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835A397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>
              <w:rPr>
                <w:rFonts w:ascii="Times New Roman" w:hAnsi="Times New Roman"/>
                <w:color w:val="000000"/>
                <w:spacing w:val="-2"/>
              </w:rPr>
              <w:t>perinatologii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CD1B703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>
              <w:rPr>
                <w:rFonts w:ascii="Times New Roman" w:hAnsi="Times New Roman"/>
                <w:color w:val="000000"/>
                <w:spacing w:val="-2"/>
              </w:rPr>
              <w:t>położnictwa i ginekologii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63A39D5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22C96012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Fizjoterapeutów;</w:t>
            </w:r>
          </w:p>
          <w:p w14:paraId="22775527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570A7F00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8B707EE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15AD0AAB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Przedsiębiorców Polskich;</w:t>
            </w:r>
          </w:p>
          <w:p w14:paraId="2A7EEC75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62421008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1B6DE058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NSZZ Solidarność;</w:t>
            </w:r>
          </w:p>
          <w:p w14:paraId="614456D9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15C4BC98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Lekarzy;</w:t>
            </w:r>
          </w:p>
          <w:p w14:paraId="3783CD10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565EC158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Pracodawców Medycyny Prywatnej;</w:t>
            </w:r>
          </w:p>
          <w:p w14:paraId="0C2C2157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Pracodawców RP;</w:t>
            </w:r>
          </w:p>
          <w:p w14:paraId="1407CE51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 STOMOZ;</w:t>
            </w:r>
          </w:p>
          <w:p w14:paraId="0A82A663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Stowarzyszenia Szpitali Prywatnych;</w:t>
            </w:r>
          </w:p>
          <w:p w14:paraId="5135D6D7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197FDCC3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5944D278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721E3E4B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Pacjentów Polskich;</w:t>
            </w:r>
          </w:p>
          <w:p w14:paraId="0D48B25E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3419">
              <w:rPr>
                <w:rFonts w:ascii="Times New Roman" w:hAnsi="Times New Roman"/>
                <w:color w:val="000000"/>
                <w:spacing w:val="-2"/>
              </w:rPr>
              <w:t>Fundacj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4B3419">
              <w:rPr>
                <w:rFonts w:ascii="Times New Roman" w:hAnsi="Times New Roman"/>
                <w:color w:val="000000"/>
                <w:spacing w:val="-2"/>
              </w:rPr>
              <w:t xml:space="preserve"> Rodzić po Ludzku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8EF8203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Instytut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Praw Pacjenta i Edukacji Zdrowotnej;</w:t>
            </w:r>
          </w:p>
          <w:p w14:paraId="575B79F7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Obywatelskie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– Dla Dobra Pacjenta;</w:t>
            </w:r>
          </w:p>
          <w:p w14:paraId="6B62E081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12C2D">
              <w:rPr>
                <w:rFonts w:ascii="Times New Roman" w:hAnsi="Times New Roman"/>
                <w:color w:val="000000"/>
                <w:spacing w:val="-2"/>
              </w:rPr>
              <w:t>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F12C2D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F12C2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Ginekologów i Położników;</w:t>
            </w:r>
          </w:p>
          <w:p w14:paraId="4B4BA4A8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Polskiego Towarzystwa Medycyny Perinatalnej;</w:t>
            </w:r>
          </w:p>
          <w:p w14:paraId="2FF89B2C" w14:textId="77777777" w:rsidR="00AC4932" w:rsidRPr="00714BF4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14BF4">
              <w:rPr>
                <w:rFonts w:ascii="Times New Roman" w:hAnsi="Times New Roman"/>
                <w:color w:val="000000"/>
                <w:spacing w:val="-2"/>
              </w:rPr>
              <w:t>Polskiego Towarzystwa Medycyny Rozrodu i Embriologii;</w:t>
            </w:r>
          </w:p>
          <w:p w14:paraId="6F65AE2A" w14:textId="77777777" w:rsidR="00AC4932" w:rsidRPr="00A63441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Stowarzyszenia na Rzecz Rozwoju Perinatologii;</w:t>
            </w:r>
          </w:p>
          <w:p w14:paraId="2AD77087" w14:textId="77777777" w:rsidR="00AC4932" w:rsidRPr="00A63441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9163A7">
              <w:rPr>
                <w:rFonts w:ascii="Times New Roman" w:hAnsi="Times New Roman"/>
                <w:color w:val="000000"/>
                <w:spacing w:val="-2"/>
              </w:rPr>
              <w:t>Primum</w:t>
            </w:r>
            <w:proofErr w:type="spellEnd"/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Non </w:t>
            </w:r>
            <w:proofErr w:type="spellStart"/>
            <w:r w:rsidRPr="009163A7">
              <w:rPr>
                <w:rFonts w:ascii="Times New Roman" w:hAnsi="Times New Roman"/>
                <w:color w:val="000000"/>
                <w:spacing w:val="-2"/>
              </w:rPr>
              <w:t>Nocere</w:t>
            </w:r>
            <w:proofErr w:type="spellEnd"/>
            <w:r w:rsidRPr="009163A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095BD94" w14:textId="77777777" w:rsidR="00AC4932" w:rsidRPr="0072623B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5E36">
              <w:rPr>
                <w:rFonts w:ascii="Times New Roman" w:hAnsi="Times New Roman"/>
                <w:color w:val="000000"/>
                <w:spacing w:val="-2"/>
              </w:rPr>
              <w:t>Instytut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75E36">
              <w:rPr>
                <w:rFonts w:ascii="Times New Roman" w:hAnsi="Times New Roman"/>
                <w:color w:val="000000"/>
                <w:spacing w:val="-2"/>
              </w:rPr>
              <w:t xml:space="preserve"> Matki i Dziecka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B96BC72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57CB">
              <w:rPr>
                <w:rFonts w:ascii="Times New Roman" w:hAnsi="Times New Roman"/>
                <w:color w:val="000000"/>
                <w:spacing w:val="-2"/>
              </w:rPr>
              <w:t>Narodow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0857CB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0857CB">
              <w:rPr>
                <w:rFonts w:ascii="Times New Roman" w:hAnsi="Times New Roman"/>
                <w:color w:val="000000"/>
                <w:spacing w:val="-2"/>
              </w:rPr>
              <w:t xml:space="preserve"> Kardiologii im. Stefana kardynała Wyszyńskiego – Państwow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0857CB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0857CB">
              <w:rPr>
                <w:rFonts w:ascii="Times New Roman" w:hAnsi="Times New Roman"/>
                <w:color w:val="000000"/>
                <w:spacing w:val="-2"/>
              </w:rPr>
              <w:t xml:space="preserve"> Badawcz</w:t>
            </w:r>
            <w:r>
              <w:rPr>
                <w:rFonts w:ascii="Times New Roman" w:hAnsi="Times New Roman"/>
                <w:color w:val="000000"/>
                <w:spacing w:val="-2"/>
              </w:rPr>
              <w:t>ego;</w:t>
            </w:r>
          </w:p>
          <w:p w14:paraId="00C8278D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Narodow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Onkologii im. Marii Skłodowskiej-Curie – Państwow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Badawcz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9A2004D" w14:textId="77777777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Narodow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Zdrowia Publicznego – Państwow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Badawcz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6F246AA" w14:textId="4DFAD68C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Specjalistyczne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Centrum Medyczne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im</w:t>
            </w:r>
            <w:r w:rsidR="00D35F76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św. 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Jana Pawła II S.A. w Polanicy-Zdroju;</w:t>
            </w:r>
          </w:p>
          <w:p w14:paraId="0DFD9974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Prezesa Agencji Oceny Technologii Medycznych i Taryfikacji;</w:t>
            </w:r>
          </w:p>
          <w:p w14:paraId="54F4AC44" w14:textId="485EBB4F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Prezesa Narodowego Funduszu Zdrowia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817E3A" w14:textId="637E5041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Prezesa 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Urz</w:t>
            </w:r>
            <w:r>
              <w:rPr>
                <w:rFonts w:ascii="Times New Roman" w:hAnsi="Times New Roman"/>
                <w:color w:val="000000"/>
                <w:spacing w:val="-2"/>
              </w:rPr>
              <w:t>ędu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Ochrony Danych Osobowych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7D44287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Prezesa Urzędu Ochrony Konkurencji i Konsumentów;</w:t>
            </w:r>
          </w:p>
          <w:p w14:paraId="7508E525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Prezesa Urzędu Rejestracji Produktów Leczniczych, Wyrobów Medycznych i Produktów Biobójczych;</w:t>
            </w:r>
          </w:p>
          <w:p w14:paraId="714BADCE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Prokuratori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Generaln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7F57B14B" w14:textId="77777777" w:rsidR="00AC4932" w:rsidRPr="009163A7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Rzecznika Praw Obywatelskich; </w:t>
            </w:r>
          </w:p>
          <w:p w14:paraId="62397504" w14:textId="5CEB53F3" w:rsidR="00AC4932" w:rsidRDefault="00AC4932" w:rsidP="008D59D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Rzecznika Praw Pacjenta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DA398D7" w14:textId="4217A0E6" w:rsidR="00384B4B" w:rsidRPr="00D245C9" w:rsidRDefault="00384B4B" w:rsidP="00D245C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315310E4" w14:textId="77777777" w:rsidR="00656B8E" w:rsidRDefault="00384B4B" w:rsidP="00656B8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Projekt rozporządzenia zosta</w:t>
            </w:r>
            <w:r w:rsidR="003A6150">
              <w:rPr>
                <w:rFonts w:ascii="Times New Roman" w:hAnsi="Times New Roman"/>
                <w:shd w:val="clear" w:color="auto" w:fill="FFFFFF"/>
              </w:rPr>
              <w:t>nie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z art. 5 ustawy z dnia 7 lipca 2005 r. o działalności lobbingowej w procesie stanowienia prawa (Dz. U. z 2017 r. poz. 248) oraz w</w:t>
            </w:r>
            <w:r w:rsidR="0051343C">
              <w:rPr>
                <w:rFonts w:ascii="Times New Roman" w:hAnsi="Times New Roman"/>
                <w:shd w:val="clear" w:color="auto" w:fill="FFFFFF"/>
              </w:rPr>
              <w:t> </w:t>
            </w:r>
            <w:r w:rsidRPr="001E68F7">
              <w:rPr>
                <w:rFonts w:ascii="Times New Roman" w:hAnsi="Times New Roman"/>
                <w:shd w:val="clear" w:color="auto" w:fill="FFFFFF"/>
              </w:rPr>
              <w:t>Biuletynie Informacji Publicznej Rządowego Centrum Legislacji, zgodnie z § 52 uchwały nr 190 Rady Ministrów z dnia 29 października 2013 r. – Regulamin pracy Rady Ministrów (M.P. z 20</w:t>
            </w:r>
            <w:r w:rsidR="00764F8D">
              <w:rPr>
                <w:rFonts w:ascii="Times New Roman" w:hAnsi="Times New Roman"/>
                <w:shd w:val="clear" w:color="auto" w:fill="FFFFFF"/>
              </w:rPr>
              <w:t>22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r. poz. </w:t>
            </w:r>
            <w:r w:rsidR="00764F8D">
              <w:rPr>
                <w:rFonts w:ascii="Times New Roman" w:hAnsi="Times New Roman"/>
                <w:shd w:val="clear" w:color="auto" w:fill="FFFFFF"/>
              </w:rPr>
              <w:t>348</w:t>
            </w:r>
            <w:r w:rsidRPr="001E68F7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652D5FBF" w14:textId="77777777" w:rsidR="00755290" w:rsidRDefault="00755290" w:rsidP="00656B8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482B3929" w14:textId="0FAD426E" w:rsidR="00384B4B" w:rsidRDefault="00656B8E" w:rsidP="00656B8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56B8E">
              <w:rPr>
                <w:rFonts w:ascii="Times New Roman" w:hAnsi="Times New Roman"/>
                <w:shd w:val="clear" w:color="auto" w:fill="FFFFFF"/>
              </w:rPr>
              <w:t xml:space="preserve">Za skróceniem terminu konsultacji publicznych i opiniowania przemawia </w:t>
            </w:r>
            <w:r w:rsidR="003D0445">
              <w:rPr>
                <w:rFonts w:ascii="Times New Roman" w:hAnsi="Times New Roman"/>
                <w:shd w:val="clear" w:color="auto" w:fill="FFFFFF"/>
              </w:rPr>
              <w:t xml:space="preserve">pilna </w:t>
            </w:r>
            <w:r w:rsidRPr="00656B8E">
              <w:rPr>
                <w:rFonts w:ascii="Times New Roman" w:hAnsi="Times New Roman"/>
                <w:shd w:val="clear" w:color="auto" w:fill="FFFFFF"/>
              </w:rPr>
              <w:t xml:space="preserve">konieczność poprawy dostępu do diagnostyki </w:t>
            </w:r>
            <w:r w:rsidR="007A3CB8">
              <w:rPr>
                <w:rFonts w:ascii="Times New Roman" w:hAnsi="Times New Roman"/>
                <w:shd w:val="clear" w:color="auto" w:fill="FFFFFF"/>
              </w:rPr>
              <w:t xml:space="preserve">dzieci </w:t>
            </w:r>
            <w:r w:rsidR="00D50EC6">
              <w:rPr>
                <w:rFonts w:ascii="Times New Roman" w:hAnsi="Times New Roman"/>
                <w:shd w:val="clear" w:color="auto" w:fill="FFFFFF"/>
              </w:rPr>
              <w:t>przed nar</w:t>
            </w:r>
            <w:r w:rsidR="007A3CB8">
              <w:rPr>
                <w:rFonts w:ascii="Times New Roman" w:hAnsi="Times New Roman"/>
                <w:shd w:val="clear" w:color="auto" w:fill="FFFFFF"/>
              </w:rPr>
              <w:t>odz</w:t>
            </w:r>
            <w:r w:rsidR="00D50EC6">
              <w:rPr>
                <w:rFonts w:ascii="Times New Roman" w:hAnsi="Times New Roman"/>
                <w:shd w:val="clear" w:color="auto" w:fill="FFFFFF"/>
              </w:rPr>
              <w:t>inami</w:t>
            </w:r>
            <w:r w:rsidRPr="00656B8E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56B8E">
              <w:rPr>
                <w:rFonts w:ascii="Times New Roman" w:hAnsi="Times New Roman"/>
                <w:shd w:val="clear" w:color="auto" w:fill="FFFFFF"/>
              </w:rPr>
              <w:t>Usunięcie kryteriów kwalifikacji do Programu badań prenatalnych spowoduje zwiększenie dostępu do badań prenatalnych</w:t>
            </w:r>
            <w:r w:rsidR="007A3CB8">
              <w:rPr>
                <w:rFonts w:ascii="Times New Roman" w:hAnsi="Times New Roman"/>
                <w:shd w:val="clear" w:color="auto" w:fill="FFFFFF"/>
              </w:rPr>
              <w:t>,</w:t>
            </w:r>
            <w:r w:rsidRPr="00656B8E">
              <w:rPr>
                <w:rFonts w:ascii="Times New Roman" w:hAnsi="Times New Roman"/>
                <w:shd w:val="clear" w:color="auto" w:fill="FFFFFF"/>
              </w:rPr>
              <w:t xml:space="preserve"> które umożliwiają wczesne wykrycie wad płodu oraz ich diagnostykę we wczesnym okresie ciąży oraz, o ile to możliwe, podjęcie leczenia jeszcze w okresie płodowym.</w:t>
            </w:r>
          </w:p>
          <w:p w14:paraId="65CC88FB" w14:textId="77777777" w:rsidR="00755290" w:rsidRPr="001E68F7" w:rsidRDefault="00755290" w:rsidP="00656B8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299BBDD9" w14:textId="274C81EC" w:rsidR="00875D69" w:rsidRPr="00875D69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lastRenderedPageBreak/>
              <w:t>Wyniki konsultacji publicznych i opiniowania zosta</w:t>
            </w:r>
            <w:r w:rsidR="004A7ACB">
              <w:rPr>
                <w:rFonts w:ascii="Times New Roman" w:hAnsi="Times New Roman"/>
                <w:spacing w:val="-2"/>
              </w:rPr>
              <w:t>ną</w:t>
            </w:r>
            <w:r w:rsidRPr="001E68F7">
              <w:rPr>
                <w:rFonts w:ascii="Times New Roman" w:hAnsi="Times New Roman"/>
                <w:spacing w:val="-2"/>
              </w:rPr>
              <w:t xml:space="preserve"> omówione w raporcie, stanowiącym załącznik do </w:t>
            </w:r>
            <w:r w:rsidR="00656B8E">
              <w:rPr>
                <w:rFonts w:ascii="Times New Roman" w:hAnsi="Times New Roman"/>
                <w:spacing w:val="-2"/>
              </w:rPr>
              <w:t>niniejszej O</w:t>
            </w:r>
            <w:r w:rsidR="00656B8E" w:rsidRPr="001E68F7">
              <w:rPr>
                <w:rFonts w:ascii="Times New Roman" w:hAnsi="Times New Roman"/>
                <w:spacing w:val="-2"/>
              </w:rPr>
              <w:t xml:space="preserve">ceny </w:t>
            </w:r>
            <w:r w:rsidR="00656B8E">
              <w:rPr>
                <w:rFonts w:ascii="Times New Roman" w:hAnsi="Times New Roman"/>
                <w:spacing w:val="-2"/>
              </w:rPr>
              <w:t>S</w:t>
            </w:r>
            <w:r w:rsidR="00656B8E" w:rsidRPr="001E68F7">
              <w:rPr>
                <w:rFonts w:ascii="Times New Roman" w:hAnsi="Times New Roman"/>
                <w:spacing w:val="-2"/>
              </w:rPr>
              <w:t xml:space="preserve">kutków </w:t>
            </w:r>
            <w:r w:rsidR="00656B8E">
              <w:rPr>
                <w:rFonts w:ascii="Times New Roman" w:hAnsi="Times New Roman"/>
                <w:spacing w:val="-2"/>
              </w:rPr>
              <w:t>R</w:t>
            </w:r>
            <w:r w:rsidR="00656B8E" w:rsidRPr="001E68F7">
              <w:rPr>
                <w:rFonts w:ascii="Times New Roman" w:hAnsi="Times New Roman"/>
                <w:spacing w:val="-2"/>
              </w:rPr>
              <w:t>egulacji</w:t>
            </w:r>
            <w:r w:rsidR="001519F4" w:rsidRPr="001E68F7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D0D8F" w:rsidRPr="001E68F7" w14:paraId="0CBFA1A8" w14:textId="77777777" w:rsidTr="00D16DD1">
        <w:trPr>
          <w:trHeight w:val="363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5A305F2A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BD0D8F" w:rsidRPr="001E68F7" w14:paraId="6E371AA6" w14:textId="77777777" w:rsidTr="00D16DD1">
        <w:trPr>
          <w:trHeight w:val="142"/>
        </w:trPr>
        <w:tc>
          <w:tcPr>
            <w:tcW w:w="2439" w:type="dxa"/>
            <w:gridSpan w:val="2"/>
            <w:vMerge w:val="restart"/>
            <w:shd w:val="clear" w:color="auto" w:fill="FFFFFF"/>
            <w:vAlign w:val="center"/>
          </w:tcPr>
          <w:p w14:paraId="2EA963E1" w14:textId="53618E0D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(ceny stałe z 202</w:t>
            </w:r>
            <w:r w:rsidR="001A0B2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r.)</w:t>
            </w:r>
          </w:p>
        </w:tc>
        <w:tc>
          <w:tcPr>
            <w:tcW w:w="8647" w:type="dxa"/>
            <w:gridSpan w:val="23"/>
            <w:shd w:val="clear" w:color="auto" w:fill="FFFFFF"/>
            <w:vAlign w:val="center"/>
          </w:tcPr>
          <w:p w14:paraId="33696A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BD0D8F" w:rsidRPr="001E68F7" w14:paraId="7C189FC5" w14:textId="77777777" w:rsidTr="002F211B">
        <w:trPr>
          <w:trHeight w:val="142"/>
        </w:trPr>
        <w:tc>
          <w:tcPr>
            <w:tcW w:w="2439" w:type="dxa"/>
            <w:gridSpan w:val="2"/>
            <w:vMerge/>
            <w:shd w:val="clear" w:color="auto" w:fill="FFFFFF"/>
            <w:vAlign w:val="center"/>
          </w:tcPr>
          <w:p w14:paraId="5306406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E076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26154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430B1B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B1F6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CD548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95933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0E29B9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46EDA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BD0D8F" w:rsidRPr="001E68F7" w14:paraId="615A02B1" w14:textId="77777777" w:rsidTr="002F211B">
        <w:trPr>
          <w:trHeight w:val="32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7B642E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32496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236BC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4D7ABF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0EC74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A2CEA5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B53690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9F06D9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0A834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84DE08E" w14:textId="77777777" w:rsidTr="002F211B">
        <w:trPr>
          <w:trHeight w:val="32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52635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D919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BFCD7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58585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E4D7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CE94DD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F4D6D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87568D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A7D2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BD0D8F" w:rsidRPr="001E68F7" w14:paraId="60E9FE3B" w14:textId="77777777" w:rsidTr="002F211B">
        <w:trPr>
          <w:trHeight w:val="344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4EAC6D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E8C7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295FD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85A85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3BD853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AD121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4A20A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2779E58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D6077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C522633" w14:textId="77777777" w:rsidTr="002F211B">
        <w:trPr>
          <w:trHeight w:val="344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0BCB03A4" w14:textId="5F988CC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5754C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5BA0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BF028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75768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4BE79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3E89741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3A376C4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9F32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0BEA06D2" w14:textId="77777777" w:rsidTr="002F211B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6905E0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74E56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9066C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52F5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13D2355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25444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E9BA0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5372EBA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D628D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EA0D4B6" w14:textId="77777777" w:rsidTr="002F211B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C144EA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1B190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9B83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292F11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A38514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93F5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0A90926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674CF3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DCB8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35D43EC" w14:textId="77777777" w:rsidTr="002F211B">
        <w:trPr>
          <w:trHeight w:val="35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6B0D1BA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0EA39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2E1EB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58B182A1" w14:textId="77777777" w:rsidTr="002F211B">
        <w:trPr>
          <w:trHeight w:val="35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0C038EE0" w14:textId="229DE2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3FE456A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4B6A163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0DB1E894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18BE666E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0D83EA4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0E91E17B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4245E5E9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06F363B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7AD98C9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7112E00D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7C2A38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EF76DF" w14:textId="1E8B7650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8750E" w14:textId="44A4606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CD985" w14:textId="6A800FE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0D8F" w:rsidRPr="001E68F7" w14:paraId="57CBE8FE" w14:textId="77777777" w:rsidTr="002F211B">
        <w:trPr>
          <w:trHeight w:val="36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CED46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C90BF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3AB20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7DA8E5D" w14:textId="77777777" w:rsidTr="002F211B">
        <w:trPr>
          <w:trHeight w:val="36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44B63DB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69703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01C6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FC8B5C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1F29B3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339537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C8699F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2CD796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2BEA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27FF8D1" w14:textId="77777777" w:rsidTr="002F211B">
        <w:trPr>
          <w:trHeight w:val="357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369456D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4FD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E5C4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E6D522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2F5681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A68CC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E34E1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DC672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3ED50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434A0B28" w14:textId="77777777" w:rsidTr="002F211B">
        <w:trPr>
          <w:trHeight w:val="69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2791A1B" w14:textId="370E8F4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 xml:space="preserve"> 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EB4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607A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4C4BC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A825FD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6A3BFB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574675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45279E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282C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933EB5B" w14:textId="77777777" w:rsidTr="00D16DD1">
        <w:trPr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Źródła finansowania </w:t>
            </w:r>
          </w:p>
        </w:tc>
        <w:tc>
          <w:tcPr>
            <w:tcW w:w="9497" w:type="dxa"/>
            <w:gridSpan w:val="24"/>
            <w:shd w:val="clear" w:color="auto" w:fill="FFFFFF"/>
            <w:vAlign w:val="center"/>
          </w:tcPr>
          <w:p w14:paraId="20EAC27D" w14:textId="4B12347E" w:rsidR="00AE3A9B" w:rsidRPr="00235E56" w:rsidRDefault="00AE3A9B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3A9B">
              <w:rPr>
                <w:rFonts w:ascii="Times New Roman" w:eastAsia="Calibri" w:hAnsi="Times New Roman" w:cs="Times New Roman"/>
              </w:rPr>
              <w:t>Projektowana zmiana nie będzie miała wpływu na budżet państwa i budżety jednostek samorządu terytorialnego. Środki finansowe zostaną pokryte z planu finansowego NFZ poz. B2 – Koszty świadczeń opieki zdrowotnej B2.</w:t>
            </w:r>
            <w:r w:rsidR="00A13C36">
              <w:rPr>
                <w:rFonts w:ascii="Times New Roman" w:eastAsia="Calibri" w:hAnsi="Times New Roman" w:cs="Times New Roman"/>
              </w:rPr>
              <w:t>11</w:t>
            </w:r>
            <w:r w:rsidRPr="00AE3A9B">
              <w:rPr>
                <w:rFonts w:ascii="Times New Roman" w:eastAsia="Calibri" w:hAnsi="Times New Roman" w:cs="Times New Roman"/>
              </w:rPr>
              <w:t xml:space="preserve"> </w:t>
            </w:r>
            <w:r w:rsidR="00A13C36" w:rsidRPr="00A13C36">
              <w:rPr>
                <w:rFonts w:ascii="Times New Roman" w:eastAsia="Calibri" w:hAnsi="Times New Roman" w:cs="Times New Roman"/>
              </w:rPr>
              <w:t>koszty profilaktycznych programów zdrowotnych finansowanych ze środków własnych NFZ</w:t>
            </w:r>
            <w:r w:rsidRPr="00AE3A9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D0D8F" w:rsidRPr="001E68F7" w14:paraId="761176B9" w14:textId="77777777" w:rsidTr="00BD0D8F">
        <w:trPr>
          <w:trHeight w:val="1528"/>
        </w:trPr>
        <w:tc>
          <w:tcPr>
            <w:tcW w:w="1589" w:type="dxa"/>
            <w:shd w:val="clear" w:color="auto" w:fill="FFFFFF"/>
          </w:tcPr>
          <w:p w14:paraId="07D8F9D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497" w:type="dxa"/>
            <w:gridSpan w:val="24"/>
            <w:shd w:val="clear" w:color="auto" w:fill="FFFFFF"/>
          </w:tcPr>
          <w:p w14:paraId="29F6A47F" w14:textId="0BFAB956" w:rsidR="00A211B3" w:rsidRPr="00975012" w:rsidRDefault="0085615E" w:rsidP="0091701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_Hlk151451722"/>
            <w:r>
              <w:rPr>
                <w:rFonts w:ascii="Times New Roman" w:hAnsi="Times New Roman" w:cs="Times New Roman"/>
              </w:rPr>
              <w:t>Kosz</w:t>
            </w:r>
            <w:r w:rsidR="00A211B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wprowadzanych zmian w 2024 r.</w:t>
            </w:r>
            <w:bookmarkEnd w:id="3"/>
            <w:r w:rsidR="009D49E1">
              <w:rPr>
                <w:rFonts w:ascii="Times New Roman" w:hAnsi="Times New Roman" w:cs="Times New Roman"/>
              </w:rPr>
              <w:t xml:space="preserve"> wyniesie około </w:t>
            </w:r>
            <w:r w:rsidR="009D49E1" w:rsidRPr="009D49E1">
              <w:rPr>
                <w:rFonts w:ascii="Times New Roman" w:hAnsi="Times New Roman" w:cs="Times New Roman"/>
              </w:rPr>
              <w:t>148 348 472 zł</w:t>
            </w:r>
            <w:r w:rsidR="00A67C57">
              <w:rPr>
                <w:rFonts w:ascii="Times New Roman" w:hAnsi="Times New Roman" w:cs="Times New Roman"/>
              </w:rPr>
              <w:t xml:space="preserve">. </w:t>
            </w:r>
            <w:r w:rsidR="00A67C57" w:rsidRPr="00A67C57">
              <w:rPr>
                <w:rFonts w:ascii="Times New Roman" w:hAnsi="Times New Roman" w:cs="Times New Roman"/>
              </w:rPr>
              <w:t>Wyliczenie zostało oparte o dane z opracowania analitycznego A</w:t>
            </w:r>
            <w:r w:rsidR="00E16F0A">
              <w:rPr>
                <w:rFonts w:ascii="Times New Roman" w:hAnsi="Times New Roman" w:cs="Times New Roman"/>
              </w:rPr>
              <w:t xml:space="preserve">gencji </w:t>
            </w:r>
            <w:r w:rsidR="00A67C57" w:rsidRPr="00A67C57">
              <w:rPr>
                <w:rFonts w:ascii="Times New Roman" w:hAnsi="Times New Roman" w:cs="Times New Roman"/>
              </w:rPr>
              <w:t>O</w:t>
            </w:r>
            <w:r w:rsidR="00E16F0A">
              <w:rPr>
                <w:rFonts w:ascii="Times New Roman" w:hAnsi="Times New Roman" w:cs="Times New Roman"/>
              </w:rPr>
              <w:t xml:space="preserve">ceny </w:t>
            </w:r>
            <w:r w:rsidR="00A67C57" w:rsidRPr="00A67C57">
              <w:rPr>
                <w:rFonts w:ascii="Times New Roman" w:hAnsi="Times New Roman" w:cs="Times New Roman"/>
              </w:rPr>
              <w:t>T</w:t>
            </w:r>
            <w:r w:rsidR="00E16F0A">
              <w:rPr>
                <w:rFonts w:ascii="Times New Roman" w:hAnsi="Times New Roman" w:cs="Times New Roman"/>
              </w:rPr>
              <w:t xml:space="preserve">echnologii </w:t>
            </w:r>
            <w:r w:rsidR="00A67C57" w:rsidRPr="00A67C57">
              <w:rPr>
                <w:rFonts w:ascii="Times New Roman" w:hAnsi="Times New Roman" w:cs="Times New Roman"/>
              </w:rPr>
              <w:t>M</w:t>
            </w:r>
            <w:r w:rsidR="00E16F0A">
              <w:rPr>
                <w:rFonts w:ascii="Times New Roman" w:hAnsi="Times New Roman" w:cs="Times New Roman"/>
              </w:rPr>
              <w:t xml:space="preserve">edycznych </w:t>
            </w:r>
            <w:r w:rsidR="00A67C57" w:rsidRPr="00A67C57">
              <w:rPr>
                <w:rFonts w:ascii="Times New Roman" w:hAnsi="Times New Roman" w:cs="Times New Roman"/>
              </w:rPr>
              <w:t>i</w:t>
            </w:r>
            <w:r w:rsidR="00E16F0A">
              <w:rPr>
                <w:rFonts w:ascii="Times New Roman" w:hAnsi="Times New Roman" w:cs="Times New Roman"/>
              </w:rPr>
              <w:t xml:space="preserve"> </w:t>
            </w:r>
            <w:r w:rsidR="00A67C57" w:rsidRPr="00A67C57">
              <w:rPr>
                <w:rFonts w:ascii="Times New Roman" w:hAnsi="Times New Roman" w:cs="Times New Roman"/>
              </w:rPr>
              <w:t>T</w:t>
            </w:r>
            <w:r w:rsidR="00E16F0A">
              <w:rPr>
                <w:rFonts w:ascii="Times New Roman" w:hAnsi="Times New Roman" w:cs="Times New Roman"/>
              </w:rPr>
              <w:t>aryfikacji</w:t>
            </w:r>
            <w:r w:rsidR="00A67C57">
              <w:rPr>
                <w:rFonts w:ascii="Times New Roman" w:hAnsi="Times New Roman" w:cs="Times New Roman"/>
              </w:rPr>
              <w:t xml:space="preserve"> „</w:t>
            </w:r>
            <w:r w:rsidR="00A67C57" w:rsidRPr="00A67C57">
              <w:rPr>
                <w:rFonts w:ascii="Times New Roman" w:hAnsi="Times New Roman" w:cs="Times New Roman"/>
              </w:rPr>
              <w:t>Analiza zasadności wprowadzenia propozycji zmian w zakresie programu badań prenatalnych</w:t>
            </w:r>
            <w:r w:rsidR="00A67C57">
              <w:rPr>
                <w:rFonts w:ascii="Times New Roman" w:hAnsi="Times New Roman" w:cs="Times New Roman"/>
              </w:rPr>
              <w:t>”</w:t>
            </w:r>
            <w:r w:rsidR="00B56F22">
              <w:rPr>
                <w:rFonts w:ascii="Times New Roman" w:hAnsi="Times New Roman" w:cs="Times New Roman"/>
              </w:rPr>
              <w:t xml:space="preserve"> nr </w:t>
            </w:r>
            <w:r w:rsidR="00B56F22" w:rsidRPr="00B56F22">
              <w:rPr>
                <w:rFonts w:ascii="Times New Roman" w:hAnsi="Times New Roman" w:cs="Times New Roman"/>
              </w:rPr>
              <w:t>WS.4220.25.2022</w:t>
            </w:r>
            <w:r w:rsidR="00B56F22">
              <w:rPr>
                <w:rFonts w:ascii="Times New Roman" w:hAnsi="Times New Roman" w:cs="Times New Roman"/>
              </w:rPr>
              <w:t>, data ukończenia 17 lutego 2023 r.</w:t>
            </w:r>
          </w:p>
        </w:tc>
      </w:tr>
      <w:tr w:rsidR="00BD0D8F" w:rsidRPr="001E68F7" w14:paraId="23E9E312" w14:textId="77777777" w:rsidTr="00D16DD1">
        <w:trPr>
          <w:trHeight w:val="345"/>
        </w:trPr>
        <w:tc>
          <w:tcPr>
            <w:tcW w:w="11086" w:type="dxa"/>
            <w:gridSpan w:val="25"/>
            <w:shd w:val="clear" w:color="auto" w:fill="99CCFF"/>
          </w:tcPr>
          <w:p w14:paraId="17048834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D0D8F" w:rsidRPr="001E68F7" w14:paraId="79959F7C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FFFFFF"/>
          </w:tcPr>
          <w:p w14:paraId="5EB8FB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BD0D8F" w:rsidRPr="001E68F7" w14:paraId="1457FF22" w14:textId="77777777" w:rsidTr="00D16DD1">
        <w:trPr>
          <w:trHeight w:val="142"/>
        </w:trPr>
        <w:tc>
          <w:tcPr>
            <w:tcW w:w="3889" w:type="dxa"/>
            <w:gridSpan w:val="7"/>
            <w:shd w:val="clear" w:color="auto" w:fill="FFFFFF"/>
            <w:vAlign w:val="center"/>
          </w:tcPr>
          <w:p w14:paraId="7C1462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263C23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81EC08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ECBC6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22A0F80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1E68F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BD0D8F" w:rsidRPr="001E68F7" w14:paraId="3E7D9E57" w14:textId="77777777" w:rsidTr="00D16DD1">
        <w:trPr>
          <w:trHeight w:val="142"/>
        </w:trPr>
        <w:tc>
          <w:tcPr>
            <w:tcW w:w="1596" w:type="dxa"/>
            <w:vMerge w:val="restart"/>
            <w:shd w:val="clear" w:color="auto" w:fill="FFFFFF"/>
            <w:vAlign w:val="center"/>
          </w:tcPr>
          <w:p w14:paraId="0EE385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pieniężnym</w:t>
            </w:r>
          </w:p>
          <w:p w14:paraId="4997C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5C070659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ceny stałe z </w:t>
            </w:r>
            <w:r w:rsidR="00777BAB">
              <w:rPr>
                <w:rFonts w:ascii="Times New Roman" w:eastAsia="Calibri" w:hAnsi="Times New Roman" w:cs="Times New Roman"/>
                <w:spacing w:val="-2"/>
              </w:rPr>
              <w:t>…</w:t>
            </w:r>
            <w:r w:rsidR="00781EBE">
              <w:rPr>
                <w:rFonts w:ascii="Times New Roman" w:eastAsia="Calibri" w:hAnsi="Times New Roman" w:cs="Times New Roman"/>
                <w:spacing w:val="-2"/>
              </w:rPr>
              <w:t>…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30CD4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6D4015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E450AB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9BA49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682715D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01CBC348" w14:textId="77777777" w:rsidTr="00D16DD1">
        <w:trPr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7430432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A8CF6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2071299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0562B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4CCC1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551781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50568788" w14:textId="77777777" w:rsidTr="00D16DD1">
        <w:trPr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010F4E7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342E72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241F00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474D8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1A184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0169BB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2988773A" w14:textId="77777777" w:rsidTr="00D16DD1">
        <w:trPr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229A41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2BC8514" w14:textId="7925BEA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5362D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A8C0C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9C1AD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1C349D6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4FC35139" w14:textId="77777777" w:rsidTr="00D16DD1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352C5FB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22D3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197" w:type="dxa"/>
            <w:gridSpan w:val="18"/>
            <w:shd w:val="clear" w:color="auto" w:fill="FFFFFF"/>
          </w:tcPr>
          <w:p w14:paraId="220C5FC8" w14:textId="3C39053C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dużych przedsiębiorstw. 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  </w:t>
            </w:r>
          </w:p>
        </w:tc>
      </w:tr>
      <w:tr w:rsidR="00BD0D8F" w:rsidRPr="001E68F7" w14:paraId="33C3405A" w14:textId="77777777" w:rsidTr="00D16DD1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30FE22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4DCD2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197" w:type="dxa"/>
            <w:gridSpan w:val="18"/>
            <w:shd w:val="clear" w:color="auto" w:fill="FFFFFF"/>
          </w:tcPr>
          <w:p w14:paraId="2F784386" w14:textId="7BB07EC1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mikro-, małych i średnich przedsiębiorstw. </w:t>
            </w:r>
          </w:p>
        </w:tc>
      </w:tr>
      <w:tr w:rsidR="00BD0D8F" w:rsidRPr="001E68F7" w14:paraId="4FE21793" w14:textId="77777777" w:rsidTr="00D16DD1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648879E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B9C8D8" w14:textId="77777777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197" w:type="dxa"/>
            <w:gridSpan w:val="18"/>
            <w:shd w:val="clear" w:color="auto" w:fill="FFFFFF"/>
          </w:tcPr>
          <w:p w14:paraId="3206F497" w14:textId="0D2F5009" w:rsidR="00BD0D8F" w:rsidRPr="00D527A0" w:rsidRDefault="00F53D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DC3">
              <w:rPr>
                <w:rFonts w:ascii="Times New Roman" w:hAnsi="Times New Roman" w:cs="Times New Roman"/>
              </w:rPr>
              <w:t>Projekt rozporządzenia będzie miał pozytywny wpływ na rodziny, obywateli i</w:t>
            </w:r>
            <w:r w:rsidR="007063BC">
              <w:rPr>
                <w:rFonts w:ascii="Times New Roman" w:hAnsi="Times New Roman" w:cs="Times New Roman"/>
              </w:rPr>
              <w:t> </w:t>
            </w:r>
            <w:r w:rsidRPr="00F53DC3">
              <w:rPr>
                <w:rFonts w:ascii="Times New Roman" w:hAnsi="Times New Roman" w:cs="Times New Roman"/>
              </w:rPr>
              <w:t>gospodarstwa domowe przez zwiększenie dostępu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4561" w:rsidRPr="00F04561">
              <w:rPr>
                <w:rFonts w:ascii="Times New Roman" w:hAnsi="Times New Roman" w:cs="Times New Roman"/>
              </w:rPr>
              <w:t>bada</w:t>
            </w:r>
            <w:r w:rsidR="00C573E5">
              <w:rPr>
                <w:rFonts w:ascii="Times New Roman" w:hAnsi="Times New Roman" w:cs="Times New Roman"/>
              </w:rPr>
              <w:t>ń prenatalnych</w:t>
            </w:r>
            <w:r w:rsidRPr="00F53DC3">
              <w:rPr>
                <w:rFonts w:ascii="Times New Roman" w:hAnsi="Times New Roman" w:cs="Times New Roman"/>
              </w:rPr>
              <w:t>.</w:t>
            </w:r>
          </w:p>
        </w:tc>
      </w:tr>
      <w:tr w:rsidR="00BD0D8F" w:rsidRPr="001E68F7" w14:paraId="3BD9100A" w14:textId="77777777" w:rsidTr="00D16DD1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2FAF50A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4C504" w14:textId="2B4021D0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niepełnosprawn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CD2962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starsz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7197" w:type="dxa"/>
            <w:gridSpan w:val="18"/>
            <w:shd w:val="clear" w:color="auto" w:fill="FFFFFF"/>
          </w:tcPr>
          <w:p w14:paraId="78F721D0" w14:textId="718736FF" w:rsidR="00BD0D8F" w:rsidRPr="00D527A0" w:rsidRDefault="00C573E5" w:rsidP="00BD0D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C573E5">
              <w:rPr>
                <w:rFonts w:ascii="Times New Roman" w:hAnsi="Times New Roman" w:cs="Times New Roman"/>
                <w:spacing w:val="-2"/>
                <w:szCs w:val="21"/>
              </w:rPr>
              <w:t>Projekt rozporządzenia nie ma wpływu na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 xml:space="preserve"> osoby starsze.</w:t>
            </w:r>
            <w:r w:rsidRPr="00C573E5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BD0D8F" w:rsidRPr="00D527A0">
              <w:rPr>
                <w:rFonts w:ascii="Times New Roman" w:hAnsi="Times New Roman" w:cs="Times New Roman"/>
                <w:spacing w:val="-2"/>
                <w:szCs w:val="21"/>
              </w:rPr>
              <w:t>Przedmiotowa regulacja zapewni niepełnosprawny</w:t>
            </w:r>
            <w:r w:rsidR="00EE42FA">
              <w:rPr>
                <w:rFonts w:ascii="Times New Roman" w:hAnsi="Times New Roman" w:cs="Times New Roman"/>
                <w:spacing w:val="-2"/>
                <w:szCs w:val="21"/>
              </w:rPr>
              <w:t xml:space="preserve">m </w:t>
            </w:r>
            <w:r w:rsidR="002B4409">
              <w:rPr>
                <w:rFonts w:ascii="Times New Roman" w:hAnsi="Times New Roman" w:cs="Times New Roman"/>
                <w:spacing w:val="-2"/>
                <w:szCs w:val="21"/>
              </w:rPr>
              <w:t xml:space="preserve">kobietom w ciąży </w:t>
            </w:r>
            <w:r w:rsidR="00EE42FA" w:rsidRPr="00EE42FA">
              <w:rPr>
                <w:rFonts w:ascii="Times New Roman" w:hAnsi="Times New Roman" w:cs="Times New Roman"/>
                <w:spacing w:val="-2"/>
                <w:szCs w:val="21"/>
              </w:rPr>
              <w:t>dostęp do świadcze</w:t>
            </w:r>
            <w:r w:rsidR="00F04561">
              <w:rPr>
                <w:rFonts w:ascii="Times New Roman" w:hAnsi="Times New Roman" w:cs="Times New Roman"/>
                <w:spacing w:val="-2"/>
                <w:szCs w:val="21"/>
              </w:rPr>
              <w:t>nia</w:t>
            </w:r>
            <w:r w:rsidR="00EE42FA" w:rsidRPr="00EE42FA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BD0D8F" w:rsidRPr="00D527A0">
              <w:rPr>
                <w:rFonts w:ascii="Times New Roman" w:hAnsi="Times New Roman" w:cs="Times New Roman"/>
                <w:spacing w:val="-2"/>
                <w:szCs w:val="21"/>
              </w:rPr>
              <w:t>na zasadach identycznych jak w</w:t>
            </w:r>
            <w:r w:rsidR="007063BC">
              <w:rPr>
                <w:rFonts w:ascii="Times New Roman" w:hAnsi="Times New Roman" w:cs="Times New Roman"/>
                <w:spacing w:val="-2"/>
                <w:szCs w:val="21"/>
              </w:rPr>
              <w:t> </w:t>
            </w:r>
            <w:r w:rsidR="00BD0D8F" w:rsidRPr="00D527A0">
              <w:rPr>
                <w:rFonts w:ascii="Times New Roman" w:hAnsi="Times New Roman" w:cs="Times New Roman"/>
                <w:spacing w:val="-2"/>
                <w:szCs w:val="21"/>
              </w:rPr>
              <w:t>przypadku pozostałych obywateli.</w:t>
            </w:r>
          </w:p>
        </w:tc>
      </w:tr>
      <w:tr w:rsidR="00BD0D8F" w:rsidRPr="001E68F7" w14:paraId="2E7C2326" w14:textId="77777777" w:rsidTr="00D16DD1">
        <w:trPr>
          <w:trHeight w:val="142"/>
        </w:trPr>
        <w:tc>
          <w:tcPr>
            <w:tcW w:w="1596" w:type="dxa"/>
            <w:shd w:val="clear" w:color="auto" w:fill="FFFFFF"/>
          </w:tcPr>
          <w:p w14:paraId="114923A1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E8A2B7" w14:textId="50FF5E94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7" w:type="dxa"/>
            <w:gridSpan w:val="18"/>
            <w:shd w:val="clear" w:color="auto" w:fill="FFFFFF"/>
          </w:tcPr>
          <w:p w14:paraId="20B72E6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BD0D8F" w:rsidRPr="001E68F7" w14:paraId="16825A31" w14:textId="77777777" w:rsidTr="00D16DD1">
        <w:trPr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9497" w:type="dxa"/>
            <w:gridSpan w:val="24"/>
            <w:shd w:val="clear" w:color="auto" w:fill="FFFFFF"/>
            <w:vAlign w:val="center"/>
          </w:tcPr>
          <w:p w14:paraId="64B88991" w14:textId="05971F2F" w:rsidR="00BD0D8F" w:rsidRPr="001E68F7" w:rsidRDefault="00CC27FA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dotyczy.</w:t>
            </w:r>
          </w:p>
        </w:tc>
      </w:tr>
      <w:tr w:rsidR="00B46A52" w:rsidRPr="001E68F7" w14:paraId="7C390287" w14:textId="77777777" w:rsidTr="00D16DD1">
        <w:trPr>
          <w:trHeight w:val="342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21CACD77" w14:textId="11CC88F3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46A52" w:rsidRPr="001E68F7" w14:paraId="00EB11DD" w14:textId="77777777" w:rsidTr="00D16DD1">
        <w:trPr>
          <w:trHeight w:val="151"/>
        </w:trPr>
        <w:tc>
          <w:tcPr>
            <w:tcW w:w="11086" w:type="dxa"/>
            <w:gridSpan w:val="25"/>
            <w:shd w:val="clear" w:color="auto" w:fill="FFFFFF"/>
          </w:tcPr>
          <w:p w14:paraId="3222ED01" w14:textId="53880C88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46A52" w:rsidRPr="001E68F7" w14:paraId="63CC26BC" w14:textId="77777777" w:rsidTr="00D16DD1">
        <w:trPr>
          <w:trHeight w:val="737"/>
        </w:trPr>
        <w:tc>
          <w:tcPr>
            <w:tcW w:w="5111" w:type="dxa"/>
            <w:gridSpan w:val="10"/>
            <w:shd w:val="clear" w:color="auto" w:fill="FFFFFF"/>
          </w:tcPr>
          <w:p w14:paraId="5518FE3C" w14:textId="09D3DF02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5"/>
            <w:shd w:val="clear" w:color="auto" w:fill="FFFFFF"/>
          </w:tcPr>
          <w:p w14:paraId="62AD9DD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8CF25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0D2835" w14:textId="6DE84806" w:rsidR="00B46A52" w:rsidRPr="001E68F7" w:rsidRDefault="00644832" w:rsidP="00AB74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46A5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83EB7D7" w14:textId="77777777" w:rsidTr="00D16DD1">
        <w:trPr>
          <w:trHeight w:val="737"/>
        </w:trPr>
        <w:tc>
          <w:tcPr>
            <w:tcW w:w="5111" w:type="dxa"/>
            <w:gridSpan w:val="10"/>
            <w:shd w:val="clear" w:color="auto" w:fill="FFFFFF"/>
          </w:tcPr>
          <w:p w14:paraId="44E00481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199224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0861A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A0C2D9" w14:textId="3596C65E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5"/>
            <w:shd w:val="clear" w:color="auto" w:fill="FFFFFF"/>
          </w:tcPr>
          <w:p w14:paraId="0E5EA31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FA40378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226096E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2EBE14" w14:textId="7E083FCC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46A52" w:rsidRPr="001E68F7" w14:paraId="300FC22D" w14:textId="77777777" w:rsidTr="00D16DD1">
        <w:trPr>
          <w:trHeight w:val="737"/>
        </w:trPr>
        <w:tc>
          <w:tcPr>
            <w:tcW w:w="5111" w:type="dxa"/>
            <w:gridSpan w:val="10"/>
            <w:shd w:val="clear" w:color="auto" w:fill="FFFFFF"/>
          </w:tcPr>
          <w:p w14:paraId="191FA440" w14:textId="017BD03E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5"/>
            <w:shd w:val="clear" w:color="auto" w:fill="FFFFFF"/>
          </w:tcPr>
          <w:p w14:paraId="7925606D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14040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A04F51" w14:textId="031FFD87" w:rsidR="00B46A52" w:rsidRPr="00B46A52" w:rsidRDefault="0064483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46A5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1C10221" w14:textId="77777777" w:rsidTr="00D16DD1">
        <w:trPr>
          <w:trHeight w:val="320"/>
        </w:trPr>
        <w:tc>
          <w:tcPr>
            <w:tcW w:w="11086" w:type="dxa"/>
            <w:gridSpan w:val="25"/>
            <w:shd w:val="clear" w:color="auto" w:fill="FFFFFF"/>
          </w:tcPr>
          <w:p w14:paraId="6798F377" w14:textId="4B830490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B46A52" w:rsidRPr="001E68F7" w14:paraId="67B7A37A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147BAD64" w14:textId="4B058FBF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46A52" w:rsidRPr="001E68F7" w14:paraId="368C4DB1" w14:textId="77777777" w:rsidTr="00727606">
        <w:trPr>
          <w:trHeight w:val="311"/>
        </w:trPr>
        <w:tc>
          <w:tcPr>
            <w:tcW w:w="11086" w:type="dxa"/>
            <w:gridSpan w:val="25"/>
            <w:shd w:val="clear" w:color="auto" w:fill="auto"/>
          </w:tcPr>
          <w:p w14:paraId="0B076A79" w14:textId="27EEA120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na rynek pracy. </w:t>
            </w:r>
          </w:p>
        </w:tc>
      </w:tr>
      <w:tr w:rsidR="00B46A52" w:rsidRPr="001E68F7" w14:paraId="2DA1603E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3F8D5FCF" w14:textId="6601BF78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46A52" w:rsidRPr="001E68F7" w14:paraId="4E066891" w14:textId="77777777" w:rsidTr="00D16DD1">
        <w:trPr>
          <w:trHeight w:val="737"/>
        </w:trPr>
        <w:tc>
          <w:tcPr>
            <w:tcW w:w="3547" w:type="dxa"/>
            <w:gridSpan w:val="5"/>
            <w:shd w:val="clear" w:color="auto" w:fill="FFFFFF"/>
          </w:tcPr>
          <w:p w14:paraId="1B445E30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DE20CB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60270EE" w14:textId="6C9CDEEA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2"/>
            <w:shd w:val="clear" w:color="auto" w:fill="FFFFFF"/>
          </w:tcPr>
          <w:p w14:paraId="25B7E55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AE6A23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2F8CA83" w14:textId="1CE9B667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52" w:type="dxa"/>
            <w:gridSpan w:val="8"/>
            <w:shd w:val="clear" w:color="auto" w:fill="FFFFFF"/>
          </w:tcPr>
          <w:p w14:paraId="1C5C93E9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F61812" w14:textId="632CF5A2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46A52" w:rsidRPr="001E68F7" w14:paraId="3F337F36" w14:textId="77777777" w:rsidTr="00D16DD1">
        <w:trPr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49F90B45" w:rsidR="00B46A52" w:rsidRPr="001E68F7" w:rsidRDefault="00B46A52" w:rsidP="00AC3B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497" w:type="dxa"/>
            <w:gridSpan w:val="24"/>
            <w:shd w:val="clear" w:color="auto" w:fill="FFFFFF"/>
            <w:vAlign w:val="center"/>
          </w:tcPr>
          <w:p w14:paraId="317A62F8" w14:textId="370F6113" w:rsidR="00875B30" w:rsidRPr="001E68F7" w:rsidRDefault="00875B30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B30">
              <w:rPr>
                <w:rFonts w:ascii="Times New Roman" w:eastAsia="Calibri" w:hAnsi="Times New Roman" w:cs="Times New Roman"/>
              </w:rPr>
              <w:t>Projekt rozporządzenia wprowadza rozwiązania, które pozytywnie wpłyną na zdrowie świadczeniobiorców przez usprawniony dostęp do diagnostyki</w:t>
            </w:r>
            <w:r w:rsidR="00C573E5">
              <w:rPr>
                <w:rFonts w:ascii="Times New Roman" w:eastAsia="Calibri" w:hAnsi="Times New Roman" w:cs="Times New Roman"/>
              </w:rPr>
              <w:t xml:space="preserve"> </w:t>
            </w:r>
            <w:r w:rsidR="00235E56">
              <w:rPr>
                <w:rFonts w:ascii="Times New Roman" w:eastAsia="Calibri" w:hAnsi="Times New Roman" w:cs="Times New Roman"/>
              </w:rPr>
              <w:t>prenatalnej</w:t>
            </w:r>
            <w:r w:rsidR="00391B3C">
              <w:rPr>
                <w:rFonts w:ascii="Times New Roman" w:eastAsia="Calibri" w:hAnsi="Times New Roman" w:cs="Times New Roman"/>
              </w:rPr>
              <w:t xml:space="preserve">, </w:t>
            </w:r>
            <w:r w:rsidR="00391B3C" w:rsidRPr="00391B3C">
              <w:rPr>
                <w:rFonts w:ascii="Times New Roman" w:eastAsia="Calibri" w:hAnsi="Times New Roman" w:cs="Times New Roman"/>
              </w:rPr>
              <w:t>któr</w:t>
            </w:r>
            <w:r w:rsidR="00391B3C">
              <w:rPr>
                <w:rFonts w:ascii="Times New Roman" w:eastAsia="Calibri" w:hAnsi="Times New Roman" w:cs="Times New Roman"/>
              </w:rPr>
              <w:t>a</w:t>
            </w:r>
            <w:r w:rsidR="00391B3C" w:rsidRPr="00391B3C">
              <w:rPr>
                <w:rFonts w:ascii="Times New Roman" w:eastAsia="Calibri" w:hAnsi="Times New Roman" w:cs="Times New Roman"/>
              </w:rPr>
              <w:t xml:space="preserve"> umożliwia wczesne wykrycie wad płodu oraz ich diagnostykę we wczesnym okresie ciąży</w:t>
            </w:r>
            <w:r w:rsidR="00C763E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46A52" w:rsidRPr="001E68F7" w14:paraId="7480695A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35A42085" w14:textId="2DBB5B0D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46A52" w:rsidRPr="001E68F7" w14:paraId="5BD14771" w14:textId="77777777" w:rsidTr="00727606">
        <w:trPr>
          <w:trHeight w:val="246"/>
        </w:trPr>
        <w:tc>
          <w:tcPr>
            <w:tcW w:w="11086" w:type="dxa"/>
            <w:gridSpan w:val="25"/>
            <w:shd w:val="clear" w:color="auto" w:fill="FFFFFF"/>
          </w:tcPr>
          <w:p w14:paraId="7DCA7AAD" w14:textId="4FE4B46E" w:rsidR="00006EE6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Planowany termin wejścia w życie rozporządzenia </w:t>
            </w:r>
            <w:r w:rsidR="00B76205" w:rsidRPr="00B76205">
              <w:rPr>
                <w:rFonts w:ascii="Times New Roman" w:eastAsia="Times New Roman" w:hAnsi="Times New Roman" w:cs="Times New Roman"/>
                <w:lang w:eastAsia="pl-PL"/>
              </w:rPr>
              <w:t>to 14 dni od dnia ogłoszenia</w:t>
            </w:r>
            <w:r w:rsidR="009D7AB7" w:rsidRPr="009D7AB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46A52" w:rsidRPr="001E68F7" w14:paraId="732FDAB4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06AE98FD" w14:textId="6E86716C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46A52" w:rsidRPr="001E68F7" w14:paraId="4E5D35DF" w14:textId="77777777" w:rsidTr="00E2311C">
        <w:trPr>
          <w:trHeight w:val="203"/>
        </w:trPr>
        <w:tc>
          <w:tcPr>
            <w:tcW w:w="11086" w:type="dxa"/>
            <w:gridSpan w:val="25"/>
            <w:shd w:val="clear" w:color="auto" w:fill="FFFFFF"/>
          </w:tcPr>
          <w:p w14:paraId="385FCD8C" w14:textId="4B28F0B9" w:rsidR="00B46A52" w:rsidRPr="001E68F7" w:rsidRDefault="002B4409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Nie dotyczy</w:t>
            </w:r>
          </w:p>
        </w:tc>
      </w:tr>
      <w:tr w:rsidR="00B46A52" w:rsidRPr="001E68F7" w14:paraId="3B892C30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68E886D3" w14:textId="24E9BC42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46A52" w:rsidRPr="001E68F7" w14:paraId="40D83B7F" w14:textId="77777777" w:rsidTr="00D16DD1">
        <w:trPr>
          <w:trHeight w:val="209"/>
        </w:trPr>
        <w:tc>
          <w:tcPr>
            <w:tcW w:w="11086" w:type="dxa"/>
            <w:gridSpan w:val="25"/>
            <w:shd w:val="clear" w:color="auto" w:fill="FFFFFF"/>
          </w:tcPr>
          <w:p w14:paraId="1870F79F" w14:textId="6A268458" w:rsidR="00B46A52" w:rsidRPr="00627833" w:rsidRDefault="00CD6A34" w:rsidP="00AC3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426F3B79" w14:textId="77777777" w:rsidR="00FD25F0" w:rsidRPr="001E68F7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Pr="001E68F7" w:rsidRDefault="002D7CBF" w:rsidP="00BC7371">
      <w:pPr>
        <w:spacing w:after="0" w:line="240" w:lineRule="auto"/>
      </w:pPr>
    </w:p>
    <w:sectPr w:rsidR="002D7CBF" w:rsidRPr="001E68F7" w:rsidSect="00F617AD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429"/>
    <w:multiLevelType w:val="hybridMultilevel"/>
    <w:tmpl w:val="FC40CA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B75F6"/>
    <w:multiLevelType w:val="multilevel"/>
    <w:tmpl w:val="11125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AA04E9"/>
    <w:multiLevelType w:val="hybridMultilevel"/>
    <w:tmpl w:val="1284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535F"/>
    <w:multiLevelType w:val="hybridMultilevel"/>
    <w:tmpl w:val="559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530C"/>
    <w:multiLevelType w:val="hybridMultilevel"/>
    <w:tmpl w:val="58369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522D9"/>
    <w:multiLevelType w:val="hybridMultilevel"/>
    <w:tmpl w:val="0AD29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9311E"/>
    <w:multiLevelType w:val="hybridMultilevel"/>
    <w:tmpl w:val="FC40C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113A3"/>
    <w:multiLevelType w:val="hybridMultilevel"/>
    <w:tmpl w:val="0F6A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155B2"/>
    <w:multiLevelType w:val="hybridMultilevel"/>
    <w:tmpl w:val="BD10C32C"/>
    <w:lvl w:ilvl="0" w:tplc="025E0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80354"/>
    <w:multiLevelType w:val="hybridMultilevel"/>
    <w:tmpl w:val="9DB6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F6CA6"/>
    <w:multiLevelType w:val="hybridMultilevel"/>
    <w:tmpl w:val="B930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8460168">
    <w:abstractNumId w:val="7"/>
  </w:num>
  <w:num w:numId="2" w16cid:durableId="1244341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039208">
    <w:abstractNumId w:val="16"/>
  </w:num>
  <w:num w:numId="4" w16cid:durableId="2069961064">
    <w:abstractNumId w:val="1"/>
  </w:num>
  <w:num w:numId="5" w16cid:durableId="1098985691">
    <w:abstractNumId w:val="5"/>
  </w:num>
  <w:num w:numId="6" w16cid:durableId="931863650">
    <w:abstractNumId w:val="8"/>
  </w:num>
  <w:num w:numId="7" w16cid:durableId="125049375">
    <w:abstractNumId w:val="6"/>
  </w:num>
  <w:num w:numId="8" w16cid:durableId="1503398898">
    <w:abstractNumId w:val="15"/>
  </w:num>
  <w:num w:numId="9" w16cid:durableId="1616014615">
    <w:abstractNumId w:val="20"/>
  </w:num>
  <w:num w:numId="10" w16cid:durableId="271521585">
    <w:abstractNumId w:val="11"/>
  </w:num>
  <w:num w:numId="11" w16cid:durableId="2098164516">
    <w:abstractNumId w:val="13"/>
  </w:num>
  <w:num w:numId="12" w16cid:durableId="1788159457">
    <w:abstractNumId w:val="4"/>
  </w:num>
  <w:num w:numId="13" w16cid:durableId="482507580">
    <w:abstractNumId w:val="17"/>
  </w:num>
  <w:num w:numId="14" w16cid:durableId="189539601">
    <w:abstractNumId w:val="9"/>
  </w:num>
  <w:num w:numId="15" w16cid:durableId="1433629147">
    <w:abstractNumId w:val="3"/>
  </w:num>
  <w:num w:numId="16" w16cid:durableId="1829788129">
    <w:abstractNumId w:val="12"/>
  </w:num>
  <w:num w:numId="17" w16cid:durableId="784275581">
    <w:abstractNumId w:val="19"/>
  </w:num>
  <w:num w:numId="18" w16cid:durableId="709110826">
    <w:abstractNumId w:val="10"/>
  </w:num>
  <w:num w:numId="19" w16cid:durableId="1132481365">
    <w:abstractNumId w:val="14"/>
  </w:num>
  <w:num w:numId="20" w16cid:durableId="1701976938">
    <w:abstractNumId w:val="2"/>
  </w:num>
  <w:num w:numId="21" w16cid:durableId="11893671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F0"/>
    <w:rsid w:val="00000BE5"/>
    <w:rsid w:val="00003CEE"/>
    <w:rsid w:val="00003EB4"/>
    <w:rsid w:val="000056C5"/>
    <w:rsid w:val="00006EE6"/>
    <w:rsid w:val="00010E7D"/>
    <w:rsid w:val="000145D4"/>
    <w:rsid w:val="00016742"/>
    <w:rsid w:val="00023E73"/>
    <w:rsid w:val="00023F1C"/>
    <w:rsid w:val="00032D69"/>
    <w:rsid w:val="00036BC2"/>
    <w:rsid w:val="000377D8"/>
    <w:rsid w:val="00040132"/>
    <w:rsid w:val="00044AB8"/>
    <w:rsid w:val="00045E75"/>
    <w:rsid w:val="00047557"/>
    <w:rsid w:val="0005580B"/>
    <w:rsid w:val="0006390E"/>
    <w:rsid w:val="000670E4"/>
    <w:rsid w:val="000712B9"/>
    <w:rsid w:val="0007322E"/>
    <w:rsid w:val="00080587"/>
    <w:rsid w:val="00080628"/>
    <w:rsid w:val="00083B89"/>
    <w:rsid w:val="0008425D"/>
    <w:rsid w:val="000852C0"/>
    <w:rsid w:val="000857CB"/>
    <w:rsid w:val="00087B28"/>
    <w:rsid w:val="000918FE"/>
    <w:rsid w:val="0009242C"/>
    <w:rsid w:val="000A0372"/>
    <w:rsid w:val="000A0DAF"/>
    <w:rsid w:val="000A357C"/>
    <w:rsid w:val="000A3E45"/>
    <w:rsid w:val="000B19C3"/>
    <w:rsid w:val="000B41DF"/>
    <w:rsid w:val="000B749F"/>
    <w:rsid w:val="000C0BAB"/>
    <w:rsid w:val="000C34FC"/>
    <w:rsid w:val="000C7063"/>
    <w:rsid w:val="000D0C4B"/>
    <w:rsid w:val="000D132E"/>
    <w:rsid w:val="000D3804"/>
    <w:rsid w:val="000D3C43"/>
    <w:rsid w:val="000D508B"/>
    <w:rsid w:val="000D760B"/>
    <w:rsid w:val="000D7875"/>
    <w:rsid w:val="000E0148"/>
    <w:rsid w:val="000E58C0"/>
    <w:rsid w:val="000E7202"/>
    <w:rsid w:val="000F046A"/>
    <w:rsid w:val="000F07DB"/>
    <w:rsid w:val="000F086A"/>
    <w:rsid w:val="000F72D5"/>
    <w:rsid w:val="000F7677"/>
    <w:rsid w:val="0010053D"/>
    <w:rsid w:val="00127B36"/>
    <w:rsid w:val="00127FA9"/>
    <w:rsid w:val="00131F8B"/>
    <w:rsid w:val="00134EF7"/>
    <w:rsid w:val="001431A2"/>
    <w:rsid w:val="00147D4B"/>
    <w:rsid w:val="001519F4"/>
    <w:rsid w:val="00152E9A"/>
    <w:rsid w:val="0016133E"/>
    <w:rsid w:val="00165BD5"/>
    <w:rsid w:val="00170FFB"/>
    <w:rsid w:val="00173653"/>
    <w:rsid w:val="001738B1"/>
    <w:rsid w:val="00175CE9"/>
    <w:rsid w:val="00176880"/>
    <w:rsid w:val="001808AA"/>
    <w:rsid w:val="00181D49"/>
    <w:rsid w:val="0018605D"/>
    <w:rsid w:val="001869DD"/>
    <w:rsid w:val="001915D4"/>
    <w:rsid w:val="0019262A"/>
    <w:rsid w:val="00196A40"/>
    <w:rsid w:val="001A0B23"/>
    <w:rsid w:val="001A7736"/>
    <w:rsid w:val="001B1E92"/>
    <w:rsid w:val="001B4645"/>
    <w:rsid w:val="001B57FA"/>
    <w:rsid w:val="001B666A"/>
    <w:rsid w:val="001B6CB7"/>
    <w:rsid w:val="001C16AD"/>
    <w:rsid w:val="001C4747"/>
    <w:rsid w:val="001D398A"/>
    <w:rsid w:val="001D654C"/>
    <w:rsid w:val="001D7686"/>
    <w:rsid w:val="001E0D0B"/>
    <w:rsid w:val="001E1209"/>
    <w:rsid w:val="001E2A46"/>
    <w:rsid w:val="001E3279"/>
    <w:rsid w:val="001E68F7"/>
    <w:rsid w:val="001F0B2E"/>
    <w:rsid w:val="001F0E6F"/>
    <w:rsid w:val="001F2C4E"/>
    <w:rsid w:val="001F4ECB"/>
    <w:rsid w:val="00203574"/>
    <w:rsid w:val="00203597"/>
    <w:rsid w:val="00204850"/>
    <w:rsid w:val="0020656F"/>
    <w:rsid w:val="00211FFB"/>
    <w:rsid w:val="002133C3"/>
    <w:rsid w:val="00213B8B"/>
    <w:rsid w:val="00217A12"/>
    <w:rsid w:val="00220DBF"/>
    <w:rsid w:val="0023220D"/>
    <w:rsid w:val="0023244F"/>
    <w:rsid w:val="00235677"/>
    <w:rsid w:val="00235E56"/>
    <w:rsid w:val="002447B9"/>
    <w:rsid w:val="002458C5"/>
    <w:rsid w:val="00246C51"/>
    <w:rsid w:val="00250A69"/>
    <w:rsid w:val="002528F5"/>
    <w:rsid w:val="0025429F"/>
    <w:rsid w:val="00254C68"/>
    <w:rsid w:val="0025568F"/>
    <w:rsid w:val="002601CE"/>
    <w:rsid w:val="002651C5"/>
    <w:rsid w:val="0026596F"/>
    <w:rsid w:val="00267A79"/>
    <w:rsid w:val="00272686"/>
    <w:rsid w:val="002837D2"/>
    <w:rsid w:val="002850EA"/>
    <w:rsid w:val="0028705F"/>
    <w:rsid w:val="002926C2"/>
    <w:rsid w:val="00294116"/>
    <w:rsid w:val="00295AE2"/>
    <w:rsid w:val="00297CE5"/>
    <w:rsid w:val="002A1B92"/>
    <w:rsid w:val="002A3C71"/>
    <w:rsid w:val="002A43FD"/>
    <w:rsid w:val="002B4409"/>
    <w:rsid w:val="002B7A7D"/>
    <w:rsid w:val="002D615A"/>
    <w:rsid w:val="002D709D"/>
    <w:rsid w:val="002D7B40"/>
    <w:rsid w:val="002D7CBF"/>
    <w:rsid w:val="002E3407"/>
    <w:rsid w:val="002E4269"/>
    <w:rsid w:val="002E5221"/>
    <w:rsid w:val="002E730C"/>
    <w:rsid w:val="002F11BF"/>
    <w:rsid w:val="002F211B"/>
    <w:rsid w:val="002F4120"/>
    <w:rsid w:val="002F45B5"/>
    <w:rsid w:val="0030181A"/>
    <w:rsid w:val="003054A3"/>
    <w:rsid w:val="00314CAD"/>
    <w:rsid w:val="0031754E"/>
    <w:rsid w:val="00321C76"/>
    <w:rsid w:val="00323F87"/>
    <w:rsid w:val="00325E5F"/>
    <w:rsid w:val="0032665E"/>
    <w:rsid w:val="00326DD9"/>
    <w:rsid w:val="00327345"/>
    <w:rsid w:val="00330268"/>
    <w:rsid w:val="00333248"/>
    <w:rsid w:val="00333E80"/>
    <w:rsid w:val="003349AA"/>
    <w:rsid w:val="00336A35"/>
    <w:rsid w:val="00337295"/>
    <w:rsid w:val="00340B28"/>
    <w:rsid w:val="0034264B"/>
    <w:rsid w:val="003448A0"/>
    <w:rsid w:val="003538E7"/>
    <w:rsid w:val="00361677"/>
    <w:rsid w:val="00362C16"/>
    <w:rsid w:val="00363009"/>
    <w:rsid w:val="00363868"/>
    <w:rsid w:val="00365EAD"/>
    <w:rsid w:val="00366941"/>
    <w:rsid w:val="00370488"/>
    <w:rsid w:val="00374B53"/>
    <w:rsid w:val="00384B4B"/>
    <w:rsid w:val="00386730"/>
    <w:rsid w:val="003874A9"/>
    <w:rsid w:val="00391B3C"/>
    <w:rsid w:val="00393CE7"/>
    <w:rsid w:val="00394CC6"/>
    <w:rsid w:val="003A11B4"/>
    <w:rsid w:val="003A24B3"/>
    <w:rsid w:val="003A6150"/>
    <w:rsid w:val="003A7BD1"/>
    <w:rsid w:val="003B0397"/>
    <w:rsid w:val="003B05D2"/>
    <w:rsid w:val="003C3011"/>
    <w:rsid w:val="003D0445"/>
    <w:rsid w:val="003D181C"/>
    <w:rsid w:val="003E359E"/>
    <w:rsid w:val="003E42B4"/>
    <w:rsid w:val="003F7CA9"/>
    <w:rsid w:val="00400A53"/>
    <w:rsid w:val="00403A73"/>
    <w:rsid w:val="00403D22"/>
    <w:rsid w:val="004108B1"/>
    <w:rsid w:val="00411DCF"/>
    <w:rsid w:val="004128D2"/>
    <w:rsid w:val="00417071"/>
    <w:rsid w:val="00417586"/>
    <w:rsid w:val="00421D2E"/>
    <w:rsid w:val="0042239D"/>
    <w:rsid w:val="00422BDF"/>
    <w:rsid w:val="0042359A"/>
    <w:rsid w:val="00424472"/>
    <w:rsid w:val="004347A1"/>
    <w:rsid w:val="00436BB1"/>
    <w:rsid w:val="00444151"/>
    <w:rsid w:val="004460F7"/>
    <w:rsid w:val="0045168A"/>
    <w:rsid w:val="00455EBC"/>
    <w:rsid w:val="004578AA"/>
    <w:rsid w:val="00463DD6"/>
    <w:rsid w:val="00464E8A"/>
    <w:rsid w:val="0046557C"/>
    <w:rsid w:val="00474C6E"/>
    <w:rsid w:val="00481E1B"/>
    <w:rsid w:val="004851E0"/>
    <w:rsid w:val="004877EC"/>
    <w:rsid w:val="0049067D"/>
    <w:rsid w:val="00492710"/>
    <w:rsid w:val="00497F37"/>
    <w:rsid w:val="004A0076"/>
    <w:rsid w:val="004A0EE7"/>
    <w:rsid w:val="004A11A1"/>
    <w:rsid w:val="004A653B"/>
    <w:rsid w:val="004A70FF"/>
    <w:rsid w:val="004A7489"/>
    <w:rsid w:val="004A7ACB"/>
    <w:rsid w:val="004B28D3"/>
    <w:rsid w:val="004B331A"/>
    <w:rsid w:val="004B3419"/>
    <w:rsid w:val="004B64C0"/>
    <w:rsid w:val="004D2491"/>
    <w:rsid w:val="004D2CF6"/>
    <w:rsid w:val="004D4B64"/>
    <w:rsid w:val="004D4BC4"/>
    <w:rsid w:val="004D685B"/>
    <w:rsid w:val="004E2CEF"/>
    <w:rsid w:val="004E5860"/>
    <w:rsid w:val="004E6B46"/>
    <w:rsid w:val="004E795A"/>
    <w:rsid w:val="004F32C7"/>
    <w:rsid w:val="004F3A66"/>
    <w:rsid w:val="004F4E89"/>
    <w:rsid w:val="00500B1D"/>
    <w:rsid w:val="005029FC"/>
    <w:rsid w:val="00503922"/>
    <w:rsid w:val="00507C5A"/>
    <w:rsid w:val="0051343C"/>
    <w:rsid w:val="00516030"/>
    <w:rsid w:val="00522BB7"/>
    <w:rsid w:val="00525AA1"/>
    <w:rsid w:val="00525E55"/>
    <w:rsid w:val="005339C5"/>
    <w:rsid w:val="005361F1"/>
    <w:rsid w:val="00541F6F"/>
    <w:rsid w:val="0054413D"/>
    <w:rsid w:val="00557B58"/>
    <w:rsid w:val="005609EE"/>
    <w:rsid w:val="0056482D"/>
    <w:rsid w:val="00577B83"/>
    <w:rsid w:val="0058665A"/>
    <w:rsid w:val="005871C5"/>
    <w:rsid w:val="005871C7"/>
    <w:rsid w:val="00593BB7"/>
    <w:rsid w:val="0059706F"/>
    <w:rsid w:val="00597A21"/>
    <w:rsid w:val="005A25EF"/>
    <w:rsid w:val="005A3513"/>
    <w:rsid w:val="005A6B96"/>
    <w:rsid w:val="005A73D2"/>
    <w:rsid w:val="005B21A0"/>
    <w:rsid w:val="005B22B6"/>
    <w:rsid w:val="005B4F4D"/>
    <w:rsid w:val="005B5795"/>
    <w:rsid w:val="005B622B"/>
    <w:rsid w:val="005C24D6"/>
    <w:rsid w:val="005C59D9"/>
    <w:rsid w:val="005D1D0D"/>
    <w:rsid w:val="005E0624"/>
    <w:rsid w:val="005E2389"/>
    <w:rsid w:val="005F1723"/>
    <w:rsid w:val="005F390B"/>
    <w:rsid w:val="005F63A0"/>
    <w:rsid w:val="0060099A"/>
    <w:rsid w:val="00606BFF"/>
    <w:rsid w:val="00606E1F"/>
    <w:rsid w:val="00607357"/>
    <w:rsid w:val="00621DA2"/>
    <w:rsid w:val="00625E6E"/>
    <w:rsid w:val="00627833"/>
    <w:rsid w:val="00627C9E"/>
    <w:rsid w:val="00632F41"/>
    <w:rsid w:val="006346A7"/>
    <w:rsid w:val="00644832"/>
    <w:rsid w:val="0064530D"/>
    <w:rsid w:val="00656625"/>
    <w:rsid w:val="00656B8E"/>
    <w:rsid w:val="0066095C"/>
    <w:rsid w:val="00663065"/>
    <w:rsid w:val="00665D1B"/>
    <w:rsid w:val="00665F3B"/>
    <w:rsid w:val="00667C5C"/>
    <w:rsid w:val="00670C16"/>
    <w:rsid w:val="006745FF"/>
    <w:rsid w:val="006770E9"/>
    <w:rsid w:val="00677B66"/>
    <w:rsid w:val="0068709F"/>
    <w:rsid w:val="00687EE3"/>
    <w:rsid w:val="006917A1"/>
    <w:rsid w:val="00694A27"/>
    <w:rsid w:val="006A0EF4"/>
    <w:rsid w:val="006B1DEA"/>
    <w:rsid w:val="006B23E6"/>
    <w:rsid w:val="006B26CE"/>
    <w:rsid w:val="006B3AF1"/>
    <w:rsid w:val="006C2751"/>
    <w:rsid w:val="006C29EA"/>
    <w:rsid w:val="006C5963"/>
    <w:rsid w:val="006D15C3"/>
    <w:rsid w:val="006D257A"/>
    <w:rsid w:val="006D3208"/>
    <w:rsid w:val="006D77E2"/>
    <w:rsid w:val="006E3537"/>
    <w:rsid w:val="006E5C8D"/>
    <w:rsid w:val="006E681F"/>
    <w:rsid w:val="006E6C2C"/>
    <w:rsid w:val="006E7508"/>
    <w:rsid w:val="006E7794"/>
    <w:rsid w:val="006F1BA8"/>
    <w:rsid w:val="006F52E0"/>
    <w:rsid w:val="006F742A"/>
    <w:rsid w:val="00701043"/>
    <w:rsid w:val="00704359"/>
    <w:rsid w:val="007063BC"/>
    <w:rsid w:val="00710CE1"/>
    <w:rsid w:val="00714BF4"/>
    <w:rsid w:val="0072495E"/>
    <w:rsid w:val="007254E4"/>
    <w:rsid w:val="0072623B"/>
    <w:rsid w:val="00727606"/>
    <w:rsid w:val="00731A10"/>
    <w:rsid w:val="00732046"/>
    <w:rsid w:val="007363A3"/>
    <w:rsid w:val="00742F48"/>
    <w:rsid w:val="00743065"/>
    <w:rsid w:val="00750984"/>
    <w:rsid w:val="00753F99"/>
    <w:rsid w:val="00755290"/>
    <w:rsid w:val="00755BE6"/>
    <w:rsid w:val="00755D92"/>
    <w:rsid w:val="007567F6"/>
    <w:rsid w:val="007568F7"/>
    <w:rsid w:val="007621CD"/>
    <w:rsid w:val="00764F8D"/>
    <w:rsid w:val="00767EEF"/>
    <w:rsid w:val="007744AC"/>
    <w:rsid w:val="00776076"/>
    <w:rsid w:val="007779BF"/>
    <w:rsid w:val="00777BAB"/>
    <w:rsid w:val="00781EBE"/>
    <w:rsid w:val="007840EA"/>
    <w:rsid w:val="0078693E"/>
    <w:rsid w:val="00790EBF"/>
    <w:rsid w:val="00794ED8"/>
    <w:rsid w:val="00796656"/>
    <w:rsid w:val="007A3CB8"/>
    <w:rsid w:val="007A552C"/>
    <w:rsid w:val="007B006B"/>
    <w:rsid w:val="007B02B1"/>
    <w:rsid w:val="007B1A10"/>
    <w:rsid w:val="007C05EE"/>
    <w:rsid w:val="007C06B7"/>
    <w:rsid w:val="007C2856"/>
    <w:rsid w:val="007C7DFB"/>
    <w:rsid w:val="007D75E4"/>
    <w:rsid w:val="007E4162"/>
    <w:rsid w:val="007E53FB"/>
    <w:rsid w:val="007E689A"/>
    <w:rsid w:val="008029F0"/>
    <w:rsid w:val="0081399E"/>
    <w:rsid w:val="008172D3"/>
    <w:rsid w:val="00832B5D"/>
    <w:rsid w:val="00834076"/>
    <w:rsid w:val="00834600"/>
    <w:rsid w:val="00845C40"/>
    <w:rsid w:val="00850BBF"/>
    <w:rsid w:val="00850CAA"/>
    <w:rsid w:val="0085575B"/>
    <w:rsid w:val="0085615E"/>
    <w:rsid w:val="00856AF5"/>
    <w:rsid w:val="008679E3"/>
    <w:rsid w:val="008717E8"/>
    <w:rsid w:val="00871CD9"/>
    <w:rsid w:val="00872769"/>
    <w:rsid w:val="00875B30"/>
    <w:rsid w:val="00875D69"/>
    <w:rsid w:val="008818E1"/>
    <w:rsid w:val="00886242"/>
    <w:rsid w:val="008945DD"/>
    <w:rsid w:val="00896A72"/>
    <w:rsid w:val="008A3BEE"/>
    <w:rsid w:val="008A4175"/>
    <w:rsid w:val="008A451D"/>
    <w:rsid w:val="008A4597"/>
    <w:rsid w:val="008A7EF3"/>
    <w:rsid w:val="008B08C2"/>
    <w:rsid w:val="008B1E6F"/>
    <w:rsid w:val="008B324F"/>
    <w:rsid w:val="008B5C8A"/>
    <w:rsid w:val="008C1339"/>
    <w:rsid w:val="008C682C"/>
    <w:rsid w:val="008D0ACF"/>
    <w:rsid w:val="008D2981"/>
    <w:rsid w:val="008D4302"/>
    <w:rsid w:val="008D59D8"/>
    <w:rsid w:val="008D70E1"/>
    <w:rsid w:val="008D7428"/>
    <w:rsid w:val="008E080C"/>
    <w:rsid w:val="008E0A8A"/>
    <w:rsid w:val="008E13A2"/>
    <w:rsid w:val="008E1756"/>
    <w:rsid w:val="008E264C"/>
    <w:rsid w:val="008E46C7"/>
    <w:rsid w:val="008E5099"/>
    <w:rsid w:val="008E6693"/>
    <w:rsid w:val="008E72CE"/>
    <w:rsid w:val="008F2250"/>
    <w:rsid w:val="008F4721"/>
    <w:rsid w:val="0090551D"/>
    <w:rsid w:val="00913D79"/>
    <w:rsid w:val="00917016"/>
    <w:rsid w:val="009205EF"/>
    <w:rsid w:val="0092514D"/>
    <w:rsid w:val="00930D2D"/>
    <w:rsid w:val="0094015D"/>
    <w:rsid w:val="00944C3E"/>
    <w:rsid w:val="009458EF"/>
    <w:rsid w:val="00952CA7"/>
    <w:rsid w:val="00955705"/>
    <w:rsid w:val="00957FC2"/>
    <w:rsid w:val="00960694"/>
    <w:rsid w:val="009656F2"/>
    <w:rsid w:val="00967DDA"/>
    <w:rsid w:val="00971774"/>
    <w:rsid w:val="0097472E"/>
    <w:rsid w:val="00975012"/>
    <w:rsid w:val="00975E36"/>
    <w:rsid w:val="0098327D"/>
    <w:rsid w:val="00984DCC"/>
    <w:rsid w:val="00985464"/>
    <w:rsid w:val="00985630"/>
    <w:rsid w:val="00985890"/>
    <w:rsid w:val="00993622"/>
    <w:rsid w:val="00993E68"/>
    <w:rsid w:val="0099520F"/>
    <w:rsid w:val="009A1CA3"/>
    <w:rsid w:val="009A4844"/>
    <w:rsid w:val="009A6971"/>
    <w:rsid w:val="009B56F8"/>
    <w:rsid w:val="009B6776"/>
    <w:rsid w:val="009C2CD7"/>
    <w:rsid w:val="009C39D6"/>
    <w:rsid w:val="009C5C40"/>
    <w:rsid w:val="009C6C07"/>
    <w:rsid w:val="009C6D10"/>
    <w:rsid w:val="009D49E1"/>
    <w:rsid w:val="009D7AB7"/>
    <w:rsid w:val="009E6798"/>
    <w:rsid w:val="009F0C0C"/>
    <w:rsid w:val="009F24F9"/>
    <w:rsid w:val="009F3276"/>
    <w:rsid w:val="009F477A"/>
    <w:rsid w:val="009F6DF4"/>
    <w:rsid w:val="00A01EBC"/>
    <w:rsid w:val="00A02741"/>
    <w:rsid w:val="00A03192"/>
    <w:rsid w:val="00A04F35"/>
    <w:rsid w:val="00A10998"/>
    <w:rsid w:val="00A13C36"/>
    <w:rsid w:val="00A15417"/>
    <w:rsid w:val="00A211B3"/>
    <w:rsid w:val="00A23227"/>
    <w:rsid w:val="00A26F5D"/>
    <w:rsid w:val="00A4236B"/>
    <w:rsid w:val="00A430AE"/>
    <w:rsid w:val="00A47716"/>
    <w:rsid w:val="00A47E66"/>
    <w:rsid w:val="00A532F2"/>
    <w:rsid w:val="00A5386D"/>
    <w:rsid w:val="00A53B50"/>
    <w:rsid w:val="00A57218"/>
    <w:rsid w:val="00A61ED2"/>
    <w:rsid w:val="00A63441"/>
    <w:rsid w:val="00A64A98"/>
    <w:rsid w:val="00A67C57"/>
    <w:rsid w:val="00A76B37"/>
    <w:rsid w:val="00A81CFC"/>
    <w:rsid w:val="00A97CCC"/>
    <w:rsid w:val="00AA12A9"/>
    <w:rsid w:val="00AA31BB"/>
    <w:rsid w:val="00AB16B4"/>
    <w:rsid w:val="00AB2194"/>
    <w:rsid w:val="00AB7431"/>
    <w:rsid w:val="00AC2D5D"/>
    <w:rsid w:val="00AC3BE5"/>
    <w:rsid w:val="00AC4932"/>
    <w:rsid w:val="00AC4990"/>
    <w:rsid w:val="00AC5CD2"/>
    <w:rsid w:val="00AD08A9"/>
    <w:rsid w:val="00AD40DA"/>
    <w:rsid w:val="00AD4DEC"/>
    <w:rsid w:val="00AE2FFA"/>
    <w:rsid w:val="00AE3A9B"/>
    <w:rsid w:val="00AE40A7"/>
    <w:rsid w:val="00AE4EBB"/>
    <w:rsid w:val="00AE58FC"/>
    <w:rsid w:val="00B04AAD"/>
    <w:rsid w:val="00B06760"/>
    <w:rsid w:val="00B20099"/>
    <w:rsid w:val="00B20188"/>
    <w:rsid w:val="00B30712"/>
    <w:rsid w:val="00B42857"/>
    <w:rsid w:val="00B455A3"/>
    <w:rsid w:val="00B46A52"/>
    <w:rsid w:val="00B47824"/>
    <w:rsid w:val="00B50611"/>
    <w:rsid w:val="00B52019"/>
    <w:rsid w:val="00B53230"/>
    <w:rsid w:val="00B563BD"/>
    <w:rsid w:val="00B56749"/>
    <w:rsid w:val="00B56F22"/>
    <w:rsid w:val="00B60537"/>
    <w:rsid w:val="00B6101A"/>
    <w:rsid w:val="00B6428B"/>
    <w:rsid w:val="00B75DEE"/>
    <w:rsid w:val="00B76205"/>
    <w:rsid w:val="00B801A0"/>
    <w:rsid w:val="00B82C94"/>
    <w:rsid w:val="00B85430"/>
    <w:rsid w:val="00B873A0"/>
    <w:rsid w:val="00BA0245"/>
    <w:rsid w:val="00BA02E1"/>
    <w:rsid w:val="00BA1F9A"/>
    <w:rsid w:val="00BA2665"/>
    <w:rsid w:val="00BA563F"/>
    <w:rsid w:val="00BA779E"/>
    <w:rsid w:val="00BA7943"/>
    <w:rsid w:val="00BA7E14"/>
    <w:rsid w:val="00BB0489"/>
    <w:rsid w:val="00BB48AA"/>
    <w:rsid w:val="00BB5C61"/>
    <w:rsid w:val="00BB708D"/>
    <w:rsid w:val="00BC6F83"/>
    <w:rsid w:val="00BC7371"/>
    <w:rsid w:val="00BC7E3A"/>
    <w:rsid w:val="00BD0D8F"/>
    <w:rsid w:val="00BD3212"/>
    <w:rsid w:val="00BE34E1"/>
    <w:rsid w:val="00BE612B"/>
    <w:rsid w:val="00BF2F43"/>
    <w:rsid w:val="00BF5198"/>
    <w:rsid w:val="00BF5290"/>
    <w:rsid w:val="00BF53B2"/>
    <w:rsid w:val="00BF56AA"/>
    <w:rsid w:val="00BF5F55"/>
    <w:rsid w:val="00C05733"/>
    <w:rsid w:val="00C10EE4"/>
    <w:rsid w:val="00C22EFA"/>
    <w:rsid w:val="00C26F2A"/>
    <w:rsid w:val="00C30213"/>
    <w:rsid w:val="00C41551"/>
    <w:rsid w:val="00C42CFB"/>
    <w:rsid w:val="00C43478"/>
    <w:rsid w:val="00C539B3"/>
    <w:rsid w:val="00C56FF8"/>
    <w:rsid w:val="00C573E5"/>
    <w:rsid w:val="00C610AD"/>
    <w:rsid w:val="00C6335B"/>
    <w:rsid w:val="00C679CC"/>
    <w:rsid w:val="00C7034C"/>
    <w:rsid w:val="00C71462"/>
    <w:rsid w:val="00C724F4"/>
    <w:rsid w:val="00C737E1"/>
    <w:rsid w:val="00C739CC"/>
    <w:rsid w:val="00C74B91"/>
    <w:rsid w:val="00C75CC5"/>
    <w:rsid w:val="00C763EC"/>
    <w:rsid w:val="00C80147"/>
    <w:rsid w:val="00C91569"/>
    <w:rsid w:val="00C92B7C"/>
    <w:rsid w:val="00C96FA3"/>
    <w:rsid w:val="00C97CFE"/>
    <w:rsid w:val="00CA0888"/>
    <w:rsid w:val="00CB505B"/>
    <w:rsid w:val="00CB57B0"/>
    <w:rsid w:val="00CC27FA"/>
    <w:rsid w:val="00CD2962"/>
    <w:rsid w:val="00CD494A"/>
    <w:rsid w:val="00CD6A34"/>
    <w:rsid w:val="00CE1FE5"/>
    <w:rsid w:val="00CE221F"/>
    <w:rsid w:val="00CF11CF"/>
    <w:rsid w:val="00CF324B"/>
    <w:rsid w:val="00D00AEE"/>
    <w:rsid w:val="00D017A1"/>
    <w:rsid w:val="00D05127"/>
    <w:rsid w:val="00D14302"/>
    <w:rsid w:val="00D16DD1"/>
    <w:rsid w:val="00D21261"/>
    <w:rsid w:val="00D227CD"/>
    <w:rsid w:val="00D23BE6"/>
    <w:rsid w:val="00D245C9"/>
    <w:rsid w:val="00D327D1"/>
    <w:rsid w:val="00D35F76"/>
    <w:rsid w:val="00D4069D"/>
    <w:rsid w:val="00D44E33"/>
    <w:rsid w:val="00D47A78"/>
    <w:rsid w:val="00D50EC6"/>
    <w:rsid w:val="00D527A0"/>
    <w:rsid w:val="00D52F37"/>
    <w:rsid w:val="00D546AB"/>
    <w:rsid w:val="00D56DF0"/>
    <w:rsid w:val="00D57F38"/>
    <w:rsid w:val="00D625E7"/>
    <w:rsid w:val="00D70FCE"/>
    <w:rsid w:val="00D75E9A"/>
    <w:rsid w:val="00D764D2"/>
    <w:rsid w:val="00D85C43"/>
    <w:rsid w:val="00D864E9"/>
    <w:rsid w:val="00D8680B"/>
    <w:rsid w:val="00D918D4"/>
    <w:rsid w:val="00D95CA9"/>
    <w:rsid w:val="00DA45DB"/>
    <w:rsid w:val="00DA4669"/>
    <w:rsid w:val="00DA5F31"/>
    <w:rsid w:val="00DB2A1A"/>
    <w:rsid w:val="00DB3609"/>
    <w:rsid w:val="00DB43CF"/>
    <w:rsid w:val="00DB5234"/>
    <w:rsid w:val="00DB6EE3"/>
    <w:rsid w:val="00DB7BE0"/>
    <w:rsid w:val="00DC43EC"/>
    <w:rsid w:val="00DD53BC"/>
    <w:rsid w:val="00DD5E23"/>
    <w:rsid w:val="00DE25E3"/>
    <w:rsid w:val="00DE2803"/>
    <w:rsid w:val="00E027C4"/>
    <w:rsid w:val="00E11BF5"/>
    <w:rsid w:val="00E14F23"/>
    <w:rsid w:val="00E16F0A"/>
    <w:rsid w:val="00E2311C"/>
    <w:rsid w:val="00E232E7"/>
    <w:rsid w:val="00E247F0"/>
    <w:rsid w:val="00E36635"/>
    <w:rsid w:val="00E43512"/>
    <w:rsid w:val="00E438BE"/>
    <w:rsid w:val="00E45052"/>
    <w:rsid w:val="00E45099"/>
    <w:rsid w:val="00E5032C"/>
    <w:rsid w:val="00E601E9"/>
    <w:rsid w:val="00E60C8C"/>
    <w:rsid w:val="00E64E5C"/>
    <w:rsid w:val="00E700E1"/>
    <w:rsid w:val="00E727B7"/>
    <w:rsid w:val="00E7521E"/>
    <w:rsid w:val="00E76466"/>
    <w:rsid w:val="00E84EAA"/>
    <w:rsid w:val="00E872D9"/>
    <w:rsid w:val="00E957DF"/>
    <w:rsid w:val="00E96285"/>
    <w:rsid w:val="00EA38C7"/>
    <w:rsid w:val="00EA582A"/>
    <w:rsid w:val="00EB090E"/>
    <w:rsid w:val="00EB19F4"/>
    <w:rsid w:val="00EB5604"/>
    <w:rsid w:val="00EB5D6D"/>
    <w:rsid w:val="00EC374E"/>
    <w:rsid w:val="00ED10E7"/>
    <w:rsid w:val="00ED6E56"/>
    <w:rsid w:val="00ED7A32"/>
    <w:rsid w:val="00EE42FA"/>
    <w:rsid w:val="00EF4B7C"/>
    <w:rsid w:val="00F03308"/>
    <w:rsid w:val="00F04561"/>
    <w:rsid w:val="00F11E15"/>
    <w:rsid w:val="00F12C2D"/>
    <w:rsid w:val="00F13D41"/>
    <w:rsid w:val="00F1716F"/>
    <w:rsid w:val="00F20DCD"/>
    <w:rsid w:val="00F21A14"/>
    <w:rsid w:val="00F26D9A"/>
    <w:rsid w:val="00F407BA"/>
    <w:rsid w:val="00F423F6"/>
    <w:rsid w:val="00F4697D"/>
    <w:rsid w:val="00F46E4B"/>
    <w:rsid w:val="00F53DC3"/>
    <w:rsid w:val="00F56037"/>
    <w:rsid w:val="00F57F23"/>
    <w:rsid w:val="00F6018C"/>
    <w:rsid w:val="00F617AD"/>
    <w:rsid w:val="00F63A41"/>
    <w:rsid w:val="00F70B48"/>
    <w:rsid w:val="00F715BB"/>
    <w:rsid w:val="00F74710"/>
    <w:rsid w:val="00F768AA"/>
    <w:rsid w:val="00F86500"/>
    <w:rsid w:val="00F940F6"/>
    <w:rsid w:val="00F94105"/>
    <w:rsid w:val="00F95124"/>
    <w:rsid w:val="00F964B4"/>
    <w:rsid w:val="00F9782A"/>
    <w:rsid w:val="00FA6A80"/>
    <w:rsid w:val="00FB47AE"/>
    <w:rsid w:val="00FB5BFA"/>
    <w:rsid w:val="00FB735D"/>
    <w:rsid w:val="00FC2AF9"/>
    <w:rsid w:val="00FD25F0"/>
    <w:rsid w:val="00FD38E0"/>
    <w:rsid w:val="00FE4B38"/>
    <w:rsid w:val="00FF197A"/>
    <w:rsid w:val="00FF21B8"/>
    <w:rsid w:val="00FF429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  <w15:docId w15:val="{0AFE5170-1210-498B-A04F-4A1D111D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21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janiszewska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3BE9-68D1-4BB2-9207-997AD6D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Ilarska Joanna</dc:creator>
  <cp:lastModifiedBy>Budziszewska-Makulska Alina</cp:lastModifiedBy>
  <cp:revision>6</cp:revision>
  <cp:lastPrinted>2020-01-09T15:21:00Z</cp:lastPrinted>
  <dcterms:created xsi:type="dcterms:W3CDTF">2024-04-12T09:41:00Z</dcterms:created>
  <dcterms:modified xsi:type="dcterms:W3CDTF">2024-04-12T13:06:00Z</dcterms:modified>
</cp:coreProperties>
</file>