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646"/>
        <w:gridCol w:w="425"/>
        <w:gridCol w:w="465"/>
        <w:gridCol w:w="414"/>
        <w:gridCol w:w="155"/>
        <w:gridCol w:w="187"/>
        <w:gridCol w:w="383"/>
        <w:gridCol w:w="554"/>
        <w:gridCol w:w="16"/>
        <w:gridCol w:w="119"/>
        <w:gridCol w:w="150"/>
        <w:gridCol w:w="300"/>
        <w:gridCol w:w="353"/>
        <w:gridCol w:w="217"/>
        <w:gridCol w:w="570"/>
        <w:gridCol w:w="82"/>
        <w:gridCol w:w="69"/>
        <w:gridCol w:w="419"/>
        <w:gridCol w:w="113"/>
        <w:gridCol w:w="405"/>
        <w:gridCol w:w="51"/>
        <w:gridCol w:w="138"/>
        <w:gridCol w:w="432"/>
        <w:gridCol w:w="317"/>
        <w:gridCol w:w="253"/>
        <w:gridCol w:w="570"/>
        <w:gridCol w:w="115"/>
        <w:gridCol w:w="1290"/>
      </w:tblGrid>
      <w:tr w:rsidR="006A701A" w:rsidRPr="008B4FE6" w14:paraId="2F1B13B5" w14:textId="77777777" w:rsidTr="00F61CC9">
        <w:trPr>
          <w:trHeight w:val="1611"/>
        </w:trPr>
        <w:tc>
          <w:tcPr>
            <w:tcW w:w="6631" w:type="dxa"/>
            <w:gridSpan w:val="17"/>
          </w:tcPr>
          <w:p w14:paraId="76DE7811" w14:textId="77777777" w:rsidR="006A701A" w:rsidRPr="00AC1776" w:rsidRDefault="006A701A" w:rsidP="00203E8B">
            <w:pPr>
              <w:spacing w:line="240" w:lineRule="auto"/>
              <w:rPr>
                <w:rFonts w:ascii="Times New Roman" w:hAnsi="Times New Roman"/>
                <w:color w:val="000000"/>
              </w:rPr>
            </w:pPr>
            <w:bookmarkStart w:id="0" w:name="t1"/>
            <w:bookmarkStart w:id="1" w:name="_GoBack"/>
            <w:bookmarkEnd w:id="1"/>
            <w:r w:rsidRPr="00AC1776">
              <w:rPr>
                <w:rFonts w:ascii="Times New Roman" w:hAnsi="Times New Roman"/>
                <w:b/>
                <w:color w:val="000000"/>
              </w:rPr>
              <w:t xml:space="preserve">Nazwa </w:t>
            </w:r>
            <w:r w:rsidR="001B75D8" w:rsidRPr="00AC1776">
              <w:rPr>
                <w:rFonts w:ascii="Times New Roman" w:hAnsi="Times New Roman"/>
                <w:b/>
                <w:color w:val="000000"/>
              </w:rPr>
              <w:t>projektu</w:t>
            </w:r>
          </w:p>
          <w:bookmarkEnd w:id="0"/>
          <w:p w14:paraId="4FB129D9" w14:textId="77777777" w:rsidR="00F56DAA" w:rsidRPr="00AC1776"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lang w:eastAsia="pl-PL"/>
              </w:rPr>
              <w:t xml:space="preserve">Projekt ustawy o zmianie </w:t>
            </w:r>
            <w:r w:rsidR="00472AB7">
              <w:rPr>
                <w:rFonts w:ascii="Times New Roman" w:eastAsia="Times New Roman" w:hAnsi="Times New Roman"/>
                <w:lang w:eastAsia="pl-PL"/>
              </w:rPr>
              <w:t>niektórych ustaw</w:t>
            </w:r>
            <w:r w:rsidR="00D14ED0" w:rsidRPr="00D14ED0">
              <w:rPr>
                <w:rFonts w:ascii="Times New Roman" w:eastAsia="Times New Roman" w:hAnsi="Times New Roman"/>
                <w:lang w:eastAsia="pl-PL"/>
              </w:rPr>
              <w:t xml:space="preserve"> w związku z zapewnieniem</w:t>
            </w:r>
            <w:r w:rsidR="00D14ED0">
              <w:t xml:space="preserve"> </w:t>
            </w:r>
            <w:r w:rsidR="00D14ED0" w:rsidRPr="00D14ED0">
              <w:rPr>
                <w:rFonts w:ascii="Times New Roman" w:eastAsia="Times New Roman" w:hAnsi="Times New Roman"/>
                <w:lang w:eastAsia="pl-PL"/>
              </w:rPr>
              <w:t>operacyjnej odporności cyfrowej sektora finansowego</w:t>
            </w:r>
          </w:p>
          <w:p w14:paraId="5A9F4578" w14:textId="77777777" w:rsidR="00F56DAA" w:rsidRPr="00AC1776" w:rsidRDefault="00F56DAA" w:rsidP="00F56DAA">
            <w:pPr>
              <w:spacing w:line="280" w:lineRule="atLeast"/>
              <w:jc w:val="both"/>
              <w:rPr>
                <w:rFonts w:ascii="Times New Roman" w:eastAsia="Times New Roman" w:hAnsi="Times New Roman"/>
                <w:b/>
                <w:lang w:eastAsia="pl-PL"/>
              </w:rPr>
            </w:pPr>
            <w:r w:rsidRPr="00AC1776">
              <w:rPr>
                <w:rFonts w:ascii="Times New Roman" w:eastAsia="Times New Roman" w:hAnsi="Times New Roman"/>
                <w:b/>
                <w:lang w:eastAsia="pl-PL"/>
              </w:rPr>
              <w:t xml:space="preserve">Ministerstwo wiodące i ministerstwa współpracujące </w:t>
            </w:r>
          </w:p>
          <w:p w14:paraId="2B38EC0E" w14:textId="77777777" w:rsidR="00F56DAA" w:rsidRPr="00AC1776"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lang w:eastAsia="pl-PL"/>
              </w:rPr>
              <w:t>Ministerstwo Finansów</w:t>
            </w:r>
          </w:p>
          <w:p w14:paraId="28FDE3E3" w14:textId="77777777" w:rsidR="00C161C1" w:rsidRDefault="00F56DAA" w:rsidP="00C161C1">
            <w:pPr>
              <w:spacing w:line="280" w:lineRule="atLeast"/>
              <w:jc w:val="both"/>
              <w:rPr>
                <w:rFonts w:ascii="Times New Roman" w:eastAsia="Times New Roman" w:hAnsi="Times New Roman"/>
                <w:b/>
                <w:lang w:eastAsia="pl-PL"/>
              </w:rPr>
            </w:pPr>
            <w:r w:rsidRPr="00AC1776">
              <w:rPr>
                <w:rFonts w:ascii="Times New Roman" w:eastAsia="Times New Roman" w:hAnsi="Times New Roman"/>
                <w:b/>
                <w:lang w:eastAsia="pl-PL"/>
              </w:rPr>
              <w:t xml:space="preserve">Osoba odpowiedzialna za projekt w randze Ministra, Sekretarza Stanu lub Podsekretarza Stanu </w:t>
            </w:r>
          </w:p>
          <w:p w14:paraId="2E1372D4" w14:textId="538EE294" w:rsidR="00F56DAA" w:rsidRPr="00C161C1" w:rsidRDefault="005C63C1" w:rsidP="00C161C1">
            <w:pPr>
              <w:spacing w:line="280" w:lineRule="atLeast"/>
              <w:jc w:val="both"/>
              <w:rPr>
                <w:rFonts w:ascii="Times New Roman" w:eastAsia="Times New Roman" w:hAnsi="Times New Roman"/>
                <w:b/>
                <w:lang w:eastAsia="pl-PL"/>
              </w:rPr>
            </w:pPr>
            <w:r>
              <w:rPr>
                <w:rFonts w:ascii="Times New Roman" w:hAnsi="Times New Roman"/>
              </w:rPr>
              <w:t>Jurand Drop Pods</w:t>
            </w:r>
            <w:r w:rsidR="00F56DAA" w:rsidRPr="00AC1776">
              <w:rPr>
                <w:rFonts w:ascii="Times New Roman" w:hAnsi="Times New Roman"/>
              </w:rPr>
              <w:t>ekretarz Stanu w Ministerstwie Finansów</w:t>
            </w:r>
            <w:r w:rsidR="002E0DD1">
              <w:rPr>
                <w:rFonts w:ascii="Times New Roman" w:hAnsi="Times New Roman"/>
              </w:rPr>
              <w:t xml:space="preserve"> </w:t>
            </w:r>
          </w:p>
          <w:p w14:paraId="3B28F2FA" w14:textId="77777777" w:rsidR="00F56DAA" w:rsidRPr="00AC1776" w:rsidRDefault="00F56DAA" w:rsidP="00F56DAA">
            <w:pPr>
              <w:spacing w:line="280" w:lineRule="atLeast"/>
              <w:jc w:val="both"/>
              <w:rPr>
                <w:rFonts w:ascii="Times New Roman" w:eastAsia="Times New Roman" w:hAnsi="Times New Roman"/>
                <w:b/>
                <w:lang w:eastAsia="pl-PL"/>
              </w:rPr>
            </w:pPr>
            <w:r w:rsidRPr="00AC1776">
              <w:rPr>
                <w:rFonts w:ascii="Times New Roman" w:eastAsia="Times New Roman" w:hAnsi="Times New Roman"/>
                <w:b/>
                <w:lang w:eastAsia="pl-PL"/>
              </w:rPr>
              <w:t>Kontakt do opiekuna merytorycznego projektu</w:t>
            </w:r>
          </w:p>
          <w:p w14:paraId="2CFE30FF" w14:textId="77777777" w:rsidR="00F56DAA" w:rsidRPr="00315F26" w:rsidRDefault="004044CF" w:rsidP="00D14ED0">
            <w:pPr>
              <w:spacing w:line="280" w:lineRule="atLeast"/>
              <w:jc w:val="both"/>
              <w:rPr>
                <w:rFonts w:ascii="Times New Roman" w:eastAsia="Times New Roman" w:hAnsi="Times New Roman"/>
                <w:lang w:eastAsia="pl-PL"/>
              </w:rPr>
            </w:pPr>
            <w:r w:rsidRPr="00315F26">
              <w:rPr>
                <w:rFonts w:ascii="Times New Roman" w:eastAsia="Times New Roman" w:hAnsi="Times New Roman"/>
                <w:lang w:eastAsia="pl-PL"/>
              </w:rPr>
              <w:t xml:space="preserve">1. </w:t>
            </w:r>
            <w:r w:rsidR="00472AB7" w:rsidRPr="00315F26">
              <w:rPr>
                <w:rFonts w:ascii="Times New Roman" w:eastAsia="Times New Roman" w:hAnsi="Times New Roman"/>
                <w:lang w:eastAsia="pl-PL"/>
              </w:rPr>
              <w:t>Maja Janicka</w:t>
            </w:r>
            <w:r w:rsidR="00F56DAA" w:rsidRPr="00315F26">
              <w:rPr>
                <w:rFonts w:ascii="Times New Roman" w:eastAsia="Times New Roman" w:hAnsi="Times New Roman"/>
                <w:lang w:eastAsia="pl-PL"/>
              </w:rPr>
              <w:t xml:space="preserve">, tel. </w:t>
            </w:r>
            <w:r w:rsidRPr="00315F26">
              <w:rPr>
                <w:rFonts w:ascii="Times New Roman" w:eastAsia="Times New Roman" w:hAnsi="Times New Roman"/>
                <w:lang w:eastAsia="pl-PL"/>
              </w:rPr>
              <w:t>734-11</w:t>
            </w:r>
            <w:r w:rsidR="00472AB7" w:rsidRPr="00315F26">
              <w:rPr>
                <w:rFonts w:ascii="Times New Roman" w:eastAsia="Times New Roman" w:hAnsi="Times New Roman"/>
                <w:lang w:eastAsia="pl-PL"/>
              </w:rPr>
              <w:t>8</w:t>
            </w:r>
            <w:r w:rsidRPr="00315F26">
              <w:rPr>
                <w:rFonts w:ascii="Times New Roman" w:eastAsia="Times New Roman" w:hAnsi="Times New Roman"/>
                <w:lang w:eastAsia="pl-PL"/>
              </w:rPr>
              <w:t>-</w:t>
            </w:r>
            <w:r w:rsidR="00472AB7" w:rsidRPr="00315F26">
              <w:rPr>
                <w:rFonts w:ascii="Times New Roman" w:eastAsia="Times New Roman" w:hAnsi="Times New Roman"/>
                <w:lang w:eastAsia="pl-PL"/>
              </w:rPr>
              <w:t>099</w:t>
            </w:r>
          </w:p>
          <w:p w14:paraId="2EAA67C0" w14:textId="77777777" w:rsidR="00F56DAA" w:rsidRPr="00F07C62" w:rsidRDefault="00F56DAA" w:rsidP="00F56DAA">
            <w:pPr>
              <w:spacing w:line="280" w:lineRule="atLeast"/>
              <w:jc w:val="both"/>
              <w:rPr>
                <w:rFonts w:ascii="Times New Roman" w:eastAsia="Times New Roman" w:hAnsi="Times New Roman"/>
                <w:lang w:val="en-GB" w:eastAsia="pl-PL"/>
              </w:rPr>
            </w:pPr>
            <w:r w:rsidRPr="00F07C62">
              <w:rPr>
                <w:rFonts w:ascii="Times New Roman" w:eastAsia="Times New Roman" w:hAnsi="Times New Roman"/>
                <w:lang w:val="en-GB" w:eastAsia="pl-PL"/>
              </w:rPr>
              <w:t xml:space="preserve">e-mail: </w:t>
            </w:r>
            <w:hyperlink r:id="rId8" w:history="1">
              <w:r w:rsidR="00D14ED0" w:rsidRPr="00F07C62">
                <w:rPr>
                  <w:rStyle w:val="Hipercze"/>
                  <w:rFonts w:ascii="Times New Roman" w:eastAsia="Times New Roman" w:hAnsi="Times New Roman"/>
                  <w:lang w:val="en-GB" w:eastAsia="pl-PL"/>
                </w:rPr>
                <w:t>maja.janicka@mf.gov.pl</w:t>
              </w:r>
            </w:hyperlink>
          </w:p>
          <w:p w14:paraId="5A5B04AB" w14:textId="77777777" w:rsidR="00D14ED0" w:rsidRPr="00315F26" w:rsidRDefault="00D14ED0" w:rsidP="00D14ED0">
            <w:pPr>
              <w:spacing w:line="280" w:lineRule="atLeast"/>
              <w:jc w:val="both"/>
              <w:rPr>
                <w:rStyle w:val="Hipercze"/>
                <w:rFonts w:ascii="Times New Roman" w:eastAsia="Times New Roman" w:hAnsi="Times New Roman"/>
                <w:color w:val="000000" w:themeColor="text1"/>
                <w:u w:val="none"/>
                <w:lang w:eastAsia="pl-PL"/>
              </w:rPr>
            </w:pPr>
            <w:r w:rsidRPr="00315F26">
              <w:rPr>
                <w:rStyle w:val="Hipercze"/>
                <w:rFonts w:ascii="Times New Roman" w:eastAsia="Times New Roman" w:hAnsi="Times New Roman"/>
                <w:color w:val="000000" w:themeColor="text1"/>
                <w:u w:val="none"/>
                <w:lang w:eastAsia="pl-PL"/>
              </w:rPr>
              <w:t>2. Piotr Radziszewski, tel. 734-114-951</w:t>
            </w:r>
          </w:p>
          <w:p w14:paraId="70CEFEBE" w14:textId="77777777" w:rsidR="00D14ED0" w:rsidRPr="00315F26" w:rsidRDefault="00D14ED0" w:rsidP="00D14ED0">
            <w:pPr>
              <w:spacing w:line="280" w:lineRule="atLeast"/>
              <w:jc w:val="both"/>
              <w:rPr>
                <w:rStyle w:val="Hipercze"/>
                <w:rFonts w:ascii="Times New Roman" w:eastAsia="Times New Roman" w:hAnsi="Times New Roman"/>
                <w:u w:val="none"/>
                <w:lang w:eastAsia="pl-PL"/>
              </w:rPr>
            </w:pPr>
            <w:r w:rsidRPr="00315F26">
              <w:rPr>
                <w:rStyle w:val="Hipercze"/>
                <w:rFonts w:ascii="Times New Roman" w:eastAsia="Times New Roman" w:hAnsi="Times New Roman"/>
                <w:color w:val="000000" w:themeColor="text1"/>
                <w:u w:val="none"/>
                <w:lang w:eastAsia="pl-PL"/>
              </w:rPr>
              <w:t xml:space="preserve">e-mail: </w:t>
            </w:r>
            <w:r w:rsidRPr="00315F26">
              <w:rPr>
                <w:rStyle w:val="Hipercze"/>
                <w:rFonts w:ascii="Times New Roman" w:eastAsia="Times New Roman" w:hAnsi="Times New Roman"/>
                <w:u w:val="none"/>
                <w:lang w:eastAsia="pl-PL"/>
              </w:rPr>
              <w:t>piotr.radziszewski@mf.gov.pl</w:t>
            </w:r>
          </w:p>
          <w:p w14:paraId="500FAB12" w14:textId="77777777" w:rsidR="00337C21" w:rsidRPr="00024605" w:rsidRDefault="00337C21" w:rsidP="00425096">
            <w:pPr>
              <w:spacing w:line="240" w:lineRule="auto"/>
              <w:ind w:hanging="34"/>
              <w:rPr>
                <w:rFonts w:ascii="Times New Roman" w:hAnsi="Times New Roman"/>
                <w:color w:val="000000"/>
              </w:rPr>
            </w:pPr>
          </w:p>
        </w:tc>
        <w:tc>
          <w:tcPr>
            <w:tcW w:w="4172" w:type="dxa"/>
            <w:gridSpan w:val="12"/>
            <w:shd w:val="clear" w:color="auto" w:fill="FFFFFF"/>
          </w:tcPr>
          <w:p w14:paraId="0422A8AF" w14:textId="35172647" w:rsidR="00F56DAA" w:rsidRPr="00AC1776"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b/>
                <w:lang w:eastAsia="pl-PL"/>
              </w:rPr>
              <w:t xml:space="preserve">Data sporządzenia: </w:t>
            </w:r>
            <w:r w:rsidR="00AF2F39" w:rsidRPr="00AF2F39">
              <w:rPr>
                <w:rFonts w:ascii="Times New Roman" w:eastAsia="Times New Roman" w:hAnsi="Times New Roman"/>
                <w:bCs/>
                <w:lang w:eastAsia="pl-PL"/>
              </w:rPr>
              <w:t>5</w:t>
            </w:r>
            <w:r w:rsidR="009047D4">
              <w:rPr>
                <w:rFonts w:ascii="Times New Roman" w:eastAsia="Times New Roman" w:hAnsi="Times New Roman"/>
                <w:lang w:eastAsia="pl-PL"/>
              </w:rPr>
              <w:t xml:space="preserve"> </w:t>
            </w:r>
            <w:r w:rsidR="00AF2F39">
              <w:rPr>
                <w:rFonts w:ascii="Times New Roman" w:eastAsia="Times New Roman" w:hAnsi="Times New Roman"/>
                <w:lang w:eastAsia="pl-PL"/>
              </w:rPr>
              <w:t>kwietnia</w:t>
            </w:r>
            <w:r w:rsidR="009047D4">
              <w:rPr>
                <w:rFonts w:ascii="Times New Roman" w:eastAsia="Times New Roman" w:hAnsi="Times New Roman"/>
                <w:lang w:eastAsia="pl-PL"/>
              </w:rPr>
              <w:t xml:space="preserve"> </w:t>
            </w:r>
            <w:r w:rsidR="0076497A">
              <w:rPr>
                <w:rFonts w:ascii="Times New Roman" w:eastAsia="Times New Roman" w:hAnsi="Times New Roman"/>
                <w:lang w:eastAsia="pl-PL"/>
              </w:rPr>
              <w:t>202</w:t>
            </w:r>
            <w:r w:rsidR="009047D4">
              <w:rPr>
                <w:rFonts w:ascii="Times New Roman" w:eastAsia="Times New Roman" w:hAnsi="Times New Roman"/>
                <w:lang w:eastAsia="pl-PL"/>
              </w:rPr>
              <w:t>4</w:t>
            </w:r>
            <w:r w:rsidR="0076497A">
              <w:rPr>
                <w:rFonts w:ascii="Times New Roman" w:eastAsia="Times New Roman" w:hAnsi="Times New Roman"/>
                <w:lang w:eastAsia="pl-PL"/>
              </w:rPr>
              <w:t xml:space="preserve"> r. </w:t>
            </w:r>
          </w:p>
          <w:p w14:paraId="6E0BD4F8" w14:textId="6CBA18E0" w:rsidR="00200D12" w:rsidRPr="00AC1776" w:rsidRDefault="000D04DF" w:rsidP="00F56DAA">
            <w:pPr>
              <w:spacing w:line="280" w:lineRule="atLeast"/>
              <w:jc w:val="both"/>
              <w:rPr>
                <w:rFonts w:ascii="Times New Roman" w:eastAsia="Times New Roman" w:hAnsi="Times New Roman"/>
                <w:lang w:eastAsia="pl-PL"/>
              </w:rPr>
            </w:pPr>
            <w:r>
              <w:rPr>
                <w:rFonts w:ascii="Times New Roman" w:eastAsia="Times New Roman" w:hAnsi="Times New Roman"/>
                <w:lang w:eastAsia="pl-PL"/>
              </w:rPr>
              <w:t xml:space="preserve"> </w:t>
            </w:r>
          </w:p>
          <w:p w14:paraId="56F61532" w14:textId="77777777" w:rsidR="00F56DAA" w:rsidRPr="00AC1776"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b/>
                <w:lang w:eastAsia="pl-PL"/>
              </w:rPr>
              <w:t>Źródło</w:t>
            </w:r>
            <w:r w:rsidRPr="00AC1776">
              <w:rPr>
                <w:rFonts w:ascii="Times New Roman" w:eastAsia="Times New Roman" w:hAnsi="Times New Roman"/>
                <w:lang w:eastAsia="pl-PL"/>
              </w:rPr>
              <w:t xml:space="preserve">:  </w:t>
            </w:r>
            <w:r w:rsidR="00486AD5">
              <w:rPr>
                <w:rFonts w:ascii="Times New Roman" w:eastAsia="Times New Roman" w:hAnsi="Times New Roman"/>
                <w:lang w:eastAsia="pl-PL"/>
              </w:rPr>
              <w:t xml:space="preserve"> </w:t>
            </w:r>
            <w:r w:rsidR="00472AB7">
              <w:rPr>
                <w:rFonts w:ascii="Times New Roman" w:eastAsia="Times New Roman" w:hAnsi="Times New Roman"/>
                <w:lang w:eastAsia="pl-PL"/>
              </w:rPr>
              <w:t xml:space="preserve">Prawo Unii Europejskiej </w:t>
            </w:r>
          </w:p>
          <w:p w14:paraId="3997F69B" w14:textId="77777777" w:rsidR="00F56DAA" w:rsidRDefault="00F56DAA" w:rsidP="00F56DAA">
            <w:pPr>
              <w:spacing w:line="280" w:lineRule="atLeast"/>
              <w:jc w:val="both"/>
              <w:rPr>
                <w:rFonts w:ascii="Times New Roman" w:eastAsia="Times New Roman" w:hAnsi="Times New Roman"/>
                <w:b/>
                <w:lang w:eastAsia="pl-PL"/>
              </w:rPr>
            </w:pPr>
          </w:p>
          <w:p w14:paraId="15DC712D" w14:textId="77777777" w:rsidR="00200D12" w:rsidRPr="00AC1776" w:rsidRDefault="00200D12" w:rsidP="00F56DAA">
            <w:pPr>
              <w:spacing w:line="280" w:lineRule="atLeast"/>
              <w:jc w:val="both"/>
              <w:rPr>
                <w:rFonts w:ascii="Times New Roman" w:eastAsia="Times New Roman" w:hAnsi="Times New Roman"/>
                <w:b/>
                <w:lang w:eastAsia="pl-PL"/>
              </w:rPr>
            </w:pPr>
          </w:p>
          <w:p w14:paraId="44EE8F28" w14:textId="01A5839F" w:rsidR="00F56DAA" w:rsidRPr="00AC1776" w:rsidRDefault="00200D12" w:rsidP="00F56DAA">
            <w:pPr>
              <w:spacing w:line="280" w:lineRule="atLeast"/>
              <w:jc w:val="both"/>
              <w:rPr>
                <w:rFonts w:ascii="Times New Roman" w:eastAsia="Times New Roman" w:hAnsi="Times New Roman"/>
                <w:b/>
                <w:lang w:eastAsia="pl-PL"/>
              </w:rPr>
            </w:pPr>
            <w:r>
              <w:rPr>
                <w:rFonts w:ascii="Times New Roman" w:eastAsia="Times New Roman" w:hAnsi="Times New Roman"/>
                <w:b/>
                <w:lang w:eastAsia="pl-PL"/>
              </w:rPr>
              <w:t xml:space="preserve">Nr w wykazie prac: </w:t>
            </w:r>
            <w:r w:rsidR="004C1CBF">
              <w:rPr>
                <w:rFonts w:ascii="Times New Roman" w:eastAsia="Times New Roman" w:hAnsi="Times New Roman"/>
                <w:b/>
                <w:lang w:eastAsia="pl-PL"/>
              </w:rPr>
              <w:t>UC11</w:t>
            </w:r>
          </w:p>
          <w:p w14:paraId="0EF6DA22" w14:textId="77777777" w:rsidR="006A701A" w:rsidRPr="008B4FE6" w:rsidRDefault="006A701A" w:rsidP="00425096">
            <w:pPr>
              <w:spacing w:line="240" w:lineRule="auto"/>
              <w:rPr>
                <w:rFonts w:ascii="Times New Roman" w:hAnsi="Times New Roman"/>
                <w:color w:val="000000"/>
                <w:sz w:val="28"/>
                <w:szCs w:val="28"/>
              </w:rPr>
            </w:pPr>
          </w:p>
        </w:tc>
      </w:tr>
      <w:tr w:rsidR="006A701A" w:rsidRPr="0022687A" w14:paraId="0CE82467" w14:textId="77777777" w:rsidTr="00F61CC9">
        <w:trPr>
          <w:trHeight w:val="142"/>
        </w:trPr>
        <w:tc>
          <w:tcPr>
            <w:tcW w:w="10803" w:type="dxa"/>
            <w:gridSpan w:val="29"/>
            <w:shd w:val="clear" w:color="auto" w:fill="99CCFF"/>
          </w:tcPr>
          <w:p w14:paraId="3CCFD9ED"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5737C87" w14:textId="77777777" w:rsidTr="00F61CC9">
        <w:trPr>
          <w:trHeight w:val="333"/>
        </w:trPr>
        <w:tc>
          <w:tcPr>
            <w:tcW w:w="10803" w:type="dxa"/>
            <w:gridSpan w:val="29"/>
            <w:shd w:val="clear" w:color="auto" w:fill="99CCFF"/>
            <w:vAlign w:val="center"/>
          </w:tcPr>
          <w:p w14:paraId="40C94BF3"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553D1CFC" w14:textId="77777777" w:rsidTr="00F61CC9">
        <w:trPr>
          <w:trHeight w:val="142"/>
        </w:trPr>
        <w:tc>
          <w:tcPr>
            <w:tcW w:w="10803" w:type="dxa"/>
            <w:gridSpan w:val="29"/>
            <w:shd w:val="clear" w:color="auto" w:fill="FFFFFF"/>
          </w:tcPr>
          <w:p w14:paraId="2BCAF573" w14:textId="1389CB04" w:rsidR="007F1E7D" w:rsidRPr="00C84198" w:rsidRDefault="00F56DAA" w:rsidP="00D37018">
            <w:pPr>
              <w:spacing w:after="120" w:line="240" w:lineRule="auto"/>
              <w:jc w:val="both"/>
              <w:rPr>
                <w:rFonts w:ascii="Times New Roman" w:hAnsi="Times New Roman"/>
              </w:rPr>
            </w:pPr>
            <w:r w:rsidRPr="00C84198">
              <w:rPr>
                <w:rFonts w:ascii="Times New Roman" w:hAnsi="Times New Roman"/>
                <w:bCs/>
              </w:rPr>
              <w:t xml:space="preserve">Projekt ustawy o zmianie </w:t>
            </w:r>
            <w:r w:rsidR="00472AB7" w:rsidRPr="00C84198">
              <w:rPr>
                <w:rFonts w:ascii="Times New Roman" w:hAnsi="Times New Roman"/>
                <w:bCs/>
              </w:rPr>
              <w:t xml:space="preserve">niektórych ustaw </w:t>
            </w:r>
            <w:r w:rsidR="00D14ED0" w:rsidRPr="00D14ED0">
              <w:rPr>
                <w:rFonts w:ascii="Times New Roman" w:hAnsi="Times New Roman"/>
                <w:bCs/>
              </w:rPr>
              <w:t xml:space="preserve">w związku z zapewnieniem operacyjnej odporności cyfrowej sektora finansowego </w:t>
            </w:r>
            <w:r w:rsidR="00472AB7" w:rsidRPr="00C84198">
              <w:rPr>
                <w:rFonts w:ascii="Times New Roman" w:hAnsi="Times New Roman"/>
                <w:bCs/>
              </w:rPr>
              <w:t xml:space="preserve">ma na celu zapewnienie stosowania rozporządzenia </w:t>
            </w:r>
            <w:r w:rsidR="00472AB7" w:rsidRPr="00C84198">
              <w:rPr>
                <w:rFonts w:ascii="Times New Roman" w:hAnsi="Times New Roman"/>
              </w:rPr>
              <w:t>Parlamentu Europejskiego i Rady (UE) 2022/2554 z dnia 14 grudnia 2022 r. w sprawie operacyjnej odporności cyfrowej sektora finansowego i zmieniającego rozporządzenia (WE) nr 1060/2009, (UE) nr 648/2012, (UE) nr 600/2014, (UE) nr 909/2014 oraz (UE) 2016/1011 (Dz. Urz. UE L 333 z 27.12.2022, str. 1)</w:t>
            </w:r>
            <w:r w:rsidR="006624C1">
              <w:rPr>
                <w:rFonts w:ascii="Times New Roman" w:hAnsi="Times New Roman"/>
              </w:rPr>
              <w:t>,</w:t>
            </w:r>
            <w:r w:rsidR="00472AB7" w:rsidRPr="00C84198">
              <w:rPr>
                <w:rFonts w:ascii="Times New Roman" w:hAnsi="Times New Roman"/>
              </w:rPr>
              <w:t xml:space="preserve"> </w:t>
            </w:r>
            <w:r w:rsidR="004C32BD">
              <w:rPr>
                <w:rFonts w:ascii="Times New Roman" w:hAnsi="Times New Roman"/>
              </w:rPr>
              <w:t>(</w:t>
            </w:r>
            <w:r w:rsidR="00704B18">
              <w:rPr>
                <w:rFonts w:ascii="Times New Roman" w:hAnsi="Times New Roman"/>
              </w:rPr>
              <w:t xml:space="preserve">zwanego </w:t>
            </w:r>
            <w:r w:rsidR="00472AB7" w:rsidRPr="00C84198">
              <w:rPr>
                <w:rFonts w:ascii="Times New Roman" w:hAnsi="Times New Roman"/>
              </w:rPr>
              <w:t>dalej „rozporządzenie</w:t>
            </w:r>
            <w:r w:rsidR="001D78C0">
              <w:rPr>
                <w:rFonts w:ascii="Times New Roman" w:hAnsi="Times New Roman"/>
              </w:rPr>
              <w:t>m</w:t>
            </w:r>
            <w:r w:rsidR="00472AB7" w:rsidRPr="00C84198">
              <w:rPr>
                <w:rFonts w:ascii="Times New Roman" w:hAnsi="Times New Roman"/>
              </w:rPr>
              <w:t xml:space="preserve"> 2022/2554”), a także </w:t>
            </w:r>
            <w:r w:rsidR="007A6EEE">
              <w:rPr>
                <w:rFonts w:ascii="Times New Roman" w:hAnsi="Times New Roman"/>
              </w:rPr>
              <w:t xml:space="preserve">implementację </w:t>
            </w:r>
            <w:r w:rsidR="00472AB7" w:rsidRPr="00C84198">
              <w:rPr>
                <w:rFonts w:ascii="Times New Roman" w:hAnsi="Times New Roman"/>
              </w:rPr>
              <w:t xml:space="preserve">dyrektywy Parlamentu Europejskiego i Rady 2022/2556 z dnia 14 grudnia 2022 r. w sprawie zmiany dyrektyw 2009/65/WE, 2009/138/WE, 2011/61/UE, 2013/36/UE, 2014/59/UE, 2014/65/UE, (UE) 2015/2366 oraz (UE) 2016/2341 w odniesieniu do operacyjnej odporności cyfrowej sektora finansowego (Dz. Urz. UE L 333 z 27.12.2022, str. 153) (zwanej dalej „dyrektywą 2022/2556”). </w:t>
            </w:r>
          </w:p>
          <w:p w14:paraId="66813F0C" w14:textId="77D78CCC" w:rsidR="00311BE9" w:rsidRPr="00C84198" w:rsidRDefault="002876BD" w:rsidP="00D37018">
            <w:pPr>
              <w:spacing w:after="120" w:line="240" w:lineRule="auto"/>
              <w:jc w:val="both"/>
              <w:rPr>
                <w:rFonts w:ascii="Times New Roman" w:hAnsi="Times New Roman"/>
                <w:color w:val="000000"/>
                <w:shd w:val="clear" w:color="auto" w:fill="FFFFFF"/>
              </w:rPr>
            </w:pPr>
            <w:r w:rsidRPr="00C84198">
              <w:rPr>
                <w:rFonts w:ascii="Times New Roman" w:hAnsi="Times New Roman"/>
                <w:color w:val="000000"/>
              </w:rPr>
              <w:t>Przyjęcie rozporządzeni</w:t>
            </w:r>
            <w:r w:rsidR="00C84198">
              <w:rPr>
                <w:rFonts w:ascii="Times New Roman" w:hAnsi="Times New Roman"/>
                <w:color w:val="000000"/>
              </w:rPr>
              <w:t>a</w:t>
            </w:r>
            <w:r w:rsidRPr="00C84198">
              <w:rPr>
                <w:rFonts w:ascii="Times New Roman" w:hAnsi="Times New Roman"/>
                <w:color w:val="000000"/>
              </w:rPr>
              <w:t xml:space="preserve"> </w:t>
            </w:r>
            <w:r w:rsidRPr="00C84198">
              <w:rPr>
                <w:rFonts w:ascii="Times New Roman" w:hAnsi="Times New Roman"/>
              </w:rPr>
              <w:t xml:space="preserve">2022/2554 jest konsekwencją postanowień zawartych w Komunikacie Komisji Europejskiej </w:t>
            </w:r>
            <w:r w:rsidRPr="00C84198">
              <w:rPr>
                <w:rFonts w:ascii="Times New Roman" w:hAnsi="Times New Roman"/>
                <w:color w:val="000000"/>
                <w:shd w:val="clear" w:color="auto" w:fill="FFFFFF"/>
              </w:rPr>
              <w:t xml:space="preserve">z dnia 8 marca 2018 r. </w:t>
            </w:r>
            <w:r w:rsidR="00766FB1" w:rsidRPr="00C84198">
              <w:rPr>
                <w:rFonts w:ascii="Times New Roman" w:hAnsi="Times New Roman"/>
                <w:color w:val="000000"/>
                <w:shd w:val="clear" w:color="auto" w:fill="FFFFFF"/>
              </w:rPr>
              <w:t>pt.</w:t>
            </w:r>
            <w:r w:rsidRPr="00C84198">
              <w:rPr>
                <w:rFonts w:ascii="Times New Roman" w:hAnsi="Times New Roman"/>
                <w:color w:val="000000"/>
                <w:shd w:val="clear" w:color="auto" w:fill="FFFFFF"/>
              </w:rPr>
              <w:t xml:space="preserve"> „Plan działania w zakresie technologii finansowej: w kierunku bardziej konkurencyjnego i innowacyjnego europejskiego sektora finansowego” oraz </w:t>
            </w:r>
            <w:r w:rsidR="00766FB1" w:rsidRPr="00C84198">
              <w:rPr>
                <w:rFonts w:ascii="Times New Roman" w:hAnsi="Times New Roman"/>
                <w:color w:val="000000"/>
                <w:shd w:val="clear" w:color="auto" w:fill="FFFFFF"/>
              </w:rPr>
              <w:t xml:space="preserve">służy realizacji </w:t>
            </w:r>
            <w:r w:rsidRPr="00C84198">
              <w:rPr>
                <w:rFonts w:ascii="Times New Roman" w:hAnsi="Times New Roman"/>
                <w:color w:val="000000"/>
                <w:shd w:val="clear" w:color="auto" w:fill="FFFFFF"/>
              </w:rPr>
              <w:t>wspólnych zaleceń technicznych Europejskiego Urzędu Nadzoru Bankoweg</w:t>
            </w:r>
            <w:r w:rsidR="00766FB1" w:rsidRPr="00C84198">
              <w:rPr>
                <w:rFonts w:ascii="Times New Roman" w:hAnsi="Times New Roman"/>
                <w:color w:val="000000"/>
                <w:shd w:val="clear" w:color="auto" w:fill="FFFFFF"/>
              </w:rPr>
              <w:t xml:space="preserve">o, </w:t>
            </w:r>
            <w:r w:rsidRPr="00C84198">
              <w:rPr>
                <w:rFonts w:ascii="Times New Roman" w:hAnsi="Times New Roman"/>
                <w:color w:val="000000"/>
                <w:shd w:val="clear" w:color="auto" w:fill="FFFFFF"/>
              </w:rPr>
              <w:t>Europejski</w:t>
            </w:r>
            <w:r w:rsidR="00766FB1" w:rsidRPr="00C84198">
              <w:rPr>
                <w:rFonts w:ascii="Times New Roman" w:hAnsi="Times New Roman"/>
                <w:color w:val="000000"/>
                <w:shd w:val="clear" w:color="auto" w:fill="FFFFFF"/>
              </w:rPr>
              <w:t>ego</w:t>
            </w:r>
            <w:r w:rsidRPr="00C84198">
              <w:rPr>
                <w:rFonts w:ascii="Times New Roman" w:hAnsi="Times New Roman"/>
                <w:color w:val="000000"/>
                <w:shd w:val="clear" w:color="auto" w:fill="FFFFFF"/>
              </w:rPr>
              <w:t xml:space="preserve"> </w:t>
            </w:r>
            <w:r w:rsidR="00766FB1" w:rsidRPr="00C84198">
              <w:rPr>
                <w:rFonts w:ascii="Times New Roman" w:hAnsi="Times New Roman"/>
                <w:color w:val="000000"/>
                <w:shd w:val="clear" w:color="auto" w:fill="FFFFFF"/>
              </w:rPr>
              <w:t>Urzędu</w:t>
            </w:r>
            <w:r w:rsidRPr="00C84198">
              <w:rPr>
                <w:rFonts w:ascii="Times New Roman" w:hAnsi="Times New Roman"/>
                <w:color w:val="000000"/>
                <w:shd w:val="clear" w:color="auto" w:fill="FFFFFF"/>
              </w:rPr>
              <w:t xml:space="preserve"> Nadzoru Ubezpieczeń </w:t>
            </w:r>
            <w:r w:rsidR="00766FB1" w:rsidRPr="00C84198">
              <w:rPr>
                <w:rStyle w:val="oj-italic"/>
                <w:rFonts w:ascii="Times New Roman" w:hAnsi="Times New Roman"/>
              </w:rPr>
              <w:t xml:space="preserve"> i</w:t>
            </w:r>
            <w:r w:rsidRPr="00C84198">
              <w:rPr>
                <w:rFonts w:ascii="Times New Roman" w:hAnsi="Times New Roman"/>
                <w:color w:val="000000"/>
                <w:shd w:val="clear" w:color="auto" w:fill="FFFFFF"/>
              </w:rPr>
              <w:t> Pracowniczych Programów Emerytalnych</w:t>
            </w:r>
            <w:r w:rsidR="00766FB1" w:rsidRPr="00C84198">
              <w:rPr>
                <w:rFonts w:ascii="Times New Roman" w:hAnsi="Times New Roman"/>
                <w:color w:val="000000"/>
                <w:shd w:val="clear" w:color="auto" w:fill="FFFFFF"/>
              </w:rPr>
              <w:t xml:space="preserve"> oraz</w:t>
            </w:r>
            <w:r w:rsidRPr="00C84198">
              <w:rPr>
                <w:rFonts w:ascii="Times New Roman" w:hAnsi="Times New Roman"/>
                <w:color w:val="000000"/>
                <w:shd w:val="clear" w:color="auto" w:fill="FFFFFF"/>
              </w:rPr>
              <w:t xml:space="preserve"> Europejski</w:t>
            </w:r>
            <w:r w:rsidR="00766FB1" w:rsidRPr="00C84198">
              <w:rPr>
                <w:rFonts w:ascii="Times New Roman" w:hAnsi="Times New Roman"/>
                <w:color w:val="000000"/>
                <w:shd w:val="clear" w:color="auto" w:fill="FFFFFF"/>
              </w:rPr>
              <w:t>ego</w:t>
            </w:r>
            <w:r w:rsidRPr="00C84198">
              <w:rPr>
                <w:rFonts w:ascii="Times New Roman" w:hAnsi="Times New Roman"/>
                <w:color w:val="000000"/>
                <w:shd w:val="clear" w:color="auto" w:fill="FFFFFF"/>
              </w:rPr>
              <w:t xml:space="preserve"> </w:t>
            </w:r>
            <w:r w:rsidR="00766FB1" w:rsidRPr="00C84198">
              <w:rPr>
                <w:rFonts w:ascii="Times New Roman" w:hAnsi="Times New Roman"/>
                <w:color w:val="000000"/>
                <w:shd w:val="clear" w:color="auto" w:fill="FFFFFF"/>
              </w:rPr>
              <w:t>Urzędu</w:t>
            </w:r>
            <w:r w:rsidRPr="00C84198">
              <w:rPr>
                <w:rFonts w:ascii="Times New Roman" w:hAnsi="Times New Roman"/>
                <w:color w:val="000000"/>
                <w:shd w:val="clear" w:color="auto" w:fill="FFFFFF"/>
              </w:rPr>
              <w:t xml:space="preserve"> Nadzoru Giełd i Papierów Wartościowych</w:t>
            </w:r>
            <w:r w:rsidR="007F1E7D">
              <w:rPr>
                <w:rFonts w:ascii="Times New Roman" w:hAnsi="Times New Roman"/>
                <w:color w:val="000000"/>
                <w:shd w:val="clear" w:color="auto" w:fill="FFFFFF"/>
              </w:rPr>
              <w:t>,</w:t>
            </w:r>
            <w:r w:rsidR="00766FB1" w:rsidRPr="00C84198">
              <w:rPr>
                <w:rFonts w:ascii="Times New Roman" w:hAnsi="Times New Roman"/>
                <w:color w:val="000000"/>
                <w:shd w:val="clear" w:color="auto" w:fill="FFFFFF"/>
              </w:rPr>
              <w:t xml:space="preserve"> opublikowanych w kwietniu 2019</w:t>
            </w:r>
            <w:r w:rsidR="006624C1">
              <w:rPr>
                <w:rFonts w:ascii="Times New Roman" w:hAnsi="Times New Roman"/>
                <w:color w:val="000000"/>
                <w:shd w:val="clear" w:color="auto" w:fill="FFFFFF"/>
              </w:rPr>
              <w:t> </w:t>
            </w:r>
            <w:r w:rsidR="00766FB1" w:rsidRPr="00C84198">
              <w:rPr>
                <w:rFonts w:ascii="Times New Roman" w:hAnsi="Times New Roman"/>
                <w:color w:val="000000"/>
                <w:shd w:val="clear" w:color="auto" w:fill="FFFFFF"/>
              </w:rPr>
              <w:t xml:space="preserve">r., w których ww. instytucje wezwały do przyjęcia spójnego podejścia do ryzyka związanego z ICT </w:t>
            </w:r>
            <w:r w:rsidR="007F1E7D">
              <w:rPr>
                <w:rFonts w:ascii="Times New Roman" w:hAnsi="Times New Roman"/>
                <w:color w:val="000000"/>
                <w:shd w:val="clear" w:color="auto" w:fill="FFFFFF"/>
              </w:rPr>
              <w:t xml:space="preserve">(technologie informacyjno – komunikacyjne) w sektorze finansów oraz zaleciły wzmocnienie, w sposób proporcjonalny, operacyjnej odporności cyfrowej sektora usług finansowych za pomocą unijnej inicjatywy sektorowej. </w:t>
            </w:r>
            <w:r w:rsidR="00D14ED0">
              <w:rPr>
                <w:rFonts w:ascii="Times New Roman" w:hAnsi="Times New Roman"/>
                <w:color w:val="000000"/>
                <w:shd w:val="clear" w:color="auto" w:fill="FFFFFF"/>
              </w:rPr>
              <w:t xml:space="preserve"> </w:t>
            </w:r>
          </w:p>
          <w:p w14:paraId="075CA959" w14:textId="6D4B6130" w:rsidR="005679D3" w:rsidRPr="00C84198" w:rsidRDefault="006624C1" w:rsidP="00D37018">
            <w:pPr>
              <w:spacing w:after="120" w:line="240" w:lineRule="auto"/>
              <w:jc w:val="both"/>
              <w:rPr>
                <w:rFonts w:ascii="Times New Roman" w:hAnsi="Times New Roman"/>
                <w:color w:val="000000"/>
                <w:shd w:val="clear" w:color="auto" w:fill="FFFFFF"/>
              </w:rPr>
            </w:pPr>
            <w:r>
              <w:rPr>
                <w:rFonts w:ascii="Times New Roman" w:hAnsi="Times New Roman"/>
                <w:color w:val="000000"/>
              </w:rPr>
              <w:t>R</w:t>
            </w:r>
            <w:r w:rsidR="00303222" w:rsidRPr="00C84198">
              <w:rPr>
                <w:rFonts w:ascii="Times New Roman" w:hAnsi="Times New Roman"/>
                <w:color w:val="000000"/>
              </w:rPr>
              <w:t xml:space="preserve">ozporządzenie </w:t>
            </w:r>
            <w:r w:rsidR="00303222" w:rsidRPr="00C84198">
              <w:rPr>
                <w:rFonts w:ascii="Times New Roman" w:hAnsi="Times New Roman"/>
              </w:rPr>
              <w:t xml:space="preserve">2022/2554 ma na celu harmonizację </w:t>
            </w:r>
            <w:r w:rsidR="00303222" w:rsidRPr="00C84198">
              <w:rPr>
                <w:rFonts w:ascii="Times New Roman" w:hAnsi="Times New Roman"/>
                <w:color w:val="000000"/>
                <w:shd w:val="clear" w:color="auto" w:fill="FFFFFF"/>
              </w:rPr>
              <w:t>przepisów dotyczących operacyjnej odporności cyfrowej i bezpieczeństwa ICT</w:t>
            </w:r>
            <w:r w:rsidR="00253773">
              <w:rPr>
                <w:rFonts w:ascii="Times New Roman" w:hAnsi="Times New Roman"/>
                <w:color w:val="000000"/>
                <w:shd w:val="clear" w:color="auto" w:fill="FFFFFF"/>
              </w:rPr>
              <w:t xml:space="preserve"> </w:t>
            </w:r>
            <w:r w:rsidR="005679D3" w:rsidRPr="00C84198">
              <w:rPr>
                <w:rFonts w:ascii="Times New Roman" w:hAnsi="Times New Roman"/>
                <w:color w:val="000000"/>
                <w:shd w:val="clear" w:color="auto" w:fill="FFFFFF"/>
              </w:rPr>
              <w:t>w obszarze usług finansowych.</w:t>
            </w:r>
            <w:r w:rsidR="004E23E2" w:rsidRPr="00C84198">
              <w:rPr>
                <w:rFonts w:ascii="Times New Roman" w:hAnsi="Times New Roman"/>
                <w:color w:val="000000"/>
                <w:shd w:val="clear" w:color="auto" w:fill="FFFFFF"/>
              </w:rPr>
              <w:t> </w:t>
            </w:r>
            <w:r w:rsidR="005679D3" w:rsidRPr="00C84198">
              <w:rPr>
                <w:rFonts w:ascii="Times New Roman" w:hAnsi="Times New Roman"/>
                <w:color w:val="000000"/>
                <w:shd w:val="clear" w:color="auto" w:fill="FFFFFF"/>
              </w:rPr>
              <w:t xml:space="preserve">Z uwagi na dynamiczny rozwój gospodarki cyfrowej, przepisy te mają </w:t>
            </w:r>
            <w:r w:rsidR="00303222" w:rsidRPr="00C84198">
              <w:rPr>
                <w:rFonts w:ascii="Times New Roman" w:hAnsi="Times New Roman"/>
                <w:color w:val="000000"/>
                <w:shd w:val="clear" w:color="auto" w:fill="FFFFFF"/>
              </w:rPr>
              <w:t>kluczowe znaczeni</w:t>
            </w:r>
            <w:r w:rsidR="005679D3" w:rsidRPr="00C84198">
              <w:rPr>
                <w:rFonts w:ascii="Times New Roman" w:hAnsi="Times New Roman"/>
                <w:color w:val="000000"/>
                <w:shd w:val="clear" w:color="auto" w:fill="FFFFFF"/>
              </w:rPr>
              <w:t>e</w:t>
            </w:r>
            <w:r w:rsidR="00303222" w:rsidRPr="00C84198">
              <w:rPr>
                <w:rFonts w:ascii="Times New Roman" w:hAnsi="Times New Roman"/>
                <w:color w:val="000000"/>
                <w:shd w:val="clear" w:color="auto" w:fill="FFFFFF"/>
              </w:rPr>
              <w:t xml:space="preserve"> dla zapewnienia stabilności finansowej i integralności rynku</w:t>
            </w:r>
            <w:r w:rsidR="005679D3" w:rsidRPr="00C84198">
              <w:rPr>
                <w:rFonts w:ascii="Times New Roman" w:hAnsi="Times New Roman"/>
                <w:color w:val="000000"/>
                <w:shd w:val="clear" w:color="auto" w:fill="FFFFFF"/>
              </w:rPr>
              <w:t xml:space="preserve"> finansowego. </w:t>
            </w:r>
          </w:p>
          <w:p w14:paraId="6A02DFA0" w14:textId="6750F166" w:rsidR="009979CB" w:rsidRPr="00125718" w:rsidRDefault="009979CB" w:rsidP="00D37018">
            <w:pPr>
              <w:spacing w:after="120" w:line="240" w:lineRule="auto"/>
              <w:jc w:val="both"/>
              <w:rPr>
                <w:rFonts w:ascii="Times New Roman" w:hAnsi="Times New Roman"/>
                <w:color w:val="000000"/>
                <w:shd w:val="clear" w:color="auto" w:fill="FFFFFF"/>
              </w:rPr>
            </w:pPr>
            <w:r w:rsidRPr="00125718">
              <w:rPr>
                <w:rFonts w:ascii="Times New Roman" w:eastAsia="Times New Roman" w:hAnsi="Times New Roman"/>
                <w:color w:val="000000"/>
                <w:lang w:eastAsia="pl-PL"/>
              </w:rPr>
              <w:t xml:space="preserve">W związku z regulacją ww. rozporządzenia pozostają również zmiany wprowadzone </w:t>
            </w:r>
            <w:r w:rsidRPr="00125718">
              <w:rPr>
                <w:rFonts w:ascii="Times New Roman" w:hAnsi="Times New Roman"/>
              </w:rPr>
              <w:t>dyrektywą 2022/2556</w:t>
            </w:r>
            <w:r w:rsidRPr="00125718">
              <w:rPr>
                <w:rFonts w:ascii="Times New Roman" w:eastAsia="Times New Roman" w:hAnsi="Times New Roman"/>
                <w:color w:val="000000"/>
                <w:lang w:eastAsia="pl-PL"/>
              </w:rPr>
              <w:t xml:space="preserve">, która dokonuje zmian w </w:t>
            </w:r>
            <w:r w:rsidRPr="00125718">
              <w:rPr>
                <w:rFonts w:ascii="Times New Roman" w:hAnsi="Times New Roman"/>
              </w:rPr>
              <w:t>dyrektywach: 2009/65/WE, 2009/138/WE, 2011/61/UE, 2013/36/UE, 2014/59/UE, 2014/65/UE, (UE) 2015/2366 oraz (UE) 2016/2341. Wprowadzone w ww. dyrektywach zmiany mają na celu  zwiększenie operacyjnej odporności cyfrowej sektora finansowego, przez wprowadzenie odpowiednich odesłań do przepisów rozporządzenia 2022/2554</w:t>
            </w:r>
            <w:r w:rsidR="00290986" w:rsidRPr="00125718">
              <w:rPr>
                <w:rFonts w:ascii="Times New Roman" w:hAnsi="Times New Roman"/>
              </w:rPr>
              <w:t xml:space="preserve">. </w:t>
            </w:r>
          </w:p>
          <w:p w14:paraId="32753348" w14:textId="3DE1A0D2" w:rsidR="00255EAE" w:rsidRPr="006F73A6" w:rsidRDefault="00D37018" w:rsidP="00442AAC">
            <w:pPr>
              <w:spacing w:after="120" w:line="240" w:lineRule="auto"/>
              <w:jc w:val="both"/>
              <w:rPr>
                <w:rFonts w:ascii="Times New Roman" w:hAnsi="Times New Roman"/>
                <w:color w:val="000000"/>
                <w:shd w:val="clear" w:color="auto" w:fill="FFFFFF"/>
              </w:rPr>
            </w:pPr>
            <w:r w:rsidRPr="006F73A6">
              <w:rPr>
                <w:rFonts w:ascii="Times New Roman" w:hAnsi="Times New Roman"/>
                <w:color w:val="000000"/>
                <w:shd w:val="clear" w:color="auto" w:fill="FFFFFF"/>
              </w:rPr>
              <w:t>Podstawowym</w:t>
            </w:r>
            <w:r w:rsidR="00A3509A" w:rsidRPr="006F73A6">
              <w:rPr>
                <w:rFonts w:ascii="Times New Roman" w:hAnsi="Times New Roman"/>
                <w:color w:val="000000"/>
                <w:shd w:val="clear" w:color="auto" w:fill="FFFFFF"/>
              </w:rPr>
              <w:t xml:space="preserve"> celem projektowanej regulacji jest zwięk</w:t>
            </w:r>
            <w:r w:rsidRPr="006F73A6">
              <w:rPr>
                <w:rFonts w:ascii="Times New Roman" w:hAnsi="Times New Roman"/>
                <w:color w:val="000000"/>
                <w:shd w:val="clear" w:color="auto" w:fill="FFFFFF"/>
              </w:rPr>
              <w:t>s</w:t>
            </w:r>
            <w:r w:rsidR="00A3509A" w:rsidRPr="006F73A6">
              <w:rPr>
                <w:rFonts w:ascii="Times New Roman" w:hAnsi="Times New Roman"/>
                <w:color w:val="000000"/>
                <w:shd w:val="clear" w:color="auto" w:fill="FFFFFF"/>
              </w:rPr>
              <w:t xml:space="preserve">zenie odporności cyfrowej i bezpieczeństwa ICT w obszarze usług finansowych poprzez implementację </w:t>
            </w:r>
            <w:r w:rsidR="00785304" w:rsidRPr="006F73A6">
              <w:rPr>
                <w:rFonts w:ascii="Times New Roman" w:hAnsi="Times New Roman"/>
                <w:color w:val="000000"/>
                <w:shd w:val="clear" w:color="auto" w:fill="FFFFFF"/>
              </w:rPr>
              <w:t xml:space="preserve">i zapewnienie stosowania </w:t>
            </w:r>
            <w:r w:rsidR="00785304" w:rsidRPr="006F73A6">
              <w:rPr>
                <w:rFonts w:ascii="Times New Roman" w:hAnsi="Times New Roman"/>
                <w:color w:val="000000"/>
              </w:rPr>
              <w:t xml:space="preserve">rozporządzenia </w:t>
            </w:r>
            <w:r w:rsidR="00785304" w:rsidRPr="006F73A6">
              <w:rPr>
                <w:rFonts w:ascii="Times New Roman" w:hAnsi="Times New Roman"/>
              </w:rPr>
              <w:t>2022/2554</w:t>
            </w:r>
            <w:r w:rsidR="009979CB" w:rsidRPr="006F73A6">
              <w:rPr>
                <w:rFonts w:ascii="Times New Roman" w:hAnsi="Times New Roman"/>
                <w:color w:val="000000"/>
                <w:shd w:val="clear" w:color="auto" w:fill="FFFFFF"/>
              </w:rPr>
              <w:t xml:space="preserve">, w szczególności </w:t>
            </w:r>
            <w:r w:rsidR="00785304" w:rsidRPr="006F73A6">
              <w:rPr>
                <w:rFonts w:ascii="Times New Roman" w:hAnsi="Times New Roman"/>
                <w:color w:val="000000"/>
                <w:shd w:val="clear" w:color="auto" w:fill="FFFFFF"/>
              </w:rPr>
              <w:t xml:space="preserve">przepisów </w:t>
            </w:r>
            <w:r w:rsidR="009979CB" w:rsidRPr="006F73A6">
              <w:rPr>
                <w:rFonts w:ascii="Times New Roman" w:hAnsi="Times New Roman"/>
                <w:color w:val="000000"/>
                <w:shd w:val="clear" w:color="auto" w:fill="FFFFFF"/>
              </w:rPr>
              <w:t>o ch</w:t>
            </w:r>
            <w:r w:rsidR="00D723C1" w:rsidRPr="006F73A6">
              <w:rPr>
                <w:rFonts w:ascii="Times New Roman" w:hAnsi="Times New Roman"/>
                <w:color w:val="000000"/>
                <w:shd w:val="clear" w:color="auto" w:fill="FFFFFF"/>
              </w:rPr>
              <w:t>a</w:t>
            </w:r>
            <w:r w:rsidR="009979CB" w:rsidRPr="006F73A6">
              <w:rPr>
                <w:rFonts w:ascii="Times New Roman" w:hAnsi="Times New Roman"/>
                <w:color w:val="000000"/>
                <w:shd w:val="clear" w:color="auto" w:fill="FFFFFF"/>
              </w:rPr>
              <w:t>rakterze kompetencyjnym</w:t>
            </w:r>
            <w:r w:rsidR="00A3509A" w:rsidRPr="006F73A6">
              <w:rPr>
                <w:rFonts w:ascii="Times New Roman" w:hAnsi="Times New Roman"/>
                <w:color w:val="000000"/>
                <w:shd w:val="clear" w:color="auto" w:fill="FFFFFF"/>
              </w:rPr>
              <w:t>,</w:t>
            </w:r>
            <w:r w:rsidR="009979CB" w:rsidRPr="006F73A6">
              <w:rPr>
                <w:rFonts w:ascii="Times New Roman" w:hAnsi="Times New Roman"/>
                <w:color w:val="000000"/>
                <w:shd w:val="clear" w:color="auto" w:fill="FFFFFF"/>
              </w:rPr>
              <w:t xml:space="preserve"> a także implementację </w:t>
            </w:r>
            <w:r w:rsidR="009979CB" w:rsidRPr="006F73A6">
              <w:rPr>
                <w:rFonts w:ascii="Times New Roman" w:hAnsi="Times New Roman"/>
              </w:rPr>
              <w:t>dyrektywy 2022/2556</w:t>
            </w:r>
            <w:r w:rsidR="009979CB" w:rsidRPr="006F73A6">
              <w:rPr>
                <w:rFonts w:ascii="Times New Roman" w:hAnsi="Times New Roman"/>
                <w:color w:val="000000"/>
                <w:shd w:val="clear" w:color="auto" w:fill="FFFFFF"/>
              </w:rPr>
              <w:t>,</w:t>
            </w:r>
            <w:r w:rsidR="007F1E7D" w:rsidRPr="006F73A6">
              <w:rPr>
                <w:rFonts w:ascii="Times New Roman" w:hAnsi="Times New Roman"/>
                <w:color w:val="000000"/>
                <w:shd w:val="clear" w:color="auto" w:fill="FFFFFF"/>
              </w:rPr>
              <w:t xml:space="preserve"> </w:t>
            </w:r>
            <w:r w:rsidR="00A3509A" w:rsidRPr="006F73A6">
              <w:rPr>
                <w:rFonts w:ascii="Times New Roman" w:hAnsi="Times New Roman"/>
                <w:color w:val="000000"/>
                <w:shd w:val="clear" w:color="auto" w:fill="FFFFFF"/>
              </w:rPr>
              <w:t xml:space="preserve">w szczególności </w:t>
            </w:r>
            <w:r w:rsidRPr="006F73A6">
              <w:rPr>
                <w:rFonts w:ascii="Times New Roman" w:hAnsi="Times New Roman"/>
                <w:color w:val="000000"/>
                <w:shd w:val="clear" w:color="auto" w:fill="FFFFFF"/>
              </w:rPr>
              <w:t>poprzez</w:t>
            </w:r>
            <w:r w:rsidR="00A3509A" w:rsidRPr="006F73A6">
              <w:rPr>
                <w:rFonts w:ascii="Times New Roman" w:hAnsi="Times New Roman"/>
                <w:color w:val="000000"/>
                <w:shd w:val="clear" w:color="auto" w:fill="FFFFFF"/>
              </w:rPr>
              <w:t xml:space="preserve"> zmianę st</w:t>
            </w:r>
            <w:r w:rsidRPr="006F73A6">
              <w:rPr>
                <w:rFonts w:ascii="Times New Roman" w:hAnsi="Times New Roman"/>
                <w:color w:val="000000"/>
                <w:shd w:val="clear" w:color="auto" w:fill="FFFFFF"/>
              </w:rPr>
              <w:t>o</w:t>
            </w:r>
            <w:r w:rsidR="00A3509A" w:rsidRPr="006F73A6">
              <w:rPr>
                <w:rFonts w:ascii="Times New Roman" w:hAnsi="Times New Roman"/>
                <w:color w:val="000000"/>
                <w:shd w:val="clear" w:color="auto" w:fill="FFFFFF"/>
              </w:rPr>
              <w:t>s</w:t>
            </w:r>
            <w:r w:rsidRPr="006F73A6">
              <w:rPr>
                <w:rFonts w:ascii="Times New Roman" w:hAnsi="Times New Roman"/>
                <w:color w:val="000000"/>
                <w:shd w:val="clear" w:color="auto" w:fill="FFFFFF"/>
              </w:rPr>
              <w:t>o</w:t>
            </w:r>
            <w:r w:rsidR="00A3509A" w:rsidRPr="006F73A6">
              <w:rPr>
                <w:rFonts w:ascii="Times New Roman" w:hAnsi="Times New Roman"/>
                <w:color w:val="000000"/>
                <w:shd w:val="clear" w:color="auto" w:fill="FFFFFF"/>
              </w:rPr>
              <w:t xml:space="preserve">wnych przepisów regulujących </w:t>
            </w:r>
            <w:r w:rsidR="0060451A" w:rsidRPr="006F73A6">
              <w:rPr>
                <w:rFonts w:ascii="Times New Roman" w:hAnsi="Times New Roman"/>
                <w:color w:val="000000"/>
                <w:shd w:val="clear" w:color="auto" w:fill="FFFFFF"/>
              </w:rPr>
              <w:t>wykonywanie działalności przez</w:t>
            </w:r>
            <w:r w:rsidR="007F1E7D" w:rsidRPr="006F73A6">
              <w:rPr>
                <w:rFonts w:ascii="Times New Roman" w:hAnsi="Times New Roman"/>
                <w:color w:val="000000"/>
                <w:shd w:val="clear" w:color="auto" w:fill="FFFFFF"/>
              </w:rPr>
              <w:t xml:space="preserve"> </w:t>
            </w:r>
            <w:r w:rsidR="00A3509A" w:rsidRPr="006F73A6">
              <w:rPr>
                <w:rFonts w:ascii="Times New Roman" w:hAnsi="Times New Roman"/>
                <w:color w:val="000000"/>
                <w:shd w:val="clear" w:color="auto" w:fill="FFFFFF"/>
              </w:rPr>
              <w:t>poszczególn</w:t>
            </w:r>
            <w:r w:rsidR="0060451A" w:rsidRPr="006F73A6">
              <w:rPr>
                <w:rFonts w:ascii="Times New Roman" w:hAnsi="Times New Roman"/>
                <w:color w:val="000000"/>
                <w:shd w:val="clear" w:color="auto" w:fill="FFFFFF"/>
              </w:rPr>
              <w:t>e</w:t>
            </w:r>
            <w:r w:rsidR="00A3509A" w:rsidRPr="006F73A6">
              <w:rPr>
                <w:rFonts w:ascii="Times New Roman" w:hAnsi="Times New Roman"/>
                <w:color w:val="000000"/>
                <w:shd w:val="clear" w:color="auto" w:fill="FFFFFF"/>
              </w:rPr>
              <w:t xml:space="preserve"> kategori</w:t>
            </w:r>
            <w:r w:rsidR="0060451A" w:rsidRPr="006F73A6">
              <w:rPr>
                <w:rFonts w:ascii="Times New Roman" w:hAnsi="Times New Roman"/>
                <w:color w:val="000000"/>
                <w:shd w:val="clear" w:color="auto" w:fill="FFFFFF"/>
              </w:rPr>
              <w:t>e</w:t>
            </w:r>
            <w:r w:rsidRPr="006F73A6">
              <w:rPr>
                <w:rFonts w:ascii="Times New Roman" w:hAnsi="Times New Roman"/>
                <w:color w:val="000000"/>
                <w:shd w:val="clear" w:color="auto" w:fill="FFFFFF"/>
              </w:rPr>
              <w:t xml:space="preserve"> p</w:t>
            </w:r>
            <w:r w:rsidR="00A3509A" w:rsidRPr="006F73A6">
              <w:rPr>
                <w:rFonts w:ascii="Times New Roman" w:hAnsi="Times New Roman"/>
                <w:color w:val="000000"/>
                <w:shd w:val="clear" w:color="auto" w:fill="FFFFFF"/>
              </w:rPr>
              <w:t>odmiotów finansowych</w:t>
            </w:r>
            <w:r w:rsidR="009979CB" w:rsidRPr="006F73A6">
              <w:rPr>
                <w:rFonts w:ascii="Times New Roman" w:hAnsi="Times New Roman"/>
                <w:color w:val="000000"/>
                <w:shd w:val="clear" w:color="auto" w:fill="FFFFFF"/>
              </w:rPr>
              <w:t xml:space="preserve">. </w:t>
            </w:r>
          </w:p>
        </w:tc>
      </w:tr>
      <w:tr w:rsidR="006A701A" w:rsidRPr="008B4FE6" w14:paraId="6D6B3888" w14:textId="77777777" w:rsidTr="00F61CC9">
        <w:trPr>
          <w:trHeight w:val="142"/>
        </w:trPr>
        <w:tc>
          <w:tcPr>
            <w:tcW w:w="10803" w:type="dxa"/>
            <w:gridSpan w:val="29"/>
            <w:shd w:val="clear" w:color="auto" w:fill="99CCFF"/>
            <w:vAlign w:val="center"/>
          </w:tcPr>
          <w:p w14:paraId="248DC27F"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4BAE224" w14:textId="77777777" w:rsidTr="00F61CC9">
        <w:trPr>
          <w:trHeight w:val="142"/>
        </w:trPr>
        <w:tc>
          <w:tcPr>
            <w:tcW w:w="10803" w:type="dxa"/>
            <w:gridSpan w:val="29"/>
            <w:shd w:val="clear" w:color="auto" w:fill="auto"/>
          </w:tcPr>
          <w:p w14:paraId="4564B4AA" w14:textId="612E3B9D" w:rsidR="00D915EE" w:rsidRPr="00891827" w:rsidRDefault="00D915EE" w:rsidP="00891827">
            <w:pPr>
              <w:pStyle w:val="oj-normal"/>
              <w:shd w:val="clear" w:color="auto" w:fill="FFFFFF"/>
              <w:spacing w:before="120" w:beforeAutospacing="0" w:after="120" w:afterAutospacing="0"/>
              <w:jc w:val="both"/>
              <w:rPr>
                <w:color w:val="000000"/>
                <w:sz w:val="22"/>
                <w:szCs w:val="22"/>
              </w:rPr>
            </w:pPr>
            <w:r w:rsidRPr="00891827">
              <w:rPr>
                <w:sz w:val="22"/>
                <w:szCs w:val="22"/>
              </w:rPr>
              <w:t xml:space="preserve">Rozporządzenie 2022/2554 określa jednolite wymogi </w:t>
            </w:r>
            <w:r w:rsidRPr="00891827">
              <w:rPr>
                <w:color w:val="000000"/>
                <w:sz w:val="22"/>
                <w:szCs w:val="22"/>
              </w:rPr>
              <w:t>dotyczące bezpieczeństwa sieci i systemów informatycznych wspierających procesy biznesowe podmiotów finansowych</w:t>
            </w:r>
            <w:r w:rsidR="004079FC" w:rsidRPr="00891827">
              <w:rPr>
                <w:color w:val="000000"/>
                <w:sz w:val="22"/>
                <w:szCs w:val="22"/>
              </w:rPr>
              <w:t xml:space="preserve"> (zakres przedmiotowy regulacji: art. 1) oraz wskazuje obowiązki podmiotów rynku finansowego w tym zakresie</w:t>
            </w:r>
            <w:r w:rsidR="00833009">
              <w:rPr>
                <w:color w:val="000000"/>
                <w:sz w:val="22"/>
                <w:szCs w:val="22"/>
              </w:rPr>
              <w:t xml:space="preserve">. </w:t>
            </w:r>
          </w:p>
          <w:p w14:paraId="48320772" w14:textId="2749BD62" w:rsidR="005F5624" w:rsidRPr="004C32BD" w:rsidRDefault="00C20C6E" w:rsidP="004C32BD">
            <w:pPr>
              <w:pStyle w:val="oj-normal"/>
              <w:shd w:val="clear" w:color="auto" w:fill="FFFFFF"/>
              <w:spacing w:before="120" w:beforeAutospacing="0" w:after="120" w:afterAutospacing="0"/>
              <w:jc w:val="both"/>
              <w:rPr>
                <w:color w:val="000000"/>
                <w:sz w:val="22"/>
                <w:szCs w:val="22"/>
              </w:rPr>
            </w:pPr>
            <w:r w:rsidRPr="00891827">
              <w:rPr>
                <w:color w:val="000000"/>
                <w:sz w:val="22"/>
                <w:szCs w:val="22"/>
              </w:rPr>
              <w:t>P</w:t>
            </w:r>
            <w:r w:rsidR="004079FC" w:rsidRPr="00891827">
              <w:rPr>
                <w:color w:val="000000"/>
                <w:sz w:val="22"/>
                <w:szCs w:val="22"/>
              </w:rPr>
              <w:t xml:space="preserve">odmioty finansowe </w:t>
            </w:r>
            <w:r w:rsidRPr="00891827">
              <w:rPr>
                <w:color w:val="000000"/>
                <w:sz w:val="22"/>
                <w:szCs w:val="22"/>
              </w:rPr>
              <w:t xml:space="preserve">objęte obowiązkami wynikającymi z rozporządzenia </w:t>
            </w:r>
            <w:r w:rsidRPr="00891827">
              <w:rPr>
                <w:sz w:val="22"/>
                <w:szCs w:val="22"/>
              </w:rPr>
              <w:t>2022/2554</w:t>
            </w:r>
            <w:r w:rsidRPr="00891827">
              <w:rPr>
                <w:color w:val="000000"/>
                <w:sz w:val="22"/>
                <w:szCs w:val="22"/>
                <w:shd w:val="clear" w:color="auto" w:fill="FFFFFF"/>
              </w:rPr>
              <w:t xml:space="preserve"> </w:t>
            </w:r>
            <w:r w:rsidR="004079FC" w:rsidRPr="00891827">
              <w:rPr>
                <w:color w:val="000000"/>
                <w:sz w:val="22"/>
                <w:szCs w:val="22"/>
              </w:rPr>
              <w:t xml:space="preserve">określone </w:t>
            </w:r>
            <w:r w:rsidRPr="00891827">
              <w:rPr>
                <w:color w:val="000000"/>
                <w:sz w:val="22"/>
                <w:szCs w:val="22"/>
              </w:rPr>
              <w:t xml:space="preserve">zostały </w:t>
            </w:r>
            <w:r w:rsidR="004079FC" w:rsidRPr="00891827">
              <w:rPr>
                <w:color w:val="000000"/>
                <w:sz w:val="22"/>
                <w:szCs w:val="22"/>
              </w:rPr>
              <w:t>w art. 2 ust. 1 lit.</w:t>
            </w:r>
            <w:r w:rsidR="00FB3924" w:rsidRPr="00891827">
              <w:rPr>
                <w:color w:val="000000"/>
                <w:sz w:val="22"/>
                <w:szCs w:val="22"/>
                <w:shd w:val="clear" w:color="auto" w:fill="FFFFFF"/>
              </w:rPr>
              <w:t xml:space="preserve"> a</w:t>
            </w:r>
            <w:r w:rsidR="00B358C4">
              <w:rPr>
                <w:color w:val="000000"/>
                <w:sz w:val="22"/>
                <w:szCs w:val="22"/>
                <w:shd w:val="clear" w:color="auto" w:fill="FFFFFF"/>
              </w:rPr>
              <w:t xml:space="preserve"> </w:t>
            </w:r>
            <w:r w:rsidR="00FB3924" w:rsidRPr="00891827">
              <w:rPr>
                <w:color w:val="000000"/>
                <w:sz w:val="22"/>
                <w:szCs w:val="22"/>
                <w:shd w:val="clear" w:color="auto" w:fill="FFFFFF"/>
              </w:rPr>
              <w:t>–</w:t>
            </w:r>
            <w:r w:rsidR="00B358C4">
              <w:rPr>
                <w:color w:val="000000"/>
                <w:sz w:val="22"/>
                <w:szCs w:val="22"/>
                <w:shd w:val="clear" w:color="auto" w:fill="FFFFFF"/>
              </w:rPr>
              <w:t xml:space="preserve"> </w:t>
            </w:r>
            <w:r w:rsidR="00FB3924" w:rsidRPr="00891827">
              <w:rPr>
                <w:color w:val="000000"/>
                <w:sz w:val="22"/>
                <w:szCs w:val="22"/>
                <w:shd w:val="clear" w:color="auto" w:fill="FFFFFF"/>
              </w:rPr>
              <w:t>t</w:t>
            </w:r>
            <w:r w:rsidR="003C2643">
              <w:rPr>
                <w:color w:val="000000"/>
                <w:sz w:val="22"/>
                <w:szCs w:val="22"/>
                <w:shd w:val="clear" w:color="auto" w:fill="FFFFFF"/>
              </w:rPr>
              <w:t xml:space="preserve"> tego rozporządzenia</w:t>
            </w:r>
            <w:r w:rsidR="007A6EEE">
              <w:rPr>
                <w:color w:val="000000"/>
                <w:sz w:val="22"/>
                <w:szCs w:val="22"/>
                <w:shd w:val="clear" w:color="auto" w:fill="FFFFFF"/>
              </w:rPr>
              <w:t xml:space="preserve">, </w:t>
            </w:r>
            <w:r w:rsidR="007A6EEE" w:rsidRPr="007A6EEE">
              <w:rPr>
                <w:color w:val="000000"/>
                <w:sz w:val="22"/>
                <w:szCs w:val="22"/>
                <w:shd w:val="clear" w:color="auto" w:fill="FFFFFF"/>
              </w:rPr>
              <w:t>należą do nich np. instytucje kredytowe, instytucje płatnicze, firmy inwestycyjne czy centralne depozyty papierów wartościowych</w:t>
            </w:r>
            <w:r w:rsidR="00D37018" w:rsidRPr="007A6EEE">
              <w:rPr>
                <w:color w:val="000000"/>
                <w:sz w:val="22"/>
                <w:szCs w:val="22"/>
              </w:rPr>
              <w:t>.</w:t>
            </w:r>
            <w:r w:rsidR="00D37018" w:rsidRPr="00891827">
              <w:rPr>
                <w:color w:val="000000"/>
                <w:sz w:val="22"/>
                <w:szCs w:val="22"/>
              </w:rPr>
              <w:t xml:space="preserve"> Jednocześnie art. </w:t>
            </w:r>
            <w:r w:rsidRPr="00891827">
              <w:rPr>
                <w:color w:val="000000"/>
                <w:sz w:val="22"/>
                <w:szCs w:val="22"/>
              </w:rPr>
              <w:t>2 u</w:t>
            </w:r>
            <w:r w:rsidR="00D37018" w:rsidRPr="00891827">
              <w:rPr>
                <w:color w:val="000000"/>
                <w:sz w:val="22"/>
                <w:szCs w:val="22"/>
              </w:rPr>
              <w:t xml:space="preserve">st. 3 </w:t>
            </w:r>
            <w:r w:rsidR="003C2643">
              <w:rPr>
                <w:color w:val="000000"/>
                <w:sz w:val="22"/>
                <w:szCs w:val="22"/>
              </w:rPr>
              <w:t xml:space="preserve">rozporządzenia </w:t>
            </w:r>
            <w:r w:rsidR="003C2643" w:rsidRPr="003C2643">
              <w:rPr>
                <w:color w:val="000000"/>
                <w:sz w:val="22"/>
                <w:szCs w:val="22"/>
              </w:rPr>
              <w:t>2022/2554</w:t>
            </w:r>
            <w:r w:rsidR="003C2643">
              <w:rPr>
                <w:color w:val="000000"/>
                <w:sz w:val="22"/>
                <w:szCs w:val="22"/>
              </w:rPr>
              <w:t xml:space="preserve"> </w:t>
            </w:r>
            <w:r w:rsidRPr="00891827">
              <w:rPr>
                <w:color w:val="000000"/>
                <w:sz w:val="22"/>
                <w:szCs w:val="22"/>
              </w:rPr>
              <w:t xml:space="preserve">wskazuje </w:t>
            </w:r>
            <w:r w:rsidR="00D37018" w:rsidRPr="00891827">
              <w:rPr>
                <w:color w:val="000000"/>
                <w:sz w:val="22"/>
                <w:szCs w:val="22"/>
              </w:rPr>
              <w:t xml:space="preserve">podmioty finansowe </w:t>
            </w:r>
            <w:r w:rsidR="00D37018" w:rsidRPr="00891827">
              <w:rPr>
                <w:color w:val="000000"/>
                <w:sz w:val="22"/>
                <w:szCs w:val="22"/>
              </w:rPr>
              <w:lastRenderedPageBreak/>
              <w:t>wyłączone z zakresu stosowania</w:t>
            </w:r>
            <w:r w:rsidR="003C2643">
              <w:rPr>
                <w:color w:val="000000"/>
                <w:sz w:val="22"/>
                <w:szCs w:val="22"/>
              </w:rPr>
              <w:t xml:space="preserve"> tego</w:t>
            </w:r>
            <w:r w:rsidR="00D37018" w:rsidRPr="00891827">
              <w:rPr>
                <w:color w:val="000000"/>
                <w:sz w:val="22"/>
                <w:szCs w:val="22"/>
              </w:rPr>
              <w:t xml:space="preserve"> rozporządzenia</w:t>
            </w:r>
            <w:r w:rsidRPr="00891827">
              <w:rPr>
                <w:sz w:val="22"/>
                <w:szCs w:val="22"/>
              </w:rPr>
              <w:t>.</w:t>
            </w:r>
            <w:r w:rsidR="00D37018" w:rsidRPr="00891827">
              <w:rPr>
                <w:color w:val="000000"/>
                <w:sz w:val="22"/>
                <w:szCs w:val="22"/>
                <w:shd w:val="clear" w:color="auto" w:fill="FFFFFF"/>
              </w:rPr>
              <w:t xml:space="preserve"> </w:t>
            </w:r>
            <w:r w:rsidR="00B3511F" w:rsidRPr="00891827">
              <w:rPr>
                <w:color w:val="000000"/>
                <w:sz w:val="22"/>
                <w:szCs w:val="22"/>
              </w:rPr>
              <w:t xml:space="preserve">Dodatkowo </w:t>
            </w:r>
            <w:r w:rsidR="005F5624" w:rsidRPr="00891827">
              <w:rPr>
                <w:color w:val="000000"/>
                <w:sz w:val="22"/>
                <w:szCs w:val="22"/>
              </w:rPr>
              <w:t>rozporządzeni</w:t>
            </w:r>
            <w:r w:rsidRPr="00891827">
              <w:rPr>
                <w:color w:val="000000"/>
                <w:sz w:val="22"/>
                <w:szCs w:val="22"/>
              </w:rPr>
              <w:t>e</w:t>
            </w:r>
            <w:r w:rsidR="005F5624" w:rsidRPr="00891827">
              <w:rPr>
                <w:color w:val="000000"/>
                <w:sz w:val="22"/>
                <w:szCs w:val="22"/>
              </w:rPr>
              <w:t xml:space="preserve"> </w:t>
            </w:r>
            <w:r w:rsidR="005F5624" w:rsidRPr="00891827">
              <w:rPr>
                <w:sz w:val="22"/>
                <w:szCs w:val="22"/>
              </w:rPr>
              <w:t>2022/2554 obejmuje</w:t>
            </w:r>
            <w:r w:rsidR="00FB3924" w:rsidRPr="00891827">
              <w:rPr>
                <w:color w:val="000000"/>
                <w:sz w:val="22"/>
                <w:szCs w:val="22"/>
              </w:rPr>
              <w:t xml:space="preserve">, zgodnie z art. 2 ust. 1 pkt u, zewnętrznych dostawców usług ICT, </w:t>
            </w:r>
            <w:r w:rsidR="005F5624" w:rsidRPr="00891827">
              <w:rPr>
                <w:color w:val="000000"/>
                <w:sz w:val="22"/>
                <w:szCs w:val="22"/>
              </w:rPr>
              <w:t>na których oddziałuje pośrednio.</w:t>
            </w:r>
          </w:p>
          <w:p w14:paraId="52FF5269" w14:textId="6CB0FE9D" w:rsidR="007A6EEE" w:rsidRPr="007E080F" w:rsidRDefault="005F5624" w:rsidP="007A6EEE">
            <w:pPr>
              <w:spacing w:after="120" w:line="240" w:lineRule="auto"/>
              <w:jc w:val="both"/>
              <w:rPr>
                <w:rFonts w:ascii="Times New Roman" w:hAnsi="Times New Roman"/>
                <w:b/>
                <w:bCs/>
              </w:rPr>
            </w:pPr>
            <w:r w:rsidRPr="007E080F">
              <w:rPr>
                <w:rFonts w:ascii="Times New Roman" w:hAnsi="Times New Roman"/>
                <w:color w:val="000000"/>
              </w:rPr>
              <w:t>R</w:t>
            </w:r>
            <w:r w:rsidR="00FB3924" w:rsidRPr="007E080F">
              <w:rPr>
                <w:rFonts w:ascii="Times New Roman" w:hAnsi="Times New Roman"/>
                <w:color w:val="000000"/>
              </w:rPr>
              <w:t xml:space="preserve">ozporządzenie </w:t>
            </w:r>
            <w:r w:rsidR="007A6EEE" w:rsidRPr="007E080F">
              <w:rPr>
                <w:rFonts w:ascii="Times New Roman" w:hAnsi="Times New Roman"/>
              </w:rPr>
              <w:t xml:space="preserve">2022/2554 </w:t>
            </w:r>
            <w:r w:rsidR="00FB3924" w:rsidRPr="007E080F">
              <w:rPr>
                <w:rFonts w:ascii="Times New Roman" w:hAnsi="Times New Roman"/>
                <w:color w:val="000000"/>
              </w:rPr>
              <w:t xml:space="preserve">określa </w:t>
            </w:r>
            <w:r w:rsidR="00C20C6E" w:rsidRPr="007E080F">
              <w:rPr>
                <w:rFonts w:ascii="Times New Roman" w:hAnsi="Times New Roman"/>
                <w:color w:val="000000"/>
              </w:rPr>
              <w:t>standard</w:t>
            </w:r>
            <w:r w:rsidR="00FB3924" w:rsidRPr="007E080F">
              <w:rPr>
                <w:rFonts w:ascii="Times New Roman" w:hAnsi="Times New Roman"/>
                <w:color w:val="000000"/>
              </w:rPr>
              <w:t xml:space="preserve"> nadzoru nad spełnianiem przez podmioty zobowiązane, obowiązków i wymogów wynikających z tego rozporządzenia</w:t>
            </w:r>
            <w:r w:rsidR="007A6EEE" w:rsidRPr="007E080F">
              <w:rPr>
                <w:rFonts w:ascii="Times New Roman" w:hAnsi="Times New Roman"/>
                <w:color w:val="000000"/>
              </w:rPr>
              <w:t xml:space="preserve">. </w:t>
            </w:r>
            <w:r w:rsidR="007A6EEE" w:rsidRPr="007E080F">
              <w:rPr>
                <w:rFonts w:ascii="Times New Roman" w:hAnsi="Times New Roman"/>
                <w:bCs/>
                <w:color w:val="000000"/>
                <w:spacing w:val="-2"/>
              </w:rPr>
              <w:t xml:space="preserve">Regulacja rozporządzenia </w:t>
            </w:r>
            <w:r w:rsidR="007A6EEE" w:rsidRPr="007E080F">
              <w:rPr>
                <w:rFonts w:ascii="Times New Roman" w:hAnsi="Times New Roman"/>
              </w:rPr>
              <w:t xml:space="preserve">2022/2554 </w:t>
            </w:r>
            <w:r w:rsidR="007A6EEE" w:rsidRPr="007E080F">
              <w:rPr>
                <w:rFonts w:ascii="Times New Roman" w:hAnsi="Times New Roman"/>
                <w:bCs/>
                <w:color w:val="000000"/>
                <w:spacing w:val="-2"/>
              </w:rPr>
              <w:t xml:space="preserve">implikuje konieczność wskazania organów administracji publicznej odpowiedzialnych za nadzór nad spełnianiem obowiązków wynikających z rozporządzenia </w:t>
            </w:r>
            <w:r w:rsidR="007A6EEE" w:rsidRPr="007E080F">
              <w:rPr>
                <w:rFonts w:ascii="Times New Roman" w:hAnsi="Times New Roman"/>
              </w:rPr>
              <w:t xml:space="preserve">2022/2554 i nadanie im odpowiednich kompetencji, w szczególności wskazanych w art. 50 rozporządzenia. </w:t>
            </w:r>
          </w:p>
          <w:p w14:paraId="2204CC5A" w14:textId="53E92CFE" w:rsidR="00CC3F47" w:rsidRPr="00315F26" w:rsidRDefault="007A6EEE" w:rsidP="007A6EEE">
            <w:pPr>
              <w:spacing w:after="120" w:line="240" w:lineRule="auto"/>
              <w:jc w:val="both"/>
              <w:rPr>
                <w:rFonts w:ascii="Times New Roman" w:hAnsi="Times New Roman"/>
              </w:rPr>
            </w:pPr>
            <w:bookmarkStart w:id="3" w:name="_Hlk154043711"/>
            <w:r w:rsidRPr="001E1813">
              <w:rPr>
                <w:rFonts w:ascii="Times New Roman" w:hAnsi="Times New Roman"/>
              </w:rPr>
              <w:t xml:space="preserve">Organem odpowiedzialnym za nadzór nad przestrzeganiem rozporządzenia 2022/2554, </w:t>
            </w:r>
            <w:r w:rsidRPr="001E1813">
              <w:rPr>
                <w:rFonts w:ascii="Times New Roman" w:hAnsi="Times New Roman"/>
                <w:color w:val="000000"/>
                <w:shd w:val="clear" w:color="auto" w:fill="FFFFFF"/>
              </w:rPr>
              <w:t>jako organ nadzoru nad rynkiem finansowym w Polsce,</w:t>
            </w:r>
            <w:r w:rsidRPr="001E1813">
              <w:rPr>
                <w:rFonts w:ascii="Times New Roman" w:hAnsi="Times New Roman"/>
              </w:rPr>
              <w:t xml:space="preserve"> będzie Komisja Nadzoru Finansowego, która zostanie uprawniona m.in. do </w:t>
            </w:r>
            <w:bookmarkStart w:id="4" w:name="_Hlk154044108"/>
            <w:bookmarkEnd w:id="3"/>
            <w:r w:rsidRPr="001E1813">
              <w:rPr>
                <w:rFonts w:ascii="Times New Roman" w:hAnsi="Times New Roman"/>
              </w:rPr>
              <w:t xml:space="preserve">przeprowadzania kontroli działalności podmiotów finansowych </w:t>
            </w:r>
            <w:r>
              <w:rPr>
                <w:rFonts w:ascii="Times New Roman" w:hAnsi="Times New Roman"/>
              </w:rPr>
              <w:t xml:space="preserve">objętych zakresem regulacji </w:t>
            </w:r>
            <w:r w:rsidRPr="001E1813">
              <w:rPr>
                <w:rFonts w:ascii="Times New Roman" w:hAnsi="Times New Roman"/>
              </w:rPr>
              <w:t>rozporządzenia 2022/2554</w:t>
            </w:r>
            <w:bookmarkEnd w:id="4"/>
            <w:r>
              <w:rPr>
                <w:rFonts w:ascii="Times New Roman" w:hAnsi="Times New Roman"/>
              </w:rPr>
              <w:t xml:space="preserve">. </w:t>
            </w:r>
          </w:p>
          <w:p w14:paraId="2D206DAA" w14:textId="77777777" w:rsidR="00555976" w:rsidRPr="00315F26" w:rsidRDefault="00086571" w:rsidP="00891827">
            <w:pPr>
              <w:spacing w:after="120" w:line="240" w:lineRule="auto"/>
              <w:jc w:val="both"/>
              <w:rPr>
                <w:rFonts w:ascii="Times New Roman" w:hAnsi="Times New Roman"/>
                <w:color w:val="000000"/>
                <w:shd w:val="clear" w:color="auto" w:fill="FFFFFF"/>
              </w:rPr>
            </w:pPr>
            <w:r w:rsidRPr="00315F26">
              <w:rPr>
                <w:rFonts w:ascii="Times New Roman" w:hAnsi="Times New Roman"/>
                <w:color w:val="000000"/>
                <w:shd w:val="clear" w:color="auto" w:fill="FFFFFF"/>
              </w:rPr>
              <w:t>Wprowadzona również zostanie podstawa prawna</w:t>
            </w:r>
            <w:r w:rsidR="00E043CE" w:rsidRPr="00315F26">
              <w:rPr>
                <w:rFonts w:ascii="Times New Roman" w:hAnsi="Times New Roman"/>
                <w:color w:val="000000"/>
                <w:shd w:val="clear" w:color="auto" w:fill="FFFFFF"/>
              </w:rPr>
              <w:t>,</w:t>
            </w:r>
            <w:r w:rsidRPr="00315F26">
              <w:rPr>
                <w:rFonts w:ascii="Times New Roman" w:hAnsi="Times New Roman"/>
                <w:color w:val="000000"/>
                <w:shd w:val="clear" w:color="auto" w:fill="FFFFFF"/>
              </w:rPr>
              <w:t xml:space="preserve"> </w:t>
            </w:r>
            <w:r w:rsidR="009C1ECA" w:rsidRPr="00315F26">
              <w:rPr>
                <w:rFonts w:ascii="Times New Roman" w:hAnsi="Times New Roman"/>
                <w:color w:val="000000"/>
                <w:shd w:val="clear" w:color="auto" w:fill="FFFFFF"/>
              </w:rPr>
              <w:t>zapewniająca</w:t>
            </w:r>
            <w:r w:rsidRPr="00315F26">
              <w:rPr>
                <w:rFonts w:ascii="Times New Roman" w:hAnsi="Times New Roman"/>
                <w:color w:val="000000"/>
                <w:shd w:val="clear" w:color="auto" w:fill="FFFFFF"/>
              </w:rPr>
              <w:t xml:space="preserve"> możliwość współpracy oraz wymiany </w:t>
            </w:r>
            <w:r w:rsidRPr="00315F26">
              <w:rPr>
                <w:rFonts w:ascii="Times New Roman" w:hAnsi="Times New Roman"/>
              </w:rPr>
              <w:t>informacji i dokumentów z właściwymi organami w rozumieniu art. 46 rozporządzenia 2022/2554 z państw członkowskich Unii Europejskiej lub państw członkowskich Europejskiego Porozumienia o Wolnym Handlu (EFTA) – stron umowy o Europejskim Obszarze Gospodarczym oraz Europejskim Urzędem Nadzoru Bankowego, Europejskim Urzędem Nadzoru Ubezpieczeń i Pracowniczych Programów Emerytalnych i Europejskim Urzędem Nadzoru Giełd i Papierów Wartościowych, w zakresie niezbędnym do wykonywania obowiązków wynikających z rozporządzenia 2022/2554</w:t>
            </w:r>
            <w:r w:rsidR="005D09EF" w:rsidRPr="00315F26">
              <w:rPr>
                <w:rFonts w:ascii="Times New Roman" w:hAnsi="Times New Roman"/>
              </w:rPr>
              <w:t>.</w:t>
            </w:r>
          </w:p>
          <w:p w14:paraId="501BEBD9" w14:textId="5B834EA0" w:rsidR="004B7A17" w:rsidRPr="00125718" w:rsidRDefault="0036400A" w:rsidP="00891827">
            <w:pPr>
              <w:spacing w:after="120" w:line="240" w:lineRule="auto"/>
              <w:jc w:val="both"/>
              <w:rPr>
                <w:rFonts w:ascii="Times New Roman" w:hAnsi="Times New Roman"/>
                <w:color w:val="000000"/>
                <w:shd w:val="clear" w:color="auto" w:fill="FFFFFF"/>
              </w:rPr>
            </w:pPr>
            <w:r w:rsidRPr="00125718">
              <w:rPr>
                <w:rFonts w:ascii="Times New Roman" w:hAnsi="Times New Roman"/>
                <w:color w:val="000000"/>
                <w:shd w:val="clear" w:color="auto" w:fill="FFFFFF"/>
              </w:rPr>
              <w:t xml:space="preserve">Ponadto </w:t>
            </w:r>
            <w:r w:rsidR="00086571" w:rsidRPr="00125718">
              <w:rPr>
                <w:rFonts w:ascii="Times New Roman" w:eastAsia="Times New Roman" w:hAnsi="Times New Roman"/>
                <w:lang w:eastAsia="pl-PL"/>
              </w:rPr>
              <w:t>wdrożeni</w:t>
            </w:r>
            <w:r w:rsidR="00891827" w:rsidRPr="00125718">
              <w:rPr>
                <w:rFonts w:ascii="Times New Roman" w:eastAsia="Times New Roman" w:hAnsi="Times New Roman"/>
                <w:lang w:eastAsia="pl-PL"/>
              </w:rPr>
              <w:t>e</w:t>
            </w:r>
            <w:r w:rsidR="00086571" w:rsidRPr="00125718">
              <w:rPr>
                <w:rFonts w:ascii="Times New Roman" w:eastAsia="Times New Roman" w:hAnsi="Times New Roman"/>
                <w:lang w:eastAsia="pl-PL"/>
              </w:rPr>
              <w:t xml:space="preserve"> </w:t>
            </w:r>
            <w:r w:rsidR="009979CB" w:rsidRPr="00125718">
              <w:rPr>
                <w:rFonts w:ascii="Times New Roman" w:hAnsi="Times New Roman"/>
              </w:rPr>
              <w:t>dyrektyw</w:t>
            </w:r>
            <w:r w:rsidR="00FB284A" w:rsidRPr="00125718">
              <w:rPr>
                <w:rFonts w:ascii="Times New Roman" w:hAnsi="Times New Roman"/>
              </w:rPr>
              <w:t>y</w:t>
            </w:r>
            <w:r w:rsidR="009979CB" w:rsidRPr="00125718">
              <w:rPr>
                <w:rFonts w:ascii="Times New Roman" w:hAnsi="Times New Roman"/>
              </w:rPr>
              <w:t xml:space="preserve"> 2022/2556</w:t>
            </w:r>
            <w:r w:rsidR="008A0319" w:rsidRPr="00125718">
              <w:rPr>
                <w:rFonts w:ascii="Times New Roman" w:hAnsi="Times New Roman"/>
              </w:rPr>
              <w:t>,</w:t>
            </w:r>
            <w:r w:rsidR="005F7E17" w:rsidRPr="00125718">
              <w:rPr>
                <w:rFonts w:ascii="Times New Roman" w:hAnsi="Times New Roman"/>
                <w:color w:val="000000"/>
              </w:rPr>
              <w:t xml:space="preserve"> która w celu zapewnienia spójności z przepisami rozporządzenia</w:t>
            </w:r>
            <w:r w:rsidR="005F7E17" w:rsidRPr="00125718">
              <w:rPr>
                <w:rFonts w:ascii="Times New Roman" w:eastAsia="Times New Roman" w:hAnsi="Times New Roman"/>
                <w:lang w:eastAsia="pl-PL"/>
              </w:rPr>
              <w:t xml:space="preserve"> </w:t>
            </w:r>
            <w:r w:rsidR="005F7E17" w:rsidRPr="00125718">
              <w:rPr>
                <w:rFonts w:ascii="Times New Roman" w:hAnsi="Times New Roman"/>
              </w:rPr>
              <w:t>2022/2554,</w:t>
            </w:r>
            <w:r w:rsidR="008A0319" w:rsidRPr="00125718">
              <w:rPr>
                <w:rFonts w:ascii="Times New Roman" w:hAnsi="Times New Roman"/>
              </w:rPr>
              <w:t xml:space="preserve"> wprowadza zmiany w dyrektywach do tej pory fragmentarycznie regulujących ryzyko </w:t>
            </w:r>
            <w:r w:rsidR="008A0319" w:rsidRPr="00125718">
              <w:rPr>
                <w:rFonts w:ascii="Times New Roman" w:hAnsi="Times New Roman"/>
                <w:color w:val="000000"/>
              </w:rPr>
              <w:t xml:space="preserve">związane z ICT, </w:t>
            </w:r>
            <w:r w:rsidR="004B7A17" w:rsidRPr="00125718">
              <w:rPr>
                <w:rFonts w:ascii="Times New Roman" w:eastAsia="Times New Roman" w:hAnsi="Times New Roman"/>
                <w:lang w:eastAsia="pl-PL"/>
              </w:rPr>
              <w:t xml:space="preserve">wymaga </w:t>
            </w:r>
            <w:r w:rsidR="005F7E17" w:rsidRPr="00125718">
              <w:rPr>
                <w:rFonts w:ascii="Times New Roman" w:eastAsia="Times New Roman" w:hAnsi="Times New Roman"/>
                <w:lang w:eastAsia="pl-PL"/>
              </w:rPr>
              <w:t xml:space="preserve">dokonania </w:t>
            </w:r>
            <w:r w:rsidR="00891827" w:rsidRPr="00125718">
              <w:rPr>
                <w:rFonts w:ascii="Times New Roman" w:eastAsia="Times New Roman" w:hAnsi="Times New Roman"/>
                <w:lang w:eastAsia="pl-PL"/>
              </w:rPr>
              <w:t xml:space="preserve">zmian w ustawach </w:t>
            </w:r>
            <w:r w:rsidR="004B7A17" w:rsidRPr="00125718">
              <w:rPr>
                <w:rFonts w:ascii="Times New Roman" w:eastAsia="Times New Roman" w:hAnsi="Times New Roman"/>
                <w:lang w:eastAsia="pl-PL"/>
              </w:rPr>
              <w:t xml:space="preserve">regulujących </w:t>
            </w:r>
            <w:r w:rsidR="008A0319" w:rsidRPr="00125718">
              <w:rPr>
                <w:rFonts w:ascii="Times New Roman" w:eastAsia="Times New Roman" w:hAnsi="Times New Roman"/>
                <w:lang w:eastAsia="pl-PL"/>
              </w:rPr>
              <w:t xml:space="preserve">wykonywanie </w:t>
            </w:r>
            <w:r w:rsidR="00FB284A" w:rsidRPr="00125718">
              <w:rPr>
                <w:rFonts w:ascii="Times New Roman" w:eastAsia="Times New Roman" w:hAnsi="Times New Roman"/>
                <w:lang w:eastAsia="pl-PL"/>
              </w:rPr>
              <w:t>działalnoś</w:t>
            </w:r>
            <w:r w:rsidR="008A0319" w:rsidRPr="00125718">
              <w:rPr>
                <w:rFonts w:ascii="Times New Roman" w:eastAsia="Times New Roman" w:hAnsi="Times New Roman"/>
                <w:lang w:eastAsia="pl-PL"/>
              </w:rPr>
              <w:t>ci przez</w:t>
            </w:r>
            <w:r w:rsidR="00FB284A" w:rsidRPr="00125718">
              <w:rPr>
                <w:rFonts w:ascii="Times New Roman" w:eastAsia="Times New Roman" w:hAnsi="Times New Roman"/>
                <w:lang w:eastAsia="pl-PL"/>
              </w:rPr>
              <w:t xml:space="preserve"> podmiot</w:t>
            </w:r>
            <w:r w:rsidR="008A0319" w:rsidRPr="00125718">
              <w:rPr>
                <w:rFonts w:ascii="Times New Roman" w:eastAsia="Times New Roman" w:hAnsi="Times New Roman"/>
                <w:lang w:eastAsia="pl-PL"/>
              </w:rPr>
              <w:t>y</w:t>
            </w:r>
            <w:r w:rsidR="00FB284A" w:rsidRPr="00125718">
              <w:rPr>
                <w:rFonts w:ascii="Times New Roman" w:eastAsia="Times New Roman" w:hAnsi="Times New Roman"/>
                <w:lang w:eastAsia="pl-PL"/>
              </w:rPr>
              <w:t xml:space="preserve"> finansow</w:t>
            </w:r>
            <w:r w:rsidR="008A0319" w:rsidRPr="00125718">
              <w:rPr>
                <w:rFonts w:ascii="Times New Roman" w:eastAsia="Times New Roman" w:hAnsi="Times New Roman"/>
                <w:lang w:eastAsia="pl-PL"/>
              </w:rPr>
              <w:t>e</w:t>
            </w:r>
            <w:r w:rsidR="00DB2AB7" w:rsidRPr="00125718">
              <w:rPr>
                <w:rFonts w:ascii="Times New Roman" w:hAnsi="Times New Roman"/>
                <w:color w:val="000000"/>
                <w:shd w:val="clear" w:color="auto" w:fill="FFFFFF"/>
              </w:rPr>
              <w:t>. Z uwagi na powyższe proponuje się wprowadzenie odpowiednich zmian</w:t>
            </w:r>
            <w:r w:rsidR="00EC5BC4" w:rsidRPr="00125718">
              <w:rPr>
                <w:rFonts w:ascii="Times New Roman" w:hAnsi="Times New Roman"/>
                <w:color w:val="000000"/>
                <w:shd w:val="clear" w:color="auto" w:fill="FFFFFF"/>
              </w:rPr>
              <w:t>, w tym zmian o charakterze wynikowym</w:t>
            </w:r>
            <w:r w:rsidR="00DB2AB7" w:rsidRPr="00125718">
              <w:rPr>
                <w:rFonts w:ascii="Times New Roman" w:hAnsi="Times New Roman"/>
                <w:color w:val="000000"/>
                <w:shd w:val="clear" w:color="auto" w:fill="FFFFFF"/>
              </w:rPr>
              <w:t>:</w:t>
            </w:r>
          </w:p>
          <w:p w14:paraId="5A33BC8C" w14:textId="77777777" w:rsidR="00DB2AB7" w:rsidRPr="00125718" w:rsidRDefault="00EF05F4" w:rsidP="00891827">
            <w:pPr>
              <w:pStyle w:val="Akapitzlist"/>
              <w:numPr>
                <w:ilvl w:val="0"/>
                <w:numId w:val="43"/>
              </w:numPr>
              <w:spacing w:after="120" w:line="240" w:lineRule="auto"/>
              <w:jc w:val="both"/>
              <w:rPr>
                <w:rFonts w:ascii="Times New Roman" w:eastAsia="Times New Roman" w:hAnsi="Times New Roman"/>
                <w:lang w:eastAsia="pl-PL"/>
              </w:rPr>
            </w:pPr>
            <w:r w:rsidRPr="00125718">
              <w:rPr>
                <w:rFonts w:ascii="Times New Roman" w:hAnsi="Times New Roman"/>
              </w:rPr>
              <w:t>ustawie z dnia 28 sierpnia 1997 r. o organizacji i funkcjonowaniu funduszy emerytalnych,</w:t>
            </w:r>
          </w:p>
          <w:p w14:paraId="0DD52319" w14:textId="77777777" w:rsidR="00EF05F4" w:rsidRPr="00125718" w:rsidRDefault="00EF05F4" w:rsidP="00891827">
            <w:pPr>
              <w:pStyle w:val="Akapitzlist"/>
              <w:numPr>
                <w:ilvl w:val="0"/>
                <w:numId w:val="43"/>
              </w:numPr>
              <w:spacing w:after="120" w:line="240" w:lineRule="auto"/>
              <w:jc w:val="both"/>
              <w:rPr>
                <w:rFonts w:ascii="Times New Roman" w:eastAsia="Times New Roman" w:hAnsi="Times New Roman"/>
                <w:lang w:eastAsia="pl-PL"/>
              </w:rPr>
            </w:pPr>
            <w:r w:rsidRPr="00125718">
              <w:rPr>
                <w:rFonts w:ascii="Times New Roman" w:hAnsi="Times New Roman"/>
              </w:rPr>
              <w:t>ustawie z dnia 29 sierpnia 1997 r. – Prawo bankowe,</w:t>
            </w:r>
          </w:p>
          <w:p w14:paraId="44B04090" w14:textId="061FC949" w:rsidR="00EF05F4" w:rsidRPr="00125718" w:rsidRDefault="00EF05F4" w:rsidP="00EF05F4">
            <w:pPr>
              <w:pStyle w:val="Akapitzlist"/>
              <w:numPr>
                <w:ilvl w:val="0"/>
                <w:numId w:val="43"/>
              </w:numPr>
              <w:spacing w:line="240" w:lineRule="auto"/>
              <w:jc w:val="both"/>
              <w:rPr>
                <w:rFonts w:ascii="Times New Roman" w:eastAsia="Times New Roman" w:hAnsi="Times New Roman"/>
                <w:lang w:eastAsia="pl-PL"/>
              </w:rPr>
            </w:pPr>
            <w:r w:rsidRPr="00125718">
              <w:rPr>
                <w:rFonts w:ascii="Times New Roman" w:hAnsi="Times New Roman"/>
              </w:rPr>
              <w:t>ustawie z dnia 27 maja 2004 r. o funduszach inwestycyjnych i zarządzaniu alternatywnymi funduszami inwestycyjnymi</w:t>
            </w:r>
            <w:r w:rsidR="00315F26">
              <w:rPr>
                <w:rFonts w:ascii="Times New Roman" w:hAnsi="Times New Roman"/>
              </w:rPr>
              <w:t>,</w:t>
            </w:r>
          </w:p>
          <w:p w14:paraId="38A99CEB" w14:textId="0C79B3DD" w:rsidR="00EF05F4" w:rsidRPr="00125718" w:rsidRDefault="00EF05F4" w:rsidP="00EF05F4">
            <w:pPr>
              <w:pStyle w:val="Akapitzlist"/>
              <w:numPr>
                <w:ilvl w:val="0"/>
                <w:numId w:val="43"/>
              </w:numPr>
              <w:spacing w:line="240" w:lineRule="auto"/>
              <w:jc w:val="both"/>
              <w:rPr>
                <w:rFonts w:ascii="Times New Roman" w:eastAsia="Times New Roman" w:hAnsi="Times New Roman"/>
                <w:lang w:eastAsia="pl-PL"/>
              </w:rPr>
            </w:pPr>
            <w:r w:rsidRPr="00125718">
              <w:rPr>
                <w:rFonts w:ascii="Times New Roman" w:hAnsi="Times New Roman"/>
              </w:rPr>
              <w:t>ustawie z dnia 29 lipca 2005 r. o obrocie instrumentami finansowymi</w:t>
            </w:r>
            <w:r w:rsidR="00315F26">
              <w:rPr>
                <w:rFonts w:ascii="Times New Roman" w:hAnsi="Times New Roman"/>
              </w:rPr>
              <w:t>,</w:t>
            </w:r>
          </w:p>
          <w:p w14:paraId="5DF5BD95" w14:textId="281772A6" w:rsidR="007254B3" w:rsidRPr="00125718" w:rsidRDefault="00091131" w:rsidP="0004562C">
            <w:pPr>
              <w:pStyle w:val="Akapitzlist"/>
              <w:numPr>
                <w:ilvl w:val="0"/>
                <w:numId w:val="43"/>
              </w:numPr>
              <w:spacing w:line="240" w:lineRule="auto"/>
              <w:jc w:val="both"/>
              <w:rPr>
                <w:rFonts w:ascii="Times New Roman" w:eastAsia="Times New Roman" w:hAnsi="Times New Roman"/>
                <w:lang w:eastAsia="pl-PL"/>
              </w:rPr>
            </w:pPr>
            <w:r w:rsidRPr="00125718">
              <w:rPr>
                <w:rFonts w:ascii="Times New Roman" w:hAnsi="Times New Roman"/>
              </w:rPr>
              <w:t xml:space="preserve">ustawie z dnia 19 sierpnia 2011 </w:t>
            </w:r>
            <w:r w:rsidR="001E5D7D">
              <w:rPr>
                <w:rFonts w:ascii="Times New Roman" w:hAnsi="Times New Roman"/>
              </w:rPr>
              <w:t xml:space="preserve">r. </w:t>
            </w:r>
            <w:r w:rsidRPr="00125718">
              <w:rPr>
                <w:rFonts w:ascii="Times New Roman" w:hAnsi="Times New Roman"/>
              </w:rPr>
              <w:t>o usługach płatniczych</w:t>
            </w:r>
            <w:r w:rsidR="00315F26">
              <w:rPr>
                <w:rFonts w:ascii="Times New Roman" w:hAnsi="Times New Roman"/>
              </w:rPr>
              <w:t>,</w:t>
            </w:r>
          </w:p>
          <w:p w14:paraId="3776F1A5" w14:textId="7A417A3B" w:rsidR="00091131" w:rsidRPr="00125718" w:rsidRDefault="00EC5BC4" w:rsidP="0004562C">
            <w:pPr>
              <w:pStyle w:val="Akapitzlist"/>
              <w:numPr>
                <w:ilvl w:val="0"/>
                <w:numId w:val="43"/>
              </w:numPr>
              <w:spacing w:line="240" w:lineRule="auto"/>
              <w:jc w:val="both"/>
              <w:rPr>
                <w:rFonts w:ascii="Times New Roman" w:eastAsia="Times New Roman" w:hAnsi="Times New Roman"/>
                <w:lang w:eastAsia="pl-PL"/>
              </w:rPr>
            </w:pPr>
            <w:r w:rsidRPr="00125718">
              <w:rPr>
                <w:rFonts w:ascii="Times New Roman" w:hAnsi="Times New Roman"/>
              </w:rPr>
              <w:t>ustawie z dnia 5 sierpnia 2015 r. o rozpatrywaniu reklamacji przez podmioty rynku finansowego, o Rzeczniku Finansowym i o Funduszu Edukacji Finansowej</w:t>
            </w:r>
            <w:r w:rsidR="00315F26">
              <w:rPr>
                <w:rFonts w:ascii="Times New Roman" w:hAnsi="Times New Roman"/>
              </w:rPr>
              <w:t>,</w:t>
            </w:r>
          </w:p>
          <w:p w14:paraId="69210BB9" w14:textId="26962545" w:rsidR="00EC2D54" w:rsidRPr="00125718" w:rsidRDefault="00EC2D54" w:rsidP="0004562C">
            <w:pPr>
              <w:pStyle w:val="Akapitzlist"/>
              <w:numPr>
                <w:ilvl w:val="0"/>
                <w:numId w:val="43"/>
              </w:numPr>
              <w:spacing w:line="240" w:lineRule="auto"/>
              <w:jc w:val="both"/>
              <w:rPr>
                <w:rFonts w:ascii="Times New Roman" w:eastAsia="Times New Roman" w:hAnsi="Times New Roman"/>
                <w:lang w:eastAsia="pl-PL"/>
              </w:rPr>
            </w:pPr>
            <w:r w:rsidRPr="00125718">
              <w:rPr>
                <w:rFonts w:ascii="Times New Roman" w:hAnsi="Times New Roman"/>
              </w:rPr>
              <w:t>ustawie z dnia 11 września 2015 r. o działalności ubezpieczeniowej i reasekuracyjnej</w:t>
            </w:r>
            <w:r w:rsidR="001E5D7D">
              <w:rPr>
                <w:rFonts w:ascii="Times New Roman" w:hAnsi="Times New Roman"/>
              </w:rPr>
              <w:t>,</w:t>
            </w:r>
          </w:p>
          <w:p w14:paraId="27F8B6A1" w14:textId="25BD741D" w:rsidR="00891827" w:rsidRDefault="00EC2D54" w:rsidP="00891827">
            <w:pPr>
              <w:pStyle w:val="Akapitzlist"/>
              <w:spacing w:line="240" w:lineRule="auto"/>
              <w:jc w:val="both"/>
              <w:rPr>
                <w:rFonts w:ascii="Times New Roman" w:hAnsi="Times New Roman"/>
              </w:rPr>
            </w:pPr>
            <w:r w:rsidRPr="00125718">
              <w:rPr>
                <w:rFonts w:ascii="Times New Roman" w:hAnsi="Times New Roman"/>
              </w:rPr>
              <w:t>ustawie z dnia 10 czerwca 2016 r. o Bankowym Funduszu Gwarancyjnym, systemie gwarantowania depozytów oraz przymusowej restrukturyzacji</w:t>
            </w:r>
            <w:r w:rsidR="00E7643B" w:rsidRPr="00125718">
              <w:rPr>
                <w:rFonts w:ascii="Times New Roman" w:hAnsi="Times New Roman"/>
              </w:rPr>
              <w:t>.</w:t>
            </w:r>
          </w:p>
          <w:p w14:paraId="701C3541" w14:textId="77777777" w:rsidR="00AA391C" w:rsidRPr="00125718" w:rsidRDefault="00AA391C" w:rsidP="00891827">
            <w:pPr>
              <w:pStyle w:val="Akapitzlist"/>
              <w:spacing w:line="240" w:lineRule="auto"/>
              <w:jc w:val="both"/>
              <w:rPr>
                <w:rFonts w:ascii="Times New Roman" w:hAnsi="Times New Roman"/>
              </w:rPr>
            </w:pPr>
          </w:p>
          <w:p w14:paraId="5916A4BE" w14:textId="2F6D63BC" w:rsidR="00213EA0" w:rsidRPr="007A6EEE" w:rsidRDefault="007E080F" w:rsidP="007A6EEE">
            <w:pPr>
              <w:pStyle w:val="ZUSTzmustartykuempunktem"/>
              <w:spacing w:after="120" w:line="240" w:lineRule="auto"/>
              <w:ind w:left="0" w:firstLine="0"/>
              <w:rPr>
                <w:rFonts w:ascii="Times New Roman" w:eastAsia="Times New Roman" w:hAnsi="Times New Roman" w:cs="Times New Roman"/>
                <w:sz w:val="22"/>
                <w:szCs w:val="22"/>
              </w:rPr>
            </w:pPr>
            <w:r>
              <w:rPr>
                <w:rFonts w:ascii="Times New Roman" w:hAnsi="Times New Roman" w:cs="Times New Roman"/>
                <w:color w:val="000000"/>
                <w:sz w:val="22"/>
                <w:szCs w:val="22"/>
                <w:shd w:val="clear" w:color="auto" w:fill="FFFFFF"/>
              </w:rPr>
              <w:t>Dodatkowo</w:t>
            </w:r>
            <w:r w:rsidR="00AA391C">
              <w:rPr>
                <w:rFonts w:ascii="Times New Roman" w:hAnsi="Times New Roman" w:cs="Times New Roman"/>
                <w:color w:val="000000"/>
                <w:sz w:val="22"/>
                <w:szCs w:val="22"/>
                <w:shd w:val="clear" w:color="auto" w:fill="FFFFFF"/>
              </w:rPr>
              <w:t xml:space="preserve"> p</w:t>
            </w:r>
            <w:r w:rsidR="00EC2D54" w:rsidRPr="00125718">
              <w:rPr>
                <w:rFonts w:ascii="Times New Roman" w:hAnsi="Times New Roman" w:cs="Times New Roman"/>
                <w:color w:val="000000"/>
                <w:sz w:val="22"/>
                <w:szCs w:val="22"/>
                <w:shd w:val="clear" w:color="auto" w:fill="FFFFFF"/>
              </w:rPr>
              <w:t xml:space="preserve">rojektowana ustawa o zmianie </w:t>
            </w:r>
            <w:r w:rsidR="00792AEA" w:rsidRPr="00125718">
              <w:rPr>
                <w:rFonts w:ascii="Times New Roman" w:eastAsia="Times New Roman" w:hAnsi="Times New Roman" w:cs="Times New Roman"/>
                <w:sz w:val="22"/>
                <w:szCs w:val="22"/>
              </w:rPr>
              <w:t xml:space="preserve">niektórych ustaw </w:t>
            </w:r>
            <w:r w:rsidR="003F769A" w:rsidRPr="00125718">
              <w:rPr>
                <w:rFonts w:ascii="Times New Roman" w:eastAsia="Times New Roman" w:hAnsi="Times New Roman" w:cs="Times New Roman"/>
                <w:sz w:val="22"/>
                <w:szCs w:val="22"/>
              </w:rPr>
              <w:t>w związku z zapewnieniem operacyjnej odporności cyfrowej sektora finansowego</w:t>
            </w:r>
            <w:r w:rsidR="005F7E17" w:rsidRPr="00125718">
              <w:rPr>
                <w:rFonts w:ascii="Times New Roman" w:eastAsia="Times New Roman" w:hAnsi="Times New Roman" w:cs="Times New Roman"/>
                <w:sz w:val="22"/>
                <w:szCs w:val="22"/>
              </w:rPr>
              <w:t>,</w:t>
            </w:r>
            <w:r w:rsidR="003F769A" w:rsidRPr="00125718">
              <w:rPr>
                <w:rFonts w:ascii="Times New Roman" w:eastAsia="Times New Roman" w:hAnsi="Times New Roman" w:cs="Times New Roman"/>
                <w:sz w:val="22"/>
                <w:szCs w:val="22"/>
              </w:rPr>
              <w:t xml:space="preserve"> </w:t>
            </w:r>
            <w:r w:rsidR="00792AEA" w:rsidRPr="00125718">
              <w:rPr>
                <w:rFonts w:ascii="Times New Roman" w:eastAsia="Times New Roman" w:hAnsi="Times New Roman" w:cs="Times New Roman"/>
                <w:sz w:val="22"/>
                <w:szCs w:val="22"/>
              </w:rPr>
              <w:t>wprowadz</w:t>
            </w:r>
            <w:r w:rsidR="003F769A" w:rsidRPr="00125718">
              <w:rPr>
                <w:rFonts w:ascii="Times New Roman" w:eastAsia="Times New Roman" w:hAnsi="Times New Roman" w:cs="Times New Roman"/>
                <w:sz w:val="22"/>
                <w:szCs w:val="22"/>
              </w:rPr>
              <w:t>i</w:t>
            </w:r>
            <w:r w:rsidR="00792AEA" w:rsidRPr="00125718">
              <w:rPr>
                <w:rFonts w:ascii="Times New Roman" w:eastAsia="Times New Roman" w:hAnsi="Times New Roman" w:cs="Times New Roman"/>
                <w:sz w:val="22"/>
                <w:szCs w:val="22"/>
              </w:rPr>
              <w:t xml:space="preserve"> zmiany do ustawy z dnia 5 lipca 2018 r. o krajowym </w:t>
            </w:r>
            <w:r w:rsidR="003B01A5" w:rsidRPr="00125718">
              <w:rPr>
                <w:rFonts w:ascii="Times New Roman" w:eastAsia="Times New Roman" w:hAnsi="Times New Roman" w:cs="Times New Roman"/>
                <w:sz w:val="22"/>
                <w:szCs w:val="22"/>
              </w:rPr>
              <w:t>systemie cyberbezpieczeństwa</w:t>
            </w:r>
            <w:r w:rsidR="0033178E" w:rsidRPr="00125718">
              <w:rPr>
                <w:rFonts w:ascii="Times New Roman" w:eastAsia="Times New Roman" w:hAnsi="Times New Roman" w:cs="Times New Roman"/>
                <w:sz w:val="22"/>
                <w:szCs w:val="22"/>
              </w:rPr>
              <w:t>,</w:t>
            </w:r>
            <w:r w:rsidR="003B01A5" w:rsidRPr="00125718">
              <w:rPr>
                <w:rFonts w:ascii="Times New Roman" w:eastAsia="Times New Roman" w:hAnsi="Times New Roman" w:cs="Times New Roman"/>
                <w:sz w:val="22"/>
                <w:szCs w:val="22"/>
              </w:rPr>
              <w:t xml:space="preserve"> mające na celu zapewnienie prawidłowego funkcjonowania systemu cyberbezpieczeństwa. </w:t>
            </w:r>
            <w:r w:rsidR="0016641B" w:rsidRPr="00125718">
              <w:rPr>
                <w:rFonts w:ascii="Times New Roman" w:eastAsia="Times New Roman" w:hAnsi="Times New Roman" w:cs="Times New Roman"/>
                <w:sz w:val="22"/>
                <w:szCs w:val="22"/>
              </w:rPr>
              <w:t xml:space="preserve">Zmiany tej ustawy określą sposób informowania przez podmioty finansowe organów funkcjonujących w krajowym systemie cyberbezpieczeństwa o poważnych incydentach związanych z ICT oraz o znaczących zagrożeniach, a także procedury komunikacji między tymi organami. </w:t>
            </w:r>
          </w:p>
        </w:tc>
      </w:tr>
      <w:tr w:rsidR="006A701A" w:rsidRPr="008B4FE6" w14:paraId="4593EA48" w14:textId="77777777" w:rsidTr="00F61CC9">
        <w:trPr>
          <w:trHeight w:val="307"/>
        </w:trPr>
        <w:tc>
          <w:tcPr>
            <w:tcW w:w="10803" w:type="dxa"/>
            <w:gridSpan w:val="29"/>
            <w:shd w:val="clear" w:color="auto" w:fill="99CCFF"/>
            <w:vAlign w:val="center"/>
          </w:tcPr>
          <w:p w14:paraId="2082661B"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058B3E0" w14:textId="77777777" w:rsidTr="00F61CC9">
        <w:trPr>
          <w:trHeight w:val="142"/>
        </w:trPr>
        <w:tc>
          <w:tcPr>
            <w:tcW w:w="10803" w:type="dxa"/>
            <w:gridSpan w:val="29"/>
            <w:shd w:val="clear" w:color="auto" w:fill="auto"/>
          </w:tcPr>
          <w:p w14:paraId="568FA924" w14:textId="4CEB4521" w:rsidR="00926674" w:rsidRPr="005C2937" w:rsidRDefault="00E6447E" w:rsidP="00473B6C">
            <w:pPr>
              <w:spacing w:line="240" w:lineRule="auto"/>
              <w:jc w:val="both"/>
              <w:rPr>
                <w:rFonts w:ascii="Times New Roman" w:hAnsi="Times New Roman"/>
              </w:rPr>
            </w:pPr>
            <w:r w:rsidRPr="005C2937">
              <w:rPr>
                <w:rFonts w:ascii="Times New Roman" w:eastAsia="Times New Roman" w:hAnsi="Times New Roman"/>
                <w:lang w:eastAsia="pl-PL"/>
              </w:rPr>
              <w:t xml:space="preserve">Rozporządzenie </w:t>
            </w:r>
            <w:r w:rsidRPr="005C2937">
              <w:rPr>
                <w:rFonts w:ascii="Times New Roman" w:hAnsi="Times New Roman"/>
              </w:rPr>
              <w:t>2022/2554 stanowi narzędzie harmonizacji rozwiązań w zakresie</w:t>
            </w:r>
            <w:r w:rsidR="005C2937" w:rsidRPr="005C2937">
              <w:rPr>
                <w:rFonts w:ascii="Times New Roman" w:hAnsi="Times New Roman"/>
              </w:rPr>
              <w:t xml:space="preserve"> </w:t>
            </w:r>
            <w:r w:rsidR="005C2937" w:rsidRPr="005C2937">
              <w:rPr>
                <w:rFonts w:ascii="Times New Roman" w:hAnsi="Times New Roman"/>
                <w:color w:val="000000"/>
              </w:rPr>
              <w:t>bezpieczeństwa sieci i systemów informatycznych wspierających procesy biznesowe podmiotów finansowych</w:t>
            </w:r>
            <w:r w:rsidR="005C2937" w:rsidRPr="005C2937">
              <w:rPr>
                <w:rFonts w:ascii="Times New Roman" w:hAnsi="Times New Roman"/>
              </w:rPr>
              <w:t xml:space="preserve">. </w:t>
            </w:r>
            <w:r w:rsidRPr="005C2937">
              <w:rPr>
                <w:rFonts w:ascii="Times New Roman" w:hAnsi="Times New Roman"/>
              </w:rPr>
              <w:t xml:space="preserve">Zbyt wczesny etap prac związanych z ewentualnym wdrożeniem rozporządzenia </w:t>
            </w:r>
            <w:r w:rsidR="005C2937" w:rsidRPr="005C2937">
              <w:rPr>
                <w:rFonts w:ascii="Times New Roman" w:hAnsi="Times New Roman"/>
              </w:rPr>
              <w:t xml:space="preserve">skutkuje </w:t>
            </w:r>
            <w:r w:rsidRPr="005C2937">
              <w:rPr>
                <w:rFonts w:ascii="Times New Roman" w:hAnsi="Times New Roman"/>
              </w:rPr>
              <w:t>brak</w:t>
            </w:r>
            <w:r w:rsidR="005C2937" w:rsidRPr="005C2937">
              <w:rPr>
                <w:rFonts w:ascii="Times New Roman" w:hAnsi="Times New Roman"/>
              </w:rPr>
              <w:t>iem</w:t>
            </w:r>
            <w:r w:rsidRPr="005C2937">
              <w:rPr>
                <w:rFonts w:ascii="Times New Roman" w:hAnsi="Times New Roman"/>
              </w:rPr>
              <w:t xml:space="preserve"> dostępnych danych dotyczących spos</w:t>
            </w:r>
            <w:r w:rsidR="005C2937" w:rsidRPr="005C2937">
              <w:rPr>
                <w:rFonts w:ascii="Times New Roman" w:hAnsi="Times New Roman"/>
              </w:rPr>
              <w:t>o</w:t>
            </w:r>
            <w:r w:rsidRPr="005C2937">
              <w:rPr>
                <w:rFonts w:ascii="Times New Roman" w:hAnsi="Times New Roman"/>
              </w:rPr>
              <w:t xml:space="preserve">bu </w:t>
            </w:r>
            <w:r w:rsidR="00236A0E">
              <w:rPr>
                <w:rFonts w:ascii="Times New Roman" w:hAnsi="Times New Roman"/>
              </w:rPr>
              <w:t>wdrożenia</w:t>
            </w:r>
            <w:r w:rsidRPr="005C2937">
              <w:rPr>
                <w:rFonts w:ascii="Times New Roman" w:hAnsi="Times New Roman"/>
              </w:rPr>
              <w:t xml:space="preserve">. </w:t>
            </w:r>
          </w:p>
        </w:tc>
      </w:tr>
      <w:tr w:rsidR="006A701A" w:rsidRPr="008B4FE6" w14:paraId="105CDA1A" w14:textId="77777777" w:rsidTr="00F61CC9">
        <w:trPr>
          <w:trHeight w:val="359"/>
        </w:trPr>
        <w:tc>
          <w:tcPr>
            <w:tcW w:w="10803" w:type="dxa"/>
            <w:gridSpan w:val="29"/>
            <w:shd w:val="clear" w:color="auto" w:fill="99CCFF"/>
            <w:vAlign w:val="center"/>
          </w:tcPr>
          <w:p w14:paraId="45F9847F"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2858E540" w14:textId="77777777" w:rsidTr="00322E25">
        <w:trPr>
          <w:trHeight w:val="142"/>
        </w:trPr>
        <w:tc>
          <w:tcPr>
            <w:tcW w:w="2666" w:type="dxa"/>
            <w:gridSpan w:val="3"/>
            <w:shd w:val="clear" w:color="auto" w:fill="auto"/>
          </w:tcPr>
          <w:p w14:paraId="5527C261"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3" w:type="dxa"/>
            <w:gridSpan w:val="8"/>
            <w:shd w:val="clear" w:color="auto" w:fill="auto"/>
          </w:tcPr>
          <w:p w14:paraId="7158E026"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867" w:type="dxa"/>
            <w:gridSpan w:val="12"/>
            <w:shd w:val="clear" w:color="auto" w:fill="auto"/>
          </w:tcPr>
          <w:p w14:paraId="799BF4A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77" w:type="dxa"/>
            <w:gridSpan w:val="6"/>
            <w:tcBorders>
              <w:bottom w:val="single" w:sz="4" w:space="0" w:color="auto"/>
            </w:tcBorders>
            <w:shd w:val="clear" w:color="auto" w:fill="auto"/>
          </w:tcPr>
          <w:p w14:paraId="6F04DB2B"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082F53" w:rsidRPr="008B4FE6" w14:paraId="7619CC76" w14:textId="77777777" w:rsidTr="006358DF">
        <w:trPr>
          <w:trHeight w:val="691"/>
        </w:trPr>
        <w:tc>
          <w:tcPr>
            <w:tcW w:w="2666" w:type="dxa"/>
            <w:gridSpan w:val="3"/>
            <w:shd w:val="clear" w:color="auto" w:fill="auto"/>
          </w:tcPr>
          <w:p w14:paraId="755F9FFD" w14:textId="2E794EB7" w:rsidR="00082F53" w:rsidRPr="00BD3072" w:rsidRDefault="00082F53" w:rsidP="00BD3072">
            <w:pPr>
              <w:tabs>
                <w:tab w:val="right" w:pos="2311"/>
              </w:tabs>
              <w:spacing w:line="240" w:lineRule="auto"/>
              <w:jc w:val="both"/>
              <w:rPr>
                <w:rFonts w:ascii="Times New Roman" w:eastAsia="Times New Roman" w:hAnsi="Times New Roman"/>
                <w:lang w:eastAsia="pl-PL"/>
              </w:rPr>
            </w:pPr>
            <w:r w:rsidRPr="00BD3072">
              <w:rPr>
                <w:rFonts w:ascii="Times New Roman" w:eastAsia="Times New Roman" w:hAnsi="Times New Roman"/>
                <w:lang w:eastAsia="pl-PL"/>
              </w:rPr>
              <w:t xml:space="preserve">Komisja Nadzoru Finansowego </w:t>
            </w:r>
            <w:r w:rsidR="00D852BC">
              <w:rPr>
                <w:rFonts w:ascii="Times New Roman" w:eastAsia="Times New Roman" w:hAnsi="Times New Roman"/>
                <w:lang w:eastAsia="pl-PL"/>
              </w:rPr>
              <w:t>(KNF)</w:t>
            </w:r>
          </w:p>
          <w:p w14:paraId="7089A1A5" w14:textId="77777777" w:rsidR="00082F53" w:rsidRPr="00BD3072" w:rsidRDefault="00082F53" w:rsidP="00BD3072">
            <w:pPr>
              <w:spacing w:line="240" w:lineRule="auto"/>
              <w:rPr>
                <w:rFonts w:ascii="Times New Roman" w:eastAsia="Times New Roman" w:hAnsi="Times New Roman"/>
                <w:lang w:eastAsia="pl-PL"/>
              </w:rPr>
            </w:pPr>
          </w:p>
          <w:p w14:paraId="6B0B3724" w14:textId="77777777" w:rsidR="00082F53" w:rsidRPr="00BD3072" w:rsidRDefault="00082F53" w:rsidP="00BD3072">
            <w:pPr>
              <w:spacing w:line="240" w:lineRule="auto"/>
              <w:rPr>
                <w:rFonts w:ascii="Times New Roman" w:eastAsia="Times New Roman" w:hAnsi="Times New Roman"/>
                <w:lang w:eastAsia="pl-PL"/>
              </w:rPr>
            </w:pPr>
          </w:p>
          <w:p w14:paraId="284F5831" w14:textId="77777777" w:rsidR="00082F53" w:rsidRPr="00BD3072" w:rsidRDefault="00082F53" w:rsidP="00BD3072">
            <w:pPr>
              <w:spacing w:line="240" w:lineRule="auto"/>
              <w:rPr>
                <w:rFonts w:ascii="Times New Roman" w:eastAsia="Times New Roman" w:hAnsi="Times New Roman"/>
                <w:lang w:eastAsia="pl-PL"/>
              </w:rPr>
            </w:pPr>
          </w:p>
          <w:p w14:paraId="06F709E0" w14:textId="77777777" w:rsidR="00082F53" w:rsidRPr="00BD3072" w:rsidRDefault="00082F53" w:rsidP="00BD3072">
            <w:pPr>
              <w:spacing w:line="240" w:lineRule="auto"/>
              <w:rPr>
                <w:rFonts w:ascii="Times New Roman" w:eastAsia="Times New Roman" w:hAnsi="Times New Roman"/>
                <w:lang w:eastAsia="pl-PL"/>
              </w:rPr>
            </w:pPr>
          </w:p>
          <w:p w14:paraId="4E428115" w14:textId="77777777" w:rsidR="00082F53" w:rsidRPr="00BD3072" w:rsidRDefault="00082F53" w:rsidP="00BD3072">
            <w:pPr>
              <w:spacing w:line="240" w:lineRule="auto"/>
              <w:rPr>
                <w:rFonts w:ascii="Times New Roman" w:eastAsia="Times New Roman" w:hAnsi="Times New Roman"/>
                <w:lang w:eastAsia="pl-PL"/>
              </w:rPr>
            </w:pPr>
          </w:p>
          <w:p w14:paraId="685EF0FF" w14:textId="77777777" w:rsidR="00082F53" w:rsidRPr="00BD3072" w:rsidRDefault="00082F53" w:rsidP="00BD3072">
            <w:pPr>
              <w:spacing w:before="40" w:line="240" w:lineRule="auto"/>
              <w:jc w:val="center"/>
              <w:rPr>
                <w:rFonts w:ascii="Times New Roman" w:hAnsi="Times New Roman"/>
                <w:color w:val="000000"/>
                <w:spacing w:val="-2"/>
              </w:rPr>
            </w:pPr>
          </w:p>
        </w:tc>
        <w:tc>
          <w:tcPr>
            <w:tcW w:w="2293" w:type="dxa"/>
            <w:gridSpan w:val="8"/>
            <w:shd w:val="clear" w:color="auto" w:fill="auto"/>
          </w:tcPr>
          <w:p w14:paraId="1D5055D5" w14:textId="77777777" w:rsidR="00082F53" w:rsidRPr="00BD3072" w:rsidRDefault="00082F53" w:rsidP="00BD3072">
            <w:pPr>
              <w:spacing w:before="40" w:line="240" w:lineRule="auto"/>
              <w:jc w:val="center"/>
              <w:rPr>
                <w:rFonts w:ascii="Times New Roman" w:hAnsi="Times New Roman"/>
                <w:color w:val="000000"/>
                <w:spacing w:val="-2"/>
              </w:rPr>
            </w:pPr>
            <w:r w:rsidRPr="00BD3072">
              <w:rPr>
                <w:rFonts w:ascii="Times New Roman" w:eastAsia="Times New Roman" w:hAnsi="Times New Roman"/>
                <w:lang w:eastAsia="pl-PL"/>
              </w:rPr>
              <w:t>1</w:t>
            </w:r>
          </w:p>
        </w:tc>
        <w:tc>
          <w:tcPr>
            <w:tcW w:w="2867" w:type="dxa"/>
            <w:gridSpan w:val="12"/>
            <w:shd w:val="clear" w:color="auto" w:fill="auto"/>
          </w:tcPr>
          <w:p w14:paraId="2DF99523" w14:textId="77777777" w:rsidR="00082F53" w:rsidRPr="00BD3072" w:rsidRDefault="00082F53" w:rsidP="00BD3072">
            <w:pPr>
              <w:spacing w:before="40" w:line="240" w:lineRule="auto"/>
              <w:jc w:val="center"/>
              <w:rPr>
                <w:rFonts w:ascii="Times New Roman" w:hAnsi="Times New Roman"/>
                <w:color w:val="000000"/>
                <w:spacing w:val="-2"/>
              </w:rPr>
            </w:pPr>
            <w:r w:rsidRPr="00BD3072">
              <w:rPr>
                <w:rFonts w:ascii="Times New Roman" w:hAnsi="Times New Roman"/>
                <w:bCs/>
                <w:color w:val="000000"/>
              </w:rPr>
              <w:t xml:space="preserve">Ustawa z dnia 21 lipca </w:t>
            </w:r>
            <w:r w:rsidR="00050278" w:rsidRPr="00BD3072">
              <w:rPr>
                <w:rFonts w:ascii="Times New Roman" w:hAnsi="Times New Roman"/>
                <w:bCs/>
                <w:color w:val="000000"/>
              </w:rPr>
              <w:br/>
            </w:r>
            <w:r w:rsidRPr="00BD3072">
              <w:rPr>
                <w:rFonts w:ascii="Times New Roman" w:hAnsi="Times New Roman"/>
                <w:bCs/>
                <w:color w:val="000000"/>
              </w:rPr>
              <w:t>2006 r. o nadzorze nad rynkiem finansowym</w:t>
            </w:r>
            <w:r w:rsidR="007C6DED" w:rsidRPr="00BD3072">
              <w:rPr>
                <w:rFonts w:ascii="Times New Roman" w:hAnsi="Times New Roman"/>
                <w:bCs/>
                <w:color w:val="000000"/>
              </w:rPr>
              <w:t xml:space="preserve"> </w:t>
            </w:r>
          </w:p>
        </w:tc>
        <w:tc>
          <w:tcPr>
            <w:tcW w:w="2977" w:type="dxa"/>
            <w:gridSpan w:val="6"/>
            <w:shd w:val="clear" w:color="auto" w:fill="auto"/>
          </w:tcPr>
          <w:p w14:paraId="5ADB2180" w14:textId="77777777" w:rsidR="00082F53" w:rsidRPr="00BD3072" w:rsidRDefault="00082F53"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1. Konieczność dostosowania działalności do zmienianych regulacji w zakresie m.in.:</w:t>
            </w:r>
          </w:p>
          <w:p w14:paraId="23A117C6" w14:textId="77777777" w:rsidR="004A7EB4" w:rsidRPr="00BD3072" w:rsidRDefault="00082F53"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 sprawowanego przez KNF nadzoru nad rynkiem finansowym</w:t>
            </w:r>
            <w:r w:rsidR="00EC2D54" w:rsidRPr="00BD3072">
              <w:rPr>
                <w:rFonts w:ascii="Times New Roman" w:hAnsi="Times New Roman"/>
                <w:color w:val="000000"/>
                <w:spacing w:val="-2"/>
              </w:rPr>
              <w:t xml:space="preserve"> w odniesieniu do obowiązków wynikających z rozporządzenia</w:t>
            </w:r>
            <w:r w:rsidR="00473B6C" w:rsidRPr="00BD3072">
              <w:rPr>
                <w:rFonts w:ascii="Times New Roman" w:hAnsi="Times New Roman"/>
                <w:color w:val="000000"/>
                <w:spacing w:val="-2"/>
              </w:rPr>
              <w:t>.</w:t>
            </w:r>
          </w:p>
        </w:tc>
      </w:tr>
      <w:tr w:rsidR="003C59E4" w:rsidRPr="008B4FE6" w14:paraId="4F533DB7" w14:textId="77777777" w:rsidTr="006358DF">
        <w:trPr>
          <w:trHeight w:val="691"/>
        </w:trPr>
        <w:tc>
          <w:tcPr>
            <w:tcW w:w="2666" w:type="dxa"/>
            <w:gridSpan w:val="3"/>
            <w:shd w:val="clear" w:color="auto" w:fill="auto"/>
          </w:tcPr>
          <w:p w14:paraId="5CE1805E" w14:textId="7BF80AA5" w:rsidR="003C59E4" w:rsidRPr="00BD3072" w:rsidRDefault="00BD3072" w:rsidP="00BD3072">
            <w:pPr>
              <w:tabs>
                <w:tab w:val="right" w:pos="2311"/>
              </w:tabs>
              <w:spacing w:line="240" w:lineRule="auto"/>
              <w:jc w:val="both"/>
              <w:rPr>
                <w:rFonts w:ascii="Times New Roman" w:eastAsia="Times New Roman" w:hAnsi="Times New Roman"/>
                <w:lang w:eastAsia="pl-PL"/>
              </w:rPr>
            </w:pPr>
            <w:r w:rsidRPr="00BD3072">
              <w:rPr>
                <w:rFonts w:ascii="Times New Roman" w:hAnsi="Times New Roman"/>
              </w:rPr>
              <w:t>P</w:t>
            </w:r>
            <w:r w:rsidR="003C59E4" w:rsidRPr="00BD3072">
              <w:rPr>
                <w:rFonts w:ascii="Times New Roman" w:hAnsi="Times New Roman"/>
              </w:rPr>
              <w:t xml:space="preserve">racownicze </w:t>
            </w:r>
            <w:r w:rsidR="00530EBF" w:rsidRPr="00BD3072">
              <w:rPr>
                <w:rFonts w:ascii="Times New Roman" w:hAnsi="Times New Roman"/>
              </w:rPr>
              <w:t>towarzystwa</w:t>
            </w:r>
            <w:r w:rsidR="00473B6C" w:rsidRPr="00BD3072">
              <w:rPr>
                <w:rFonts w:ascii="Times New Roman" w:hAnsi="Times New Roman"/>
              </w:rPr>
              <w:t xml:space="preserve"> </w:t>
            </w:r>
            <w:r w:rsidR="003C59E4" w:rsidRPr="00BD3072">
              <w:rPr>
                <w:rFonts w:ascii="Times New Roman" w:hAnsi="Times New Roman"/>
              </w:rPr>
              <w:t>emerytalne</w:t>
            </w:r>
          </w:p>
        </w:tc>
        <w:tc>
          <w:tcPr>
            <w:tcW w:w="2293" w:type="dxa"/>
            <w:gridSpan w:val="8"/>
            <w:shd w:val="clear" w:color="auto" w:fill="auto"/>
          </w:tcPr>
          <w:p w14:paraId="52067F92" w14:textId="77777777" w:rsidR="003C59E4" w:rsidRPr="00BD3072" w:rsidRDefault="00530EBF" w:rsidP="00BD3072">
            <w:pPr>
              <w:spacing w:before="40" w:line="240" w:lineRule="auto"/>
              <w:jc w:val="center"/>
              <w:rPr>
                <w:rFonts w:ascii="Times New Roman" w:eastAsia="Times New Roman" w:hAnsi="Times New Roman"/>
                <w:lang w:eastAsia="pl-PL"/>
              </w:rPr>
            </w:pPr>
            <w:r w:rsidRPr="00BD3072">
              <w:rPr>
                <w:rFonts w:ascii="Times New Roman" w:eastAsia="Times New Roman" w:hAnsi="Times New Roman"/>
                <w:lang w:eastAsia="pl-PL"/>
              </w:rPr>
              <w:t>2</w:t>
            </w:r>
          </w:p>
        </w:tc>
        <w:tc>
          <w:tcPr>
            <w:tcW w:w="2867" w:type="dxa"/>
            <w:gridSpan w:val="12"/>
            <w:shd w:val="clear" w:color="auto" w:fill="auto"/>
          </w:tcPr>
          <w:p w14:paraId="5E58F3AE" w14:textId="27DB837E" w:rsidR="003C59E4" w:rsidRPr="00BD3072" w:rsidRDefault="007A23F8" w:rsidP="00BD3072">
            <w:pPr>
              <w:spacing w:before="40" w:line="240" w:lineRule="auto"/>
              <w:jc w:val="center"/>
              <w:rPr>
                <w:rFonts w:ascii="Times New Roman" w:hAnsi="Times New Roman"/>
                <w:bCs/>
                <w:color w:val="000000"/>
              </w:rPr>
            </w:pPr>
            <w:r w:rsidRPr="00BD3072">
              <w:rPr>
                <w:rFonts w:ascii="Times New Roman" w:hAnsi="Times New Roman"/>
                <w:bCs/>
                <w:color w:val="000000"/>
              </w:rPr>
              <w:t>Rejestr KRS</w:t>
            </w:r>
          </w:p>
        </w:tc>
        <w:tc>
          <w:tcPr>
            <w:tcW w:w="2977" w:type="dxa"/>
            <w:gridSpan w:val="6"/>
            <w:shd w:val="clear" w:color="auto" w:fill="auto"/>
          </w:tcPr>
          <w:p w14:paraId="47CFE10D" w14:textId="77777777" w:rsidR="003C59E4" w:rsidRDefault="00042A0E" w:rsidP="00C52EBD">
            <w:pPr>
              <w:pStyle w:val="Tekstkomentarza"/>
              <w:spacing w:line="240" w:lineRule="auto"/>
              <w:jc w:val="both"/>
              <w:rPr>
                <w:rFonts w:ascii="Times New Roman" w:hAnsi="Times New Roman"/>
                <w:sz w:val="22"/>
                <w:szCs w:val="22"/>
              </w:rPr>
            </w:pPr>
            <w:r w:rsidRPr="00BD3072">
              <w:rPr>
                <w:rFonts w:ascii="Times New Roman" w:hAnsi="Times New Roman"/>
                <w:color w:val="000000"/>
                <w:spacing w:val="-2"/>
                <w:sz w:val="22"/>
                <w:szCs w:val="22"/>
              </w:rPr>
              <w:t xml:space="preserve">Realizacja </w:t>
            </w:r>
            <w:r w:rsidRPr="00BD3072">
              <w:rPr>
                <w:rFonts w:ascii="Times New Roman" w:hAnsi="Times New Roman"/>
                <w:sz w:val="22"/>
                <w:szCs w:val="22"/>
              </w:rPr>
              <w:t xml:space="preserve">obowiązków dotyczących zapewnienia wysokiego poziomu </w:t>
            </w:r>
            <w:r w:rsidR="00C52EBD">
              <w:rPr>
                <w:rFonts w:ascii="Times New Roman" w:hAnsi="Times New Roman"/>
                <w:color w:val="000000"/>
                <w:sz w:val="22"/>
                <w:szCs w:val="22"/>
                <w:shd w:val="clear" w:color="auto" w:fill="FFFFFF"/>
              </w:rPr>
              <w:t xml:space="preserve"> </w:t>
            </w:r>
            <w:r w:rsidRPr="00BD3072">
              <w:rPr>
                <w:rFonts w:ascii="Times New Roman" w:hAnsi="Times New Roman"/>
                <w:color w:val="000000"/>
                <w:sz w:val="22"/>
                <w:szCs w:val="22"/>
                <w:shd w:val="clear" w:color="auto" w:fill="FFFFFF"/>
              </w:rPr>
              <w:lastRenderedPageBreak/>
              <w:t>operacyjnej odporności cyfrowej i bezpieczeństwa ICT</w:t>
            </w:r>
            <w:r w:rsidR="00C52EBD">
              <w:rPr>
                <w:rFonts w:ascii="Times New Roman" w:hAnsi="Times New Roman"/>
                <w:color w:val="000000"/>
                <w:sz w:val="22"/>
                <w:szCs w:val="22"/>
                <w:shd w:val="clear" w:color="auto" w:fill="FFFFFF"/>
              </w:rPr>
              <w:t xml:space="preserve"> </w:t>
            </w:r>
            <w:r w:rsidRPr="00BD3072">
              <w:rPr>
                <w:rFonts w:ascii="Times New Roman" w:hAnsi="Times New Roman"/>
                <w:color w:val="000000"/>
                <w:sz w:val="22"/>
                <w:szCs w:val="22"/>
                <w:shd w:val="clear" w:color="auto" w:fill="FFFFFF"/>
              </w:rPr>
              <w:t xml:space="preserve">w obszarze usług finansowych, wynikające z </w:t>
            </w:r>
            <w:r w:rsidRPr="00BD3072">
              <w:rPr>
                <w:rFonts w:ascii="Times New Roman" w:hAnsi="Times New Roman"/>
                <w:sz w:val="22"/>
                <w:szCs w:val="22"/>
              </w:rPr>
              <w:t xml:space="preserve"> rozporządzenia 2022/2554</w:t>
            </w:r>
            <w:r w:rsidR="005C2937" w:rsidRPr="00BD3072">
              <w:rPr>
                <w:rFonts w:ascii="Times New Roman" w:hAnsi="Times New Roman"/>
                <w:sz w:val="22"/>
                <w:szCs w:val="22"/>
              </w:rPr>
              <w:t xml:space="preserve"> w zakresie wynikającym ze zmian ustawy o organizacji i funkcjonowaniu funduszy emerytalnych</w:t>
            </w:r>
            <w:r w:rsidR="00125718" w:rsidRPr="00BD3072">
              <w:rPr>
                <w:rFonts w:ascii="Times New Roman" w:hAnsi="Times New Roman"/>
                <w:sz w:val="22"/>
                <w:szCs w:val="22"/>
              </w:rPr>
              <w:t>.</w:t>
            </w:r>
          </w:p>
          <w:p w14:paraId="15894CC7" w14:textId="0CF98A64" w:rsidR="00FD6881" w:rsidRPr="00FD6881" w:rsidRDefault="00FD6881" w:rsidP="00C52EBD">
            <w:pPr>
              <w:pStyle w:val="Tekstkomentarza"/>
              <w:spacing w:line="240" w:lineRule="auto"/>
              <w:jc w:val="both"/>
              <w:rPr>
                <w:rFonts w:ascii="Times New Roman" w:hAnsi="Times New Roman"/>
                <w:sz w:val="22"/>
                <w:szCs w:val="22"/>
              </w:rPr>
            </w:pPr>
            <w:r w:rsidRPr="00FD6881">
              <w:rPr>
                <w:rFonts w:ascii="Times New Roman" w:hAnsi="Times New Roman"/>
                <w:color w:val="000000"/>
                <w:spacing w:val="-2"/>
                <w:sz w:val="22"/>
                <w:szCs w:val="22"/>
              </w:rPr>
              <w:t>Podmioty objęte zakresem kontroli</w:t>
            </w:r>
          </w:p>
        </w:tc>
      </w:tr>
      <w:tr w:rsidR="00082F53" w:rsidRPr="008B4FE6" w14:paraId="4C92D2ED" w14:textId="77777777" w:rsidTr="00D874B1">
        <w:trPr>
          <w:trHeight w:val="142"/>
        </w:trPr>
        <w:tc>
          <w:tcPr>
            <w:tcW w:w="2666" w:type="dxa"/>
            <w:gridSpan w:val="3"/>
            <w:shd w:val="clear" w:color="auto" w:fill="auto"/>
          </w:tcPr>
          <w:p w14:paraId="34BEA815" w14:textId="2ABCB2E7" w:rsidR="00082F53" w:rsidRPr="00BD3072" w:rsidRDefault="00A132CE" w:rsidP="00BD3072">
            <w:pPr>
              <w:spacing w:line="240" w:lineRule="auto"/>
              <w:rPr>
                <w:rFonts w:ascii="Times New Roman" w:hAnsi="Times New Roman"/>
              </w:rPr>
            </w:pPr>
            <w:r w:rsidRPr="00BD3072">
              <w:rPr>
                <w:rFonts w:ascii="Times New Roman" w:hAnsi="Times New Roman"/>
              </w:rPr>
              <w:lastRenderedPageBreak/>
              <w:t>B</w:t>
            </w:r>
            <w:r w:rsidR="00082F53" w:rsidRPr="00BD3072">
              <w:rPr>
                <w:rFonts w:ascii="Times New Roman" w:hAnsi="Times New Roman"/>
              </w:rPr>
              <w:t>anki</w:t>
            </w:r>
            <w:r w:rsidR="00DF0EE9" w:rsidRPr="00BD3072">
              <w:rPr>
                <w:rFonts w:ascii="Times New Roman" w:hAnsi="Times New Roman"/>
              </w:rPr>
              <w:t xml:space="preserve"> komercyjne i państwowe </w:t>
            </w:r>
          </w:p>
        </w:tc>
        <w:tc>
          <w:tcPr>
            <w:tcW w:w="2293" w:type="dxa"/>
            <w:gridSpan w:val="8"/>
            <w:shd w:val="clear" w:color="auto" w:fill="auto"/>
          </w:tcPr>
          <w:p w14:paraId="2F8AEF6B" w14:textId="4A5BD25B" w:rsidR="00A132CE" w:rsidRPr="00BD3072" w:rsidRDefault="00E7643B"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29</w:t>
            </w:r>
            <w:r w:rsidR="00A132CE" w:rsidRPr="00BD3072">
              <w:rPr>
                <w:rFonts w:ascii="Times New Roman" w:hAnsi="Times New Roman"/>
                <w:color w:val="000000"/>
                <w:spacing w:val="-2"/>
              </w:rPr>
              <w:t xml:space="preserve"> banków komercyjnych </w:t>
            </w:r>
          </w:p>
          <w:p w14:paraId="000FAC0C" w14:textId="77777777" w:rsidR="00A132CE" w:rsidRPr="00BD3072" w:rsidRDefault="00A132CE" w:rsidP="00BD3072">
            <w:pPr>
              <w:spacing w:line="240" w:lineRule="auto"/>
              <w:jc w:val="center"/>
              <w:rPr>
                <w:rFonts w:ascii="Times New Roman" w:hAnsi="Times New Roman"/>
                <w:color w:val="000000"/>
                <w:spacing w:val="-2"/>
              </w:rPr>
            </w:pPr>
          </w:p>
          <w:p w14:paraId="74480978" w14:textId="77777777" w:rsidR="00A132CE" w:rsidRPr="00BD3072" w:rsidRDefault="00A132CE"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1 bank państwowy</w:t>
            </w:r>
          </w:p>
          <w:p w14:paraId="5084B1E2" w14:textId="77777777" w:rsidR="00082F53" w:rsidRPr="00BD3072" w:rsidRDefault="00082F53" w:rsidP="00BD3072">
            <w:pPr>
              <w:spacing w:line="240" w:lineRule="auto"/>
              <w:jc w:val="center"/>
              <w:rPr>
                <w:rFonts w:ascii="Times New Roman" w:hAnsi="Times New Roman"/>
              </w:rPr>
            </w:pPr>
          </w:p>
        </w:tc>
        <w:tc>
          <w:tcPr>
            <w:tcW w:w="2867" w:type="dxa"/>
            <w:gridSpan w:val="12"/>
            <w:shd w:val="clear" w:color="auto" w:fill="auto"/>
          </w:tcPr>
          <w:p w14:paraId="74213B72" w14:textId="49360C4F" w:rsidR="00082F53" w:rsidRPr="00BD3072" w:rsidRDefault="001D5725" w:rsidP="00BD3072">
            <w:pPr>
              <w:spacing w:line="240" w:lineRule="auto"/>
              <w:jc w:val="center"/>
              <w:rPr>
                <w:rFonts w:ascii="Times New Roman" w:hAnsi="Times New Roman"/>
                <w:noProof/>
                <w:color w:val="000000"/>
              </w:rPr>
            </w:pPr>
            <w:r w:rsidRPr="00BD3072">
              <w:rPr>
                <w:rFonts w:ascii="Times New Roman" w:hAnsi="Times New Roman"/>
                <w:noProof/>
                <w:color w:val="000000"/>
              </w:rPr>
              <w:t>Rejestr</w:t>
            </w:r>
            <w:r w:rsidR="00082F53" w:rsidRPr="00BD3072">
              <w:rPr>
                <w:rFonts w:ascii="Times New Roman" w:hAnsi="Times New Roman"/>
                <w:noProof/>
                <w:color w:val="000000"/>
              </w:rPr>
              <w:t xml:space="preserve"> podmiotów sektora bankowego Urz</w:t>
            </w:r>
            <w:r w:rsidR="00A45FEE" w:rsidRPr="00BD3072">
              <w:rPr>
                <w:rFonts w:ascii="Times New Roman" w:hAnsi="Times New Roman"/>
                <w:noProof/>
                <w:color w:val="000000"/>
              </w:rPr>
              <w:t>ę</w:t>
            </w:r>
            <w:r w:rsidR="00082F53" w:rsidRPr="00BD3072">
              <w:rPr>
                <w:rFonts w:ascii="Times New Roman" w:hAnsi="Times New Roman"/>
                <w:noProof/>
                <w:color w:val="000000"/>
              </w:rPr>
              <w:t>d</w:t>
            </w:r>
            <w:r w:rsidR="00A45FEE" w:rsidRPr="00BD3072">
              <w:rPr>
                <w:rFonts w:ascii="Times New Roman" w:hAnsi="Times New Roman"/>
                <w:noProof/>
                <w:color w:val="000000"/>
              </w:rPr>
              <w:t>u</w:t>
            </w:r>
            <w:r w:rsidR="00082F53" w:rsidRPr="00BD3072">
              <w:rPr>
                <w:rFonts w:ascii="Times New Roman" w:hAnsi="Times New Roman"/>
                <w:noProof/>
                <w:color w:val="000000"/>
              </w:rPr>
              <w:t xml:space="preserve"> KNF (</w:t>
            </w:r>
            <w:hyperlink r:id="rId9" w:history="1">
              <w:r w:rsidR="00A132CE" w:rsidRPr="00BD3072">
                <w:rPr>
                  <w:rStyle w:val="Hipercze"/>
                  <w:rFonts w:ascii="Times New Roman" w:hAnsi="Times New Roman"/>
                  <w:noProof/>
                </w:rPr>
                <w:t>www.knf.gov.pl</w:t>
              </w:r>
            </w:hyperlink>
            <w:r w:rsidR="00082F53" w:rsidRPr="00BD3072">
              <w:rPr>
                <w:rFonts w:ascii="Times New Roman" w:hAnsi="Times New Roman"/>
                <w:noProof/>
                <w:color w:val="000000"/>
              </w:rPr>
              <w:t>)</w:t>
            </w:r>
          </w:p>
          <w:p w14:paraId="59F80C86" w14:textId="77777777" w:rsidR="00A132CE" w:rsidRPr="00BD3072" w:rsidRDefault="00A132CE" w:rsidP="00BD3072">
            <w:pPr>
              <w:spacing w:line="240" w:lineRule="auto"/>
              <w:jc w:val="center"/>
              <w:rPr>
                <w:rFonts w:ascii="Times New Roman" w:hAnsi="Times New Roman"/>
                <w:noProof/>
                <w:color w:val="000000"/>
              </w:rPr>
            </w:pPr>
            <w:r w:rsidRPr="00BD3072">
              <w:rPr>
                <w:rFonts w:ascii="Times New Roman" w:hAnsi="Times New Roman"/>
                <w:noProof/>
                <w:color w:val="000000"/>
              </w:rPr>
              <w:t>(stan na 23.11.2023 r.)</w:t>
            </w:r>
          </w:p>
          <w:p w14:paraId="0DA90BEA" w14:textId="1C056618" w:rsidR="00707124" w:rsidRPr="00BD3072" w:rsidRDefault="00707124" w:rsidP="00BD3072">
            <w:pPr>
              <w:spacing w:line="240" w:lineRule="auto"/>
              <w:jc w:val="center"/>
              <w:rPr>
                <w:rStyle w:val="Hipercze"/>
                <w:rFonts w:ascii="Times New Roman" w:hAnsi="Times New Roman"/>
                <w:color w:val="000000" w:themeColor="text1"/>
              </w:rPr>
            </w:pPr>
            <w:r w:rsidRPr="00BD3072">
              <w:rPr>
                <w:rFonts w:ascii="Times New Roman" w:hAnsi="Times New Roman"/>
                <w:noProof/>
                <w:color w:val="000000"/>
              </w:rPr>
              <w:t>Dane miesięczne sektora bankowego-wrzesień 2023 r. (www.knf.gov.pl)</w:t>
            </w:r>
          </w:p>
        </w:tc>
        <w:tc>
          <w:tcPr>
            <w:tcW w:w="2977" w:type="dxa"/>
            <w:gridSpan w:val="6"/>
            <w:shd w:val="clear" w:color="auto" w:fill="auto"/>
          </w:tcPr>
          <w:p w14:paraId="40391915" w14:textId="77777777" w:rsidR="00082F53" w:rsidRDefault="00773F41" w:rsidP="00BD3072">
            <w:pPr>
              <w:spacing w:line="240" w:lineRule="auto"/>
              <w:jc w:val="both"/>
              <w:rPr>
                <w:rFonts w:ascii="Times New Roman" w:hAnsi="Times New Roman"/>
              </w:rPr>
            </w:pPr>
            <w:r w:rsidRPr="00BD3072">
              <w:rPr>
                <w:rFonts w:ascii="Times New Roman" w:hAnsi="Times New Roman"/>
                <w:color w:val="000000"/>
                <w:spacing w:val="-2"/>
              </w:rPr>
              <w:t xml:space="preserve">Realizacja </w:t>
            </w:r>
            <w:r w:rsidRPr="00BD3072">
              <w:rPr>
                <w:rFonts w:ascii="Times New Roman" w:hAnsi="Times New Roman"/>
              </w:rPr>
              <w:t xml:space="preserve">obowiązków dotyczących zapewnienia wysokiego poziomu </w:t>
            </w:r>
            <w:r w:rsidRPr="00BD3072">
              <w:rPr>
                <w:rFonts w:ascii="Times New Roman" w:hAnsi="Times New Roman"/>
                <w:color w:val="000000"/>
                <w:shd w:val="clear" w:color="auto" w:fill="FFFFFF"/>
              </w:rPr>
              <w:t xml:space="preserve"> operacyjnej odporności cyfrowej i bezpieczeństwa ICT w obszarze usług finansowych, wynikające z </w:t>
            </w:r>
            <w:r w:rsidRPr="00BD3072">
              <w:rPr>
                <w:rFonts w:ascii="Times New Roman" w:hAnsi="Times New Roman"/>
              </w:rPr>
              <w:t xml:space="preserve"> rozporządzenia 2022/2554</w:t>
            </w:r>
            <w:r w:rsidR="005C2937" w:rsidRPr="00BD3072">
              <w:rPr>
                <w:rFonts w:ascii="Times New Roman" w:hAnsi="Times New Roman"/>
              </w:rPr>
              <w:t xml:space="preserve"> w zakresie wynikającym ze zmian ustawy Prawo bankowe</w:t>
            </w:r>
            <w:r w:rsidR="00701FBB" w:rsidRPr="00BD3072">
              <w:rPr>
                <w:rFonts w:ascii="Times New Roman" w:hAnsi="Times New Roman"/>
              </w:rPr>
              <w:t>.</w:t>
            </w:r>
          </w:p>
          <w:p w14:paraId="293AB732" w14:textId="6983FFEF" w:rsidR="00FD6881" w:rsidRPr="00BD3072" w:rsidRDefault="00FD6881" w:rsidP="00BD3072">
            <w:pPr>
              <w:spacing w:line="240" w:lineRule="auto"/>
              <w:jc w:val="both"/>
              <w:rPr>
                <w:rFonts w:ascii="Times New Roman" w:eastAsia="Times New Roman" w:hAnsi="Times New Roman"/>
                <w:bCs/>
              </w:rPr>
            </w:pPr>
            <w:r w:rsidRPr="00BD3072">
              <w:rPr>
                <w:rFonts w:ascii="Times New Roman" w:hAnsi="Times New Roman"/>
                <w:color w:val="000000"/>
                <w:spacing w:val="-2"/>
              </w:rPr>
              <w:t>Podmioty objęte zakresem kontroli</w:t>
            </w:r>
          </w:p>
        </w:tc>
      </w:tr>
      <w:tr w:rsidR="004C1CBF" w:rsidRPr="008B4FE6" w14:paraId="5FF64B2B" w14:textId="77777777" w:rsidTr="00D874B1">
        <w:trPr>
          <w:trHeight w:val="142"/>
        </w:trPr>
        <w:tc>
          <w:tcPr>
            <w:tcW w:w="2666" w:type="dxa"/>
            <w:gridSpan w:val="3"/>
            <w:shd w:val="clear" w:color="auto" w:fill="auto"/>
          </w:tcPr>
          <w:p w14:paraId="6C761D87" w14:textId="7683A863" w:rsidR="004C1CBF" w:rsidRPr="00BD3072" w:rsidRDefault="00BD3072" w:rsidP="00BD3072">
            <w:pPr>
              <w:spacing w:line="240" w:lineRule="auto"/>
              <w:rPr>
                <w:rFonts w:ascii="Times New Roman" w:hAnsi="Times New Roman"/>
              </w:rPr>
            </w:pPr>
            <w:r w:rsidRPr="00BD3072">
              <w:rPr>
                <w:rFonts w:ascii="Times New Roman" w:hAnsi="Times New Roman"/>
              </w:rPr>
              <w:t>B</w:t>
            </w:r>
            <w:r w:rsidR="004C1CBF" w:rsidRPr="00BD3072">
              <w:rPr>
                <w:rFonts w:ascii="Times New Roman" w:hAnsi="Times New Roman"/>
              </w:rPr>
              <w:t>anki zagraniczne</w:t>
            </w:r>
          </w:p>
        </w:tc>
        <w:tc>
          <w:tcPr>
            <w:tcW w:w="2293" w:type="dxa"/>
            <w:gridSpan w:val="8"/>
            <w:shd w:val="clear" w:color="auto" w:fill="auto"/>
          </w:tcPr>
          <w:p w14:paraId="0A57A78D" w14:textId="28E706AD" w:rsidR="004C1CBF" w:rsidRPr="00BD3072" w:rsidRDefault="008F4FB5"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1</w:t>
            </w:r>
          </w:p>
        </w:tc>
        <w:tc>
          <w:tcPr>
            <w:tcW w:w="2867" w:type="dxa"/>
            <w:gridSpan w:val="12"/>
            <w:shd w:val="clear" w:color="auto" w:fill="auto"/>
          </w:tcPr>
          <w:p w14:paraId="5FC38817" w14:textId="5CC40007" w:rsidR="004C1CBF" w:rsidRPr="00BD3072" w:rsidRDefault="008F4FB5" w:rsidP="00BD3072">
            <w:pPr>
              <w:spacing w:line="240" w:lineRule="auto"/>
              <w:jc w:val="center"/>
              <w:rPr>
                <w:rFonts w:ascii="Times New Roman" w:hAnsi="Times New Roman"/>
                <w:noProof/>
                <w:color w:val="000000"/>
              </w:rPr>
            </w:pPr>
            <w:r w:rsidRPr="00BD3072">
              <w:rPr>
                <w:rFonts w:ascii="Times New Roman" w:hAnsi="Times New Roman"/>
                <w:noProof/>
                <w:color w:val="000000"/>
              </w:rPr>
              <w:t>https://www.knf.gov.pl/podmioty/Podmioty_sektora_bankowego/zestawienie_oddzialow_bankow_zagranicznych</w:t>
            </w:r>
          </w:p>
        </w:tc>
        <w:tc>
          <w:tcPr>
            <w:tcW w:w="2977" w:type="dxa"/>
            <w:gridSpan w:val="6"/>
            <w:shd w:val="clear" w:color="auto" w:fill="auto"/>
          </w:tcPr>
          <w:p w14:paraId="6B48B936" w14:textId="09D2120D" w:rsidR="004C1CBF" w:rsidRPr="00BD3072" w:rsidRDefault="008F4FB5" w:rsidP="00BD3072">
            <w:pPr>
              <w:spacing w:line="240" w:lineRule="auto"/>
              <w:jc w:val="both"/>
              <w:rPr>
                <w:rFonts w:ascii="Times New Roman" w:hAnsi="Times New Roman"/>
                <w:color w:val="000000"/>
                <w:spacing w:val="-2"/>
              </w:rPr>
            </w:pPr>
            <w:r w:rsidRPr="00BD3072">
              <w:rPr>
                <w:rFonts w:ascii="Times New Roman" w:hAnsi="Times New Roman"/>
                <w:color w:val="000000"/>
                <w:spacing w:val="-2"/>
              </w:rPr>
              <w:t xml:space="preserve">Podmioty objęte zakresem kontroli </w:t>
            </w:r>
          </w:p>
        </w:tc>
      </w:tr>
      <w:tr w:rsidR="00A132CE" w:rsidRPr="008B4FE6" w14:paraId="2FE3FCEA" w14:textId="77777777" w:rsidTr="00D874B1">
        <w:trPr>
          <w:trHeight w:val="142"/>
        </w:trPr>
        <w:tc>
          <w:tcPr>
            <w:tcW w:w="2666" w:type="dxa"/>
            <w:gridSpan w:val="3"/>
            <w:shd w:val="clear" w:color="auto" w:fill="auto"/>
          </w:tcPr>
          <w:p w14:paraId="5BD19C23" w14:textId="77777777" w:rsidR="00A132CE" w:rsidRPr="00BD3072" w:rsidRDefault="00A132CE" w:rsidP="00BD3072">
            <w:pPr>
              <w:spacing w:line="240" w:lineRule="auto"/>
              <w:rPr>
                <w:rFonts w:ascii="Times New Roman" w:hAnsi="Times New Roman"/>
              </w:rPr>
            </w:pPr>
            <w:r w:rsidRPr="00BD3072">
              <w:rPr>
                <w:rFonts w:ascii="Times New Roman" w:hAnsi="Times New Roman"/>
              </w:rPr>
              <w:t>Banki spółdzielcze</w:t>
            </w:r>
          </w:p>
          <w:p w14:paraId="135FE108" w14:textId="77777777" w:rsidR="00A132CE" w:rsidRPr="00BD3072" w:rsidRDefault="00A132CE" w:rsidP="00BD3072">
            <w:pPr>
              <w:spacing w:line="240" w:lineRule="auto"/>
              <w:rPr>
                <w:rFonts w:ascii="Times New Roman" w:hAnsi="Times New Roman"/>
              </w:rPr>
            </w:pPr>
          </w:p>
          <w:p w14:paraId="782C06FB" w14:textId="60489C1D" w:rsidR="00A132CE" w:rsidRPr="00BD3072" w:rsidRDefault="00A132CE" w:rsidP="00BD3072">
            <w:pPr>
              <w:tabs>
                <w:tab w:val="right" w:pos="2311"/>
              </w:tabs>
              <w:spacing w:line="240" w:lineRule="auto"/>
              <w:jc w:val="both"/>
              <w:rPr>
                <w:rFonts w:ascii="Times New Roman" w:hAnsi="Times New Roman"/>
                <w:color w:val="000000" w:themeColor="text1"/>
              </w:rPr>
            </w:pPr>
            <w:r w:rsidRPr="00BD3072">
              <w:rPr>
                <w:rFonts w:ascii="Times New Roman" w:hAnsi="Times New Roman"/>
              </w:rPr>
              <w:t>Banki zrzeszające</w:t>
            </w:r>
          </w:p>
        </w:tc>
        <w:tc>
          <w:tcPr>
            <w:tcW w:w="2293" w:type="dxa"/>
            <w:gridSpan w:val="8"/>
            <w:shd w:val="clear" w:color="auto" w:fill="auto"/>
          </w:tcPr>
          <w:p w14:paraId="78ED20AF" w14:textId="77777777" w:rsidR="00A132CE" w:rsidRPr="00BD3072" w:rsidRDefault="00A132CE"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492</w:t>
            </w:r>
          </w:p>
          <w:p w14:paraId="3C0BC326" w14:textId="77777777" w:rsidR="00A132CE" w:rsidRPr="00BD3072" w:rsidRDefault="00A132CE"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 xml:space="preserve"> </w:t>
            </w:r>
          </w:p>
          <w:p w14:paraId="4C14CDC8" w14:textId="2A4A6019" w:rsidR="00A132CE" w:rsidRPr="00BD3072" w:rsidRDefault="00A132CE" w:rsidP="00BD3072">
            <w:pPr>
              <w:spacing w:line="240" w:lineRule="auto"/>
              <w:jc w:val="center"/>
              <w:rPr>
                <w:rFonts w:ascii="Times New Roman" w:eastAsia="Times New Roman" w:hAnsi="Times New Roman"/>
                <w:lang w:eastAsia="pl-PL"/>
              </w:rPr>
            </w:pPr>
            <w:r w:rsidRPr="00BD3072">
              <w:rPr>
                <w:rFonts w:ascii="Times New Roman" w:hAnsi="Times New Roman"/>
                <w:color w:val="000000"/>
                <w:spacing w:val="-2"/>
              </w:rPr>
              <w:t>2</w:t>
            </w:r>
          </w:p>
        </w:tc>
        <w:tc>
          <w:tcPr>
            <w:tcW w:w="2867" w:type="dxa"/>
            <w:gridSpan w:val="12"/>
            <w:shd w:val="clear" w:color="auto" w:fill="auto"/>
          </w:tcPr>
          <w:p w14:paraId="5EA5318A" w14:textId="77777777" w:rsidR="00A132CE" w:rsidRPr="00BD3072" w:rsidRDefault="00A132CE" w:rsidP="00BD3072">
            <w:pPr>
              <w:spacing w:line="240" w:lineRule="auto"/>
              <w:jc w:val="center"/>
              <w:rPr>
                <w:rFonts w:ascii="Times New Roman" w:hAnsi="Times New Roman"/>
                <w:noProof/>
                <w:color w:val="000000"/>
              </w:rPr>
            </w:pPr>
            <w:r w:rsidRPr="00BD3072">
              <w:rPr>
                <w:rFonts w:ascii="Times New Roman" w:hAnsi="Times New Roman"/>
                <w:noProof/>
                <w:color w:val="000000"/>
              </w:rPr>
              <w:t>Opracowanie UKNF „Dane miesięczne sektora bankowego”</w:t>
            </w:r>
          </w:p>
          <w:p w14:paraId="55276292" w14:textId="28C9D4E5" w:rsidR="00A132CE" w:rsidRPr="00BD3072" w:rsidRDefault="008C291D" w:rsidP="00BD3072">
            <w:pPr>
              <w:spacing w:line="240" w:lineRule="auto"/>
              <w:jc w:val="center"/>
              <w:rPr>
                <w:rFonts w:ascii="Times New Roman" w:hAnsi="Times New Roman"/>
                <w:noProof/>
                <w:color w:val="000000"/>
              </w:rPr>
            </w:pPr>
            <w:r w:rsidRPr="00BD3072">
              <w:rPr>
                <w:rFonts w:ascii="Times New Roman" w:hAnsi="Times New Roman"/>
                <w:noProof/>
                <w:color w:val="000000"/>
              </w:rPr>
              <w:t xml:space="preserve">(stan na </w:t>
            </w:r>
            <w:r>
              <w:rPr>
                <w:rFonts w:ascii="Times New Roman" w:hAnsi="Times New Roman"/>
                <w:noProof/>
                <w:color w:val="000000"/>
              </w:rPr>
              <w:t>31</w:t>
            </w:r>
            <w:r w:rsidRPr="00BD3072">
              <w:rPr>
                <w:rFonts w:ascii="Times New Roman" w:hAnsi="Times New Roman"/>
                <w:noProof/>
                <w:color w:val="000000"/>
              </w:rPr>
              <w:t>.1</w:t>
            </w:r>
            <w:r>
              <w:rPr>
                <w:rFonts w:ascii="Times New Roman" w:hAnsi="Times New Roman"/>
                <w:noProof/>
                <w:color w:val="000000"/>
              </w:rPr>
              <w:t>2</w:t>
            </w:r>
            <w:r w:rsidRPr="00BD3072">
              <w:rPr>
                <w:rFonts w:ascii="Times New Roman" w:hAnsi="Times New Roman"/>
                <w:noProof/>
                <w:color w:val="000000"/>
              </w:rPr>
              <w:t>.2023 r.)</w:t>
            </w:r>
            <w:r w:rsidRPr="00BD3072" w:rsidDel="008C291D">
              <w:rPr>
                <w:rFonts w:ascii="Times New Roman" w:hAnsi="Times New Roman"/>
                <w:noProof/>
                <w:color w:val="000000"/>
              </w:rPr>
              <w:t xml:space="preserve"> </w:t>
            </w:r>
          </w:p>
        </w:tc>
        <w:tc>
          <w:tcPr>
            <w:tcW w:w="2977" w:type="dxa"/>
            <w:gridSpan w:val="6"/>
            <w:shd w:val="clear" w:color="auto" w:fill="auto"/>
          </w:tcPr>
          <w:p w14:paraId="234E7B71" w14:textId="77777777" w:rsidR="00A132CE" w:rsidRDefault="00A132CE" w:rsidP="00BD3072">
            <w:pPr>
              <w:shd w:val="clear" w:color="auto" w:fill="FFFFFF"/>
              <w:spacing w:before="120" w:line="240" w:lineRule="auto"/>
              <w:jc w:val="both"/>
              <w:rPr>
                <w:rFonts w:ascii="Times New Roman" w:hAnsi="Times New Roman"/>
                <w:color w:val="000000"/>
                <w:spacing w:val="-2"/>
              </w:rPr>
            </w:pPr>
            <w:r w:rsidRPr="00BD3072">
              <w:rPr>
                <w:rFonts w:ascii="Times New Roman" w:hAnsi="Times New Roman"/>
                <w:color w:val="000000"/>
                <w:spacing w:val="-2"/>
              </w:rPr>
              <w:t>Realizacja obowiązków dotyczących zapewnienia wysokiego poziomu  operacyjnej odporności cyfrowej i bezpieczeństwa ICT w obszarze usług finansowych, wynikające z  rozporządzenia 2022/2554 w zakresie wynikającym ze zmian ustawy Prawo bankowe.</w:t>
            </w:r>
          </w:p>
          <w:p w14:paraId="62FD70F9" w14:textId="14E25F17" w:rsidR="00FD6881" w:rsidRPr="00BD3072" w:rsidRDefault="00FD6881" w:rsidP="00BD3072">
            <w:pPr>
              <w:shd w:val="clear" w:color="auto" w:fill="FFFFFF"/>
              <w:spacing w:before="120" w:line="240" w:lineRule="auto"/>
              <w:jc w:val="both"/>
              <w:rPr>
                <w:rFonts w:ascii="Times New Roman" w:eastAsia="Times New Roman" w:hAnsi="Times New Roman"/>
                <w:color w:val="000000"/>
                <w:lang w:eastAsia="pl-PL"/>
              </w:rPr>
            </w:pPr>
            <w:r w:rsidRPr="00BD3072">
              <w:rPr>
                <w:rFonts w:ascii="Times New Roman" w:hAnsi="Times New Roman"/>
                <w:color w:val="000000"/>
                <w:spacing w:val="-2"/>
              </w:rPr>
              <w:t>Podmioty objęte zakresem kontroli</w:t>
            </w:r>
          </w:p>
        </w:tc>
      </w:tr>
      <w:tr w:rsidR="00D63BA1" w:rsidRPr="008B4FE6" w14:paraId="653E2143" w14:textId="77777777" w:rsidTr="00D874B1">
        <w:trPr>
          <w:trHeight w:val="142"/>
        </w:trPr>
        <w:tc>
          <w:tcPr>
            <w:tcW w:w="2666" w:type="dxa"/>
            <w:gridSpan w:val="3"/>
            <w:shd w:val="clear" w:color="auto" w:fill="auto"/>
          </w:tcPr>
          <w:p w14:paraId="08865E5B" w14:textId="0096E289" w:rsidR="00D63BA1" w:rsidRPr="00BD3072" w:rsidRDefault="00AF2F39" w:rsidP="00BD3072">
            <w:pPr>
              <w:spacing w:line="240" w:lineRule="auto"/>
              <w:rPr>
                <w:rFonts w:ascii="Times New Roman" w:hAnsi="Times New Roman"/>
              </w:rPr>
            </w:pPr>
            <w:r>
              <w:rPr>
                <w:rFonts w:ascii="Times New Roman" w:hAnsi="Times New Roman"/>
              </w:rPr>
              <w:t>I</w:t>
            </w:r>
            <w:r w:rsidR="00D63BA1">
              <w:rPr>
                <w:rFonts w:ascii="Times New Roman" w:hAnsi="Times New Roman"/>
              </w:rPr>
              <w:t>nstytucj</w:t>
            </w:r>
            <w:r>
              <w:rPr>
                <w:rFonts w:ascii="Times New Roman" w:hAnsi="Times New Roman"/>
              </w:rPr>
              <w:t xml:space="preserve">e </w:t>
            </w:r>
            <w:r w:rsidR="00D63BA1">
              <w:rPr>
                <w:rFonts w:ascii="Times New Roman" w:hAnsi="Times New Roman"/>
              </w:rPr>
              <w:t>kredytow</w:t>
            </w:r>
            <w:r>
              <w:rPr>
                <w:rFonts w:ascii="Times New Roman" w:hAnsi="Times New Roman"/>
              </w:rPr>
              <w:t>e</w:t>
            </w:r>
            <w:r w:rsidR="00D63BA1">
              <w:rPr>
                <w:rFonts w:ascii="Times New Roman" w:hAnsi="Times New Roman"/>
              </w:rPr>
              <w:t xml:space="preserve"> </w:t>
            </w:r>
          </w:p>
        </w:tc>
        <w:tc>
          <w:tcPr>
            <w:tcW w:w="2293" w:type="dxa"/>
            <w:gridSpan w:val="8"/>
            <w:shd w:val="clear" w:color="auto" w:fill="auto"/>
          </w:tcPr>
          <w:p w14:paraId="25DE7C29" w14:textId="64D40EC3" w:rsidR="00D63BA1" w:rsidRPr="00BD3072" w:rsidRDefault="00D63BA1" w:rsidP="00BD3072">
            <w:pPr>
              <w:spacing w:line="240" w:lineRule="auto"/>
              <w:jc w:val="center"/>
              <w:rPr>
                <w:rFonts w:ascii="Times New Roman" w:hAnsi="Times New Roman"/>
                <w:color w:val="000000"/>
                <w:spacing w:val="-2"/>
              </w:rPr>
            </w:pPr>
            <w:r>
              <w:rPr>
                <w:rFonts w:ascii="Times New Roman" w:hAnsi="Times New Roman"/>
                <w:color w:val="000000"/>
                <w:spacing w:val="-2"/>
              </w:rPr>
              <w:t>33</w:t>
            </w:r>
          </w:p>
        </w:tc>
        <w:tc>
          <w:tcPr>
            <w:tcW w:w="2867" w:type="dxa"/>
            <w:gridSpan w:val="12"/>
            <w:shd w:val="clear" w:color="auto" w:fill="auto"/>
          </w:tcPr>
          <w:p w14:paraId="7F712E84" w14:textId="77777777" w:rsidR="00D63BA1" w:rsidRDefault="00083AE4" w:rsidP="00BD3072">
            <w:pPr>
              <w:spacing w:line="240" w:lineRule="auto"/>
              <w:jc w:val="center"/>
              <w:rPr>
                <w:rFonts w:ascii="Times New Roman" w:hAnsi="Times New Roman"/>
                <w:noProof/>
                <w:color w:val="000000"/>
              </w:rPr>
            </w:pPr>
            <w:r>
              <w:rPr>
                <w:rFonts w:ascii="Times New Roman" w:hAnsi="Times New Roman"/>
                <w:noProof/>
                <w:color w:val="000000"/>
              </w:rPr>
              <w:t xml:space="preserve">Zestawienie notyfikacji dotyczących działalności instytucji kredytowych na terytorium RP </w:t>
            </w:r>
          </w:p>
          <w:p w14:paraId="634E0616" w14:textId="43C69E8E" w:rsidR="00083AE4" w:rsidRPr="00BD3072" w:rsidRDefault="00083AE4" w:rsidP="00BD3072">
            <w:pPr>
              <w:spacing w:line="240" w:lineRule="auto"/>
              <w:jc w:val="center"/>
              <w:rPr>
                <w:rFonts w:ascii="Times New Roman" w:hAnsi="Times New Roman"/>
                <w:noProof/>
                <w:color w:val="000000"/>
              </w:rPr>
            </w:pPr>
            <w:r w:rsidRPr="00083AE4">
              <w:rPr>
                <w:rFonts w:ascii="Times New Roman" w:hAnsi="Times New Roman"/>
                <w:noProof/>
                <w:color w:val="000000"/>
              </w:rPr>
              <w:t>https://www.knf.gov.pl/podmioty/Podmioty_sektora_bankowego/zestawienie_notyfikacji_dot_dzialnosci_instucji_kredytowych_na_terytorium_RP_poprzez_oddzial</w:t>
            </w:r>
          </w:p>
        </w:tc>
        <w:tc>
          <w:tcPr>
            <w:tcW w:w="2977" w:type="dxa"/>
            <w:gridSpan w:val="6"/>
            <w:shd w:val="clear" w:color="auto" w:fill="auto"/>
          </w:tcPr>
          <w:p w14:paraId="434C67FD" w14:textId="4575190C" w:rsidR="00D63BA1" w:rsidRPr="00BD3072" w:rsidRDefault="00D63BA1" w:rsidP="00BD3072">
            <w:pPr>
              <w:shd w:val="clear" w:color="auto" w:fill="FFFFFF"/>
              <w:spacing w:before="120" w:line="240" w:lineRule="auto"/>
              <w:jc w:val="both"/>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B42E26" w:rsidRPr="008B4FE6" w14:paraId="10AF7EE4" w14:textId="77777777" w:rsidTr="00D874B1">
        <w:trPr>
          <w:trHeight w:val="142"/>
        </w:trPr>
        <w:tc>
          <w:tcPr>
            <w:tcW w:w="2666" w:type="dxa"/>
            <w:gridSpan w:val="3"/>
            <w:shd w:val="clear" w:color="auto" w:fill="auto"/>
          </w:tcPr>
          <w:p w14:paraId="31ED5538" w14:textId="77777777" w:rsidR="00716806" w:rsidRPr="00BD3072" w:rsidRDefault="00716806" w:rsidP="00BD3072">
            <w:pPr>
              <w:tabs>
                <w:tab w:val="right" w:pos="2311"/>
              </w:tabs>
              <w:spacing w:line="240" w:lineRule="auto"/>
              <w:jc w:val="both"/>
              <w:rPr>
                <w:rFonts w:ascii="Times New Roman" w:hAnsi="Times New Roman"/>
                <w:color w:val="000000" w:themeColor="text1"/>
              </w:rPr>
            </w:pPr>
            <w:r w:rsidRPr="00BD3072">
              <w:rPr>
                <w:rFonts w:ascii="Times New Roman" w:hAnsi="Times New Roman"/>
                <w:color w:val="000000" w:themeColor="text1"/>
              </w:rPr>
              <w:t>Spółdzielcze kasy oszczędnościowo-kredytowe</w:t>
            </w:r>
          </w:p>
          <w:p w14:paraId="78EB0C7C" w14:textId="77777777" w:rsidR="00716806" w:rsidRPr="00BD3072" w:rsidRDefault="00716806" w:rsidP="00BD3072">
            <w:pPr>
              <w:spacing w:line="240" w:lineRule="auto"/>
              <w:rPr>
                <w:rFonts w:ascii="Times New Roman" w:hAnsi="Times New Roman"/>
                <w:color w:val="000000" w:themeColor="text1"/>
              </w:rPr>
            </w:pPr>
          </w:p>
          <w:p w14:paraId="673BACFE" w14:textId="2ACF7AEE" w:rsidR="00B42E26" w:rsidRPr="00BD3072" w:rsidRDefault="00236A0E" w:rsidP="00BD3072">
            <w:pPr>
              <w:spacing w:line="240" w:lineRule="auto"/>
              <w:rPr>
                <w:rFonts w:ascii="Times New Roman" w:hAnsi="Times New Roman"/>
              </w:rPr>
            </w:pPr>
            <w:r w:rsidRPr="00BD3072">
              <w:rPr>
                <w:rFonts w:ascii="Times New Roman" w:hAnsi="Times New Roman"/>
                <w:color w:val="000000" w:themeColor="text1"/>
              </w:rPr>
              <w:t xml:space="preserve">Krajowa Spółdzielcza Kasa </w:t>
            </w:r>
            <w:r w:rsidR="00716806" w:rsidRPr="00BD3072">
              <w:rPr>
                <w:rFonts w:ascii="Times New Roman" w:hAnsi="Times New Roman"/>
                <w:color w:val="000000" w:themeColor="text1"/>
              </w:rPr>
              <w:t xml:space="preserve">Oszczędnościowo </w:t>
            </w:r>
            <w:r w:rsidRPr="00BD3072">
              <w:rPr>
                <w:rFonts w:ascii="Times New Roman" w:hAnsi="Times New Roman"/>
                <w:color w:val="000000" w:themeColor="text1"/>
              </w:rPr>
              <w:t>-Kredytowa</w:t>
            </w:r>
          </w:p>
        </w:tc>
        <w:tc>
          <w:tcPr>
            <w:tcW w:w="2293" w:type="dxa"/>
            <w:gridSpan w:val="8"/>
            <w:shd w:val="clear" w:color="auto" w:fill="auto"/>
          </w:tcPr>
          <w:p w14:paraId="7BA478B3" w14:textId="7E562A5A" w:rsidR="00716806" w:rsidRPr="00BD3072" w:rsidRDefault="00716806" w:rsidP="00BD3072">
            <w:pPr>
              <w:spacing w:line="240" w:lineRule="auto"/>
              <w:jc w:val="center"/>
              <w:rPr>
                <w:rFonts w:ascii="Times New Roman" w:eastAsia="Times New Roman" w:hAnsi="Times New Roman"/>
                <w:lang w:eastAsia="pl-PL"/>
              </w:rPr>
            </w:pPr>
            <w:r w:rsidRPr="00BD3072">
              <w:rPr>
                <w:rFonts w:ascii="Times New Roman" w:eastAsia="Times New Roman" w:hAnsi="Times New Roman"/>
                <w:lang w:eastAsia="pl-PL"/>
              </w:rPr>
              <w:t>1</w:t>
            </w:r>
            <w:r w:rsidR="00A132CE" w:rsidRPr="00BD3072">
              <w:rPr>
                <w:rFonts w:ascii="Times New Roman" w:eastAsia="Times New Roman" w:hAnsi="Times New Roman"/>
                <w:lang w:eastAsia="pl-PL"/>
              </w:rPr>
              <w:t>8</w:t>
            </w:r>
          </w:p>
          <w:p w14:paraId="6FB75A25" w14:textId="77777777" w:rsidR="00716806" w:rsidRPr="00BD3072" w:rsidRDefault="00716806" w:rsidP="00BD3072">
            <w:pPr>
              <w:spacing w:line="240" w:lineRule="auto"/>
              <w:jc w:val="center"/>
              <w:rPr>
                <w:rFonts w:ascii="Times New Roman" w:eastAsia="Times New Roman" w:hAnsi="Times New Roman"/>
                <w:lang w:eastAsia="pl-PL"/>
              </w:rPr>
            </w:pPr>
          </w:p>
          <w:p w14:paraId="680A25AA" w14:textId="77777777" w:rsidR="00716806" w:rsidRPr="00BD3072" w:rsidRDefault="00716806" w:rsidP="00BD3072">
            <w:pPr>
              <w:spacing w:line="240" w:lineRule="auto"/>
              <w:jc w:val="center"/>
              <w:rPr>
                <w:rFonts w:ascii="Times New Roman" w:eastAsia="Times New Roman" w:hAnsi="Times New Roman"/>
                <w:lang w:eastAsia="pl-PL"/>
              </w:rPr>
            </w:pPr>
          </w:p>
          <w:p w14:paraId="6853DE12" w14:textId="77777777" w:rsidR="00716806" w:rsidRPr="00BD3072" w:rsidRDefault="00716806" w:rsidP="00BD3072">
            <w:pPr>
              <w:spacing w:line="240" w:lineRule="auto"/>
              <w:jc w:val="center"/>
              <w:rPr>
                <w:rFonts w:ascii="Times New Roman" w:eastAsia="Times New Roman" w:hAnsi="Times New Roman"/>
                <w:lang w:eastAsia="pl-PL"/>
              </w:rPr>
            </w:pPr>
          </w:p>
          <w:p w14:paraId="747B4748" w14:textId="77777777" w:rsidR="00716806" w:rsidRPr="00BD3072" w:rsidRDefault="00716806" w:rsidP="00BD3072">
            <w:pPr>
              <w:spacing w:line="240" w:lineRule="auto"/>
              <w:jc w:val="center"/>
              <w:rPr>
                <w:rFonts w:ascii="Times New Roman" w:eastAsia="Times New Roman" w:hAnsi="Times New Roman"/>
                <w:lang w:eastAsia="pl-PL"/>
              </w:rPr>
            </w:pPr>
            <w:r w:rsidRPr="00BD3072">
              <w:rPr>
                <w:rFonts w:ascii="Times New Roman" w:eastAsia="Times New Roman" w:hAnsi="Times New Roman"/>
                <w:lang w:eastAsia="pl-PL"/>
              </w:rPr>
              <w:t>1</w:t>
            </w:r>
          </w:p>
          <w:p w14:paraId="77686AD4" w14:textId="77777777" w:rsidR="00B42E26" w:rsidRPr="00BD3072" w:rsidRDefault="00B42E26" w:rsidP="00BD3072">
            <w:pPr>
              <w:spacing w:line="240" w:lineRule="auto"/>
              <w:jc w:val="center"/>
              <w:rPr>
                <w:rFonts w:ascii="Times New Roman" w:hAnsi="Times New Roman"/>
                <w:color w:val="000000"/>
                <w:spacing w:val="-2"/>
              </w:rPr>
            </w:pPr>
          </w:p>
        </w:tc>
        <w:tc>
          <w:tcPr>
            <w:tcW w:w="2867" w:type="dxa"/>
            <w:gridSpan w:val="12"/>
            <w:shd w:val="clear" w:color="auto" w:fill="auto"/>
          </w:tcPr>
          <w:p w14:paraId="577592D4" w14:textId="77777777" w:rsidR="00A132CE" w:rsidRPr="00BD3072" w:rsidRDefault="00A132CE" w:rsidP="00BD3072">
            <w:pPr>
              <w:spacing w:line="240" w:lineRule="auto"/>
              <w:jc w:val="center"/>
              <w:rPr>
                <w:rFonts w:ascii="Times New Roman" w:hAnsi="Times New Roman"/>
                <w:noProof/>
                <w:color w:val="000000"/>
              </w:rPr>
            </w:pPr>
            <w:r w:rsidRPr="00BD3072">
              <w:rPr>
                <w:rFonts w:ascii="Times New Roman" w:hAnsi="Times New Roman"/>
                <w:noProof/>
                <w:color w:val="000000"/>
              </w:rPr>
              <w:t xml:space="preserve">Rejestr </w:t>
            </w:r>
          </w:p>
          <w:p w14:paraId="548EAF86" w14:textId="77777777" w:rsidR="00A132CE" w:rsidRPr="00BD3072" w:rsidRDefault="00A132CE" w:rsidP="00BD3072">
            <w:pPr>
              <w:spacing w:line="240" w:lineRule="auto"/>
              <w:jc w:val="center"/>
              <w:rPr>
                <w:rFonts w:ascii="Times New Roman" w:hAnsi="Times New Roman"/>
                <w:noProof/>
                <w:color w:val="000000"/>
              </w:rPr>
            </w:pPr>
            <w:r w:rsidRPr="00BD3072">
              <w:rPr>
                <w:rFonts w:ascii="Times New Roman" w:hAnsi="Times New Roman"/>
                <w:noProof/>
                <w:color w:val="000000"/>
              </w:rPr>
              <w:t>podmiotów sektora kas spółdzielczych</w:t>
            </w:r>
          </w:p>
          <w:p w14:paraId="7BD7500E" w14:textId="4AA3AB6A" w:rsidR="00B42E26" w:rsidRPr="00BD3072" w:rsidRDefault="00A132CE" w:rsidP="00BD3072">
            <w:pPr>
              <w:spacing w:line="240" w:lineRule="auto"/>
              <w:jc w:val="center"/>
              <w:rPr>
                <w:rFonts w:ascii="Times New Roman" w:hAnsi="Times New Roman"/>
                <w:noProof/>
                <w:color w:val="000000"/>
              </w:rPr>
            </w:pPr>
            <w:r w:rsidRPr="00BD3072">
              <w:rPr>
                <w:rFonts w:ascii="Times New Roman" w:hAnsi="Times New Roman"/>
                <w:noProof/>
                <w:color w:val="000000"/>
              </w:rPr>
              <w:t>(stan na 23.11.2023)</w:t>
            </w:r>
          </w:p>
        </w:tc>
        <w:tc>
          <w:tcPr>
            <w:tcW w:w="2977" w:type="dxa"/>
            <w:gridSpan w:val="6"/>
            <w:shd w:val="clear" w:color="auto" w:fill="auto"/>
          </w:tcPr>
          <w:p w14:paraId="544B219A" w14:textId="77777777" w:rsidR="00716806" w:rsidRPr="00BD3072" w:rsidRDefault="00716806" w:rsidP="00BD3072">
            <w:pPr>
              <w:shd w:val="clear" w:color="auto" w:fill="FFFFFF"/>
              <w:spacing w:before="120" w:line="240" w:lineRule="auto"/>
              <w:jc w:val="both"/>
              <w:rPr>
                <w:rFonts w:ascii="Times New Roman" w:eastAsia="Times New Roman" w:hAnsi="Times New Roman"/>
                <w:color w:val="000000"/>
                <w:lang w:eastAsia="pl-PL"/>
              </w:rPr>
            </w:pPr>
            <w:r w:rsidRPr="00BD3072">
              <w:rPr>
                <w:rFonts w:ascii="Times New Roman" w:eastAsia="Times New Roman" w:hAnsi="Times New Roman"/>
                <w:color w:val="000000"/>
                <w:lang w:eastAsia="pl-PL"/>
              </w:rPr>
              <w:t>Opcjonalnie:</w:t>
            </w:r>
          </w:p>
          <w:p w14:paraId="6154FA84" w14:textId="77777777" w:rsidR="00716806" w:rsidRPr="00BD3072" w:rsidRDefault="00716806" w:rsidP="00BD3072">
            <w:pPr>
              <w:shd w:val="clear" w:color="auto" w:fill="FFFFFF"/>
              <w:spacing w:before="120" w:line="240" w:lineRule="auto"/>
              <w:jc w:val="both"/>
              <w:rPr>
                <w:rFonts w:ascii="Times New Roman" w:eastAsia="Times New Roman" w:hAnsi="Times New Roman"/>
                <w:color w:val="000000"/>
                <w:lang w:eastAsia="pl-PL"/>
              </w:rPr>
            </w:pPr>
            <w:r w:rsidRPr="00BD3072">
              <w:rPr>
                <w:rFonts w:ascii="Times New Roman" w:eastAsia="Times New Roman" w:hAnsi="Times New Roman"/>
                <w:color w:val="000000"/>
                <w:lang w:eastAsia="pl-PL"/>
              </w:rPr>
              <w:t xml:space="preserve">Państwa członkowskie mogą wyłączyć z zakresu stosowania niniejszego rozporządzenia podmioty, o których mowa w art. 2 ust. 5 pkt 4–23 dyrektywy 2013/36/UE, mające siedzibę na ich odpowiednich terytoriach. </w:t>
            </w:r>
          </w:p>
          <w:p w14:paraId="22F92189" w14:textId="5BFF18A5" w:rsidR="00A132CE" w:rsidRPr="00BD3072" w:rsidRDefault="00716806" w:rsidP="00BD3072">
            <w:pPr>
              <w:pStyle w:val="Tekstkomentarza"/>
              <w:spacing w:line="240" w:lineRule="auto"/>
              <w:rPr>
                <w:rFonts w:ascii="Times New Roman" w:hAnsi="Times New Roman"/>
                <w:sz w:val="22"/>
                <w:szCs w:val="22"/>
              </w:rPr>
            </w:pPr>
            <w:r w:rsidRPr="00BD3072">
              <w:rPr>
                <w:rFonts w:ascii="Times New Roman" w:hAnsi="Times New Roman"/>
                <w:sz w:val="22"/>
                <w:szCs w:val="22"/>
              </w:rPr>
              <w:lastRenderedPageBreak/>
              <w:t xml:space="preserve">W RP zgodnie z art. 2 ust. 5 </w:t>
            </w:r>
            <w:r w:rsidR="00A132CE" w:rsidRPr="00BD3072">
              <w:rPr>
                <w:rFonts w:ascii="Times New Roman" w:hAnsi="Times New Roman"/>
                <w:sz w:val="22"/>
                <w:szCs w:val="22"/>
              </w:rPr>
              <w:t xml:space="preserve">pkt. 18 ww. dyrektywy będą to tzw. SKOKi. </w:t>
            </w:r>
          </w:p>
          <w:p w14:paraId="141B9789" w14:textId="5C3D7BA1" w:rsidR="00716806" w:rsidRPr="00BD3072" w:rsidRDefault="00716806" w:rsidP="00BD3072">
            <w:pPr>
              <w:pStyle w:val="Tekstkomentarza"/>
              <w:spacing w:line="240" w:lineRule="auto"/>
              <w:rPr>
                <w:rFonts w:ascii="Times New Roman" w:hAnsi="Times New Roman"/>
                <w:sz w:val="22"/>
                <w:szCs w:val="22"/>
              </w:rPr>
            </w:pPr>
          </w:p>
          <w:p w14:paraId="0E2731D5" w14:textId="77777777" w:rsidR="00B42E26" w:rsidRPr="00BD3072" w:rsidRDefault="00B42E26" w:rsidP="00BD3072">
            <w:pPr>
              <w:spacing w:line="240" w:lineRule="auto"/>
              <w:jc w:val="both"/>
              <w:rPr>
                <w:rFonts w:ascii="Times New Roman" w:hAnsi="Times New Roman"/>
                <w:color w:val="000000"/>
                <w:spacing w:val="-2"/>
              </w:rPr>
            </w:pPr>
          </w:p>
        </w:tc>
      </w:tr>
      <w:tr w:rsidR="003F371D" w:rsidRPr="008B4FE6" w14:paraId="75CCC623" w14:textId="77777777" w:rsidTr="00D874B1">
        <w:trPr>
          <w:trHeight w:val="142"/>
        </w:trPr>
        <w:tc>
          <w:tcPr>
            <w:tcW w:w="2666" w:type="dxa"/>
            <w:gridSpan w:val="3"/>
            <w:shd w:val="clear" w:color="auto" w:fill="auto"/>
          </w:tcPr>
          <w:p w14:paraId="4284E174" w14:textId="26E5A3C9" w:rsidR="003C2643" w:rsidRPr="00BD3072" w:rsidRDefault="003C2643" w:rsidP="00BD3072">
            <w:pPr>
              <w:spacing w:line="240" w:lineRule="auto"/>
              <w:rPr>
                <w:rFonts w:ascii="Times New Roman" w:hAnsi="Times New Roman"/>
              </w:rPr>
            </w:pPr>
            <w:r w:rsidRPr="00BD3072">
              <w:rPr>
                <w:rFonts w:ascii="Times New Roman" w:hAnsi="Times New Roman"/>
              </w:rPr>
              <w:lastRenderedPageBreak/>
              <w:t>Towarzystwa funduszy inwestycyjnych</w:t>
            </w:r>
          </w:p>
          <w:p w14:paraId="7ECA0318" w14:textId="77777777" w:rsidR="003C2643" w:rsidRPr="00BD3072" w:rsidRDefault="003C2643" w:rsidP="00BD3072">
            <w:pPr>
              <w:spacing w:line="240" w:lineRule="auto"/>
              <w:rPr>
                <w:rFonts w:ascii="Times New Roman" w:hAnsi="Times New Roman"/>
              </w:rPr>
            </w:pPr>
          </w:p>
          <w:p w14:paraId="7C6AD26A" w14:textId="0970F06D" w:rsidR="003F371D" w:rsidRPr="00BD3072" w:rsidRDefault="004F3E92" w:rsidP="00BD3072">
            <w:pPr>
              <w:spacing w:line="240" w:lineRule="auto"/>
              <w:rPr>
                <w:rFonts w:ascii="Times New Roman" w:hAnsi="Times New Roman"/>
              </w:rPr>
            </w:pPr>
            <w:r w:rsidRPr="00BD3072">
              <w:rPr>
                <w:rFonts w:ascii="Times New Roman" w:hAnsi="Times New Roman"/>
              </w:rPr>
              <w:t xml:space="preserve">Zarządzający alternatywnymi spółkami inwestycyjnymi </w:t>
            </w:r>
            <w:r w:rsidR="00632E75" w:rsidRPr="00BD3072">
              <w:rPr>
                <w:rFonts w:ascii="Times New Roman" w:hAnsi="Times New Roman"/>
              </w:rPr>
              <w:t xml:space="preserve">(prowadzący działalność na podstawie zezwolenia) </w:t>
            </w:r>
          </w:p>
          <w:p w14:paraId="29172226" w14:textId="77777777" w:rsidR="003F371D" w:rsidRPr="00BD3072" w:rsidRDefault="003F371D" w:rsidP="00BD3072">
            <w:pPr>
              <w:spacing w:line="240" w:lineRule="auto"/>
              <w:rPr>
                <w:rFonts w:ascii="Times New Roman" w:hAnsi="Times New Roman"/>
              </w:rPr>
            </w:pPr>
          </w:p>
          <w:p w14:paraId="621072EE" w14:textId="77777777" w:rsidR="0080455B" w:rsidRPr="00BD3072" w:rsidRDefault="0080455B" w:rsidP="00BD3072">
            <w:pPr>
              <w:spacing w:line="240" w:lineRule="auto"/>
              <w:jc w:val="both"/>
              <w:rPr>
                <w:rFonts w:ascii="Times New Roman" w:hAnsi="Times New Roman"/>
              </w:rPr>
            </w:pPr>
          </w:p>
          <w:p w14:paraId="2C15F27F" w14:textId="54383B15" w:rsidR="0080455B" w:rsidRPr="00BD3072" w:rsidRDefault="0080455B" w:rsidP="00BD3072">
            <w:pPr>
              <w:spacing w:line="240" w:lineRule="auto"/>
              <w:jc w:val="both"/>
              <w:rPr>
                <w:rFonts w:ascii="Times New Roman" w:hAnsi="Times New Roman"/>
              </w:rPr>
            </w:pPr>
          </w:p>
        </w:tc>
        <w:tc>
          <w:tcPr>
            <w:tcW w:w="2293" w:type="dxa"/>
            <w:gridSpan w:val="8"/>
            <w:shd w:val="clear" w:color="auto" w:fill="auto"/>
          </w:tcPr>
          <w:p w14:paraId="52C9176E" w14:textId="61F92A75" w:rsidR="003C2643" w:rsidRPr="00BD3072" w:rsidRDefault="00D2600C" w:rsidP="00BD3072">
            <w:pPr>
              <w:spacing w:line="240" w:lineRule="auto"/>
              <w:jc w:val="center"/>
              <w:rPr>
                <w:rFonts w:ascii="Times New Roman" w:hAnsi="Times New Roman"/>
                <w:color w:val="000000"/>
                <w:spacing w:val="-2"/>
              </w:rPr>
            </w:pPr>
            <w:r>
              <w:rPr>
                <w:rFonts w:ascii="Times New Roman" w:hAnsi="Times New Roman"/>
                <w:color w:val="000000"/>
                <w:spacing w:val="-2"/>
              </w:rPr>
              <w:t xml:space="preserve"> </w:t>
            </w:r>
            <w:r w:rsidR="00D45B87">
              <w:rPr>
                <w:rFonts w:ascii="Times New Roman" w:hAnsi="Times New Roman"/>
                <w:color w:val="000000"/>
                <w:spacing w:val="-2"/>
              </w:rPr>
              <w:t>56</w:t>
            </w:r>
          </w:p>
          <w:p w14:paraId="0794C6C2" w14:textId="77777777" w:rsidR="003C2643" w:rsidRPr="00BD3072" w:rsidRDefault="003C2643" w:rsidP="00BD3072">
            <w:pPr>
              <w:spacing w:line="240" w:lineRule="auto"/>
              <w:jc w:val="center"/>
              <w:rPr>
                <w:rFonts w:ascii="Times New Roman" w:hAnsi="Times New Roman"/>
                <w:color w:val="000000"/>
                <w:spacing w:val="-2"/>
              </w:rPr>
            </w:pPr>
          </w:p>
          <w:p w14:paraId="7199B440" w14:textId="77777777" w:rsidR="003C2643" w:rsidRPr="00BD3072" w:rsidRDefault="003C2643" w:rsidP="00BD3072">
            <w:pPr>
              <w:spacing w:line="240" w:lineRule="auto"/>
              <w:jc w:val="center"/>
              <w:rPr>
                <w:rFonts w:ascii="Times New Roman" w:hAnsi="Times New Roman"/>
                <w:color w:val="000000"/>
                <w:spacing w:val="-2"/>
              </w:rPr>
            </w:pPr>
          </w:p>
          <w:p w14:paraId="6104CA67" w14:textId="584188D1" w:rsidR="003F371D" w:rsidRPr="00BD3072" w:rsidRDefault="00B22587" w:rsidP="00BD3072">
            <w:pPr>
              <w:spacing w:line="240" w:lineRule="auto"/>
              <w:jc w:val="center"/>
              <w:rPr>
                <w:rFonts w:ascii="Times New Roman" w:hAnsi="Times New Roman"/>
                <w:color w:val="000000"/>
                <w:spacing w:val="-2"/>
              </w:rPr>
            </w:pPr>
            <w:r w:rsidRPr="00BD3072">
              <w:rPr>
                <w:rFonts w:ascii="Times New Roman" w:hAnsi="Times New Roman"/>
                <w:color w:val="000000"/>
                <w:spacing w:val="-2"/>
              </w:rPr>
              <w:t>2</w:t>
            </w:r>
          </w:p>
          <w:p w14:paraId="76433F27" w14:textId="77777777" w:rsidR="00EE6C0C" w:rsidRPr="00BD3072" w:rsidRDefault="00EE6C0C" w:rsidP="00BD3072">
            <w:pPr>
              <w:spacing w:line="240" w:lineRule="auto"/>
              <w:jc w:val="center"/>
              <w:rPr>
                <w:rFonts w:ascii="Times New Roman" w:hAnsi="Times New Roman"/>
                <w:color w:val="000000"/>
                <w:spacing w:val="-2"/>
              </w:rPr>
            </w:pPr>
          </w:p>
        </w:tc>
        <w:tc>
          <w:tcPr>
            <w:tcW w:w="2867" w:type="dxa"/>
            <w:gridSpan w:val="12"/>
            <w:shd w:val="clear" w:color="auto" w:fill="auto"/>
          </w:tcPr>
          <w:p w14:paraId="0CDAAB44" w14:textId="1C81495E" w:rsidR="003F371D" w:rsidRPr="00BD3072" w:rsidRDefault="00632E75" w:rsidP="00BD3072">
            <w:pPr>
              <w:spacing w:line="240" w:lineRule="auto"/>
              <w:jc w:val="center"/>
              <w:rPr>
                <w:rFonts w:ascii="Times New Roman" w:hAnsi="Times New Roman"/>
                <w:noProof/>
                <w:color w:val="000000"/>
              </w:rPr>
            </w:pPr>
            <w:r w:rsidRPr="00BD3072">
              <w:rPr>
                <w:rFonts w:ascii="Times New Roman" w:hAnsi="Times New Roman"/>
                <w:noProof/>
                <w:color w:val="000000"/>
              </w:rPr>
              <w:t>www.knf.gov.pl</w:t>
            </w:r>
          </w:p>
        </w:tc>
        <w:tc>
          <w:tcPr>
            <w:tcW w:w="2977" w:type="dxa"/>
            <w:gridSpan w:val="6"/>
            <w:shd w:val="clear" w:color="auto" w:fill="auto"/>
          </w:tcPr>
          <w:p w14:paraId="3BE90760" w14:textId="1E80BF11" w:rsidR="003F371D" w:rsidRPr="00BD3072" w:rsidRDefault="003F371D"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 xml:space="preserve">Realizacja </w:t>
            </w:r>
            <w:r w:rsidRPr="00BD3072">
              <w:rPr>
                <w:rFonts w:ascii="Times New Roman" w:hAnsi="Times New Roman"/>
              </w:rPr>
              <w:t xml:space="preserve">obowiązków dotyczących zapewnienia wysokiego poziomu </w:t>
            </w:r>
            <w:r w:rsidRPr="00BD3072">
              <w:rPr>
                <w:rFonts w:ascii="Times New Roman" w:hAnsi="Times New Roman"/>
                <w:color w:val="000000"/>
                <w:shd w:val="clear" w:color="auto" w:fill="FFFFFF"/>
              </w:rPr>
              <w:t xml:space="preserve"> operacyjnej odporności cyfrowej i bezpieczeństwa ICT w obszarze usług finansowych, wynikające z </w:t>
            </w:r>
            <w:r w:rsidRPr="00BD3072">
              <w:rPr>
                <w:rFonts w:ascii="Times New Roman" w:hAnsi="Times New Roman"/>
              </w:rPr>
              <w:t xml:space="preserve"> rozporządzenia 2022/2554 w zakresie wynikającym ze zmian ustawy o funduszach inwestycyjnych i zarządzaniu alternatywnymi funduszami inwestycyjnymi</w:t>
            </w:r>
            <w:r w:rsidR="00315F26" w:rsidRPr="00BD3072">
              <w:rPr>
                <w:rFonts w:ascii="Times New Roman" w:hAnsi="Times New Roman"/>
              </w:rPr>
              <w:t>.</w:t>
            </w:r>
          </w:p>
        </w:tc>
      </w:tr>
      <w:tr w:rsidR="00BA1FBF" w:rsidRPr="008B4FE6" w14:paraId="7FFB1BEF" w14:textId="77777777" w:rsidTr="00D874B1">
        <w:trPr>
          <w:trHeight w:val="142"/>
        </w:trPr>
        <w:tc>
          <w:tcPr>
            <w:tcW w:w="2666" w:type="dxa"/>
            <w:gridSpan w:val="3"/>
            <w:shd w:val="clear" w:color="auto" w:fill="auto"/>
          </w:tcPr>
          <w:p w14:paraId="40877A51" w14:textId="77777777" w:rsidR="00E81B44" w:rsidRDefault="00E81B44" w:rsidP="00BD3072">
            <w:pPr>
              <w:spacing w:line="240" w:lineRule="auto"/>
              <w:rPr>
                <w:rFonts w:ascii="Times New Roman" w:hAnsi="Times New Roman"/>
              </w:rPr>
            </w:pPr>
            <w:bookmarkStart w:id="5" w:name="_Hlk151462030"/>
            <w:r>
              <w:rPr>
                <w:rFonts w:ascii="Times New Roman" w:hAnsi="Times New Roman"/>
              </w:rPr>
              <w:t>Firmy inwestycyjne:</w:t>
            </w:r>
          </w:p>
          <w:p w14:paraId="7F35FB3F" w14:textId="1D64B912" w:rsidR="00A058C0" w:rsidRPr="00BD3072" w:rsidRDefault="00E81B44" w:rsidP="00BD3072">
            <w:pPr>
              <w:spacing w:line="240" w:lineRule="auto"/>
              <w:rPr>
                <w:rFonts w:ascii="Times New Roman" w:hAnsi="Times New Roman"/>
              </w:rPr>
            </w:pPr>
            <w:r>
              <w:rPr>
                <w:rFonts w:ascii="Times New Roman" w:hAnsi="Times New Roman"/>
              </w:rPr>
              <w:t>- d</w:t>
            </w:r>
            <w:r w:rsidR="00A058C0" w:rsidRPr="00BD3072">
              <w:rPr>
                <w:rFonts w:ascii="Times New Roman" w:hAnsi="Times New Roman"/>
              </w:rPr>
              <w:t>omy maklerskie</w:t>
            </w:r>
          </w:p>
          <w:p w14:paraId="27136125" w14:textId="3128D1FB" w:rsidR="00A058C0" w:rsidRPr="00BD3072" w:rsidRDefault="00E81B44" w:rsidP="00BD3072">
            <w:pPr>
              <w:spacing w:line="240" w:lineRule="auto"/>
              <w:rPr>
                <w:rFonts w:ascii="Times New Roman" w:hAnsi="Times New Roman"/>
              </w:rPr>
            </w:pPr>
            <w:r>
              <w:rPr>
                <w:rFonts w:ascii="Times New Roman" w:hAnsi="Times New Roman"/>
              </w:rPr>
              <w:t>- b</w:t>
            </w:r>
            <w:r w:rsidR="00A058C0" w:rsidRPr="00BD3072">
              <w:rPr>
                <w:rFonts w:ascii="Times New Roman" w:hAnsi="Times New Roman"/>
              </w:rPr>
              <w:t>iura maklerskie</w:t>
            </w:r>
          </w:p>
          <w:p w14:paraId="2D829505" w14:textId="77777777" w:rsidR="00A058C0" w:rsidRPr="00BD3072" w:rsidRDefault="00A058C0" w:rsidP="00BD3072">
            <w:pPr>
              <w:spacing w:line="240" w:lineRule="auto"/>
              <w:rPr>
                <w:rFonts w:ascii="Times New Roman" w:hAnsi="Times New Roman"/>
              </w:rPr>
            </w:pPr>
          </w:p>
          <w:p w14:paraId="059BACB9" w14:textId="77777777" w:rsidR="00A058C0" w:rsidRPr="00BD3072" w:rsidRDefault="00A058C0" w:rsidP="00BD3072">
            <w:pPr>
              <w:spacing w:line="240" w:lineRule="auto"/>
              <w:rPr>
                <w:rFonts w:ascii="Times New Roman" w:hAnsi="Times New Roman"/>
              </w:rPr>
            </w:pPr>
          </w:p>
          <w:bookmarkEnd w:id="5"/>
          <w:p w14:paraId="09C965CA" w14:textId="54B717B0" w:rsidR="00BA1FBF" w:rsidRPr="00BD3072" w:rsidRDefault="00BA1FBF" w:rsidP="00BD3072">
            <w:pPr>
              <w:spacing w:line="240" w:lineRule="auto"/>
              <w:rPr>
                <w:rFonts w:ascii="Times New Roman" w:hAnsi="Times New Roman"/>
              </w:rPr>
            </w:pPr>
          </w:p>
        </w:tc>
        <w:tc>
          <w:tcPr>
            <w:tcW w:w="2293" w:type="dxa"/>
            <w:gridSpan w:val="8"/>
            <w:shd w:val="clear" w:color="auto" w:fill="auto"/>
          </w:tcPr>
          <w:p w14:paraId="1FEB1F74" w14:textId="3790DED0" w:rsidR="00E81B44" w:rsidRDefault="00E81B44" w:rsidP="00BD3072">
            <w:pPr>
              <w:spacing w:line="240" w:lineRule="auto"/>
              <w:jc w:val="center"/>
              <w:rPr>
                <w:rFonts w:ascii="Times New Roman" w:hAnsi="Times New Roman"/>
                <w:color w:val="0F0F0F"/>
              </w:rPr>
            </w:pPr>
            <w:r>
              <w:rPr>
                <w:rFonts w:ascii="Times New Roman" w:hAnsi="Times New Roman"/>
                <w:color w:val="0F0F0F"/>
              </w:rPr>
              <w:t>39</w:t>
            </w:r>
          </w:p>
          <w:p w14:paraId="3B2BA0BF" w14:textId="060C4621" w:rsidR="00A058C0" w:rsidRPr="00BD3072" w:rsidRDefault="00A058C0" w:rsidP="00BD3072">
            <w:pPr>
              <w:spacing w:line="240" w:lineRule="auto"/>
              <w:jc w:val="center"/>
              <w:rPr>
                <w:rFonts w:ascii="Times New Roman" w:hAnsi="Times New Roman"/>
                <w:color w:val="0F0F0F"/>
              </w:rPr>
            </w:pPr>
            <w:r w:rsidRPr="00BD3072">
              <w:rPr>
                <w:rFonts w:ascii="Times New Roman" w:hAnsi="Times New Roman"/>
                <w:color w:val="0F0F0F"/>
              </w:rPr>
              <w:t>30</w:t>
            </w:r>
          </w:p>
          <w:p w14:paraId="13C29D93" w14:textId="02341351" w:rsidR="00A058C0" w:rsidRPr="00BD3072" w:rsidRDefault="00A058C0" w:rsidP="00BD3072">
            <w:pPr>
              <w:spacing w:line="240" w:lineRule="auto"/>
              <w:jc w:val="center"/>
              <w:rPr>
                <w:rFonts w:ascii="Times New Roman" w:hAnsi="Times New Roman"/>
                <w:color w:val="0F0F0F"/>
              </w:rPr>
            </w:pPr>
            <w:r w:rsidRPr="00BD3072">
              <w:rPr>
                <w:rFonts w:ascii="Times New Roman" w:hAnsi="Times New Roman"/>
                <w:color w:val="0F0F0F"/>
              </w:rPr>
              <w:t>9</w:t>
            </w:r>
          </w:p>
          <w:p w14:paraId="2C23D03E" w14:textId="77777777" w:rsidR="00A058C0" w:rsidRPr="00BD3072" w:rsidRDefault="00A058C0" w:rsidP="00BD3072">
            <w:pPr>
              <w:spacing w:line="240" w:lineRule="auto"/>
              <w:jc w:val="both"/>
              <w:rPr>
                <w:rFonts w:ascii="Times New Roman" w:hAnsi="Times New Roman"/>
                <w:color w:val="0F0F0F"/>
              </w:rPr>
            </w:pPr>
          </w:p>
          <w:p w14:paraId="0E52BB3F" w14:textId="76C5074D" w:rsidR="00BA1FBF" w:rsidRPr="00BD3072" w:rsidRDefault="00BA1FBF" w:rsidP="00BD3072">
            <w:pPr>
              <w:spacing w:line="240" w:lineRule="auto"/>
              <w:jc w:val="both"/>
              <w:rPr>
                <w:rFonts w:ascii="Times New Roman" w:hAnsi="Times New Roman"/>
                <w:color w:val="000000"/>
                <w:spacing w:val="-2"/>
              </w:rPr>
            </w:pPr>
          </w:p>
        </w:tc>
        <w:tc>
          <w:tcPr>
            <w:tcW w:w="2867" w:type="dxa"/>
            <w:gridSpan w:val="12"/>
            <w:shd w:val="clear" w:color="auto" w:fill="auto"/>
          </w:tcPr>
          <w:p w14:paraId="16E61098" w14:textId="013ADD62" w:rsidR="00BA1FBF" w:rsidRPr="00BD3072" w:rsidRDefault="00A058C0" w:rsidP="00BD3072">
            <w:pPr>
              <w:spacing w:line="240" w:lineRule="auto"/>
              <w:jc w:val="center"/>
              <w:rPr>
                <w:rFonts w:ascii="Times New Roman" w:hAnsi="Times New Roman"/>
                <w:noProof/>
                <w:color w:val="000000"/>
              </w:rPr>
            </w:pPr>
            <w:r w:rsidRPr="00BD3072">
              <w:rPr>
                <w:rFonts w:ascii="Times New Roman" w:hAnsi="Times New Roman"/>
                <w:noProof/>
                <w:color w:val="000000"/>
              </w:rPr>
              <w:t>www.knf.gov.pl</w:t>
            </w:r>
          </w:p>
        </w:tc>
        <w:tc>
          <w:tcPr>
            <w:tcW w:w="2977" w:type="dxa"/>
            <w:gridSpan w:val="6"/>
            <w:shd w:val="clear" w:color="auto" w:fill="auto"/>
          </w:tcPr>
          <w:p w14:paraId="5A135CB3" w14:textId="77777777" w:rsidR="00BA1FBF" w:rsidRDefault="00264BB3" w:rsidP="00BD3072">
            <w:pPr>
              <w:spacing w:after="120" w:line="240" w:lineRule="auto"/>
              <w:jc w:val="both"/>
              <w:rPr>
                <w:rFonts w:ascii="Times New Roman" w:hAnsi="Times New Roman"/>
              </w:rPr>
            </w:pPr>
            <w:r w:rsidRPr="00BD3072">
              <w:rPr>
                <w:rFonts w:ascii="Times New Roman" w:hAnsi="Times New Roman"/>
                <w:color w:val="000000"/>
                <w:spacing w:val="-2"/>
              </w:rPr>
              <w:t xml:space="preserve">Realizacja </w:t>
            </w:r>
            <w:r w:rsidRPr="00BD3072">
              <w:rPr>
                <w:rFonts w:ascii="Times New Roman" w:hAnsi="Times New Roman"/>
              </w:rPr>
              <w:t xml:space="preserve">obowiązków dotyczących zapewnienia wysokiego poziomu </w:t>
            </w:r>
            <w:r w:rsidRPr="00BD3072">
              <w:rPr>
                <w:rFonts w:ascii="Times New Roman" w:hAnsi="Times New Roman"/>
                <w:color w:val="000000"/>
                <w:shd w:val="clear" w:color="auto" w:fill="FFFFFF"/>
              </w:rPr>
              <w:t xml:space="preserve"> operacyjnej odporności cyfrowej i bezpieczeństwa ICT w obszarze usług finansowych, wynikające z </w:t>
            </w:r>
            <w:r w:rsidRPr="00BD3072">
              <w:rPr>
                <w:rFonts w:ascii="Times New Roman" w:hAnsi="Times New Roman"/>
              </w:rPr>
              <w:t xml:space="preserve"> rozporządzenia 2022/2554 w zakresie wynikającym ze </w:t>
            </w:r>
            <w:r w:rsidR="003C7E70" w:rsidRPr="00BD3072">
              <w:rPr>
                <w:rFonts w:ascii="Times New Roman" w:hAnsi="Times New Roman"/>
              </w:rPr>
              <w:t>zmian ustawy z dnia 29 lipca 2005 r. o obrocie instrumentami finansowymi</w:t>
            </w:r>
            <w:r w:rsidR="00315F26" w:rsidRPr="00BD3072">
              <w:rPr>
                <w:rFonts w:ascii="Times New Roman" w:hAnsi="Times New Roman"/>
              </w:rPr>
              <w:t>.</w:t>
            </w:r>
          </w:p>
          <w:p w14:paraId="13174D3F" w14:textId="33D82D3F" w:rsidR="00FD6881" w:rsidRPr="00BD3072" w:rsidRDefault="00FD6881" w:rsidP="00BD3072">
            <w:pPr>
              <w:spacing w:after="120" w:line="240" w:lineRule="auto"/>
              <w:jc w:val="both"/>
              <w:rPr>
                <w:rStyle w:val="Odwoaniedokomentarza"/>
                <w:rFonts w:ascii="Times New Roman" w:hAnsi="Times New Roman"/>
                <w:sz w:val="22"/>
                <w:szCs w:val="22"/>
              </w:rPr>
            </w:pPr>
            <w:r w:rsidRPr="00BD3072">
              <w:rPr>
                <w:rFonts w:ascii="Times New Roman" w:hAnsi="Times New Roman"/>
                <w:color w:val="000000"/>
                <w:spacing w:val="-2"/>
              </w:rPr>
              <w:t>Podmioty objęte zakresem kontroli</w:t>
            </w:r>
          </w:p>
        </w:tc>
      </w:tr>
      <w:tr w:rsidR="00082F53" w:rsidRPr="008B4FE6" w14:paraId="3D9A91B4" w14:textId="77777777" w:rsidTr="00D874B1">
        <w:trPr>
          <w:trHeight w:val="142"/>
        </w:trPr>
        <w:tc>
          <w:tcPr>
            <w:tcW w:w="2666" w:type="dxa"/>
            <w:gridSpan w:val="3"/>
            <w:shd w:val="clear" w:color="auto" w:fill="auto"/>
          </w:tcPr>
          <w:p w14:paraId="704645DA" w14:textId="53FFE8C6" w:rsidR="00082F53" w:rsidRPr="00BD3072" w:rsidRDefault="004C1CBF" w:rsidP="00BD3072">
            <w:pPr>
              <w:tabs>
                <w:tab w:val="right" w:pos="2311"/>
              </w:tabs>
              <w:spacing w:line="240" w:lineRule="auto"/>
              <w:jc w:val="both"/>
              <w:rPr>
                <w:rFonts w:ascii="Times New Roman" w:eastAsia="Times New Roman" w:hAnsi="Times New Roman"/>
                <w:lang w:eastAsia="pl-PL"/>
              </w:rPr>
            </w:pPr>
            <w:r w:rsidRPr="00BD3072">
              <w:rPr>
                <w:rFonts w:ascii="Times New Roman" w:eastAsia="Times New Roman" w:hAnsi="Times New Roman"/>
                <w:lang w:eastAsia="pl-PL"/>
              </w:rPr>
              <w:t xml:space="preserve">Krajowe </w:t>
            </w:r>
            <w:r w:rsidR="00D97561" w:rsidRPr="00BD3072">
              <w:rPr>
                <w:rFonts w:ascii="Times New Roman" w:eastAsia="Times New Roman" w:hAnsi="Times New Roman"/>
                <w:lang w:eastAsia="pl-PL"/>
              </w:rPr>
              <w:t>i</w:t>
            </w:r>
            <w:r w:rsidR="00082F53" w:rsidRPr="00BD3072">
              <w:rPr>
                <w:rFonts w:ascii="Times New Roman" w:eastAsia="Times New Roman" w:hAnsi="Times New Roman"/>
                <w:lang w:eastAsia="pl-PL"/>
              </w:rPr>
              <w:t xml:space="preserve">nstytucje </w:t>
            </w:r>
            <w:r w:rsidR="00D97561" w:rsidRPr="00BD3072">
              <w:rPr>
                <w:rFonts w:ascii="Times New Roman" w:eastAsia="Times New Roman" w:hAnsi="Times New Roman"/>
                <w:lang w:eastAsia="pl-PL"/>
              </w:rPr>
              <w:t>p</w:t>
            </w:r>
            <w:r w:rsidR="00082F53" w:rsidRPr="00BD3072">
              <w:rPr>
                <w:rFonts w:ascii="Times New Roman" w:eastAsia="Times New Roman" w:hAnsi="Times New Roman"/>
                <w:lang w:eastAsia="pl-PL"/>
              </w:rPr>
              <w:t xml:space="preserve">łatnicze </w:t>
            </w:r>
          </w:p>
          <w:p w14:paraId="52F2ACBD" w14:textId="77777777" w:rsidR="00082F53" w:rsidRPr="00BD3072" w:rsidRDefault="00082F53" w:rsidP="00BD3072">
            <w:pPr>
              <w:tabs>
                <w:tab w:val="right" w:pos="2311"/>
              </w:tabs>
              <w:spacing w:line="240" w:lineRule="auto"/>
              <w:jc w:val="both"/>
              <w:rPr>
                <w:rFonts w:ascii="Times New Roman" w:eastAsia="Times New Roman" w:hAnsi="Times New Roman"/>
                <w:lang w:eastAsia="pl-PL"/>
              </w:rPr>
            </w:pPr>
          </w:p>
          <w:p w14:paraId="42D9A1E8" w14:textId="77777777" w:rsidR="00082F53" w:rsidRPr="00BD3072" w:rsidRDefault="00082F53" w:rsidP="00BD3072">
            <w:pPr>
              <w:tabs>
                <w:tab w:val="right" w:pos="2311"/>
              </w:tabs>
              <w:spacing w:line="240" w:lineRule="auto"/>
              <w:jc w:val="both"/>
              <w:rPr>
                <w:rFonts w:ascii="Times New Roman" w:eastAsia="Times New Roman" w:hAnsi="Times New Roman"/>
                <w:lang w:eastAsia="pl-PL"/>
              </w:rPr>
            </w:pPr>
          </w:p>
          <w:p w14:paraId="3225138E" w14:textId="77777777" w:rsidR="00082F53" w:rsidRPr="00BD3072" w:rsidRDefault="00082F53" w:rsidP="00BD3072">
            <w:pPr>
              <w:tabs>
                <w:tab w:val="right" w:pos="2311"/>
              </w:tabs>
              <w:spacing w:line="240" w:lineRule="auto"/>
              <w:jc w:val="both"/>
              <w:rPr>
                <w:rFonts w:ascii="Times New Roman" w:eastAsia="Times New Roman" w:hAnsi="Times New Roman"/>
                <w:lang w:eastAsia="pl-PL"/>
              </w:rPr>
            </w:pPr>
          </w:p>
          <w:p w14:paraId="536BF2FF" w14:textId="77777777" w:rsidR="00082F53" w:rsidRPr="00BD3072" w:rsidRDefault="00082F53" w:rsidP="00BD3072">
            <w:pPr>
              <w:tabs>
                <w:tab w:val="right" w:pos="2311"/>
              </w:tabs>
              <w:spacing w:line="240" w:lineRule="auto"/>
              <w:jc w:val="both"/>
              <w:rPr>
                <w:rFonts w:ascii="Times New Roman" w:eastAsia="Times New Roman" w:hAnsi="Times New Roman"/>
                <w:lang w:eastAsia="pl-PL"/>
              </w:rPr>
            </w:pPr>
          </w:p>
          <w:p w14:paraId="6F55F441" w14:textId="77777777" w:rsidR="00082F53" w:rsidRPr="00BD3072" w:rsidRDefault="00082F53" w:rsidP="00BD3072">
            <w:pPr>
              <w:tabs>
                <w:tab w:val="right" w:pos="2311"/>
              </w:tabs>
              <w:spacing w:line="240" w:lineRule="auto"/>
              <w:jc w:val="both"/>
              <w:rPr>
                <w:rFonts w:ascii="Times New Roman" w:eastAsia="Times New Roman" w:hAnsi="Times New Roman"/>
                <w:lang w:eastAsia="pl-PL"/>
              </w:rPr>
            </w:pPr>
          </w:p>
          <w:p w14:paraId="4F8856BA" w14:textId="77777777" w:rsidR="00082F53" w:rsidRPr="00BD3072" w:rsidRDefault="00082F53" w:rsidP="00BD3072">
            <w:pPr>
              <w:spacing w:line="240" w:lineRule="auto"/>
              <w:rPr>
                <w:rFonts w:ascii="Times New Roman" w:hAnsi="Times New Roman"/>
              </w:rPr>
            </w:pPr>
          </w:p>
        </w:tc>
        <w:tc>
          <w:tcPr>
            <w:tcW w:w="2293" w:type="dxa"/>
            <w:gridSpan w:val="8"/>
            <w:shd w:val="clear" w:color="auto" w:fill="auto"/>
          </w:tcPr>
          <w:p w14:paraId="3C73F3D0" w14:textId="77777777" w:rsidR="00C21B87" w:rsidRPr="00BD3072" w:rsidRDefault="00FC6126" w:rsidP="00BD3072">
            <w:pPr>
              <w:spacing w:line="240" w:lineRule="auto"/>
              <w:jc w:val="center"/>
              <w:rPr>
                <w:rFonts w:ascii="Times New Roman" w:eastAsia="Times New Roman" w:hAnsi="Times New Roman"/>
                <w:lang w:eastAsia="pl-PL"/>
              </w:rPr>
            </w:pPr>
            <w:r w:rsidRPr="00BD3072">
              <w:rPr>
                <w:rFonts w:ascii="Times New Roman" w:eastAsia="Times New Roman" w:hAnsi="Times New Roman"/>
                <w:lang w:eastAsia="pl-PL"/>
              </w:rPr>
              <w:t>4</w:t>
            </w:r>
            <w:r w:rsidR="008B1B9D" w:rsidRPr="00BD3072">
              <w:rPr>
                <w:rFonts w:ascii="Times New Roman" w:eastAsia="Times New Roman" w:hAnsi="Times New Roman"/>
                <w:lang w:eastAsia="pl-PL"/>
              </w:rPr>
              <w:t>2</w:t>
            </w:r>
            <w:r w:rsidRPr="00BD3072" w:rsidDel="00FC6126">
              <w:rPr>
                <w:rFonts w:ascii="Times New Roman" w:eastAsia="Times New Roman" w:hAnsi="Times New Roman"/>
                <w:lang w:eastAsia="pl-PL"/>
              </w:rPr>
              <w:t xml:space="preserve"> </w:t>
            </w:r>
          </w:p>
          <w:p w14:paraId="475D4F06" w14:textId="77777777" w:rsidR="00082F53" w:rsidRPr="00BD3072" w:rsidRDefault="00082F53" w:rsidP="00BD3072">
            <w:pPr>
              <w:spacing w:line="240" w:lineRule="auto"/>
              <w:jc w:val="center"/>
              <w:rPr>
                <w:rFonts w:ascii="Times New Roman" w:hAnsi="Times New Roman"/>
                <w:color w:val="000000"/>
                <w:spacing w:val="-2"/>
              </w:rPr>
            </w:pPr>
          </w:p>
        </w:tc>
        <w:tc>
          <w:tcPr>
            <w:tcW w:w="2867" w:type="dxa"/>
            <w:gridSpan w:val="12"/>
            <w:shd w:val="clear" w:color="auto" w:fill="auto"/>
          </w:tcPr>
          <w:p w14:paraId="61AD7890" w14:textId="77777777" w:rsidR="00082F53" w:rsidRPr="00BD3072" w:rsidRDefault="00082F53" w:rsidP="00BD3072">
            <w:pPr>
              <w:spacing w:line="240" w:lineRule="auto"/>
              <w:jc w:val="center"/>
              <w:rPr>
                <w:rFonts w:ascii="Times New Roman" w:hAnsi="Times New Roman"/>
                <w:noProof/>
                <w:color w:val="000000"/>
              </w:rPr>
            </w:pPr>
            <w:r w:rsidRPr="00BD3072">
              <w:rPr>
                <w:rFonts w:ascii="Times New Roman" w:eastAsia="Times New Roman" w:hAnsi="Times New Roman"/>
                <w:lang w:eastAsia="pl-PL"/>
              </w:rPr>
              <w:t>https://e-rup.knf.gov.pl/</w:t>
            </w:r>
          </w:p>
        </w:tc>
        <w:tc>
          <w:tcPr>
            <w:tcW w:w="2977" w:type="dxa"/>
            <w:gridSpan w:val="6"/>
            <w:shd w:val="clear" w:color="auto" w:fill="auto"/>
          </w:tcPr>
          <w:p w14:paraId="56F70EEB" w14:textId="0065154D" w:rsidR="00264BB3" w:rsidRPr="00BD3072" w:rsidRDefault="00264BB3" w:rsidP="00BD3072">
            <w:pPr>
              <w:spacing w:after="120" w:line="240" w:lineRule="auto"/>
              <w:jc w:val="both"/>
              <w:rPr>
                <w:rFonts w:ascii="Times New Roman" w:hAnsi="Times New Roman"/>
              </w:rPr>
            </w:pPr>
            <w:r w:rsidRPr="00BD3072">
              <w:rPr>
                <w:rFonts w:ascii="Times New Roman" w:hAnsi="Times New Roman"/>
                <w:color w:val="000000"/>
                <w:spacing w:val="-2"/>
              </w:rPr>
              <w:t xml:space="preserve">Realizacja </w:t>
            </w:r>
            <w:r w:rsidRPr="00BD3072">
              <w:rPr>
                <w:rFonts w:ascii="Times New Roman" w:hAnsi="Times New Roman"/>
              </w:rPr>
              <w:t xml:space="preserve">obowiązków dotyczących zapewnienia wysokiego poziomu </w:t>
            </w:r>
            <w:r w:rsidRPr="00BD3072">
              <w:rPr>
                <w:rFonts w:ascii="Times New Roman" w:hAnsi="Times New Roman"/>
                <w:color w:val="000000"/>
                <w:shd w:val="clear" w:color="auto" w:fill="FFFFFF"/>
              </w:rPr>
              <w:t xml:space="preserve"> operacyjnej odporności cyfrowej i bezpieczeństwa ICT w obszarze usług finansowych, wynikające z </w:t>
            </w:r>
            <w:r w:rsidRPr="00BD3072">
              <w:rPr>
                <w:rFonts w:ascii="Times New Roman" w:hAnsi="Times New Roman"/>
              </w:rPr>
              <w:t xml:space="preserve"> rozporządzenia 2022/2554 w zakresie wynikającym ze zmian ustawy o usługach płatniczych</w:t>
            </w:r>
          </w:p>
          <w:p w14:paraId="40EED156" w14:textId="587ACF53" w:rsidR="003E3F44" w:rsidRPr="00BD3072" w:rsidRDefault="003E3F44" w:rsidP="00BD3072">
            <w:pPr>
              <w:spacing w:after="120" w:line="240" w:lineRule="auto"/>
              <w:jc w:val="both"/>
              <w:rPr>
                <w:rFonts w:ascii="Times New Roman" w:eastAsia="Times New Roman" w:hAnsi="Times New Roman"/>
                <w:lang w:eastAsia="pl-PL"/>
              </w:rPr>
            </w:pPr>
            <w:r w:rsidRPr="00BD3072">
              <w:rPr>
                <w:rFonts w:ascii="Times New Roman" w:hAnsi="Times New Roman"/>
              </w:rPr>
              <w:t xml:space="preserve">Podmioty objęte zakresem kontroli </w:t>
            </w:r>
          </w:p>
          <w:p w14:paraId="5F0428B5" w14:textId="77777777" w:rsidR="00082F53" w:rsidRPr="00BD3072" w:rsidRDefault="00082F53" w:rsidP="00BD3072">
            <w:pPr>
              <w:spacing w:after="120" w:line="240" w:lineRule="auto"/>
              <w:jc w:val="both"/>
              <w:rPr>
                <w:rFonts w:ascii="Times New Roman" w:eastAsia="Times New Roman" w:hAnsi="Times New Roman"/>
                <w:lang w:eastAsia="pl-PL"/>
              </w:rPr>
            </w:pPr>
            <w:r w:rsidRPr="00BD3072">
              <w:rPr>
                <w:rFonts w:ascii="Times New Roman" w:eastAsia="Times New Roman" w:hAnsi="Times New Roman"/>
                <w:lang w:eastAsia="pl-PL"/>
              </w:rPr>
              <w:t xml:space="preserve"> </w:t>
            </w:r>
          </w:p>
        </w:tc>
      </w:tr>
      <w:tr w:rsidR="004C1CBF" w:rsidRPr="008B4FE6" w14:paraId="3657ADD8" w14:textId="77777777" w:rsidTr="00D874B1">
        <w:trPr>
          <w:trHeight w:val="142"/>
        </w:trPr>
        <w:tc>
          <w:tcPr>
            <w:tcW w:w="2666" w:type="dxa"/>
            <w:gridSpan w:val="3"/>
            <w:shd w:val="clear" w:color="auto" w:fill="auto"/>
          </w:tcPr>
          <w:p w14:paraId="7CE4BE62" w14:textId="60D0D4F0" w:rsidR="004C1CBF" w:rsidRPr="00BD3072" w:rsidRDefault="00BD3072" w:rsidP="00BD3072">
            <w:pPr>
              <w:tabs>
                <w:tab w:val="right" w:pos="2311"/>
              </w:tabs>
              <w:spacing w:line="240" w:lineRule="auto"/>
              <w:jc w:val="both"/>
              <w:rPr>
                <w:rFonts w:ascii="Times New Roman" w:eastAsia="Times New Roman" w:hAnsi="Times New Roman"/>
                <w:lang w:eastAsia="pl-PL"/>
              </w:rPr>
            </w:pPr>
            <w:r w:rsidRPr="00BD3072">
              <w:rPr>
                <w:rFonts w:ascii="Times New Roman" w:hAnsi="Times New Roman"/>
              </w:rPr>
              <w:t>D</w:t>
            </w:r>
            <w:r w:rsidR="004C1CBF" w:rsidRPr="00BD3072">
              <w:rPr>
                <w:rFonts w:ascii="Times New Roman" w:hAnsi="Times New Roman"/>
              </w:rPr>
              <w:t>ostawcy świadcząc</w:t>
            </w:r>
            <w:r w:rsidR="00D85BE7">
              <w:rPr>
                <w:rFonts w:ascii="Times New Roman" w:hAnsi="Times New Roman"/>
              </w:rPr>
              <w:t xml:space="preserve">y </w:t>
            </w:r>
            <w:r w:rsidR="00BE29DF">
              <w:rPr>
                <w:rFonts w:ascii="Times New Roman" w:hAnsi="Times New Roman"/>
              </w:rPr>
              <w:t xml:space="preserve">wyłącznie </w:t>
            </w:r>
            <w:r w:rsidR="004C1CBF" w:rsidRPr="00BD3072">
              <w:rPr>
                <w:rFonts w:ascii="Times New Roman" w:hAnsi="Times New Roman"/>
              </w:rPr>
              <w:t>usługę dostępu do informacji o rachunku</w:t>
            </w:r>
          </w:p>
        </w:tc>
        <w:tc>
          <w:tcPr>
            <w:tcW w:w="2293" w:type="dxa"/>
            <w:gridSpan w:val="8"/>
            <w:shd w:val="clear" w:color="auto" w:fill="auto"/>
          </w:tcPr>
          <w:p w14:paraId="6E68A4A5" w14:textId="5A121E5B" w:rsidR="004C1CBF" w:rsidRPr="00BD3072" w:rsidRDefault="003E3F44" w:rsidP="00BD3072">
            <w:pPr>
              <w:spacing w:line="240" w:lineRule="auto"/>
              <w:jc w:val="center"/>
              <w:rPr>
                <w:rFonts w:ascii="Times New Roman" w:eastAsia="Times New Roman" w:hAnsi="Times New Roman"/>
                <w:lang w:eastAsia="pl-PL"/>
              </w:rPr>
            </w:pPr>
            <w:r w:rsidRPr="00BD3072">
              <w:rPr>
                <w:rFonts w:ascii="Times New Roman" w:hAnsi="Times New Roman"/>
                <w:color w:val="000000"/>
                <w:spacing w:val="-2"/>
              </w:rPr>
              <w:t>15</w:t>
            </w:r>
          </w:p>
        </w:tc>
        <w:tc>
          <w:tcPr>
            <w:tcW w:w="2867" w:type="dxa"/>
            <w:gridSpan w:val="12"/>
            <w:shd w:val="clear" w:color="auto" w:fill="auto"/>
          </w:tcPr>
          <w:p w14:paraId="3F812F46" w14:textId="54D95569" w:rsidR="004C1CBF" w:rsidRPr="00BD3072" w:rsidRDefault="003E3F44" w:rsidP="00BD3072">
            <w:pPr>
              <w:spacing w:line="240" w:lineRule="auto"/>
              <w:jc w:val="center"/>
              <w:rPr>
                <w:rFonts w:ascii="Times New Roman" w:eastAsia="Times New Roman" w:hAnsi="Times New Roman"/>
                <w:lang w:eastAsia="pl-PL"/>
              </w:rPr>
            </w:pPr>
            <w:r w:rsidRPr="00BD3072">
              <w:rPr>
                <w:rFonts w:ascii="Times New Roman" w:hAnsi="Times New Roman"/>
                <w:color w:val="000000"/>
                <w:spacing w:val="-2"/>
              </w:rPr>
              <w:t>https://e-rup.knf.gov.pl/index.html?type=PSD_AISP</w:t>
            </w:r>
          </w:p>
        </w:tc>
        <w:tc>
          <w:tcPr>
            <w:tcW w:w="2977" w:type="dxa"/>
            <w:gridSpan w:val="6"/>
            <w:shd w:val="clear" w:color="auto" w:fill="auto"/>
          </w:tcPr>
          <w:p w14:paraId="59FF6878" w14:textId="2AADEF44" w:rsidR="004C1CBF" w:rsidRPr="00BD3072" w:rsidRDefault="003E3F44"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 xml:space="preserve">Podmioty objęte zakresem kontroli </w:t>
            </w:r>
          </w:p>
        </w:tc>
      </w:tr>
      <w:tr w:rsidR="004C1CBF" w:rsidRPr="008B4FE6" w14:paraId="006F0B1F" w14:textId="77777777" w:rsidTr="00D874B1">
        <w:trPr>
          <w:trHeight w:val="142"/>
        </w:trPr>
        <w:tc>
          <w:tcPr>
            <w:tcW w:w="2666" w:type="dxa"/>
            <w:gridSpan w:val="3"/>
            <w:shd w:val="clear" w:color="auto" w:fill="auto"/>
          </w:tcPr>
          <w:p w14:paraId="2CD85EB6" w14:textId="7B939B0D"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t>I</w:t>
            </w:r>
            <w:r w:rsidR="004C1CBF" w:rsidRPr="00BD3072">
              <w:rPr>
                <w:rFonts w:ascii="Times New Roman" w:hAnsi="Times New Roman"/>
              </w:rPr>
              <w:t>nstytucj</w:t>
            </w:r>
            <w:r w:rsidRPr="00BD3072">
              <w:rPr>
                <w:rFonts w:ascii="Times New Roman" w:hAnsi="Times New Roman"/>
              </w:rPr>
              <w:t>e</w:t>
            </w:r>
            <w:r w:rsidR="004C1CBF" w:rsidRPr="00BD3072">
              <w:rPr>
                <w:rFonts w:ascii="Times New Roman" w:hAnsi="Times New Roman"/>
              </w:rPr>
              <w:t xml:space="preserve"> pieniądza elektronicznego</w:t>
            </w:r>
          </w:p>
        </w:tc>
        <w:tc>
          <w:tcPr>
            <w:tcW w:w="2293" w:type="dxa"/>
            <w:gridSpan w:val="8"/>
            <w:shd w:val="clear" w:color="auto" w:fill="auto"/>
          </w:tcPr>
          <w:p w14:paraId="03B631E1" w14:textId="33B08DC2" w:rsidR="004C1CBF" w:rsidRPr="00BD3072" w:rsidRDefault="00BE29DF" w:rsidP="00BD3072">
            <w:pPr>
              <w:spacing w:line="240" w:lineRule="auto"/>
              <w:jc w:val="center"/>
              <w:rPr>
                <w:rFonts w:ascii="Times New Roman" w:eastAsia="Times New Roman" w:hAnsi="Times New Roman"/>
                <w:lang w:eastAsia="pl-PL"/>
              </w:rPr>
            </w:pPr>
            <w:r>
              <w:rPr>
                <w:rFonts w:ascii="Times New Roman" w:eastAsia="Times New Roman" w:hAnsi="Times New Roman"/>
                <w:lang w:eastAsia="pl-PL"/>
              </w:rPr>
              <w:t>1</w:t>
            </w:r>
          </w:p>
        </w:tc>
        <w:tc>
          <w:tcPr>
            <w:tcW w:w="2867" w:type="dxa"/>
            <w:gridSpan w:val="12"/>
            <w:shd w:val="clear" w:color="auto" w:fill="auto"/>
          </w:tcPr>
          <w:p w14:paraId="7FA43C55" w14:textId="32E8B346" w:rsidR="004C1CBF" w:rsidRPr="00BD3072" w:rsidRDefault="00BE29DF" w:rsidP="00BD3072">
            <w:pPr>
              <w:spacing w:line="240" w:lineRule="auto"/>
              <w:jc w:val="center"/>
              <w:rPr>
                <w:rFonts w:ascii="Times New Roman" w:eastAsia="Times New Roman" w:hAnsi="Times New Roman"/>
                <w:lang w:eastAsia="pl-PL"/>
              </w:rPr>
            </w:pPr>
            <w:r w:rsidRPr="001530A9">
              <w:rPr>
                <w:rFonts w:ascii="Times New Roman" w:eastAsia="Times New Roman" w:hAnsi="Times New Roman"/>
                <w:lang w:eastAsia="pl-PL"/>
              </w:rPr>
              <w:t>https://e-rup.knf.gov.pl/</w:t>
            </w:r>
          </w:p>
        </w:tc>
        <w:tc>
          <w:tcPr>
            <w:tcW w:w="2977" w:type="dxa"/>
            <w:gridSpan w:val="6"/>
            <w:shd w:val="clear" w:color="auto" w:fill="auto"/>
          </w:tcPr>
          <w:p w14:paraId="5AAB808A" w14:textId="68AA29BD" w:rsidR="004C1CBF" w:rsidRPr="00BD3072" w:rsidRDefault="00BD3072"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3D21D60F" w14:textId="77777777" w:rsidTr="00D874B1">
        <w:trPr>
          <w:trHeight w:val="142"/>
        </w:trPr>
        <w:tc>
          <w:tcPr>
            <w:tcW w:w="2666" w:type="dxa"/>
            <w:gridSpan w:val="3"/>
            <w:shd w:val="clear" w:color="auto" w:fill="auto"/>
          </w:tcPr>
          <w:p w14:paraId="13859038" w14:textId="4DACE988"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t>D</w:t>
            </w:r>
            <w:r w:rsidR="004C1CBF" w:rsidRPr="00BD3072">
              <w:rPr>
                <w:rFonts w:ascii="Times New Roman" w:hAnsi="Times New Roman"/>
              </w:rPr>
              <w:t xml:space="preserve">ostawcy usług w zakresie kryptowalut </w:t>
            </w:r>
          </w:p>
        </w:tc>
        <w:tc>
          <w:tcPr>
            <w:tcW w:w="2293" w:type="dxa"/>
            <w:gridSpan w:val="8"/>
            <w:shd w:val="clear" w:color="auto" w:fill="auto"/>
          </w:tcPr>
          <w:p w14:paraId="40EA2955" w14:textId="21CD69D4" w:rsidR="00BE29DF" w:rsidRDefault="00BE29DF" w:rsidP="00BD3072">
            <w:pPr>
              <w:spacing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brak danych </w:t>
            </w:r>
          </w:p>
          <w:p w14:paraId="05FA74DC" w14:textId="1C4B37CB" w:rsidR="004C1CBF" w:rsidRPr="00BE29DF" w:rsidRDefault="00BE29DF" w:rsidP="00BD3072">
            <w:pPr>
              <w:spacing w:line="240" w:lineRule="auto"/>
              <w:jc w:val="center"/>
              <w:rPr>
                <w:rFonts w:ascii="Times New Roman" w:eastAsia="Times New Roman" w:hAnsi="Times New Roman"/>
                <w:lang w:eastAsia="pl-PL"/>
              </w:rPr>
            </w:pPr>
            <w:r>
              <w:rPr>
                <w:rFonts w:ascii="Times New Roman" w:hAnsi="Times New Roman"/>
              </w:rPr>
              <w:t>p</w:t>
            </w:r>
            <w:r w:rsidRPr="00F07C62">
              <w:rPr>
                <w:rFonts w:ascii="Times New Roman" w:hAnsi="Times New Roman"/>
              </w:rPr>
              <w:t>odmiot objęty nadzorem od 31 grudnia 2024 r. na podstawie przepisów rozporządzenia 1114/2023</w:t>
            </w:r>
          </w:p>
        </w:tc>
        <w:tc>
          <w:tcPr>
            <w:tcW w:w="2867" w:type="dxa"/>
            <w:gridSpan w:val="12"/>
            <w:shd w:val="clear" w:color="auto" w:fill="auto"/>
          </w:tcPr>
          <w:p w14:paraId="7461DE75" w14:textId="77777777" w:rsidR="004C1CBF" w:rsidRPr="00BD3072" w:rsidRDefault="004C1CBF" w:rsidP="00BD3072">
            <w:pPr>
              <w:spacing w:line="240" w:lineRule="auto"/>
              <w:jc w:val="center"/>
              <w:rPr>
                <w:rFonts w:ascii="Times New Roman" w:eastAsia="Times New Roman" w:hAnsi="Times New Roman"/>
                <w:lang w:eastAsia="pl-PL"/>
              </w:rPr>
            </w:pPr>
          </w:p>
        </w:tc>
        <w:tc>
          <w:tcPr>
            <w:tcW w:w="2977" w:type="dxa"/>
            <w:gridSpan w:val="6"/>
            <w:shd w:val="clear" w:color="auto" w:fill="auto"/>
          </w:tcPr>
          <w:p w14:paraId="69A013BB" w14:textId="63102D39" w:rsidR="004C1CBF" w:rsidRPr="00BD3072" w:rsidRDefault="00BD3072"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2EF9F483" w14:textId="77777777" w:rsidTr="00D874B1">
        <w:trPr>
          <w:trHeight w:val="142"/>
        </w:trPr>
        <w:tc>
          <w:tcPr>
            <w:tcW w:w="2666" w:type="dxa"/>
            <w:gridSpan w:val="3"/>
            <w:shd w:val="clear" w:color="auto" w:fill="auto"/>
          </w:tcPr>
          <w:p w14:paraId="4BA6B14D" w14:textId="186F91EC"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lastRenderedPageBreak/>
              <w:t>C</w:t>
            </w:r>
            <w:r w:rsidR="004C1CBF" w:rsidRPr="00BD3072">
              <w:rPr>
                <w:rFonts w:ascii="Times New Roman" w:hAnsi="Times New Roman"/>
              </w:rPr>
              <w:t>entralne depozyt</w:t>
            </w:r>
            <w:r w:rsidRPr="00BD3072">
              <w:rPr>
                <w:rFonts w:ascii="Times New Roman" w:hAnsi="Times New Roman"/>
              </w:rPr>
              <w:t>y</w:t>
            </w:r>
            <w:r w:rsidR="004C1CBF" w:rsidRPr="00BD3072">
              <w:rPr>
                <w:rFonts w:ascii="Times New Roman" w:hAnsi="Times New Roman"/>
              </w:rPr>
              <w:t xml:space="preserve"> papierów wartościowych</w:t>
            </w:r>
          </w:p>
        </w:tc>
        <w:tc>
          <w:tcPr>
            <w:tcW w:w="2293" w:type="dxa"/>
            <w:gridSpan w:val="8"/>
            <w:shd w:val="clear" w:color="auto" w:fill="auto"/>
          </w:tcPr>
          <w:p w14:paraId="54ECACB1" w14:textId="6E051FCF" w:rsidR="004C1CBF" w:rsidRPr="00BD3072" w:rsidRDefault="00D2600C" w:rsidP="00BD3072">
            <w:pPr>
              <w:spacing w:line="240" w:lineRule="auto"/>
              <w:jc w:val="center"/>
              <w:rPr>
                <w:rFonts w:ascii="Times New Roman" w:eastAsia="Times New Roman" w:hAnsi="Times New Roman"/>
                <w:lang w:eastAsia="pl-PL"/>
              </w:rPr>
            </w:pPr>
            <w:r>
              <w:rPr>
                <w:rFonts w:ascii="Times New Roman" w:eastAsia="Times New Roman" w:hAnsi="Times New Roman"/>
                <w:lang w:eastAsia="pl-PL"/>
              </w:rPr>
              <w:t>KDPW</w:t>
            </w:r>
          </w:p>
        </w:tc>
        <w:tc>
          <w:tcPr>
            <w:tcW w:w="2867" w:type="dxa"/>
            <w:gridSpan w:val="12"/>
            <w:shd w:val="clear" w:color="auto" w:fill="auto"/>
          </w:tcPr>
          <w:p w14:paraId="16A9D45A" w14:textId="596793E8" w:rsidR="004C1CBF" w:rsidRPr="00BD3072" w:rsidRDefault="0008551E" w:rsidP="00BD3072">
            <w:pPr>
              <w:spacing w:line="240" w:lineRule="auto"/>
              <w:jc w:val="center"/>
              <w:rPr>
                <w:rFonts w:ascii="Times New Roman" w:eastAsia="Times New Roman" w:hAnsi="Times New Roman"/>
                <w:lang w:eastAsia="pl-PL"/>
              </w:rPr>
            </w:pPr>
            <w:r w:rsidRPr="0008551E">
              <w:rPr>
                <w:rFonts w:ascii="Times New Roman" w:eastAsia="Times New Roman" w:hAnsi="Times New Roman"/>
                <w:lang w:eastAsia="pl-PL"/>
              </w:rPr>
              <w:t>https://www.kdpw.pl/pl/informacje-o-kdpw.html</w:t>
            </w:r>
          </w:p>
        </w:tc>
        <w:tc>
          <w:tcPr>
            <w:tcW w:w="2977" w:type="dxa"/>
            <w:gridSpan w:val="6"/>
            <w:shd w:val="clear" w:color="auto" w:fill="auto"/>
          </w:tcPr>
          <w:p w14:paraId="0C443034" w14:textId="7EA3BD51" w:rsidR="004C1CBF" w:rsidRPr="00BD3072" w:rsidRDefault="00BD3072" w:rsidP="00BD3072">
            <w:pPr>
              <w:spacing w:after="120" w:line="240" w:lineRule="auto"/>
              <w:jc w:val="both"/>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5CA9EF69" w14:textId="77777777" w:rsidTr="00D874B1">
        <w:trPr>
          <w:trHeight w:val="142"/>
        </w:trPr>
        <w:tc>
          <w:tcPr>
            <w:tcW w:w="2666" w:type="dxa"/>
            <w:gridSpan w:val="3"/>
            <w:shd w:val="clear" w:color="auto" w:fill="auto"/>
          </w:tcPr>
          <w:p w14:paraId="37F288C2" w14:textId="26DA4298" w:rsidR="004C1CBF" w:rsidRPr="00BD3072" w:rsidRDefault="004C1CBF" w:rsidP="00BD3072">
            <w:pPr>
              <w:tabs>
                <w:tab w:val="right" w:pos="2311"/>
              </w:tabs>
              <w:spacing w:line="240" w:lineRule="auto"/>
              <w:jc w:val="both"/>
              <w:rPr>
                <w:rFonts w:ascii="Times New Roman" w:hAnsi="Times New Roman"/>
              </w:rPr>
            </w:pPr>
            <w:r w:rsidRPr="00BD3072">
              <w:rPr>
                <w:rFonts w:ascii="Times New Roman" w:hAnsi="Times New Roman"/>
              </w:rPr>
              <w:t>CCP</w:t>
            </w:r>
            <w:r w:rsidR="003E3F44" w:rsidRPr="00BD3072">
              <w:rPr>
                <w:rFonts w:ascii="Times New Roman" w:hAnsi="Times New Roman"/>
                <w:noProof/>
                <w:color w:val="000000" w:themeColor="text1"/>
              </w:rPr>
              <w:t xml:space="preserve"> (kontrahenci centralni)</w:t>
            </w:r>
          </w:p>
        </w:tc>
        <w:tc>
          <w:tcPr>
            <w:tcW w:w="2293" w:type="dxa"/>
            <w:gridSpan w:val="8"/>
            <w:shd w:val="clear" w:color="auto" w:fill="auto"/>
          </w:tcPr>
          <w:p w14:paraId="6E7556B6" w14:textId="68568E0D" w:rsidR="000954F3" w:rsidRPr="00F07C62" w:rsidRDefault="003E3F44" w:rsidP="00CC1157">
            <w:pPr>
              <w:spacing w:line="240" w:lineRule="auto"/>
              <w:jc w:val="center"/>
              <w:rPr>
                <w:rFonts w:ascii="Times New Roman" w:hAnsi="Times New Roman"/>
                <w:noProof/>
                <w:color w:val="000000" w:themeColor="text1"/>
              </w:rPr>
            </w:pPr>
            <w:r w:rsidRPr="00BD3072">
              <w:rPr>
                <w:rFonts w:ascii="Times New Roman" w:hAnsi="Times New Roman"/>
                <w:noProof/>
                <w:color w:val="000000" w:themeColor="text1"/>
              </w:rPr>
              <w:t>KDPW_CCP</w:t>
            </w:r>
          </w:p>
        </w:tc>
        <w:tc>
          <w:tcPr>
            <w:tcW w:w="2867" w:type="dxa"/>
            <w:gridSpan w:val="12"/>
            <w:shd w:val="clear" w:color="auto" w:fill="auto"/>
          </w:tcPr>
          <w:p w14:paraId="268C74F6" w14:textId="61F759C6" w:rsidR="000954F3" w:rsidRPr="00F07C62" w:rsidRDefault="00EA074C" w:rsidP="00CC1157">
            <w:pPr>
              <w:spacing w:line="240" w:lineRule="auto"/>
              <w:jc w:val="center"/>
              <w:rPr>
                <w:rFonts w:ascii="Times New Roman" w:hAnsi="Times New Roman"/>
                <w:noProof/>
                <w:color w:val="000000" w:themeColor="text1"/>
                <w:u w:val="single"/>
              </w:rPr>
            </w:pPr>
            <w:hyperlink r:id="rId10" w:history="1">
              <w:r w:rsidR="000954F3" w:rsidRPr="00BD56CB">
                <w:rPr>
                  <w:rStyle w:val="Hipercze"/>
                  <w:rFonts w:ascii="Times New Roman" w:hAnsi="Times New Roman"/>
                  <w:noProof/>
                </w:rPr>
                <w:t>http://www.kdpwccp.pl/pl/kdpw_ccp/Strony/O-KDPW_CCP.aspx</w:t>
              </w:r>
            </w:hyperlink>
          </w:p>
        </w:tc>
        <w:tc>
          <w:tcPr>
            <w:tcW w:w="2977" w:type="dxa"/>
            <w:gridSpan w:val="6"/>
            <w:shd w:val="clear" w:color="auto" w:fill="auto"/>
          </w:tcPr>
          <w:p w14:paraId="756FCA1F" w14:textId="6AA2D5EB"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62B0E179" w14:textId="77777777" w:rsidTr="00D874B1">
        <w:trPr>
          <w:trHeight w:val="142"/>
        </w:trPr>
        <w:tc>
          <w:tcPr>
            <w:tcW w:w="2666" w:type="dxa"/>
            <w:gridSpan w:val="3"/>
            <w:shd w:val="clear" w:color="auto" w:fill="auto"/>
          </w:tcPr>
          <w:p w14:paraId="10FD8D6F" w14:textId="377D56D2" w:rsidR="004C1CBF" w:rsidRPr="00BD3072" w:rsidRDefault="00B21C66" w:rsidP="00BD3072">
            <w:pPr>
              <w:tabs>
                <w:tab w:val="right" w:pos="2311"/>
              </w:tabs>
              <w:spacing w:line="240" w:lineRule="auto"/>
              <w:jc w:val="both"/>
              <w:rPr>
                <w:rFonts w:ascii="Times New Roman" w:hAnsi="Times New Roman"/>
              </w:rPr>
            </w:pPr>
            <w:r>
              <w:rPr>
                <w:rFonts w:ascii="Times New Roman" w:hAnsi="Times New Roman"/>
              </w:rPr>
              <w:t>Podmioty prowadzące s</w:t>
            </w:r>
            <w:r w:rsidR="004C1CBF" w:rsidRPr="00BD3072">
              <w:rPr>
                <w:rFonts w:ascii="Times New Roman" w:hAnsi="Times New Roman"/>
              </w:rPr>
              <w:t>ystemy obrotu instrumentami finansowymi</w:t>
            </w:r>
          </w:p>
        </w:tc>
        <w:tc>
          <w:tcPr>
            <w:tcW w:w="2293" w:type="dxa"/>
            <w:gridSpan w:val="8"/>
            <w:shd w:val="clear" w:color="auto" w:fill="auto"/>
          </w:tcPr>
          <w:p w14:paraId="31A51C15" w14:textId="029835A7" w:rsidR="006E6F43" w:rsidRPr="006E6F43" w:rsidRDefault="008703F6" w:rsidP="006E6F43">
            <w:pPr>
              <w:spacing w:line="240" w:lineRule="auto"/>
              <w:jc w:val="center"/>
              <w:rPr>
                <w:rFonts w:ascii="Times New Roman" w:eastAsia="Times New Roman" w:hAnsi="Times New Roman"/>
                <w:lang w:val="en-GB" w:eastAsia="pl-PL"/>
              </w:rPr>
            </w:pPr>
            <w:r>
              <w:rPr>
                <w:rFonts w:ascii="Times New Roman" w:eastAsia="Times New Roman" w:hAnsi="Times New Roman"/>
                <w:lang w:val="en-GB" w:eastAsia="pl-PL"/>
              </w:rPr>
              <w:t>5</w:t>
            </w:r>
            <w:r w:rsidR="006E6F43" w:rsidRPr="006E6F43">
              <w:rPr>
                <w:rFonts w:ascii="Times New Roman" w:eastAsia="Times New Roman" w:hAnsi="Times New Roman"/>
                <w:lang w:val="en-GB" w:eastAsia="pl-PL"/>
              </w:rPr>
              <w:t xml:space="preserve"> (</w:t>
            </w:r>
            <w:r>
              <w:rPr>
                <w:rFonts w:ascii="Times New Roman" w:eastAsia="Times New Roman" w:hAnsi="Times New Roman"/>
                <w:lang w:val="en-GB" w:eastAsia="pl-PL"/>
              </w:rPr>
              <w:t xml:space="preserve">GPW rynek regulowany, </w:t>
            </w:r>
            <w:r w:rsidR="006E6F43" w:rsidRPr="006E6F43">
              <w:rPr>
                <w:rFonts w:ascii="Times New Roman" w:eastAsia="Times New Roman" w:hAnsi="Times New Roman"/>
                <w:lang w:val="en-GB" w:eastAsia="pl-PL"/>
              </w:rPr>
              <w:t>NewConnect,</w:t>
            </w:r>
          </w:p>
          <w:p w14:paraId="6A279624" w14:textId="26330CC0" w:rsidR="004C1CBF" w:rsidRPr="00F07C62" w:rsidRDefault="006E6F43" w:rsidP="006E6F43">
            <w:pPr>
              <w:spacing w:line="240" w:lineRule="auto"/>
              <w:jc w:val="center"/>
              <w:rPr>
                <w:rFonts w:ascii="Times New Roman" w:eastAsia="Times New Roman" w:hAnsi="Times New Roman"/>
                <w:lang w:val="en-GB" w:eastAsia="pl-PL"/>
              </w:rPr>
            </w:pPr>
            <w:r w:rsidRPr="006E6F43">
              <w:rPr>
                <w:rFonts w:ascii="Times New Roman" w:eastAsia="Times New Roman" w:hAnsi="Times New Roman"/>
                <w:lang w:val="en-GB" w:eastAsia="pl-PL"/>
              </w:rPr>
              <w:t>Catalyst, GlobalConnect, Treasury BondSpot)</w:t>
            </w:r>
          </w:p>
        </w:tc>
        <w:tc>
          <w:tcPr>
            <w:tcW w:w="2867" w:type="dxa"/>
            <w:gridSpan w:val="12"/>
            <w:shd w:val="clear" w:color="auto" w:fill="auto"/>
          </w:tcPr>
          <w:p w14:paraId="3C3CDAAA" w14:textId="76D19983" w:rsidR="008703F6" w:rsidRDefault="00EA074C" w:rsidP="006E6F43">
            <w:pPr>
              <w:spacing w:line="240" w:lineRule="auto"/>
              <w:jc w:val="center"/>
              <w:rPr>
                <w:rFonts w:ascii="Times New Roman" w:eastAsia="Times New Roman" w:hAnsi="Times New Roman"/>
                <w:lang w:val="en-GB" w:eastAsia="pl-PL"/>
              </w:rPr>
            </w:pPr>
            <w:hyperlink r:id="rId11" w:history="1">
              <w:r w:rsidR="008703F6" w:rsidRPr="009D041E">
                <w:rPr>
                  <w:rStyle w:val="Hipercze"/>
                  <w:rFonts w:ascii="Times New Roman" w:eastAsia="Times New Roman" w:hAnsi="Times New Roman"/>
                  <w:lang w:val="en-GB" w:eastAsia="pl-PL"/>
                </w:rPr>
                <w:t>https://www.gpw.pl/</w:t>
              </w:r>
            </w:hyperlink>
          </w:p>
          <w:p w14:paraId="1C457AE5" w14:textId="45612E5F" w:rsidR="006E6F43" w:rsidRPr="006E6F43" w:rsidRDefault="006E6F43" w:rsidP="006E6F43">
            <w:pPr>
              <w:spacing w:line="240" w:lineRule="auto"/>
              <w:jc w:val="center"/>
              <w:rPr>
                <w:rFonts w:ascii="Times New Roman" w:eastAsia="Times New Roman" w:hAnsi="Times New Roman"/>
                <w:lang w:val="en-GB" w:eastAsia="pl-PL"/>
              </w:rPr>
            </w:pPr>
            <w:r w:rsidRPr="006E6F43">
              <w:rPr>
                <w:rFonts w:ascii="Times New Roman" w:eastAsia="Times New Roman" w:hAnsi="Times New Roman"/>
                <w:lang w:val="en-GB" w:eastAsia="pl-PL"/>
              </w:rPr>
              <w:t>https://newconnect.pl/</w:t>
            </w:r>
          </w:p>
          <w:p w14:paraId="308851A6" w14:textId="77777777" w:rsidR="006E6F43" w:rsidRPr="006E6F43" w:rsidRDefault="006E6F43" w:rsidP="006E6F43">
            <w:pPr>
              <w:spacing w:line="240" w:lineRule="auto"/>
              <w:jc w:val="center"/>
              <w:rPr>
                <w:rFonts w:ascii="Times New Roman" w:eastAsia="Times New Roman" w:hAnsi="Times New Roman"/>
                <w:lang w:val="en-GB" w:eastAsia="pl-PL"/>
              </w:rPr>
            </w:pPr>
            <w:r w:rsidRPr="006E6F43">
              <w:rPr>
                <w:rFonts w:ascii="Times New Roman" w:eastAsia="Times New Roman" w:hAnsi="Times New Roman"/>
                <w:lang w:val="en-GB" w:eastAsia="pl-PL"/>
              </w:rPr>
              <w:t>https://gpwcatalyst.pl/</w:t>
            </w:r>
          </w:p>
          <w:p w14:paraId="78B11874" w14:textId="77777777" w:rsidR="006E6F43" w:rsidRPr="006E6F43" w:rsidRDefault="006E6F43" w:rsidP="006E6F43">
            <w:pPr>
              <w:spacing w:line="240" w:lineRule="auto"/>
              <w:jc w:val="center"/>
              <w:rPr>
                <w:rFonts w:ascii="Times New Roman" w:eastAsia="Times New Roman" w:hAnsi="Times New Roman"/>
                <w:lang w:val="en-GB" w:eastAsia="pl-PL"/>
              </w:rPr>
            </w:pPr>
            <w:r w:rsidRPr="006E6F43">
              <w:rPr>
                <w:rFonts w:ascii="Times New Roman" w:eastAsia="Times New Roman" w:hAnsi="Times New Roman"/>
                <w:lang w:val="en-GB" w:eastAsia="pl-PL"/>
              </w:rPr>
              <w:t xml:space="preserve">https://gpwglobalconnect.pl/ </w:t>
            </w:r>
          </w:p>
          <w:p w14:paraId="0BB7D379" w14:textId="3D042176" w:rsidR="004C1CBF" w:rsidRPr="00F07C62" w:rsidRDefault="006E6F43" w:rsidP="006E6F43">
            <w:pPr>
              <w:spacing w:line="240" w:lineRule="auto"/>
              <w:jc w:val="center"/>
              <w:rPr>
                <w:rFonts w:ascii="Times New Roman" w:eastAsia="Times New Roman" w:hAnsi="Times New Roman"/>
                <w:lang w:val="en-GB" w:eastAsia="pl-PL"/>
              </w:rPr>
            </w:pPr>
            <w:r w:rsidRPr="006E6F43">
              <w:rPr>
                <w:rFonts w:ascii="Times New Roman" w:eastAsia="Times New Roman" w:hAnsi="Times New Roman"/>
                <w:lang w:val="en-GB" w:eastAsia="pl-PL"/>
              </w:rPr>
              <w:t>http://bondspot.pl/</w:t>
            </w:r>
          </w:p>
        </w:tc>
        <w:tc>
          <w:tcPr>
            <w:tcW w:w="2977" w:type="dxa"/>
            <w:gridSpan w:val="6"/>
            <w:shd w:val="clear" w:color="auto" w:fill="auto"/>
          </w:tcPr>
          <w:p w14:paraId="26388E1E" w14:textId="03F57E34"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5F3605AB" w14:textId="77777777" w:rsidTr="00D874B1">
        <w:trPr>
          <w:trHeight w:val="142"/>
        </w:trPr>
        <w:tc>
          <w:tcPr>
            <w:tcW w:w="2666" w:type="dxa"/>
            <w:gridSpan w:val="3"/>
            <w:shd w:val="clear" w:color="auto" w:fill="auto"/>
          </w:tcPr>
          <w:p w14:paraId="465CFA44" w14:textId="75D6E854"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t>R</w:t>
            </w:r>
            <w:r w:rsidR="004C1CBF" w:rsidRPr="00BD3072">
              <w:rPr>
                <w:rFonts w:ascii="Times New Roman" w:hAnsi="Times New Roman"/>
              </w:rPr>
              <w:t>epozytoria transakcji</w:t>
            </w:r>
          </w:p>
        </w:tc>
        <w:tc>
          <w:tcPr>
            <w:tcW w:w="2293" w:type="dxa"/>
            <w:gridSpan w:val="8"/>
            <w:shd w:val="clear" w:color="auto" w:fill="auto"/>
          </w:tcPr>
          <w:p w14:paraId="77F9D20D" w14:textId="7333FCB7" w:rsidR="00D2600C" w:rsidRPr="00BD3072" w:rsidRDefault="006E6F43" w:rsidP="00BD3072">
            <w:pPr>
              <w:spacing w:line="240" w:lineRule="auto"/>
              <w:jc w:val="center"/>
              <w:rPr>
                <w:rFonts w:ascii="Times New Roman" w:eastAsia="Times New Roman" w:hAnsi="Times New Roman"/>
                <w:lang w:eastAsia="pl-PL"/>
              </w:rPr>
            </w:pPr>
            <w:r w:rsidRPr="006E6F43">
              <w:rPr>
                <w:rFonts w:ascii="Times New Roman" w:eastAsia="Times New Roman" w:hAnsi="Times New Roman"/>
                <w:lang w:eastAsia="pl-PL"/>
              </w:rPr>
              <w:t>KDP</w:t>
            </w:r>
            <w:r w:rsidR="006D2B37">
              <w:rPr>
                <w:rFonts w:ascii="Times New Roman" w:eastAsia="Times New Roman" w:hAnsi="Times New Roman"/>
                <w:lang w:eastAsia="pl-PL"/>
              </w:rPr>
              <w:t>W</w:t>
            </w:r>
            <w:r w:rsidR="000954F3">
              <w:rPr>
                <w:rFonts w:ascii="Times New Roman" w:eastAsia="Times New Roman" w:hAnsi="Times New Roman"/>
                <w:lang w:eastAsia="pl-PL"/>
              </w:rPr>
              <w:t xml:space="preserve"> TR+</w:t>
            </w:r>
          </w:p>
        </w:tc>
        <w:tc>
          <w:tcPr>
            <w:tcW w:w="2867" w:type="dxa"/>
            <w:gridSpan w:val="12"/>
            <w:shd w:val="clear" w:color="auto" w:fill="auto"/>
          </w:tcPr>
          <w:p w14:paraId="45FC2446" w14:textId="40F2DDBB" w:rsidR="004C1CBF" w:rsidRPr="00BD3072" w:rsidRDefault="000954F3" w:rsidP="00BD3072">
            <w:pPr>
              <w:spacing w:line="240" w:lineRule="auto"/>
              <w:jc w:val="center"/>
              <w:rPr>
                <w:rFonts w:ascii="Times New Roman" w:eastAsia="Times New Roman" w:hAnsi="Times New Roman"/>
                <w:lang w:eastAsia="pl-PL"/>
              </w:rPr>
            </w:pPr>
            <w:r w:rsidRPr="000954F3">
              <w:rPr>
                <w:rFonts w:ascii="Times New Roman" w:eastAsia="Times New Roman" w:hAnsi="Times New Roman"/>
                <w:lang w:eastAsia="pl-PL"/>
              </w:rPr>
              <w:t>https://www.trplus.kdpw.pl/</w:t>
            </w:r>
          </w:p>
        </w:tc>
        <w:tc>
          <w:tcPr>
            <w:tcW w:w="2977" w:type="dxa"/>
            <w:gridSpan w:val="6"/>
            <w:shd w:val="clear" w:color="auto" w:fill="auto"/>
          </w:tcPr>
          <w:p w14:paraId="75086C77" w14:textId="7BF73E98"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03FEA099" w14:textId="77777777" w:rsidTr="00D874B1">
        <w:trPr>
          <w:trHeight w:val="142"/>
        </w:trPr>
        <w:tc>
          <w:tcPr>
            <w:tcW w:w="2666" w:type="dxa"/>
            <w:gridSpan w:val="3"/>
            <w:shd w:val="clear" w:color="auto" w:fill="auto"/>
          </w:tcPr>
          <w:p w14:paraId="01D69444" w14:textId="2EDEBF78"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t>Z</w:t>
            </w:r>
            <w:r w:rsidR="004C1CBF" w:rsidRPr="00BD3072">
              <w:rPr>
                <w:rFonts w:ascii="Times New Roman" w:hAnsi="Times New Roman"/>
              </w:rPr>
              <w:t>atwierdzone podmiot</w:t>
            </w:r>
            <w:r w:rsidRPr="00BD3072">
              <w:rPr>
                <w:rFonts w:ascii="Times New Roman" w:hAnsi="Times New Roman"/>
              </w:rPr>
              <w:t>y</w:t>
            </w:r>
            <w:r w:rsidR="004C1CBF" w:rsidRPr="00BD3072">
              <w:rPr>
                <w:rFonts w:ascii="Times New Roman" w:hAnsi="Times New Roman"/>
              </w:rPr>
              <w:t xml:space="preserve"> publikujące</w:t>
            </w:r>
          </w:p>
        </w:tc>
        <w:tc>
          <w:tcPr>
            <w:tcW w:w="2293" w:type="dxa"/>
            <w:gridSpan w:val="8"/>
            <w:shd w:val="clear" w:color="auto" w:fill="auto"/>
          </w:tcPr>
          <w:p w14:paraId="200297D9" w14:textId="5840C302" w:rsidR="004C1CBF" w:rsidRPr="00BD3072" w:rsidRDefault="008C291D" w:rsidP="00BD3072">
            <w:pPr>
              <w:spacing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Brak danych </w:t>
            </w:r>
          </w:p>
        </w:tc>
        <w:tc>
          <w:tcPr>
            <w:tcW w:w="2867" w:type="dxa"/>
            <w:gridSpan w:val="12"/>
            <w:shd w:val="clear" w:color="auto" w:fill="auto"/>
          </w:tcPr>
          <w:p w14:paraId="1E881A95" w14:textId="517946BA" w:rsidR="004C1CBF" w:rsidRPr="00BD3072" w:rsidRDefault="004C1CBF" w:rsidP="00BD3072">
            <w:pPr>
              <w:spacing w:line="240" w:lineRule="auto"/>
              <w:jc w:val="center"/>
              <w:rPr>
                <w:rFonts w:ascii="Times New Roman" w:eastAsia="Times New Roman" w:hAnsi="Times New Roman"/>
                <w:lang w:eastAsia="pl-PL"/>
              </w:rPr>
            </w:pPr>
          </w:p>
        </w:tc>
        <w:tc>
          <w:tcPr>
            <w:tcW w:w="2977" w:type="dxa"/>
            <w:gridSpan w:val="6"/>
            <w:shd w:val="clear" w:color="auto" w:fill="auto"/>
          </w:tcPr>
          <w:p w14:paraId="667079D4" w14:textId="572945C7"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4C1CBF" w:rsidRPr="008B4FE6" w14:paraId="645DC2D0" w14:textId="77777777" w:rsidTr="00D874B1">
        <w:trPr>
          <w:trHeight w:val="142"/>
        </w:trPr>
        <w:tc>
          <w:tcPr>
            <w:tcW w:w="2666" w:type="dxa"/>
            <w:gridSpan w:val="3"/>
            <w:shd w:val="clear" w:color="auto" w:fill="auto"/>
          </w:tcPr>
          <w:p w14:paraId="5102E358" w14:textId="0F2125E2" w:rsidR="004C1CBF" w:rsidRPr="00BD3072" w:rsidRDefault="00BD3072" w:rsidP="00BD3072">
            <w:pPr>
              <w:tabs>
                <w:tab w:val="right" w:pos="2311"/>
              </w:tabs>
              <w:spacing w:line="240" w:lineRule="auto"/>
              <w:jc w:val="both"/>
              <w:rPr>
                <w:rFonts w:ascii="Times New Roman" w:hAnsi="Times New Roman"/>
              </w:rPr>
            </w:pPr>
            <w:r w:rsidRPr="00BD3072">
              <w:rPr>
                <w:rFonts w:ascii="Times New Roman" w:hAnsi="Times New Roman"/>
              </w:rPr>
              <w:t>Z</w:t>
            </w:r>
            <w:r w:rsidR="004C1CBF" w:rsidRPr="00BD3072">
              <w:rPr>
                <w:rFonts w:ascii="Times New Roman" w:hAnsi="Times New Roman"/>
              </w:rPr>
              <w:t>atwierdzone</w:t>
            </w:r>
            <w:r w:rsidRPr="00BD3072">
              <w:rPr>
                <w:rFonts w:ascii="Times New Roman" w:hAnsi="Times New Roman"/>
              </w:rPr>
              <w:t xml:space="preserve"> </w:t>
            </w:r>
            <w:r w:rsidR="004C1CBF" w:rsidRPr="00BD3072">
              <w:rPr>
                <w:rFonts w:ascii="Times New Roman" w:hAnsi="Times New Roman"/>
              </w:rPr>
              <w:t>mechanizm</w:t>
            </w:r>
            <w:r w:rsidRPr="00BD3072">
              <w:rPr>
                <w:rFonts w:ascii="Times New Roman" w:hAnsi="Times New Roman"/>
              </w:rPr>
              <w:t>y</w:t>
            </w:r>
            <w:r w:rsidR="004C1CBF" w:rsidRPr="00BD3072">
              <w:rPr>
                <w:rFonts w:ascii="Times New Roman" w:hAnsi="Times New Roman"/>
              </w:rPr>
              <w:t xml:space="preserve"> sprawozdawcze</w:t>
            </w:r>
          </w:p>
        </w:tc>
        <w:tc>
          <w:tcPr>
            <w:tcW w:w="2293" w:type="dxa"/>
            <w:gridSpan w:val="8"/>
            <w:shd w:val="clear" w:color="auto" w:fill="auto"/>
          </w:tcPr>
          <w:p w14:paraId="76D88500" w14:textId="42BBF0DB" w:rsidR="004C1CBF" w:rsidRPr="00BD3072" w:rsidRDefault="008C291D" w:rsidP="00BD3072">
            <w:pPr>
              <w:spacing w:line="240" w:lineRule="auto"/>
              <w:jc w:val="center"/>
              <w:rPr>
                <w:rFonts w:ascii="Times New Roman" w:eastAsia="Times New Roman" w:hAnsi="Times New Roman"/>
                <w:lang w:eastAsia="pl-PL"/>
              </w:rPr>
            </w:pPr>
            <w:r>
              <w:rPr>
                <w:rFonts w:ascii="Times New Roman" w:eastAsia="Times New Roman" w:hAnsi="Times New Roman"/>
                <w:lang w:eastAsia="pl-PL"/>
              </w:rPr>
              <w:t>1</w:t>
            </w:r>
          </w:p>
        </w:tc>
        <w:tc>
          <w:tcPr>
            <w:tcW w:w="2867" w:type="dxa"/>
            <w:gridSpan w:val="12"/>
            <w:shd w:val="clear" w:color="auto" w:fill="auto"/>
          </w:tcPr>
          <w:p w14:paraId="6B734FA0" w14:textId="349B3E90" w:rsidR="004C1CBF" w:rsidRPr="00BD3072" w:rsidRDefault="008C291D" w:rsidP="00BD3072">
            <w:pPr>
              <w:spacing w:line="240" w:lineRule="auto"/>
              <w:jc w:val="center"/>
              <w:rPr>
                <w:rFonts w:ascii="Times New Roman" w:eastAsia="Times New Roman" w:hAnsi="Times New Roman"/>
                <w:lang w:eastAsia="pl-PL"/>
              </w:rPr>
            </w:pPr>
            <w:r w:rsidRPr="00935818">
              <w:rPr>
                <w:rFonts w:ascii="Times New Roman" w:eastAsia="Times New Roman" w:hAnsi="Times New Roman"/>
                <w:lang w:eastAsia="pl-PL"/>
              </w:rPr>
              <w:t>https://www.knf.gov.pl/dla_rynku/MiFIR/dostawcy_uslug_w_zakresie_udostepniania_informacji/Autoryzowani_dostawcy_uslug</w:t>
            </w:r>
          </w:p>
        </w:tc>
        <w:tc>
          <w:tcPr>
            <w:tcW w:w="2977" w:type="dxa"/>
            <w:gridSpan w:val="6"/>
            <w:shd w:val="clear" w:color="auto" w:fill="auto"/>
          </w:tcPr>
          <w:p w14:paraId="41C2AC6E" w14:textId="6566C72C"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8B1B9D" w:rsidRPr="008B4FE6" w14:paraId="5645C1B6" w14:textId="77777777" w:rsidTr="007A733A">
        <w:trPr>
          <w:trHeight w:val="1266"/>
        </w:trPr>
        <w:tc>
          <w:tcPr>
            <w:tcW w:w="2666" w:type="dxa"/>
            <w:gridSpan w:val="3"/>
            <w:shd w:val="clear" w:color="auto" w:fill="auto"/>
          </w:tcPr>
          <w:p w14:paraId="74CFDF29" w14:textId="77777777" w:rsidR="008B1B9D" w:rsidRPr="00BD3072" w:rsidRDefault="008B1B9D" w:rsidP="00BD3072">
            <w:pPr>
              <w:spacing w:line="240" w:lineRule="auto"/>
              <w:rPr>
                <w:rFonts w:ascii="Times New Roman" w:hAnsi="Times New Roman"/>
              </w:rPr>
            </w:pPr>
            <w:r w:rsidRPr="00BD3072">
              <w:rPr>
                <w:rFonts w:ascii="Times New Roman" w:hAnsi="Times New Roman"/>
              </w:rPr>
              <w:t>Zakłady ubezpieczeń</w:t>
            </w:r>
            <w:r w:rsidRPr="00BD3072">
              <w:rPr>
                <w:rFonts w:ascii="Times New Roman" w:hAnsi="Times New Roman"/>
              </w:rPr>
              <w:br/>
              <w:t xml:space="preserve">i zakłady reasekuracji </w:t>
            </w:r>
          </w:p>
        </w:tc>
        <w:tc>
          <w:tcPr>
            <w:tcW w:w="2293" w:type="dxa"/>
            <w:gridSpan w:val="8"/>
            <w:shd w:val="clear" w:color="auto" w:fill="auto"/>
          </w:tcPr>
          <w:p w14:paraId="65B12420" w14:textId="69A372D5" w:rsidR="008B1B9D" w:rsidRPr="00BD3072" w:rsidRDefault="008B1B9D" w:rsidP="00BD3072">
            <w:pPr>
              <w:spacing w:line="240" w:lineRule="auto"/>
              <w:jc w:val="center"/>
              <w:rPr>
                <w:rFonts w:ascii="Times New Roman" w:hAnsi="Times New Roman"/>
              </w:rPr>
            </w:pPr>
            <w:r w:rsidRPr="00BD3072">
              <w:rPr>
                <w:rFonts w:ascii="Times New Roman" w:hAnsi="Times New Roman"/>
              </w:rPr>
              <w:t>5</w:t>
            </w:r>
            <w:r w:rsidR="00315F26" w:rsidRPr="00BD3072">
              <w:rPr>
                <w:rFonts w:ascii="Times New Roman" w:hAnsi="Times New Roman"/>
              </w:rPr>
              <w:t>1</w:t>
            </w:r>
            <w:r w:rsidR="000F0A54" w:rsidRPr="00BD3072">
              <w:rPr>
                <w:rFonts w:ascii="Times New Roman" w:hAnsi="Times New Roman"/>
              </w:rPr>
              <w:t xml:space="preserve"> </w:t>
            </w:r>
            <w:r w:rsidRPr="00BD3072">
              <w:rPr>
                <w:rFonts w:ascii="Times New Roman" w:hAnsi="Times New Roman"/>
              </w:rPr>
              <w:t xml:space="preserve">krajowych zakładów ubezpieczeń </w:t>
            </w:r>
          </w:p>
          <w:p w14:paraId="57C3BFC2" w14:textId="77777777" w:rsidR="008B1B9D" w:rsidRPr="00BD3072" w:rsidRDefault="008B1B9D" w:rsidP="00BD3072">
            <w:pPr>
              <w:spacing w:line="240" w:lineRule="auto"/>
              <w:jc w:val="center"/>
              <w:rPr>
                <w:rFonts w:ascii="Times New Roman" w:hAnsi="Times New Roman"/>
              </w:rPr>
            </w:pPr>
            <w:r w:rsidRPr="00BD3072">
              <w:rPr>
                <w:rFonts w:ascii="Times New Roman" w:hAnsi="Times New Roman"/>
              </w:rPr>
              <w:t xml:space="preserve">1 zakład reasekuracji </w:t>
            </w:r>
            <w:r w:rsidRPr="00BD3072">
              <w:rPr>
                <w:rFonts w:ascii="Times New Roman" w:hAnsi="Times New Roman"/>
              </w:rPr>
              <w:br/>
            </w:r>
          </w:p>
        </w:tc>
        <w:tc>
          <w:tcPr>
            <w:tcW w:w="2867" w:type="dxa"/>
            <w:gridSpan w:val="12"/>
            <w:shd w:val="clear" w:color="auto" w:fill="auto"/>
          </w:tcPr>
          <w:p w14:paraId="0BA0510B" w14:textId="77777777" w:rsidR="008B1B9D" w:rsidRPr="00BD3072" w:rsidRDefault="008B1B9D" w:rsidP="00BD3072">
            <w:pPr>
              <w:pStyle w:val="Tekstpodstawowy"/>
              <w:spacing w:line="240" w:lineRule="auto"/>
              <w:jc w:val="center"/>
              <w:rPr>
                <w:sz w:val="22"/>
                <w:szCs w:val="22"/>
              </w:rPr>
            </w:pPr>
            <w:r w:rsidRPr="00BD3072">
              <w:rPr>
                <w:sz w:val="22"/>
                <w:szCs w:val="22"/>
              </w:rPr>
              <w:t>www. knf.gov.pl</w:t>
            </w:r>
          </w:p>
          <w:p w14:paraId="2051C520" w14:textId="4AC1C141" w:rsidR="008B1B9D" w:rsidRPr="00BD3072" w:rsidRDefault="008B1B9D" w:rsidP="00BD3072">
            <w:pPr>
              <w:spacing w:line="240" w:lineRule="auto"/>
              <w:jc w:val="center"/>
              <w:rPr>
                <w:rFonts w:ascii="Times New Roman" w:hAnsi="Times New Roman"/>
                <w:noProof/>
                <w:color w:val="000000"/>
              </w:rPr>
            </w:pPr>
            <w:r w:rsidRPr="00BD3072">
              <w:rPr>
                <w:rFonts w:ascii="Times New Roman" w:hAnsi="Times New Roman"/>
              </w:rPr>
              <w:t xml:space="preserve">„Biuletyn kwartalny. Rynek ubezpieczeń </w:t>
            </w:r>
            <w:r w:rsidR="00315F26" w:rsidRPr="00BD3072">
              <w:rPr>
                <w:rFonts w:ascii="Times New Roman" w:hAnsi="Times New Roman"/>
              </w:rPr>
              <w:t>2</w:t>
            </w:r>
            <w:r w:rsidRPr="00BD3072">
              <w:rPr>
                <w:rFonts w:ascii="Times New Roman" w:hAnsi="Times New Roman"/>
              </w:rPr>
              <w:t>/2022”</w:t>
            </w:r>
          </w:p>
        </w:tc>
        <w:tc>
          <w:tcPr>
            <w:tcW w:w="2977" w:type="dxa"/>
            <w:gridSpan w:val="6"/>
            <w:shd w:val="clear" w:color="auto" w:fill="auto"/>
          </w:tcPr>
          <w:p w14:paraId="45E444D9" w14:textId="7C34348C" w:rsidR="005D039D" w:rsidRPr="00FD6881" w:rsidRDefault="005D039D" w:rsidP="00BD3072">
            <w:pPr>
              <w:spacing w:after="120" w:line="240" w:lineRule="auto"/>
              <w:jc w:val="both"/>
              <w:rPr>
                <w:rFonts w:ascii="Times New Roman" w:eastAsia="Times New Roman" w:hAnsi="Times New Roman"/>
                <w:lang w:eastAsia="pl-PL"/>
              </w:rPr>
            </w:pPr>
            <w:r w:rsidRPr="00BD3072">
              <w:rPr>
                <w:rFonts w:ascii="Times New Roman" w:hAnsi="Times New Roman"/>
                <w:color w:val="000000"/>
                <w:spacing w:val="-2"/>
              </w:rPr>
              <w:t xml:space="preserve">Realizacja </w:t>
            </w:r>
            <w:r w:rsidRPr="00BD3072">
              <w:rPr>
                <w:rFonts w:ascii="Times New Roman" w:hAnsi="Times New Roman"/>
              </w:rPr>
              <w:t xml:space="preserve">obowiązków dotyczących zapewnienia wysokiego poziomu </w:t>
            </w:r>
            <w:r w:rsidRPr="00BD3072">
              <w:rPr>
                <w:rFonts w:ascii="Times New Roman" w:hAnsi="Times New Roman"/>
                <w:color w:val="000000"/>
                <w:shd w:val="clear" w:color="auto" w:fill="FFFFFF"/>
              </w:rPr>
              <w:t xml:space="preserve"> operacyjnej odporności cyfrowej i bezpieczeństwa ICT w obszarze usług finansowych, wynikające z </w:t>
            </w:r>
            <w:r w:rsidRPr="00BD3072">
              <w:rPr>
                <w:rFonts w:ascii="Times New Roman" w:hAnsi="Times New Roman"/>
              </w:rPr>
              <w:t xml:space="preserve"> rozporządzenia 2022/2554 w zakresie wynikającym ze zmian ustawy o działalności</w:t>
            </w:r>
            <w:r w:rsidR="00125718" w:rsidRPr="00BD3072">
              <w:rPr>
                <w:rFonts w:ascii="Times New Roman" w:hAnsi="Times New Roman"/>
              </w:rPr>
              <w:t xml:space="preserve"> </w:t>
            </w:r>
            <w:r w:rsidRPr="00BD3072">
              <w:rPr>
                <w:rFonts w:ascii="Times New Roman" w:hAnsi="Times New Roman"/>
              </w:rPr>
              <w:t>ubezpieczeniowej i reasekuracyjnej</w:t>
            </w:r>
            <w:r w:rsidR="00125718" w:rsidRPr="00BD3072">
              <w:rPr>
                <w:rFonts w:ascii="Times New Roman" w:hAnsi="Times New Roman"/>
              </w:rPr>
              <w:t xml:space="preserve">. </w:t>
            </w:r>
          </w:p>
          <w:p w14:paraId="61320063" w14:textId="658A0D7C" w:rsidR="008B1B9D" w:rsidRPr="00BD3072" w:rsidRDefault="00FD6881" w:rsidP="00BD3072">
            <w:pPr>
              <w:spacing w:after="120" w:line="240" w:lineRule="auto"/>
              <w:jc w:val="both"/>
              <w:rPr>
                <w:rFonts w:ascii="Times New Roman" w:hAnsi="Times New Roman"/>
                <w:color w:val="000000" w:themeColor="text1"/>
              </w:rPr>
            </w:pPr>
            <w:r w:rsidRPr="00BD3072">
              <w:rPr>
                <w:rFonts w:ascii="Times New Roman" w:hAnsi="Times New Roman"/>
                <w:color w:val="000000"/>
                <w:spacing w:val="-2"/>
              </w:rPr>
              <w:t>Podmioty objęte zakresem kontroli</w:t>
            </w:r>
          </w:p>
        </w:tc>
      </w:tr>
      <w:tr w:rsidR="004C1CBF" w:rsidRPr="008B4FE6" w14:paraId="6EBA93D5" w14:textId="77777777" w:rsidTr="007A733A">
        <w:trPr>
          <w:trHeight w:val="1266"/>
        </w:trPr>
        <w:tc>
          <w:tcPr>
            <w:tcW w:w="2666" w:type="dxa"/>
            <w:gridSpan w:val="3"/>
            <w:shd w:val="clear" w:color="auto" w:fill="auto"/>
          </w:tcPr>
          <w:p w14:paraId="5F4447C5" w14:textId="7E00584E" w:rsidR="004C1CBF" w:rsidRPr="00BD3072" w:rsidRDefault="00BD3072" w:rsidP="00BD3072">
            <w:pPr>
              <w:spacing w:line="240" w:lineRule="auto"/>
              <w:rPr>
                <w:rFonts w:ascii="Times New Roman" w:hAnsi="Times New Roman"/>
              </w:rPr>
            </w:pPr>
            <w:r w:rsidRPr="00BD3072">
              <w:rPr>
                <w:rFonts w:ascii="Times New Roman" w:hAnsi="Times New Roman"/>
              </w:rPr>
              <w:t>P</w:t>
            </w:r>
            <w:r w:rsidR="004C1CBF" w:rsidRPr="00BD3072">
              <w:rPr>
                <w:rFonts w:ascii="Times New Roman" w:hAnsi="Times New Roman"/>
              </w:rPr>
              <w:t>ośredni</w:t>
            </w:r>
            <w:r w:rsidRPr="00BD3072">
              <w:rPr>
                <w:rFonts w:ascii="Times New Roman" w:hAnsi="Times New Roman"/>
              </w:rPr>
              <w:t>cy</w:t>
            </w:r>
            <w:r w:rsidR="004C1CBF" w:rsidRPr="00BD3072">
              <w:rPr>
                <w:rFonts w:ascii="Times New Roman" w:hAnsi="Times New Roman"/>
              </w:rPr>
              <w:t xml:space="preserve"> ubezpieczeniow</w:t>
            </w:r>
            <w:r w:rsidRPr="00BD3072">
              <w:rPr>
                <w:rFonts w:ascii="Times New Roman" w:hAnsi="Times New Roman"/>
              </w:rPr>
              <w:t xml:space="preserve">i </w:t>
            </w:r>
          </w:p>
        </w:tc>
        <w:tc>
          <w:tcPr>
            <w:tcW w:w="2293" w:type="dxa"/>
            <w:gridSpan w:val="8"/>
            <w:shd w:val="clear" w:color="auto" w:fill="auto"/>
          </w:tcPr>
          <w:p w14:paraId="425DBD43" w14:textId="2859B22C" w:rsidR="004C1CBF" w:rsidRDefault="00A97428" w:rsidP="00BD3072">
            <w:pPr>
              <w:spacing w:line="240" w:lineRule="auto"/>
              <w:jc w:val="center"/>
              <w:rPr>
                <w:rFonts w:ascii="Times New Roman" w:hAnsi="Times New Roman"/>
              </w:rPr>
            </w:pPr>
            <w:r>
              <w:rPr>
                <w:rFonts w:ascii="Times New Roman" w:hAnsi="Times New Roman"/>
              </w:rPr>
              <w:t>292 107</w:t>
            </w:r>
          </w:p>
          <w:p w14:paraId="59824395" w14:textId="7C1B5842" w:rsidR="00A97428" w:rsidRPr="00BD3072" w:rsidRDefault="00A97428" w:rsidP="00BD3072">
            <w:pPr>
              <w:spacing w:line="240" w:lineRule="auto"/>
              <w:jc w:val="center"/>
              <w:rPr>
                <w:rFonts w:ascii="Times New Roman" w:hAnsi="Times New Roman"/>
              </w:rPr>
            </w:pPr>
            <w:r>
              <w:rPr>
                <w:rFonts w:ascii="Times New Roman" w:hAnsi="Times New Roman"/>
              </w:rPr>
              <w:t>agentów zarejestrowany i o</w:t>
            </w:r>
            <w:r w:rsidRPr="00A97428">
              <w:rPr>
                <w:rFonts w:ascii="Times New Roman" w:hAnsi="Times New Roman"/>
              </w:rPr>
              <w:t>s</w:t>
            </w:r>
            <w:r>
              <w:rPr>
                <w:rFonts w:ascii="Times New Roman" w:hAnsi="Times New Roman"/>
              </w:rPr>
              <w:t>ó</w:t>
            </w:r>
            <w:r w:rsidRPr="00A97428">
              <w:rPr>
                <w:rFonts w:ascii="Times New Roman" w:hAnsi="Times New Roman"/>
              </w:rPr>
              <w:t>b fizyczn</w:t>
            </w:r>
            <w:r>
              <w:rPr>
                <w:rFonts w:ascii="Times New Roman" w:hAnsi="Times New Roman"/>
              </w:rPr>
              <w:t>ych</w:t>
            </w:r>
            <w:r w:rsidRPr="00A97428">
              <w:rPr>
                <w:rFonts w:ascii="Times New Roman" w:hAnsi="Times New Roman"/>
              </w:rPr>
              <w:t xml:space="preserve"> wykonując</w:t>
            </w:r>
            <w:r>
              <w:rPr>
                <w:rFonts w:ascii="Times New Roman" w:hAnsi="Times New Roman"/>
              </w:rPr>
              <w:t>ych</w:t>
            </w:r>
            <w:r w:rsidRPr="00A97428">
              <w:rPr>
                <w:rFonts w:ascii="Times New Roman" w:hAnsi="Times New Roman"/>
              </w:rPr>
              <w:t xml:space="preserve"> czynności agencyjne</w:t>
            </w:r>
          </w:p>
        </w:tc>
        <w:tc>
          <w:tcPr>
            <w:tcW w:w="2867" w:type="dxa"/>
            <w:gridSpan w:val="12"/>
            <w:shd w:val="clear" w:color="auto" w:fill="auto"/>
          </w:tcPr>
          <w:p w14:paraId="75677DFF" w14:textId="482C2424" w:rsidR="004C1CBF" w:rsidRPr="00BD3072" w:rsidRDefault="00A97428" w:rsidP="00BD3072">
            <w:pPr>
              <w:pStyle w:val="Tekstpodstawowy"/>
              <w:spacing w:line="240" w:lineRule="auto"/>
              <w:jc w:val="center"/>
              <w:rPr>
                <w:sz w:val="22"/>
                <w:szCs w:val="22"/>
              </w:rPr>
            </w:pPr>
            <w:r w:rsidRPr="00A97428">
              <w:rPr>
                <w:sz w:val="22"/>
                <w:szCs w:val="22"/>
              </w:rPr>
              <w:t>https://www.knf.gov.pl/?articleId=83586&amp;p_id=18</w:t>
            </w:r>
          </w:p>
        </w:tc>
        <w:tc>
          <w:tcPr>
            <w:tcW w:w="2977" w:type="dxa"/>
            <w:gridSpan w:val="6"/>
            <w:shd w:val="clear" w:color="auto" w:fill="auto"/>
          </w:tcPr>
          <w:p w14:paraId="1E599BCC" w14:textId="4C5A93EB" w:rsidR="004C1CBF"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5A68C2" w:rsidRPr="008B4FE6" w14:paraId="761FBFB8" w14:textId="77777777" w:rsidTr="007A733A">
        <w:trPr>
          <w:trHeight w:val="1266"/>
        </w:trPr>
        <w:tc>
          <w:tcPr>
            <w:tcW w:w="2666" w:type="dxa"/>
            <w:gridSpan w:val="3"/>
            <w:shd w:val="clear" w:color="auto" w:fill="auto"/>
          </w:tcPr>
          <w:p w14:paraId="1B158E35" w14:textId="03FE5E80" w:rsidR="005A68C2" w:rsidRPr="00BD3072" w:rsidRDefault="00BD3072" w:rsidP="00BD3072">
            <w:pPr>
              <w:spacing w:line="240" w:lineRule="auto"/>
              <w:rPr>
                <w:rFonts w:ascii="Times New Roman" w:hAnsi="Times New Roman"/>
              </w:rPr>
            </w:pPr>
            <w:r w:rsidRPr="00BD3072">
              <w:rPr>
                <w:rFonts w:ascii="Times New Roman" w:hAnsi="Times New Roman"/>
              </w:rPr>
              <w:t>A</w:t>
            </w:r>
            <w:r w:rsidR="005A68C2" w:rsidRPr="00BD3072">
              <w:rPr>
                <w:rFonts w:ascii="Times New Roman" w:hAnsi="Times New Roman"/>
              </w:rPr>
              <w:t>gencj</w:t>
            </w:r>
            <w:r w:rsidRPr="00BD3072">
              <w:rPr>
                <w:rFonts w:ascii="Times New Roman" w:hAnsi="Times New Roman"/>
              </w:rPr>
              <w:t xml:space="preserve">e </w:t>
            </w:r>
            <w:r w:rsidR="005A68C2" w:rsidRPr="00BD3072">
              <w:rPr>
                <w:rFonts w:ascii="Times New Roman" w:hAnsi="Times New Roman"/>
              </w:rPr>
              <w:t>ratingowe</w:t>
            </w:r>
          </w:p>
        </w:tc>
        <w:tc>
          <w:tcPr>
            <w:tcW w:w="2293" w:type="dxa"/>
            <w:gridSpan w:val="8"/>
            <w:shd w:val="clear" w:color="auto" w:fill="auto"/>
          </w:tcPr>
          <w:p w14:paraId="24FD3736" w14:textId="4447E8E0" w:rsidR="005A68C2" w:rsidRPr="00BD3072" w:rsidRDefault="006474F3" w:rsidP="00BD3072">
            <w:pPr>
              <w:spacing w:line="240" w:lineRule="auto"/>
              <w:jc w:val="center"/>
              <w:rPr>
                <w:rFonts w:ascii="Times New Roman" w:hAnsi="Times New Roman"/>
              </w:rPr>
            </w:pPr>
            <w:r>
              <w:rPr>
                <w:rFonts w:ascii="Times New Roman" w:hAnsi="Times New Roman"/>
              </w:rPr>
              <w:t xml:space="preserve">brak danych </w:t>
            </w:r>
          </w:p>
        </w:tc>
        <w:tc>
          <w:tcPr>
            <w:tcW w:w="2867" w:type="dxa"/>
            <w:gridSpan w:val="12"/>
            <w:shd w:val="clear" w:color="auto" w:fill="auto"/>
          </w:tcPr>
          <w:p w14:paraId="213BCFB0" w14:textId="77777777" w:rsidR="005A68C2" w:rsidRPr="00BD3072" w:rsidRDefault="005A68C2" w:rsidP="00BD3072">
            <w:pPr>
              <w:pStyle w:val="Tekstpodstawowy"/>
              <w:spacing w:line="240" w:lineRule="auto"/>
              <w:jc w:val="center"/>
              <w:rPr>
                <w:sz w:val="22"/>
                <w:szCs w:val="22"/>
              </w:rPr>
            </w:pPr>
          </w:p>
        </w:tc>
        <w:tc>
          <w:tcPr>
            <w:tcW w:w="2977" w:type="dxa"/>
            <w:gridSpan w:val="6"/>
            <w:shd w:val="clear" w:color="auto" w:fill="auto"/>
          </w:tcPr>
          <w:p w14:paraId="79C23CCA" w14:textId="77777777" w:rsidR="00C52EBD" w:rsidRDefault="00C52EBD" w:rsidP="00C52EBD">
            <w:pPr>
              <w:spacing w:after="120" w:line="240" w:lineRule="auto"/>
              <w:rPr>
                <w:rFonts w:ascii="Times New Roman" w:hAnsi="Times New Roman"/>
                <w:color w:val="000000"/>
                <w:spacing w:val="-2"/>
              </w:rPr>
            </w:pPr>
          </w:p>
          <w:p w14:paraId="0E9B47D7" w14:textId="239A742F" w:rsidR="005A68C2"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5A68C2" w:rsidRPr="008B4FE6" w14:paraId="5F96FBB4" w14:textId="77777777" w:rsidTr="007A733A">
        <w:trPr>
          <w:trHeight w:val="1266"/>
        </w:trPr>
        <w:tc>
          <w:tcPr>
            <w:tcW w:w="2666" w:type="dxa"/>
            <w:gridSpan w:val="3"/>
            <w:shd w:val="clear" w:color="auto" w:fill="auto"/>
          </w:tcPr>
          <w:p w14:paraId="4C4B4A9B" w14:textId="10935824" w:rsidR="005A68C2" w:rsidRPr="00BD3072" w:rsidRDefault="00BD3072" w:rsidP="00BD3072">
            <w:pPr>
              <w:pStyle w:val="ZPKTzmpktartykuempunktem"/>
              <w:spacing w:line="240" w:lineRule="auto"/>
              <w:ind w:left="0" w:firstLine="0"/>
              <w:rPr>
                <w:rFonts w:ascii="Times New Roman" w:hAnsi="Times New Roman" w:cs="Times New Roman"/>
                <w:sz w:val="22"/>
                <w:szCs w:val="22"/>
              </w:rPr>
            </w:pPr>
            <w:r w:rsidRPr="00BD3072">
              <w:rPr>
                <w:rFonts w:ascii="Times New Roman" w:hAnsi="Times New Roman" w:cs="Times New Roman"/>
                <w:sz w:val="22"/>
                <w:szCs w:val="22"/>
              </w:rPr>
              <w:t>Administratorzy w rozumieniu art. 3 pkt 57 ustawy z dnia 29 lipca 2005 r. o obrocie instrumentami finansowymi</w:t>
            </w:r>
          </w:p>
        </w:tc>
        <w:tc>
          <w:tcPr>
            <w:tcW w:w="2293" w:type="dxa"/>
            <w:gridSpan w:val="8"/>
            <w:shd w:val="clear" w:color="auto" w:fill="auto"/>
          </w:tcPr>
          <w:p w14:paraId="7F79F6BE" w14:textId="26CDF678" w:rsidR="005A68C2" w:rsidRPr="00BD3072" w:rsidRDefault="006474F3" w:rsidP="00BD3072">
            <w:pPr>
              <w:spacing w:line="240" w:lineRule="auto"/>
              <w:jc w:val="center"/>
              <w:rPr>
                <w:rFonts w:ascii="Times New Roman" w:hAnsi="Times New Roman"/>
              </w:rPr>
            </w:pPr>
            <w:r>
              <w:rPr>
                <w:rFonts w:ascii="Times New Roman" w:hAnsi="Times New Roman"/>
              </w:rPr>
              <w:t xml:space="preserve">brak danych </w:t>
            </w:r>
          </w:p>
        </w:tc>
        <w:tc>
          <w:tcPr>
            <w:tcW w:w="2867" w:type="dxa"/>
            <w:gridSpan w:val="12"/>
            <w:shd w:val="clear" w:color="auto" w:fill="auto"/>
          </w:tcPr>
          <w:p w14:paraId="04FBE072" w14:textId="77777777" w:rsidR="005A68C2" w:rsidRPr="00BD3072" w:rsidRDefault="005A68C2" w:rsidP="00BD3072">
            <w:pPr>
              <w:pStyle w:val="Tekstpodstawowy"/>
              <w:spacing w:line="240" w:lineRule="auto"/>
              <w:jc w:val="center"/>
              <w:rPr>
                <w:sz w:val="22"/>
                <w:szCs w:val="22"/>
              </w:rPr>
            </w:pPr>
          </w:p>
        </w:tc>
        <w:tc>
          <w:tcPr>
            <w:tcW w:w="2977" w:type="dxa"/>
            <w:gridSpan w:val="6"/>
            <w:shd w:val="clear" w:color="auto" w:fill="auto"/>
          </w:tcPr>
          <w:p w14:paraId="4DDE2DFC" w14:textId="1CBE20E7" w:rsidR="005A68C2"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5A68C2" w:rsidRPr="008B4FE6" w14:paraId="0A9C1874" w14:textId="77777777" w:rsidTr="007A733A">
        <w:trPr>
          <w:trHeight w:val="1266"/>
        </w:trPr>
        <w:tc>
          <w:tcPr>
            <w:tcW w:w="2666" w:type="dxa"/>
            <w:gridSpan w:val="3"/>
            <w:shd w:val="clear" w:color="auto" w:fill="auto"/>
          </w:tcPr>
          <w:p w14:paraId="0868E3E3" w14:textId="21E75FE8" w:rsidR="00BD3072" w:rsidRPr="00BD3072" w:rsidRDefault="00BD3072" w:rsidP="00BD3072">
            <w:pPr>
              <w:pStyle w:val="ZPKTzmpktartykuempunktem"/>
              <w:spacing w:line="240" w:lineRule="auto"/>
              <w:ind w:left="0" w:firstLine="0"/>
              <w:rPr>
                <w:rFonts w:ascii="Times New Roman" w:hAnsi="Times New Roman" w:cs="Times New Roman"/>
                <w:sz w:val="22"/>
                <w:szCs w:val="22"/>
              </w:rPr>
            </w:pPr>
            <w:r w:rsidRPr="00BD3072">
              <w:rPr>
                <w:rFonts w:ascii="Times New Roman" w:hAnsi="Times New Roman" w:cs="Times New Roman"/>
                <w:sz w:val="22"/>
                <w:szCs w:val="22"/>
              </w:rPr>
              <w:t>Dostawcy usług finansowania społecznościowego</w:t>
            </w:r>
          </w:p>
          <w:p w14:paraId="542763FC" w14:textId="77777777" w:rsidR="00BD3072" w:rsidRPr="00BD3072" w:rsidRDefault="00BD3072" w:rsidP="00BD3072">
            <w:pPr>
              <w:pStyle w:val="ZPKTzmpktartykuempunktem"/>
              <w:spacing w:line="240" w:lineRule="auto"/>
              <w:rPr>
                <w:rFonts w:ascii="Times New Roman" w:hAnsi="Times New Roman" w:cs="Times New Roman"/>
                <w:sz w:val="22"/>
                <w:szCs w:val="22"/>
              </w:rPr>
            </w:pPr>
          </w:p>
          <w:p w14:paraId="0600F26C" w14:textId="77777777" w:rsidR="00BD3072" w:rsidRPr="00BD3072" w:rsidRDefault="00BD3072" w:rsidP="00BD3072">
            <w:pPr>
              <w:pStyle w:val="ZPKTzmpktartykuempunktem"/>
              <w:spacing w:line="240" w:lineRule="auto"/>
              <w:rPr>
                <w:rFonts w:ascii="Times New Roman" w:hAnsi="Times New Roman" w:cs="Times New Roman"/>
                <w:sz w:val="22"/>
                <w:szCs w:val="22"/>
              </w:rPr>
            </w:pPr>
          </w:p>
          <w:p w14:paraId="78CB74AA" w14:textId="6B0A8440" w:rsidR="005A68C2" w:rsidRPr="00BD3072" w:rsidRDefault="005A68C2" w:rsidP="00BD3072">
            <w:pPr>
              <w:pStyle w:val="ZPKTzmpktartykuempunktem"/>
              <w:spacing w:line="240" w:lineRule="auto"/>
              <w:rPr>
                <w:rFonts w:ascii="Times New Roman" w:hAnsi="Times New Roman" w:cs="Times New Roman"/>
                <w:sz w:val="22"/>
                <w:szCs w:val="22"/>
              </w:rPr>
            </w:pPr>
          </w:p>
        </w:tc>
        <w:tc>
          <w:tcPr>
            <w:tcW w:w="2293" w:type="dxa"/>
            <w:gridSpan w:val="8"/>
            <w:shd w:val="clear" w:color="auto" w:fill="auto"/>
          </w:tcPr>
          <w:p w14:paraId="3047A514" w14:textId="35EA0725" w:rsidR="00D2600C" w:rsidRPr="00BD3072" w:rsidRDefault="00D2600C" w:rsidP="00BD3072">
            <w:pPr>
              <w:spacing w:line="240" w:lineRule="auto"/>
              <w:jc w:val="center"/>
              <w:rPr>
                <w:rFonts w:ascii="Times New Roman" w:hAnsi="Times New Roman"/>
              </w:rPr>
            </w:pPr>
            <w:r>
              <w:rPr>
                <w:rFonts w:ascii="Times New Roman" w:hAnsi="Times New Roman"/>
              </w:rPr>
              <w:t>3</w:t>
            </w:r>
          </w:p>
        </w:tc>
        <w:tc>
          <w:tcPr>
            <w:tcW w:w="2867" w:type="dxa"/>
            <w:gridSpan w:val="12"/>
            <w:shd w:val="clear" w:color="auto" w:fill="auto"/>
          </w:tcPr>
          <w:p w14:paraId="4794CBE7" w14:textId="2F0B0362" w:rsidR="005A68C2" w:rsidRPr="00BD3072" w:rsidRDefault="00D2600C" w:rsidP="00BD3072">
            <w:pPr>
              <w:pStyle w:val="Tekstpodstawowy"/>
              <w:spacing w:line="240" w:lineRule="auto"/>
              <w:jc w:val="center"/>
              <w:rPr>
                <w:sz w:val="22"/>
                <w:szCs w:val="22"/>
              </w:rPr>
            </w:pPr>
            <w:r w:rsidRPr="00D2600C">
              <w:rPr>
                <w:sz w:val="22"/>
                <w:szCs w:val="22"/>
              </w:rPr>
              <w:t>https://www.knf.gov.pl/podmioty/dostawcy_uslug_finansowania_spolecznosciowego_rejestr</w:t>
            </w:r>
          </w:p>
        </w:tc>
        <w:tc>
          <w:tcPr>
            <w:tcW w:w="2977" w:type="dxa"/>
            <w:gridSpan w:val="6"/>
            <w:shd w:val="clear" w:color="auto" w:fill="auto"/>
          </w:tcPr>
          <w:p w14:paraId="325F3C61" w14:textId="45010AF2" w:rsidR="005A68C2"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5A68C2" w:rsidRPr="008B4FE6" w14:paraId="3F9CCC16" w14:textId="77777777" w:rsidTr="007A733A">
        <w:trPr>
          <w:trHeight w:val="1266"/>
        </w:trPr>
        <w:tc>
          <w:tcPr>
            <w:tcW w:w="2666" w:type="dxa"/>
            <w:gridSpan w:val="3"/>
            <w:shd w:val="clear" w:color="auto" w:fill="auto"/>
          </w:tcPr>
          <w:p w14:paraId="13E5F9DF" w14:textId="58742F6C" w:rsidR="005A68C2" w:rsidRPr="00BD3072" w:rsidRDefault="00BD3072" w:rsidP="00BD3072">
            <w:pPr>
              <w:pStyle w:val="ZPKTzmpktartykuempunktem"/>
              <w:spacing w:line="240" w:lineRule="auto"/>
              <w:ind w:left="0" w:firstLine="0"/>
              <w:rPr>
                <w:rFonts w:ascii="Times New Roman" w:hAnsi="Times New Roman" w:cs="Times New Roman"/>
                <w:sz w:val="22"/>
                <w:szCs w:val="22"/>
              </w:rPr>
            </w:pPr>
            <w:r w:rsidRPr="00BD3072">
              <w:rPr>
                <w:rFonts w:ascii="Times New Roman" w:hAnsi="Times New Roman" w:cs="Times New Roman"/>
                <w:sz w:val="22"/>
                <w:szCs w:val="22"/>
              </w:rPr>
              <w:lastRenderedPageBreak/>
              <w:t xml:space="preserve">Repozytoria sekurytyzacji </w:t>
            </w:r>
          </w:p>
        </w:tc>
        <w:tc>
          <w:tcPr>
            <w:tcW w:w="2293" w:type="dxa"/>
            <w:gridSpan w:val="8"/>
            <w:shd w:val="clear" w:color="auto" w:fill="auto"/>
          </w:tcPr>
          <w:p w14:paraId="78AF962F" w14:textId="15E4A1CC" w:rsidR="005A68C2" w:rsidRPr="00BD3072" w:rsidRDefault="006474F3" w:rsidP="00BD3072">
            <w:pPr>
              <w:spacing w:line="240" w:lineRule="auto"/>
              <w:jc w:val="center"/>
              <w:rPr>
                <w:rFonts w:ascii="Times New Roman" w:hAnsi="Times New Roman"/>
              </w:rPr>
            </w:pPr>
            <w:r>
              <w:rPr>
                <w:rFonts w:ascii="Times New Roman" w:hAnsi="Times New Roman"/>
              </w:rPr>
              <w:t xml:space="preserve">brak danych </w:t>
            </w:r>
          </w:p>
        </w:tc>
        <w:tc>
          <w:tcPr>
            <w:tcW w:w="2867" w:type="dxa"/>
            <w:gridSpan w:val="12"/>
            <w:shd w:val="clear" w:color="auto" w:fill="auto"/>
          </w:tcPr>
          <w:p w14:paraId="03216F6E" w14:textId="77777777" w:rsidR="005A68C2" w:rsidRPr="00BD3072" w:rsidRDefault="005A68C2" w:rsidP="00BD3072">
            <w:pPr>
              <w:pStyle w:val="Tekstpodstawowy"/>
              <w:spacing w:line="240" w:lineRule="auto"/>
              <w:jc w:val="center"/>
              <w:rPr>
                <w:sz w:val="22"/>
                <w:szCs w:val="22"/>
              </w:rPr>
            </w:pPr>
          </w:p>
        </w:tc>
        <w:tc>
          <w:tcPr>
            <w:tcW w:w="2977" w:type="dxa"/>
            <w:gridSpan w:val="6"/>
            <w:shd w:val="clear" w:color="auto" w:fill="auto"/>
          </w:tcPr>
          <w:p w14:paraId="34BC873C" w14:textId="540DB543" w:rsidR="005A68C2" w:rsidRPr="00BD3072" w:rsidRDefault="00BD3072" w:rsidP="00C52EBD">
            <w:pPr>
              <w:spacing w:after="120" w:line="240" w:lineRule="auto"/>
              <w:rPr>
                <w:rFonts w:ascii="Times New Roman" w:hAnsi="Times New Roman"/>
                <w:color w:val="000000"/>
                <w:spacing w:val="-2"/>
              </w:rPr>
            </w:pPr>
            <w:r w:rsidRPr="00BD3072">
              <w:rPr>
                <w:rFonts w:ascii="Times New Roman" w:hAnsi="Times New Roman"/>
                <w:color w:val="000000"/>
                <w:spacing w:val="-2"/>
              </w:rPr>
              <w:t>Podmioty objęte zakresem kontroli</w:t>
            </w:r>
          </w:p>
        </w:tc>
      </w:tr>
      <w:tr w:rsidR="009C1ECA" w:rsidRPr="008B4FE6" w14:paraId="7261B216" w14:textId="77777777" w:rsidTr="00AF2F39">
        <w:trPr>
          <w:trHeight w:val="2253"/>
        </w:trPr>
        <w:tc>
          <w:tcPr>
            <w:tcW w:w="2666" w:type="dxa"/>
            <w:gridSpan w:val="3"/>
            <w:shd w:val="clear" w:color="auto" w:fill="auto"/>
          </w:tcPr>
          <w:p w14:paraId="00DC1746" w14:textId="52ABCB16" w:rsidR="00065FE4" w:rsidRPr="00AF2F39" w:rsidRDefault="00065FE4" w:rsidP="00BD3072">
            <w:pPr>
              <w:tabs>
                <w:tab w:val="right" w:pos="2311"/>
              </w:tabs>
              <w:spacing w:line="240" w:lineRule="auto"/>
              <w:jc w:val="both"/>
              <w:rPr>
                <w:rFonts w:ascii="Times New Roman" w:hAnsi="Times New Roman"/>
              </w:rPr>
            </w:pPr>
          </w:p>
          <w:p w14:paraId="4C77755B" w14:textId="57F3CE7F" w:rsidR="004B0558" w:rsidRPr="00AF2F39" w:rsidRDefault="004B0558" w:rsidP="00BD3072">
            <w:pPr>
              <w:tabs>
                <w:tab w:val="right" w:pos="2311"/>
              </w:tabs>
              <w:spacing w:line="240" w:lineRule="auto"/>
              <w:jc w:val="both"/>
              <w:rPr>
                <w:rFonts w:ascii="Times New Roman" w:hAnsi="Times New Roman"/>
                <w:noProof/>
                <w:color w:val="000000" w:themeColor="text1"/>
              </w:rPr>
            </w:pPr>
            <w:r w:rsidRPr="00D508F1">
              <w:rPr>
                <w:rFonts w:ascii="Times New Roman" w:hAnsi="Times New Roman"/>
              </w:rPr>
              <w:t>Bankowy Fundusz Gwarancyjny</w:t>
            </w:r>
          </w:p>
        </w:tc>
        <w:tc>
          <w:tcPr>
            <w:tcW w:w="2293" w:type="dxa"/>
            <w:gridSpan w:val="8"/>
            <w:shd w:val="clear" w:color="auto" w:fill="auto"/>
          </w:tcPr>
          <w:p w14:paraId="3F90518E" w14:textId="77777777" w:rsidR="00125718" w:rsidRPr="00BD3072" w:rsidRDefault="00125718" w:rsidP="00BD3072">
            <w:pPr>
              <w:spacing w:line="240" w:lineRule="auto"/>
              <w:jc w:val="center"/>
              <w:rPr>
                <w:rFonts w:ascii="Times New Roman" w:hAnsi="Times New Roman"/>
                <w:noProof/>
                <w:color w:val="000000" w:themeColor="text1"/>
              </w:rPr>
            </w:pPr>
          </w:p>
          <w:p w14:paraId="1DDDF85B" w14:textId="44C7C9AA" w:rsidR="009C1ECA" w:rsidRPr="00BD3072" w:rsidRDefault="004B0558" w:rsidP="00BD3072">
            <w:pPr>
              <w:spacing w:line="240" w:lineRule="auto"/>
              <w:jc w:val="center"/>
              <w:rPr>
                <w:rFonts w:ascii="Times New Roman" w:hAnsi="Times New Roman"/>
                <w:noProof/>
                <w:color w:val="000000" w:themeColor="text1"/>
                <w:highlight w:val="yellow"/>
              </w:rPr>
            </w:pPr>
            <w:r w:rsidRPr="00BD3072">
              <w:rPr>
                <w:rFonts w:ascii="Times New Roman" w:hAnsi="Times New Roman"/>
                <w:noProof/>
                <w:color w:val="000000" w:themeColor="text1"/>
              </w:rPr>
              <w:t>1</w:t>
            </w:r>
          </w:p>
        </w:tc>
        <w:tc>
          <w:tcPr>
            <w:tcW w:w="2867" w:type="dxa"/>
            <w:gridSpan w:val="12"/>
            <w:shd w:val="clear" w:color="auto" w:fill="auto"/>
          </w:tcPr>
          <w:p w14:paraId="678D7BCB" w14:textId="2A1FD533" w:rsidR="009C1ECA" w:rsidRPr="00BD3072" w:rsidRDefault="004B0558" w:rsidP="00BD3072">
            <w:pPr>
              <w:spacing w:line="240" w:lineRule="auto"/>
              <w:jc w:val="center"/>
              <w:rPr>
                <w:rFonts w:ascii="Times New Roman" w:hAnsi="Times New Roman"/>
                <w:noProof/>
                <w:color w:val="000000" w:themeColor="text1"/>
                <w:highlight w:val="yellow"/>
                <w:u w:val="single"/>
              </w:rPr>
            </w:pPr>
            <w:r w:rsidRPr="00BD3072">
              <w:rPr>
                <w:rFonts w:ascii="Times New Roman" w:hAnsi="Times New Roman"/>
              </w:rPr>
              <w:t>Ustawa z dnia 10 czerwca 2016 r. o Bankowym Funduszu Gwarancyjnym, systemie gwarantowania depozytów oraz przymusowej restrukturyzacji</w:t>
            </w:r>
          </w:p>
        </w:tc>
        <w:tc>
          <w:tcPr>
            <w:tcW w:w="2977" w:type="dxa"/>
            <w:gridSpan w:val="6"/>
            <w:shd w:val="clear" w:color="auto" w:fill="auto"/>
          </w:tcPr>
          <w:p w14:paraId="39D3188D" w14:textId="7ECD8576" w:rsidR="004B0558" w:rsidRPr="00BD3072" w:rsidRDefault="004B0558" w:rsidP="00BD3072">
            <w:pPr>
              <w:spacing w:after="120" w:line="240" w:lineRule="auto"/>
              <w:jc w:val="both"/>
              <w:rPr>
                <w:rFonts w:ascii="Times New Roman" w:hAnsi="Times New Roman"/>
              </w:rPr>
            </w:pPr>
            <w:r w:rsidRPr="00BD3072">
              <w:rPr>
                <w:rFonts w:ascii="Times New Roman" w:hAnsi="Times New Roman"/>
              </w:rPr>
              <w:t>Konieczność uwzględnienia w procesie planowania przymusowej restrukturyzacji i oceny wykonalności działań w przypadku wszczęcia przymusowej restrukturyzacji kwestii związanych z cyfrową odpornością operacyjną.</w:t>
            </w:r>
          </w:p>
        </w:tc>
      </w:tr>
      <w:tr w:rsidR="00D508F1" w:rsidRPr="008B4FE6" w14:paraId="5A2CA426" w14:textId="77777777" w:rsidTr="00D874B1">
        <w:trPr>
          <w:trHeight w:val="142"/>
        </w:trPr>
        <w:tc>
          <w:tcPr>
            <w:tcW w:w="2666" w:type="dxa"/>
            <w:gridSpan w:val="3"/>
            <w:shd w:val="clear" w:color="auto" w:fill="auto"/>
          </w:tcPr>
          <w:p w14:paraId="5D1CEE52" w14:textId="0591E214" w:rsidR="00D508F1" w:rsidRPr="00AF2F39" w:rsidRDefault="00D508F1" w:rsidP="00BD3072">
            <w:pPr>
              <w:tabs>
                <w:tab w:val="right" w:pos="2311"/>
              </w:tabs>
              <w:spacing w:line="240" w:lineRule="auto"/>
              <w:jc w:val="both"/>
              <w:rPr>
                <w:rFonts w:ascii="Times New Roman" w:hAnsi="Times New Roman"/>
              </w:rPr>
            </w:pPr>
            <w:r w:rsidRPr="00AF2F39">
              <w:rPr>
                <w:rFonts w:ascii="Times New Roman" w:hAnsi="Times New Roman"/>
              </w:rPr>
              <w:t xml:space="preserve">Rzecznik Finansowy </w:t>
            </w:r>
          </w:p>
        </w:tc>
        <w:tc>
          <w:tcPr>
            <w:tcW w:w="2293" w:type="dxa"/>
            <w:gridSpan w:val="8"/>
            <w:shd w:val="clear" w:color="auto" w:fill="auto"/>
          </w:tcPr>
          <w:p w14:paraId="39EF99C7" w14:textId="45B2965E" w:rsidR="00D508F1" w:rsidRPr="00BD3072" w:rsidRDefault="00D508F1" w:rsidP="00BD3072">
            <w:pPr>
              <w:spacing w:line="240" w:lineRule="auto"/>
              <w:jc w:val="center"/>
              <w:rPr>
                <w:rFonts w:ascii="Times New Roman" w:hAnsi="Times New Roman"/>
                <w:noProof/>
                <w:color w:val="000000" w:themeColor="text1"/>
              </w:rPr>
            </w:pPr>
            <w:r>
              <w:rPr>
                <w:rFonts w:ascii="Times New Roman" w:hAnsi="Times New Roman"/>
                <w:noProof/>
                <w:color w:val="000000" w:themeColor="text1"/>
              </w:rPr>
              <w:t>1</w:t>
            </w:r>
          </w:p>
        </w:tc>
        <w:tc>
          <w:tcPr>
            <w:tcW w:w="2867" w:type="dxa"/>
            <w:gridSpan w:val="12"/>
            <w:shd w:val="clear" w:color="auto" w:fill="auto"/>
          </w:tcPr>
          <w:p w14:paraId="2BB14B20" w14:textId="3C4E78BC" w:rsidR="00D508F1" w:rsidRPr="00AF2F39" w:rsidRDefault="00D508F1" w:rsidP="00AF2F39">
            <w:pPr>
              <w:pStyle w:val="Nagwek2"/>
              <w:shd w:val="clear" w:color="auto" w:fill="FFFFFF"/>
              <w:spacing w:before="0" w:after="120"/>
              <w:jc w:val="center"/>
              <w:rPr>
                <w:rFonts w:ascii="Times New Roman" w:hAnsi="Times New Roman" w:cs="Times New Roman"/>
                <w:color w:val="000000"/>
                <w:sz w:val="22"/>
                <w:szCs w:val="22"/>
                <w:lang w:eastAsia="pl-PL"/>
              </w:rPr>
            </w:pPr>
            <w:r w:rsidRPr="00AF2F39">
              <w:rPr>
                <w:rFonts w:ascii="Times New Roman" w:hAnsi="Times New Roman" w:cs="Times New Roman"/>
                <w:color w:val="000000"/>
                <w:sz w:val="22"/>
                <w:szCs w:val="22"/>
              </w:rPr>
              <w:t>Ustawa z dnia 5 sierpnia 2015 r. o rozpatrywaniu reklamacji przez podmioty rynku finansowego, o Rzeczniku Finansowym i o Funduszu Edukacji Finansowej</w:t>
            </w:r>
          </w:p>
          <w:p w14:paraId="37EB46E7" w14:textId="77777777" w:rsidR="00D508F1" w:rsidRPr="00BD3072" w:rsidRDefault="00D508F1" w:rsidP="00BD3072">
            <w:pPr>
              <w:spacing w:line="240" w:lineRule="auto"/>
              <w:jc w:val="center"/>
              <w:rPr>
                <w:rFonts w:ascii="Times New Roman" w:hAnsi="Times New Roman"/>
              </w:rPr>
            </w:pPr>
          </w:p>
        </w:tc>
        <w:tc>
          <w:tcPr>
            <w:tcW w:w="2977" w:type="dxa"/>
            <w:gridSpan w:val="6"/>
            <w:shd w:val="clear" w:color="auto" w:fill="auto"/>
          </w:tcPr>
          <w:p w14:paraId="580BDD10" w14:textId="28092AD9" w:rsidR="00D508F1" w:rsidRPr="00BD3072" w:rsidRDefault="006F2163" w:rsidP="00BD3072">
            <w:pPr>
              <w:spacing w:after="120" w:line="240" w:lineRule="auto"/>
              <w:jc w:val="both"/>
              <w:rPr>
                <w:rFonts w:ascii="Times New Roman" w:hAnsi="Times New Roman"/>
                <w:color w:val="000000"/>
                <w:spacing w:val="-2"/>
              </w:rPr>
            </w:pPr>
            <w:r>
              <w:rPr>
                <w:rFonts w:ascii="Times New Roman" w:hAnsi="Times New Roman"/>
              </w:rPr>
              <w:t xml:space="preserve">W zakresie zmian </w:t>
            </w:r>
            <w:r w:rsidRPr="00125718">
              <w:rPr>
                <w:rFonts w:ascii="Times New Roman" w:hAnsi="Times New Roman"/>
              </w:rPr>
              <w:t>ustaw</w:t>
            </w:r>
            <w:r>
              <w:rPr>
                <w:rFonts w:ascii="Times New Roman" w:hAnsi="Times New Roman"/>
              </w:rPr>
              <w:t>y</w:t>
            </w:r>
            <w:r w:rsidRPr="00125718">
              <w:rPr>
                <w:rFonts w:ascii="Times New Roman" w:hAnsi="Times New Roman"/>
              </w:rPr>
              <w:t xml:space="preserve"> z dnia 5 sierpnia 2015 r. o rozpatrywaniu reklamacji przez podmioty rynku finansowego, o Rzeczniku Finansowym i o Funduszu Edukacji Finansowej</w:t>
            </w:r>
          </w:p>
        </w:tc>
      </w:tr>
      <w:tr w:rsidR="00D508F1" w:rsidRPr="008B4FE6" w14:paraId="0A497F7B" w14:textId="77777777" w:rsidTr="00D874B1">
        <w:trPr>
          <w:trHeight w:val="142"/>
        </w:trPr>
        <w:tc>
          <w:tcPr>
            <w:tcW w:w="2666" w:type="dxa"/>
            <w:gridSpan w:val="3"/>
            <w:shd w:val="clear" w:color="auto" w:fill="auto"/>
          </w:tcPr>
          <w:p w14:paraId="14A92F3D" w14:textId="78187338" w:rsidR="00D508F1" w:rsidRPr="00800DB2" w:rsidRDefault="00D508F1" w:rsidP="00BD3072">
            <w:pPr>
              <w:tabs>
                <w:tab w:val="right" w:pos="2311"/>
              </w:tabs>
              <w:spacing w:line="240" w:lineRule="auto"/>
              <w:jc w:val="both"/>
              <w:rPr>
                <w:rFonts w:ascii="Times New Roman" w:hAnsi="Times New Roman"/>
              </w:rPr>
            </w:pPr>
            <w:r w:rsidRPr="00800DB2">
              <w:rPr>
                <w:rFonts w:ascii="Times New Roman" w:hAnsi="Times New Roman"/>
                <w:color w:val="000000"/>
              </w:rPr>
              <w:t>Naukowa i Akademicka Sieć Komputerowa</w:t>
            </w:r>
            <w:r w:rsidR="00800DB2" w:rsidRPr="00800DB2">
              <w:rPr>
                <w:rFonts w:ascii="Times New Roman" w:hAnsi="Times New Roman"/>
                <w:color w:val="000000"/>
              </w:rPr>
              <w:t xml:space="preserve">- </w:t>
            </w:r>
            <w:r w:rsidRPr="00800DB2">
              <w:rPr>
                <w:rFonts w:ascii="Times New Roman" w:hAnsi="Times New Roman"/>
                <w:color w:val="000000"/>
              </w:rPr>
              <w:t xml:space="preserve"> </w:t>
            </w:r>
            <w:r w:rsidR="00800DB2" w:rsidRPr="00800DB2">
              <w:rPr>
                <w:rFonts w:ascii="Times New Roman" w:hAnsi="Times New Roman"/>
                <w:color w:val="000000"/>
              </w:rPr>
              <w:t>PIB, prowadząca</w:t>
            </w:r>
            <w:r w:rsidRPr="00800DB2">
              <w:rPr>
                <w:rFonts w:ascii="Times New Roman" w:hAnsi="Times New Roman"/>
                <w:color w:val="000000"/>
              </w:rPr>
              <w:t xml:space="preserve"> </w:t>
            </w:r>
            <w:r w:rsidR="003E4DD9" w:rsidRPr="00800DB2">
              <w:rPr>
                <w:rFonts w:ascii="Times New Roman" w:hAnsi="Times New Roman"/>
                <w:color w:val="000000"/>
              </w:rPr>
              <w:t xml:space="preserve">CSIRT NASK </w:t>
            </w:r>
          </w:p>
        </w:tc>
        <w:tc>
          <w:tcPr>
            <w:tcW w:w="2293" w:type="dxa"/>
            <w:gridSpan w:val="8"/>
            <w:shd w:val="clear" w:color="auto" w:fill="auto"/>
          </w:tcPr>
          <w:p w14:paraId="3985ED1C" w14:textId="70BD9A92" w:rsidR="00D508F1" w:rsidRDefault="003E4DD9" w:rsidP="00BD3072">
            <w:pPr>
              <w:spacing w:line="240" w:lineRule="auto"/>
              <w:jc w:val="center"/>
              <w:rPr>
                <w:rFonts w:ascii="Times New Roman" w:hAnsi="Times New Roman"/>
                <w:noProof/>
                <w:color w:val="000000" w:themeColor="text1"/>
              </w:rPr>
            </w:pPr>
            <w:r>
              <w:rPr>
                <w:rFonts w:ascii="Times New Roman" w:hAnsi="Times New Roman"/>
                <w:noProof/>
                <w:color w:val="000000" w:themeColor="text1"/>
              </w:rPr>
              <w:t>1</w:t>
            </w:r>
          </w:p>
        </w:tc>
        <w:tc>
          <w:tcPr>
            <w:tcW w:w="2867" w:type="dxa"/>
            <w:gridSpan w:val="12"/>
            <w:shd w:val="clear" w:color="auto" w:fill="auto"/>
          </w:tcPr>
          <w:p w14:paraId="61E61C9E" w14:textId="44CDA5C5" w:rsidR="00D508F1" w:rsidRPr="003E4DD9" w:rsidRDefault="003E4DD9" w:rsidP="00D508F1">
            <w:pPr>
              <w:pStyle w:val="Nagwek2"/>
              <w:shd w:val="clear" w:color="auto" w:fill="FFFFFF"/>
              <w:spacing w:before="0" w:after="120"/>
              <w:jc w:val="center"/>
              <w:rPr>
                <w:rFonts w:ascii="Times New Roman" w:hAnsi="Times New Roman" w:cs="Times New Roman"/>
                <w:color w:val="000000"/>
                <w:sz w:val="22"/>
                <w:szCs w:val="22"/>
              </w:rPr>
            </w:pPr>
            <w:r>
              <w:rPr>
                <w:rFonts w:ascii="Times New Roman" w:hAnsi="Times New Roman"/>
                <w:color w:val="auto"/>
                <w:spacing w:val="-2"/>
                <w:sz w:val="22"/>
                <w:szCs w:val="22"/>
              </w:rPr>
              <w:t>U</w:t>
            </w:r>
            <w:r w:rsidRPr="003E4DD9">
              <w:rPr>
                <w:rFonts w:ascii="Times New Roman" w:hAnsi="Times New Roman"/>
                <w:color w:val="auto"/>
                <w:spacing w:val="-2"/>
                <w:sz w:val="22"/>
                <w:szCs w:val="22"/>
              </w:rPr>
              <w:t xml:space="preserve">stawa </w:t>
            </w:r>
            <w:r w:rsidRPr="003E4DD9">
              <w:rPr>
                <w:rFonts w:ascii="Times New Roman" w:eastAsia="Times New Roman" w:hAnsi="Times New Roman" w:cs="Times New Roman"/>
                <w:color w:val="auto"/>
                <w:sz w:val="22"/>
                <w:szCs w:val="22"/>
              </w:rPr>
              <w:t>z dnia 5 lipca 2018 r. o krajowym systemie cyberbezpieczeństwa</w:t>
            </w:r>
          </w:p>
        </w:tc>
        <w:tc>
          <w:tcPr>
            <w:tcW w:w="2977" w:type="dxa"/>
            <w:gridSpan w:val="6"/>
            <w:shd w:val="clear" w:color="auto" w:fill="auto"/>
          </w:tcPr>
          <w:p w14:paraId="53E4C43F" w14:textId="654054B1" w:rsidR="00D508F1" w:rsidRPr="00BD3072" w:rsidRDefault="003E4DD9" w:rsidP="00BD3072">
            <w:pPr>
              <w:spacing w:after="120" w:line="240" w:lineRule="auto"/>
              <w:jc w:val="both"/>
              <w:rPr>
                <w:rFonts w:ascii="Times New Roman" w:hAnsi="Times New Roman"/>
                <w:color w:val="000000"/>
                <w:spacing w:val="-2"/>
              </w:rPr>
            </w:pPr>
            <w:r>
              <w:rPr>
                <w:rFonts w:ascii="Times New Roman" w:hAnsi="Times New Roman"/>
                <w:color w:val="000000"/>
                <w:spacing w:val="-2"/>
              </w:rPr>
              <w:t xml:space="preserve">Zadania wynikające ze zmian ustawy </w:t>
            </w:r>
            <w:r w:rsidRPr="00125718">
              <w:rPr>
                <w:rFonts w:ascii="Times New Roman" w:eastAsia="Times New Roman" w:hAnsi="Times New Roman"/>
              </w:rPr>
              <w:t>z dnia 5 lipca 2018 r. o krajowym systemie cyberbezpieczeństwa</w:t>
            </w:r>
          </w:p>
        </w:tc>
      </w:tr>
      <w:tr w:rsidR="003E4DD9" w:rsidRPr="008B4FE6" w14:paraId="715F6F9E" w14:textId="77777777" w:rsidTr="00D874B1">
        <w:trPr>
          <w:trHeight w:val="142"/>
        </w:trPr>
        <w:tc>
          <w:tcPr>
            <w:tcW w:w="2666" w:type="dxa"/>
            <w:gridSpan w:val="3"/>
            <w:shd w:val="clear" w:color="auto" w:fill="auto"/>
          </w:tcPr>
          <w:p w14:paraId="2B104BD0" w14:textId="7AC96C33" w:rsidR="003E4DD9" w:rsidRPr="00800DB2" w:rsidRDefault="003E4DD9" w:rsidP="00BD3072">
            <w:pPr>
              <w:tabs>
                <w:tab w:val="right" w:pos="2311"/>
              </w:tabs>
              <w:spacing w:line="240" w:lineRule="auto"/>
              <w:jc w:val="both"/>
              <w:rPr>
                <w:rFonts w:ascii="Times New Roman" w:hAnsi="Times New Roman"/>
                <w:color w:val="000000"/>
              </w:rPr>
            </w:pPr>
            <w:r w:rsidRPr="00800DB2">
              <w:rPr>
                <w:rFonts w:ascii="Times New Roman" w:hAnsi="Times New Roman"/>
                <w:color w:val="000000"/>
              </w:rPr>
              <w:t>Agencja Bezpieczeństwa Wewnętrznego</w:t>
            </w:r>
            <w:r w:rsidR="00800DB2" w:rsidRPr="00800DB2">
              <w:rPr>
                <w:rFonts w:ascii="Times New Roman" w:hAnsi="Times New Roman"/>
                <w:color w:val="000000"/>
              </w:rPr>
              <w:t xml:space="preserve">, prowadząca </w:t>
            </w:r>
            <w:r w:rsidRPr="00800DB2">
              <w:rPr>
                <w:rFonts w:ascii="Times New Roman" w:hAnsi="Times New Roman"/>
                <w:color w:val="000000"/>
              </w:rPr>
              <w:t>CSIRT GOV</w:t>
            </w:r>
          </w:p>
        </w:tc>
        <w:tc>
          <w:tcPr>
            <w:tcW w:w="2293" w:type="dxa"/>
            <w:gridSpan w:val="8"/>
            <w:shd w:val="clear" w:color="auto" w:fill="auto"/>
          </w:tcPr>
          <w:p w14:paraId="2B392EF9" w14:textId="34DFC89A" w:rsidR="003E4DD9" w:rsidRDefault="003E4DD9" w:rsidP="00BD3072">
            <w:pPr>
              <w:spacing w:line="240" w:lineRule="auto"/>
              <w:jc w:val="center"/>
              <w:rPr>
                <w:rFonts w:ascii="Times New Roman" w:hAnsi="Times New Roman"/>
                <w:noProof/>
                <w:color w:val="000000" w:themeColor="text1"/>
              </w:rPr>
            </w:pPr>
            <w:r>
              <w:rPr>
                <w:rFonts w:ascii="Times New Roman" w:hAnsi="Times New Roman"/>
                <w:noProof/>
                <w:color w:val="000000" w:themeColor="text1"/>
              </w:rPr>
              <w:t>1</w:t>
            </w:r>
          </w:p>
        </w:tc>
        <w:tc>
          <w:tcPr>
            <w:tcW w:w="2867" w:type="dxa"/>
            <w:gridSpan w:val="12"/>
            <w:shd w:val="clear" w:color="auto" w:fill="auto"/>
          </w:tcPr>
          <w:p w14:paraId="4BCBDA14" w14:textId="467C5A29" w:rsidR="003E4DD9" w:rsidRPr="00D508F1" w:rsidRDefault="00800DB2" w:rsidP="00D508F1">
            <w:pPr>
              <w:pStyle w:val="Nagwek2"/>
              <w:shd w:val="clear" w:color="auto" w:fill="FFFFFF"/>
              <w:spacing w:before="0" w:after="120"/>
              <w:jc w:val="center"/>
              <w:rPr>
                <w:rFonts w:ascii="Times New Roman" w:hAnsi="Times New Roman" w:cs="Times New Roman"/>
                <w:color w:val="000000"/>
                <w:sz w:val="22"/>
                <w:szCs w:val="22"/>
              </w:rPr>
            </w:pPr>
            <w:r>
              <w:rPr>
                <w:rFonts w:ascii="Times New Roman" w:hAnsi="Times New Roman"/>
                <w:color w:val="auto"/>
                <w:spacing w:val="-2"/>
                <w:sz w:val="22"/>
                <w:szCs w:val="22"/>
              </w:rPr>
              <w:t>U</w:t>
            </w:r>
            <w:r w:rsidRPr="003E4DD9">
              <w:rPr>
                <w:rFonts w:ascii="Times New Roman" w:hAnsi="Times New Roman"/>
                <w:color w:val="auto"/>
                <w:spacing w:val="-2"/>
                <w:sz w:val="22"/>
                <w:szCs w:val="22"/>
              </w:rPr>
              <w:t xml:space="preserve">stawa </w:t>
            </w:r>
            <w:r w:rsidRPr="003E4DD9">
              <w:rPr>
                <w:rFonts w:ascii="Times New Roman" w:eastAsia="Times New Roman" w:hAnsi="Times New Roman" w:cs="Times New Roman"/>
                <w:color w:val="auto"/>
                <w:sz w:val="22"/>
                <w:szCs w:val="22"/>
              </w:rPr>
              <w:t>z dnia 5 lipca 2018 r. o krajowym systemie cyberbezpieczeństwa</w:t>
            </w:r>
            <w:r w:rsidR="003E4DD9">
              <w:rPr>
                <w:rFonts w:ascii="Times New Roman" w:hAnsi="Times New Roman" w:cs="Times New Roman"/>
                <w:color w:val="000000"/>
                <w:sz w:val="22"/>
                <w:szCs w:val="22"/>
              </w:rPr>
              <w:t xml:space="preserve"> </w:t>
            </w:r>
          </w:p>
        </w:tc>
        <w:tc>
          <w:tcPr>
            <w:tcW w:w="2977" w:type="dxa"/>
            <w:gridSpan w:val="6"/>
            <w:shd w:val="clear" w:color="auto" w:fill="auto"/>
          </w:tcPr>
          <w:p w14:paraId="667A0003" w14:textId="40EAB021" w:rsidR="003E4DD9" w:rsidRDefault="00800DB2" w:rsidP="00BD3072">
            <w:pPr>
              <w:spacing w:after="120" w:line="240" w:lineRule="auto"/>
              <w:jc w:val="both"/>
              <w:rPr>
                <w:rFonts w:ascii="Times New Roman" w:hAnsi="Times New Roman"/>
                <w:color w:val="000000"/>
                <w:spacing w:val="-2"/>
              </w:rPr>
            </w:pPr>
            <w:r>
              <w:rPr>
                <w:rFonts w:ascii="Times New Roman" w:hAnsi="Times New Roman"/>
                <w:color w:val="000000"/>
                <w:spacing w:val="-2"/>
              </w:rPr>
              <w:t xml:space="preserve">Zadania wynikające ze zmian ustawy </w:t>
            </w:r>
            <w:r w:rsidRPr="00125718">
              <w:rPr>
                <w:rFonts w:ascii="Times New Roman" w:eastAsia="Times New Roman" w:hAnsi="Times New Roman"/>
              </w:rPr>
              <w:t>z dnia 5 lipca 2018 r. o krajowym systemie cyberbezpieczeństwa</w:t>
            </w:r>
            <w:r w:rsidR="003E4DD9">
              <w:rPr>
                <w:rFonts w:ascii="Times New Roman" w:hAnsi="Times New Roman"/>
                <w:color w:val="000000"/>
                <w:spacing w:val="-2"/>
              </w:rPr>
              <w:t xml:space="preserve"> </w:t>
            </w:r>
          </w:p>
        </w:tc>
      </w:tr>
      <w:tr w:rsidR="003E4DD9" w:rsidRPr="008B4FE6" w14:paraId="58F8F7E0" w14:textId="77777777" w:rsidTr="00D874B1">
        <w:trPr>
          <w:trHeight w:val="142"/>
        </w:trPr>
        <w:tc>
          <w:tcPr>
            <w:tcW w:w="2666" w:type="dxa"/>
            <w:gridSpan w:val="3"/>
            <w:shd w:val="clear" w:color="auto" w:fill="auto"/>
          </w:tcPr>
          <w:p w14:paraId="03DAADC1" w14:textId="563856C1" w:rsidR="003E4DD9" w:rsidRPr="00800DB2" w:rsidRDefault="003E4DD9" w:rsidP="00BD3072">
            <w:pPr>
              <w:tabs>
                <w:tab w:val="right" w:pos="2311"/>
              </w:tabs>
              <w:spacing w:line="240" w:lineRule="auto"/>
              <w:jc w:val="both"/>
              <w:rPr>
                <w:rFonts w:ascii="Times New Roman" w:hAnsi="Times New Roman"/>
                <w:color w:val="000000"/>
              </w:rPr>
            </w:pPr>
            <w:r w:rsidRPr="00800DB2">
              <w:rPr>
                <w:rFonts w:ascii="Times New Roman" w:hAnsi="Times New Roman"/>
                <w:color w:val="000000"/>
              </w:rPr>
              <w:t>Minister Obrony Narodowej</w:t>
            </w:r>
            <w:r w:rsidR="00800DB2" w:rsidRPr="00800DB2">
              <w:rPr>
                <w:rFonts w:ascii="Times New Roman" w:hAnsi="Times New Roman"/>
                <w:color w:val="000000"/>
              </w:rPr>
              <w:t>, prowadzący</w:t>
            </w:r>
            <w:r w:rsidRPr="00800DB2">
              <w:rPr>
                <w:rFonts w:ascii="Times New Roman" w:hAnsi="Times New Roman"/>
                <w:color w:val="000000"/>
              </w:rPr>
              <w:t xml:space="preserve"> CSIRT MON</w:t>
            </w:r>
          </w:p>
        </w:tc>
        <w:tc>
          <w:tcPr>
            <w:tcW w:w="2293" w:type="dxa"/>
            <w:gridSpan w:val="8"/>
            <w:shd w:val="clear" w:color="auto" w:fill="auto"/>
          </w:tcPr>
          <w:p w14:paraId="77487C08" w14:textId="37B8F315" w:rsidR="003E4DD9" w:rsidRDefault="003E4DD9" w:rsidP="00BD3072">
            <w:pPr>
              <w:spacing w:line="240" w:lineRule="auto"/>
              <w:jc w:val="center"/>
              <w:rPr>
                <w:rFonts w:ascii="Times New Roman" w:hAnsi="Times New Roman"/>
                <w:noProof/>
                <w:color w:val="000000" w:themeColor="text1"/>
              </w:rPr>
            </w:pPr>
            <w:r>
              <w:rPr>
                <w:rFonts w:ascii="Times New Roman" w:hAnsi="Times New Roman"/>
                <w:noProof/>
                <w:color w:val="000000" w:themeColor="text1"/>
              </w:rPr>
              <w:t>1</w:t>
            </w:r>
          </w:p>
        </w:tc>
        <w:tc>
          <w:tcPr>
            <w:tcW w:w="2867" w:type="dxa"/>
            <w:gridSpan w:val="12"/>
            <w:shd w:val="clear" w:color="auto" w:fill="auto"/>
          </w:tcPr>
          <w:p w14:paraId="32CB4494" w14:textId="0FE621D1" w:rsidR="003E4DD9" w:rsidRPr="00D508F1" w:rsidRDefault="00800DB2" w:rsidP="00D508F1">
            <w:pPr>
              <w:pStyle w:val="Nagwek2"/>
              <w:shd w:val="clear" w:color="auto" w:fill="FFFFFF"/>
              <w:spacing w:before="0" w:after="120"/>
              <w:jc w:val="center"/>
              <w:rPr>
                <w:rFonts w:ascii="Times New Roman" w:hAnsi="Times New Roman" w:cs="Times New Roman"/>
                <w:color w:val="000000"/>
                <w:sz w:val="22"/>
                <w:szCs w:val="22"/>
              </w:rPr>
            </w:pPr>
            <w:r>
              <w:rPr>
                <w:rFonts w:ascii="Times New Roman" w:hAnsi="Times New Roman"/>
                <w:color w:val="auto"/>
                <w:spacing w:val="-2"/>
                <w:sz w:val="22"/>
                <w:szCs w:val="22"/>
              </w:rPr>
              <w:t>U</w:t>
            </w:r>
            <w:r w:rsidRPr="003E4DD9">
              <w:rPr>
                <w:rFonts w:ascii="Times New Roman" w:hAnsi="Times New Roman"/>
                <w:color w:val="auto"/>
                <w:spacing w:val="-2"/>
                <w:sz w:val="22"/>
                <w:szCs w:val="22"/>
              </w:rPr>
              <w:t xml:space="preserve">stawa </w:t>
            </w:r>
            <w:r w:rsidRPr="003E4DD9">
              <w:rPr>
                <w:rFonts w:ascii="Times New Roman" w:eastAsia="Times New Roman" w:hAnsi="Times New Roman" w:cs="Times New Roman"/>
                <w:color w:val="auto"/>
                <w:sz w:val="22"/>
                <w:szCs w:val="22"/>
              </w:rPr>
              <w:t>z dnia 5 lipca 2018 r. o krajowym systemie cyberbezpieczeństwa</w:t>
            </w:r>
            <w:r w:rsidR="003E4DD9">
              <w:rPr>
                <w:rFonts w:ascii="Times New Roman" w:hAnsi="Times New Roman" w:cs="Times New Roman"/>
                <w:color w:val="000000"/>
                <w:sz w:val="22"/>
                <w:szCs w:val="22"/>
              </w:rPr>
              <w:t xml:space="preserve"> </w:t>
            </w:r>
          </w:p>
        </w:tc>
        <w:tc>
          <w:tcPr>
            <w:tcW w:w="2977" w:type="dxa"/>
            <w:gridSpan w:val="6"/>
            <w:shd w:val="clear" w:color="auto" w:fill="auto"/>
          </w:tcPr>
          <w:p w14:paraId="3B12BD67" w14:textId="1DFCE817" w:rsidR="003E4DD9" w:rsidRDefault="00800DB2" w:rsidP="00BD3072">
            <w:pPr>
              <w:spacing w:after="120" w:line="240" w:lineRule="auto"/>
              <w:jc w:val="both"/>
              <w:rPr>
                <w:rFonts w:ascii="Times New Roman" w:hAnsi="Times New Roman"/>
                <w:color w:val="000000"/>
                <w:spacing w:val="-2"/>
              </w:rPr>
            </w:pPr>
            <w:r>
              <w:rPr>
                <w:rFonts w:ascii="Times New Roman" w:hAnsi="Times New Roman"/>
                <w:color w:val="000000"/>
                <w:spacing w:val="-2"/>
              </w:rPr>
              <w:t xml:space="preserve">Zadania wynikające ze zmian ustawy </w:t>
            </w:r>
            <w:r w:rsidRPr="00125718">
              <w:rPr>
                <w:rFonts w:ascii="Times New Roman" w:eastAsia="Times New Roman" w:hAnsi="Times New Roman"/>
              </w:rPr>
              <w:t>z dnia 5 lipca 2018 r. o krajowym systemie cyberbezpieczeństwa</w:t>
            </w:r>
          </w:p>
        </w:tc>
      </w:tr>
      <w:tr w:rsidR="00556729" w:rsidRPr="008B4FE6" w14:paraId="46BD9A2B" w14:textId="77777777" w:rsidTr="00D874B1">
        <w:trPr>
          <w:trHeight w:val="142"/>
        </w:trPr>
        <w:tc>
          <w:tcPr>
            <w:tcW w:w="2666" w:type="dxa"/>
            <w:gridSpan w:val="3"/>
            <w:shd w:val="clear" w:color="auto" w:fill="auto"/>
          </w:tcPr>
          <w:p w14:paraId="5B011B65" w14:textId="0CE16F14" w:rsidR="00556729" w:rsidRPr="00BD3072" w:rsidRDefault="00556729" w:rsidP="00BD3072">
            <w:pPr>
              <w:tabs>
                <w:tab w:val="right" w:pos="2311"/>
              </w:tabs>
              <w:spacing w:line="240" w:lineRule="auto"/>
              <w:jc w:val="both"/>
              <w:rPr>
                <w:rFonts w:ascii="Times New Roman" w:hAnsi="Times New Roman"/>
                <w:color w:val="000000"/>
              </w:rPr>
            </w:pPr>
          </w:p>
          <w:p w14:paraId="28F9E02B" w14:textId="68027A56" w:rsidR="00F5178D" w:rsidRPr="00BD3072" w:rsidRDefault="00F5178D" w:rsidP="00BD3072">
            <w:pPr>
              <w:tabs>
                <w:tab w:val="right" w:pos="2311"/>
              </w:tabs>
              <w:spacing w:line="240" w:lineRule="auto"/>
              <w:jc w:val="both"/>
              <w:rPr>
                <w:rFonts w:ascii="Times New Roman" w:hAnsi="Times New Roman"/>
              </w:rPr>
            </w:pPr>
            <w:r w:rsidRPr="00BD3072">
              <w:rPr>
                <w:rFonts w:ascii="Times New Roman" w:hAnsi="Times New Roman"/>
                <w:color w:val="000000"/>
              </w:rPr>
              <w:t>Zewnętrzni dostawcy usług ICT</w:t>
            </w:r>
          </w:p>
        </w:tc>
        <w:tc>
          <w:tcPr>
            <w:tcW w:w="2293" w:type="dxa"/>
            <w:gridSpan w:val="8"/>
            <w:shd w:val="clear" w:color="auto" w:fill="auto"/>
          </w:tcPr>
          <w:p w14:paraId="6EAED900" w14:textId="77777777" w:rsidR="00125718" w:rsidRPr="00BD3072" w:rsidRDefault="00125718" w:rsidP="00BD3072">
            <w:pPr>
              <w:spacing w:line="240" w:lineRule="auto"/>
              <w:rPr>
                <w:rFonts w:ascii="Times New Roman" w:hAnsi="Times New Roman"/>
                <w:color w:val="000000"/>
              </w:rPr>
            </w:pPr>
          </w:p>
          <w:p w14:paraId="151993F0" w14:textId="73B12A40" w:rsidR="00556729" w:rsidRPr="00BD3072" w:rsidRDefault="00556729" w:rsidP="00BD3072">
            <w:pPr>
              <w:spacing w:line="240" w:lineRule="auto"/>
              <w:rPr>
                <w:rFonts w:ascii="Times New Roman" w:hAnsi="Times New Roman"/>
                <w:color w:val="000000"/>
              </w:rPr>
            </w:pPr>
            <w:r w:rsidRPr="00BD3072">
              <w:rPr>
                <w:rFonts w:ascii="Times New Roman" w:hAnsi="Times New Roman"/>
                <w:color w:val="000000"/>
              </w:rPr>
              <w:t xml:space="preserve">co najmniej </w:t>
            </w:r>
            <w:r w:rsidR="00F5178D" w:rsidRPr="00BD3072">
              <w:rPr>
                <w:rFonts w:ascii="Times New Roman" w:hAnsi="Times New Roman"/>
                <w:color w:val="000000"/>
              </w:rPr>
              <w:t>35</w:t>
            </w:r>
          </w:p>
          <w:p w14:paraId="114D0827" w14:textId="77777777" w:rsidR="00556729" w:rsidRPr="00BD3072" w:rsidRDefault="00556729" w:rsidP="00BD3072">
            <w:pPr>
              <w:spacing w:line="240" w:lineRule="auto"/>
              <w:jc w:val="center"/>
              <w:rPr>
                <w:rFonts w:ascii="Times New Roman" w:hAnsi="Times New Roman"/>
                <w:noProof/>
                <w:color w:val="000000" w:themeColor="text1"/>
                <w:highlight w:val="yellow"/>
              </w:rPr>
            </w:pPr>
          </w:p>
        </w:tc>
        <w:tc>
          <w:tcPr>
            <w:tcW w:w="2867" w:type="dxa"/>
            <w:gridSpan w:val="12"/>
            <w:shd w:val="clear" w:color="auto" w:fill="auto"/>
          </w:tcPr>
          <w:p w14:paraId="533E68DA" w14:textId="77777777" w:rsidR="00556729" w:rsidRPr="00BD3072" w:rsidRDefault="00556729" w:rsidP="00BD3072">
            <w:pPr>
              <w:spacing w:line="240" w:lineRule="auto"/>
              <w:jc w:val="center"/>
              <w:rPr>
                <w:rFonts w:ascii="Times New Roman" w:hAnsi="Times New Roman"/>
                <w:noProof/>
                <w:color w:val="000000" w:themeColor="text1"/>
                <w:highlight w:val="yellow"/>
                <w:u w:val="single"/>
              </w:rPr>
            </w:pPr>
            <w:r w:rsidRPr="00BD3072">
              <w:rPr>
                <w:rFonts w:ascii="Times New Roman" w:hAnsi="Times New Roman"/>
                <w:color w:val="000000"/>
              </w:rPr>
              <w:t>Szacunki oparte na analizie informacji rynkowych</w:t>
            </w:r>
          </w:p>
        </w:tc>
        <w:tc>
          <w:tcPr>
            <w:tcW w:w="2977" w:type="dxa"/>
            <w:gridSpan w:val="6"/>
            <w:shd w:val="clear" w:color="auto" w:fill="auto"/>
          </w:tcPr>
          <w:p w14:paraId="1C49653D" w14:textId="76BFE325" w:rsidR="00F5178D" w:rsidRPr="00BD3072" w:rsidRDefault="00F5178D" w:rsidP="00BD3072">
            <w:pPr>
              <w:spacing w:after="120" w:line="240" w:lineRule="auto"/>
              <w:jc w:val="both"/>
              <w:rPr>
                <w:rStyle w:val="Odwoaniedokomentarza"/>
                <w:rFonts w:ascii="Times New Roman" w:hAnsi="Times New Roman"/>
                <w:sz w:val="22"/>
                <w:szCs w:val="22"/>
              </w:rPr>
            </w:pPr>
            <w:r w:rsidRPr="00BD3072">
              <w:rPr>
                <w:rStyle w:val="Odwoaniedokomentarza"/>
                <w:rFonts w:ascii="Times New Roman" w:hAnsi="Times New Roman"/>
                <w:sz w:val="22"/>
                <w:szCs w:val="22"/>
              </w:rPr>
              <w:t xml:space="preserve">Projektowana regulacja będzie oddziaływać na zewnętrznych dostawców usług ICT pośrednio, przede wszystkim z uwagi na wprowadzenie podstawy prawnej do wydania przez </w:t>
            </w:r>
            <w:r w:rsidRPr="00BD3072">
              <w:rPr>
                <w:rFonts w:ascii="Times New Roman" w:hAnsi="Times New Roman"/>
              </w:rPr>
              <w:t xml:space="preserve">KNF decyzji, o której mowa w art. 42 ust. 6 rozporządzenia 2022/2554, </w:t>
            </w:r>
            <w:r w:rsidRPr="00BD3072">
              <w:rPr>
                <w:rFonts w:ascii="Times New Roman" w:hAnsi="Times New Roman"/>
                <w:color w:val="000000"/>
                <w:shd w:val="clear" w:color="auto" w:fill="FFFFFF"/>
              </w:rPr>
              <w:t xml:space="preserve">nakazującej, pod warunkiem wyczerpania procedury konsultacji, o której mowa w art. 42 ust. 4 i 5, która może nakazać podmiotom finansowym, tymczasowe zawieszenie, w części albo w całości, korzystania z usługi świadczonej przez kluczowego zewnętrznego dostawcę usług ICT lub jej wdrażania do czasu wyeliminowania ryzyka zidentyfikowanego w zaleceniach skierowanych do </w:t>
            </w:r>
            <w:r w:rsidRPr="00BD3072">
              <w:rPr>
                <w:rFonts w:ascii="Times New Roman" w:hAnsi="Times New Roman"/>
                <w:color w:val="000000"/>
                <w:shd w:val="clear" w:color="auto" w:fill="FFFFFF"/>
              </w:rPr>
              <w:lastRenderedPageBreak/>
              <w:t>kluczowych zewnętrznych dostawców usług ICT, a także, w razie potrzeby, nakazania podmiotom finansowym, wypowiedzenia, w części lub w całości, stosownych ustaleń umownych zawartych z kluczowymi zewnętrznymi dostawcami usług ICT.</w:t>
            </w:r>
          </w:p>
        </w:tc>
      </w:tr>
      <w:tr w:rsidR="008B1B9D" w:rsidRPr="008B4FE6" w14:paraId="341B9727" w14:textId="77777777" w:rsidTr="00F61CC9">
        <w:trPr>
          <w:trHeight w:val="302"/>
        </w:trPr>
        <w:tc>
          <w:tcPr>
            <w:tcW w:w="10803" w:type="dxa"/>
            <w:gridSpan w:val="29"/>
            <w:shd w:val="clear" w:color="auto" w:fill="99CCFF"/>
            <w:vAlign w:val="center"/>
          </w:tcPr>
          <w:p w14:paraId="784CC482" w14:textId="77777777" w:rsidR="008B1B9D" w:rsidRPr="00363A67" w:rsidRDefault="008B1B9D" w:rsidP="008B1B9D">
            <w:pPr>
              <w:numPr>
                <w:ilvl w:val="0"/>
                <w:numId w:val="3"/>
              </w:numPr>
              <w:spacing w:before="60" w:after="60" w:line="240" w:lineRule="auto"/>
              <w:ind w:left="318" w:hanging="284"/>
              <w:jc w:val="both"/>
              <w:rPr>
                <w:rFonts w:ascii="Times New Roman" w:hAnsi="Times New Roman"/>
                <w:b/>
                <w:color w:val="000000"/>
              </w:rPr>
            </w:pPr>
            <w:r w:rsidRPr="00363A67">
              <w:rPr>
                <w:rFonts w:ascii="Times New Roman" w:hAnsi="Times New Roman"/>
                <w:b/>
                <w:color w:val="000000"/>
              </w:rPr>
              <w:lastRenderedPageBreak/>
              <w:t>Informacje na temat zakresu, czasu trwania i podsumowanie wyników konsultacji</w:t>
            </w:r>
          </w:p>
        </w:tc>
      </w:tr>
      <w:tr w:rsidR="008B1B9D" w:rsidRPr="008B4FE6" w14:paraId="280C5B8A" w14:textId="77777777" w:rsidTr="00F61CC9">
        <w:trPr>
          <w:trHeight w:val="342"/>
        </w:trPr>
        <w:tc>
          <w:tcPr>
            <w:tcW w:w="10803" w:type="dxa"/>
            <w:gridSpan w:val="29"/>
            <w:shd w:val="clear" w:color="auto" w:fill="FFFFFF"/>
          </w:tcPr>
          <w:p w14:paraId="545A8C11" w14:textId="77777777" w:rsidR="008B1B9D" w:rsidRDefault="003F5FBF" w:rsidP="00340BC2">
            <w:pPr>
              <w:widowControl w:val="0"/>
              <w:autoSpaceDE w:val="0"/>
              <w:autoSpaceDN w:val="0"/>
              <w:adjustRightInd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P</w:t>
            </w:r>
            <w:r w:rsidR="008B1B9D" w:rsidRPr="00D3492C">
              <w:rPr>
                <w:rFonts w:ascii="Times New Roman" w:eastAsia="Times New Roman" w:hAnsi="Times New Roman"/>
                <w:lang w:eastAsia="pl-PL"/>
              </w:rPr>
              <w:t>rzeprowadzono konsultacj</w:t>
            </w:r>
            <w:r>
              <w:rPr>
                <w:rFonts w:ascii="Times New Roman" w:eastAsia="Times New Roman" w:hAnsi="Times New Roman"/>
                <w:lang w:eastAsia="pl-PL"/>
              </w:rPr>
              <w:t>e robocze z UKNF i</w:t>
            </w:r>
            <w:r w:rsidR="00340BC2">
              <w:rPr>
                <w:rFonts w:ascii="Times New Roman" w:eastAsia="Times New Roman" w:hAnsi="Times New Roman"/>
                <w:lang w:eastAsia="pl-PL"/>
              </w:rPr>
              <w:t xml:space="preserve"> MC nt. sposobu zapewnienia stosowania przepisów unijnych (rozporządzenia i dyrektywy) dot. </w:t>
            </w:r>
            <w:r w:rsidR="00340BC2" w:rsidRPr="00340BC2">
              <w:rPr>
                <w:rFonts w:ascii="Times New Roman" w:eastAsia="Times New Roman" w:hAnsi="Times New Roman"/>
                <w:lang w:eastAsia="pl-PL"/>
              </w:rPr>
              <w:t>operacyjnej odporności cyfrowej sektora finansowego</w:t>
            </w:r>
            <w:r>
              <w:rPr>
                <w:rFonts w:ascii="Times New Roman" w:eastAsia="Times New Roman" w:hAnsi="Times New Roman"/>
                <w:lang w:eastAsia="pl-PL"/>
              </w:rPr>
              <w:t xml:space="preserve">. </w:t>
            </w:r>
            <w:r w:rsidR="008B1B9D" w:rsidRPr="00D3492C">
              <w:rPr>
                <w:rFonts w:ascii="Times New Roman" w:eastAsia="Times New Roman" w:hAnsi="Times New Roman"/>
                <w:lang w:eastAsia="pl-PL"/>
              </w:rPr>
              <w:t xml:space="preserve"> </w:t>
            </w:r>
          </w:p>
          <w:p w14:paraId="21828A9D" w14:textId="52477485" w:rsidR="00AA391C" w:rsidRPr="00D35431" w:rsidRDefault="00CA767C" w:rsidP="00CA767C">
            <w:pPr>
              <w:pStyle w:val="Tekstpodstawowy2"/>
              <w:spacing w:line="240" w:lineRule="auto"/>
              <w:jc w:val="both"/>
              <w:rPr>
                <w:rFonts w:ascii="Times New Roman" w:eastAsia="Times New Roman" w:hAnsi="Times New Roman"/>
                <w:lang w:eastAsia="pl-PL"/>
              </w:rPr>
            </w:pPr>
            <w:r w:rsidRPr="00D3492C">
              <w:rPr>
                <w:rFonts w:ascii="Times New Roman" w:eastAsia="Times New Roman" w:hAnsi="Times New Roman"/>
                <w:lang w:eastAsia="pl-PL"/>
              </w:rPr>
              <w:t xml:space="preserve">W ramach konsultacji publicznych i opiniowania projekt ustawy </w:t>
            </w:r>
            <w:r>
              <w:rPr>
                <w:rFonts w:ascii="Times New Roman" w:eastAsia="Times New Roman" w:hAnsi="Times New Roman"/>
                <w:lang w:eastAsia="pl-PL"/>
              </w:rPr>
              <w:t xml:space="preserve">zostanie </w:t>
            </w:r>
            <w:r w:rsidRPr="00D3492C">
              <w:rPr>
                <w:rFonts w:ascii="Times New Roman" w:eastAsia="Times New Roman" w:hAnsi="Times New Roman"/>
                <w:lang w:eastAsia="pl-PL"/>
              </w:rPr>
              <w:t xml:space="preserve">przekazany </w:t>
            </w:r>
            <w:r w:rsidRPr="00D3492C">
              <w:rPr>
                <w:rFonts w:ascii="Times New Roman" w:hAnsi="Times New Roman"/>
              </w:rPr>
              <w:t xml:space="preserve">Urzędowi Ochrony Konkurencji i Konsumentów, Urzędowi Komisji Nadzoru Finansowego, Polskiej Agencji Nadzoru Audytowego, Bankowemu Funduszowi Gwarancyjnemu, Narodowemu Bankowi Polskiemu, Rzecznikowi Praw Obywatelskich, Rzecznikowi Finansowemu, Rzecznikowi Małych i Średnich Przedsiębiorców, Głównemu Urzędowi Statystycznemu, Prokuratorii Generalnej Rzeczypospolitej Polskiej, Urzędowi Ochrony Danych Osobowych, Urzędowi Zamówień Publicznych, Urzędowi Regulacji Energetyki, Narodowemu Bankowymi Polskiemu, Ubezpieczeniowemu Funduszowi Gwarancyjnemu, Polskiemu Funduszowi Rozwoju S.A., Polskiemu Biuru Ubezpieczycieli Komunikacyjnych, Polskiej Izbie Ubezpieczeń, Stowarzyszeniu Polskich Brokerów Ubezpieczeniowych i Reasekuracyjnych, Polskiej Izbie Brokerów Ubezpieczeniowych i Reasekuracyjnych, Polskiej Izbie Pośredników Ubezpieczeniowych i Reasekuracyjnych, Polskiemu Stowarzyszeniu Aktuariuszy, Związkowi Banków Polskich, Krajowemu Związkowi Banków Spółdzielczych, Krajowej Spółdzielczej Kasie Oszczędnościowo-Kredytowej, Izbie Gospodarczej Towarzystw Emerytalnych, Polskiej Izbie Biegłych Rewidentów, Radzie Banków Depozytariuszy, Krajowemu Depozytowi Papierów Wartościowych S.A., Giełdzie Papierów Wartościowych S.A., Izbie Domów Maklerskich, Izbie Zarządzających Funduszami i Aktywami,  Stowarzyszeniu Emitentów Giełdowych, BondSpot S.A., Stowarzyszeniu Compliance Polska, Towarowej Giełdzie Energii S.A., Związkowi Przedsiębiorstw Finansowych w Polsce, Stowarzyszeniu Inwestorów Indywidulanych, Związkowi Maklerów i Doradców, Stowarzyszeniu Inwestorów Kapitałowych, Stowarzyszeniu CFA Society Poland, Stowarzyszeniu Rynków Finansowych ACI Polska, Fundacji Polskiego Instytutu Dyrektorów, Fundacji Rozwoju Obrotu Bezgotówkowego, Polskiej Organizacji Niebankowych Instytucji Płatniczych oraz Polskiej Izbie Informatyki i Telekomunikacji. </w:t>
            </w:r>
          </w:p>
        </w:tc>
      </w:tr>
      <w:tr w:rsidR="008B1B9D" w:rsidRPr="008B4FE6" w14:paraId="62FF8626" w14:textId="77777777" w:rsidTr="00F61CC9">
        <w:trPr>
          <w:trHeight w:val="363"/>
        </w:trPr>
        <w:tc>
          <w:tcPr>
            <w:tcW w:w="10803" w:type="dxa"/>
            <w:gridSpan w:val="29"/>
            <w:shd w:val="clear" w:color="auto" w:fill="99CCFF"/>
            <w:vAlign w:val="center"/>
          </w:tcPr>
          <w:p w14:paraId="7D2080F1" w14:textId="77777777" w:rsidR="008B1B9D" w:rsidRPr="008B4FE6" w:rsidRDefault="008B1B9D" w:rsidP="008B1B9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8B1B9D" w:rsidRPr="008B4FE6" w14:paraId="7B9668A5" w14:textId="77777777" w:rsidTr="00F61CC9">
        <w:trPr>
          <w:trHeight w:val="142"/>
        </w:trPr>
        <w:tc>
          <w:tcPr>
            <w:tcW w:w="3131" w:type="dxa"/>
            <w:gridSpan w:val="4"/>
            <w:vMerge w:val="restart"/>
            <w:shd w:val="clear" w:color="auto" w:fill="FFFFFF"/>
          </w:tcPr>
          <w:p w14:paraId="7FCA4F85" w14:textId="77777777" w:rsidR="008B1B9D" w:rsidRPr="00C53F26" w:rsidRDefault="008B1B9D" w:rsidP="008B1B9D">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672" w:type="dxa"/>
            <w:gridSpan w:val="25"/>
            <w:shd w:val="clear" w:color="auto" w:fill="FFFFFF"/>
          </w:tcPr>
          <w:p w14:paraId="0F599ADA" w14:textId="77777777" w:rsidR="008B1B9D" w:rsidRPr="00C53F26" w:rsidRDefault="008B1B9D" w:rsidP="008B1B9D">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8B1B9D" w:rsidRPr="008B4FE6" w14:paraId="37A4520A" w14:textId="77777777" w:rsidTr="00F61CC9">
        <w:trPr>
          <w:trHeight w:val="142"/>
        </w:trPr>
        <w:tc>
          <w:tcPr>
            <w:tcW w:w="3131" w:type="dxa"/>
            <w:gridSpan w:val="4"/>
            <w:vMerge/>
            <w:shd w:val="clear" w:color="auto" w:fill="FFFFFF"/>
          </w:tcPr>
          <w:p w14:paraId="54397EC5" w14:textId="77777777" w:rsidR="008B1B9D" w:rsidRPr="00C53F26" w:rsidRDefault="008B1B9D" w:rsidP="008B1B9D">
            <w:pPr>
              <w:spacing w:before="40" w:after="40" w:line="240" w:lineRule="auto"/>
              <w:rPr>
                <w:rFonts w:ascii="Times New Roman" w:hAnsi="Times New Roman"/>
                <w:i/>
                <w:color w:val="000000"/>
                <w:sz w:val="21"/>
                <w:szCs w:val="21"/>
              </w:rPr>
            </w:pPr>
          </w:p>
        </w:tc>
        <w:tc>
          <w:tcPr>
            <w:tcW w:w="569" w:type="dxa"/>
            <w:gridSpan w:val="2"/>
            <w:shd w:val="clear" w:color="auto" w:fill="FFFFFF"/>
          </w:tcPr>
          <w:p w14:paraId="3CC13D1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5C512F96"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19B68FB"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21736B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3F9A893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268E8CB9"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5B96036"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73ACCAA3"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6E6B2F2"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B6BBEC4"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0F82184F"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405" w:type="dxa"/>
            <w:gridSpan w:val="2"/>
            <w:shd w:val="clear" w:color="auto" w:fill="FFFFFF"/>
          </w:tcPr>
          <w:p w14:paraId="0CEB3D88" w14:textId="77777777" w:rsidR="008B1B9D" w:rsidRPr="00C53F26" w:rsidRDefault="008B1B9D" w:rsidP="008B1B9D">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8B1B9D" w:rsidRPr="008B4FE6" w14:paraId="215BEC1F" w14:textId="77777777" w:rsidTr="00F61CC9">
        <w:trPr>
          <w:trHeight w:val="321"/>
        </w:trPr>
        <w:tc>
          <w:tcPr>
            <w:tcW w:w="3131" w:type="dxa"/>
            <w:gridSpan w:val="4"/>
            <w:shd w:val="clear" w:color="auto" w:fill="FFFFFF"/>
            <w:vAlign w:val="center"/>
          </w:tcPr>
          <w:p w14:paraId="35EC15FC"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D1441E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3147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93107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2EB85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05C9CF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BFD932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A02581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6F9606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F48CF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BD18EA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15AF7E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69E56B8D" w14:textId="77777777" w:rsidR="008B1B9D" w:rsidRPr="00B37C80"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8B1B9D" w:rsidRPr="008B4FE6" w14:paraId="5B8BB352" w14:textId="77777777" w:rsidTr="00F61CC9">
        <w:trPr>
          <w:trHeight w:val="321"/>
        </w:trPr>
        <w:tc>
          <w:tcPr>
            <w:tcW w:w="3131" w:type="dxa"/>
            <w:gridSpan w:val="4"/>
            <w:shd w:val="clear" w:color="auto" w:fill="FFFFFF"/>
            <w:vAlign w:val="center"/>
          </w:tcPr>
          <w:p w14:paraId="5E7E2A51"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92A431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5C7EC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87885B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2AD924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D1390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085CB3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7D0BDD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0FACE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6A1FC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51A55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B405C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4F2BBA02" w14:textId="77777777" w:rsidR="008B1B9D" w:rsidRPr="00B37C80"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8B1B9D" w:rsidRPr="008B4FE6" w14:paraId="41DB084D" w14:textId="77777777" w:rsidTr="00322E25">
        <w:trPr>
          <w:trHeight w:val="344"/>
        </w:trPr>
        <w:tc>
          <w:tcPr>
            <w:tcW w:w="3131" w:type="dxa"/>
            <w:gridSpan w:val="4"/>
            <w:shd w:val="clear" w:color="auto" w:fill="FFFFFF"/>
            <w:vAlign w:val="center"/>
          </w:tcPr>
          <w:p w14:paraId="196B2D67"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FB98F6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BE30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4D703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0D803C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16539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591C7A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tcBorders>
              <w:bottom w:val="single" w:sz="4" w:space="0" w:color="auto"/>
            </w:tcBorders>
            <w:shd w:val="clear" w:color="auto" w:fill="FFFFFF"/>
          </w:tcPr>
          <w:p w14:paraId="74A659C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CEA24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342AD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5BC0D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5029A7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1FEC288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F46F794" w14:textId="77777777" w:rsidTr="00F61CC9">
        <w:trPr>
          <w:trHeight w:val="344"/>
        </w:trPr>
        <w:tc>
          <w:tcPr>
            <w:tcW w:w="3131" w:type="dxa"/>
            <w:gridSpan w:val="4"/>
            <w:shd w:val="clear" w:color="auto" w:fill="FFFFFF"/>
            <w:vAlign w:val="center"/>
          </w:tcPr>
          <w:p w14:paraId="0ADA3C3B"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145572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2C99E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1A0C9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060C6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B0F1E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E3D9FA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D21ECD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9877F3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27768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FA2ED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AE4EC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1B42085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03F3C788" w14:textId="77777777" w:rsidTr="00F61CC9">
        <w:trPr>
          <w:trHeight w:val="330"/>
        </w:trPr>
        <w:tc>
          <w:tcPr>
            <w:tcW w:w="3131" w:type="dxa"/>
            <w:gridSpan w:val="4"/>
            <w:shd w:val="clear" w:color="auto" w:fill="FFFFFF"/>
            <w:vAlign w:val="center"/>
          </w:tcPr>
          <w:p w14:paraId="7094B9E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4AD14F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0ACC6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C5088D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89EC93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9A41D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EDC761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AAA8DB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C0C9FF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60CC4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8A61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6BB954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559E00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3C1A489" w14:textId="77777777" w:rsidTr="00F61CC9">
        <w:trPr>
          <w:trHeight w:val="330"/>
        </w:trPr>
        <w:tc>
          <w:tcPr>
            <w:tcW w:w="3131" w:type="dxa"/>
            <w:gridSpan w:val="4"/>
            <w:shd w:val="clear" w:color="auto" w:fill="FFFFFF"/>
            <w:vAlign w:val="center"/>
          </w:tcPr>
          <w:p w14:paraId="3A3A6A3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E09E0E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06C43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A2E7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6877CF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D32C5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59AA9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0F1AB7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24C84F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95FE8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52523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E27F0D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0D4FA6E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65E6A94A" w14:textId="77777777" w:rsidTr="00F61CC9">
        <w:trPr>
          <w:trHeight w:val="351"/>
        </w:trPr>
        <w:tc>
          <w:tcPr>
            <w:tcW w:w="3131" w:type="dxa"/>
            <w:gridSpan w:val="4"/>
            <w:shd w:val="clear" w:color="auto" w:fill="FFFFFF"/>
            <w:vAlign w:val="center"/>
          </w:tcPr>
          <w:p w14:paraId="76D1E858"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DCB6A3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B759C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FC53B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23F88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015E1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88310B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725023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1D3BC2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E4C2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D08C4D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47525C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3D36444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3B07EB92" w14:textId="77777777" w:rsidTr="00F61CC9">
        <w:trPr>
          <w:trHeight w:val="351"/>
        </w:trPr>
        <w:tc>
          <w:tcPr>
            <w:tcW w:w="3131" w:type="dxa"/>
            <w:gridSpan w:val="4"/>
            <w:shd w:val="clear" w:color="auto" w:fill="FFFFFF"/>
            <w:vAlign w:val="center"/>
          </w:tcPr>
          <w:p w14:paraId="5CF976FD"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956B27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09179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DA8A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3F6419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3E37C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EFDBC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6CEA05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FE9A43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14D827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92B05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7842B1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6476C24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0E254866" w14:textId="77777777" w:rsidTr="00F61CC9">
        <w:trPr>
          <w:trHeight w:val="360"/>
        </w:trPr>
        <w:tc>
          <w:tcPr>
            <w:tcW w:w="3131" w:type="dxa"/>
            <w:gridSpan w:val="4"/>
            <w:shd w:val="clear" w:color="auto" w:fill="FFFFFF"/>
            <w:vAlign w:val="center"/>
          </w:tcPr>
          <w:p w14:paraId="39E50858"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227DFCA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53311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90358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7631A0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EAFE3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526BB1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9E3ABD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E44D6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DBA84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D41FA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ED05F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AF1826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9E344E1" w14:textId="77777777" w:rsidTr="00F61CC9">
        <w:trPr>
          <w:trHeight w:val="360"/>
        </w:trPr>
        <w:tc>
          <w:tcPr>
            <w:tcW w:w="3131" w:type="dxa"/>
            <w:gridSpan w:val="4"/>
            <w:shd w:val="clear" w:color="auto" w:fill="FFFFFF"/>
            <w:vAlign w:val="center"/>
          </w:tcPr>
          <w:p w14:paraId="47571864"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34F9C0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21A15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38717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1666FD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1DCB9F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BD6D0B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B118E6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B9055B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3426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A6227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83F39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5B25881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7CFD8C21" w14:textId="77777777" w:rsidTr="00F61CC9">
        <w:trPr>
          <w:trHeight w:val="357"/>
        </w:trPr>
        <w:tc>
          <w:tcPr>
            <w:tcW w:w="3131" w:type="dxa"/>
            <w:gridSpan w:val="4"/>
            <w:shd w:val="clear" w:color="auto" w:fill="FFFFFF"/>
            <w:vAlign w:val="center"/>
          </w:tcPr>
          <w:p w14:paraId="2ED65A1C"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04BAD0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38C81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620F1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7EB0B8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F25156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CB3CDF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8F14E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623E6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01771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42C6F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3D78CC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4F409E1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F18798A" w14:textId="77777777" w:rsidTr="00F61CC9">
        <w:trPr>
          <w:trHeight w:val="357"/>
        </w:trPr>
        <w:tc>
          <w:tcPr>
            <w:tcW w:w="3131" w:type="dxa"/>
            <w:gridSpan w:val="4"/>
            <w:shd w:val="clear" w:color="auto" w:fill="FFFFFF"/>
            <w:vAlign w:val="center"/>
          </w:tcPr>
          <w:p w14:paraId="25F5BB8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F283FD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255F5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C65BD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EBE813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706F6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D6EB16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A97FD2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D89BD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E032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EDACC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F0A897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2486A0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60675BF2" w14:textId="77777777" w:rsidTr="00F61CC9">
        <w:trPr>
          <w:trHeight w:val="348"/>
        </w:trPr>
        <w:tc>
          <w:tcPr>
            <w:tcW w:w="2241" w:type="dxa"/>
            <w:gridSpan w:val="2"/>
            <w:shd w:val="clear" w:color="auto" w:fill="FFFFFF"/>
            <w:vAlign w:val="center"/>
          </w:tcPr>
          <w:p w14:paraId="78FB8BA8" w14:textId="77777777" w:rsidR="008B1B9D" w:rsidRPr="0027681F" w:rsidRDefault="008B1B9D" w:rsidP="008B1B9D">
            <w:pPr>
              <w:spacing w:line="240" w:lineRule="auto"/>
              <w:rPr>
                <w:rFonts w:ascii="Times New Roman" w:hAnsi="Times New Roman"/>
                <w:color w:val="000000"/>
              </w:rPr>
            </w:pPr>
            <w:r w:rsidRPr="0027681F">
              <w:rPr>
                <w:rFonts w:ascii="Times New Roman" w:hAnsi="Times New Roman"/>
                <w:color w:val="000000"/>
              </w:rPr>
              <w:t xml:space="preserve">Źródła finansowania </w:t>
            </w:r>
          </w:p>
        </w:tc>
        <w:tc>
          <w:tcPr>
            <w:tcW w:w="8562" w:type="dxa"/>
            <w:gridSpan w:val="27"/>
            <w:shd w:val="clear" w:color="auto" w:fill="FFFFFF"/>
            <w:vAlign w:val="center"/>
          </w:tcPr>
          <w:p w14:paraId="073D941A" w14:textId="4398C760" w:rsidR="008B1B9D" w:rsidRPr="0027681F" w:rsidRDefault="00AC6FEE" w:rsidP="004A345E">
            <w:pPr>
              <w:spacing w:after="120" w:line="240" w:lineRule="auto"/>
              <w:jc w:val="both"/>
              <w:rPr>
                <w:rFonts w:ascii="Times New Roman" w:hAnsi="Times New Roman"/>
                <w:color w:val="000000"/>
              </w:rPr>
            </w:pPr>
            <w:r>
              <w:rPr>
                <w:rFonts w:ascii="Times New Roman" w:hAnsi="Times New Roman"/>
              </w:rPr>
              <w:t>Projektowana ustawa zapewnia</w:t>
            </w:r>
            <w:r w:rsidRPr="005526CF">
              <w:rPr>
                <w:rFonts w:ascii="Times New Roman" w:hAnsi="Times New Roman"/>
              </w:rPr>
              <w:t xml:space="preserve"> stosowanie przepisów unijnych</w:t>
            </w:r>
            <w:r>
              <w:rPr>
                <w:rFonts w:ascii="Times New Roman" w:hAnsi="Times New Roman"/>
              </w:rPr>
              <w:t>.</w:t>
            </w:r>
            <w:r w:rsidRPr="005526CF">
              <w:rPr>
                <w:rFonts w:ascii="Times New Roman" w:hAnsi="Times New Roman"/>
              </w:rPr>
              <w:t xml:space="preserve"> </w:t>
            </w:r>
            <w:r w:rsidRPr="00BA59F8">
              <w:rPr>
                <w:rFonts w:ascii="Times New Roman" w:hAnsi="Times New Roman"/>
                <w:color w:val="000000"/>
              </w:rPr>
              <w:t xml:space="preserve">Wejście w życie </w:t>
            </w:r>
            <w:r>
              <w:rPr>
                <w:rFonts w:ascii="Times New Roman" w:hAnsi="Times New Roman"/>
                <w:color w:val="000000"/>
              </w:rPr>
              <w:t>ustawy</w:t>
            </w:r>
            <w:r w:rsidRPr="00BA59F8">
              <w:rPr>
                <w:rFonts w:ascii="Times New Roman" w:hAnsi="Times New Roman"/>
                <w:color w:val="000000"/>
              </w:rPr>
              <w:t xml:space="preserve"> nie spowoduje skutków finansowych powodujących zwiększenie wydatków lub zmniejszenie dochodów jednostek sektora finansów publicznych, w tym dla budżetu państwa i dla budżetów jednostek samorządu terytorialnego, w stosunku do wielkości wynikających z obowiązujących przepisów.</w:t>
            </w:r>
          </w:p>
        </w:tc>
      </w:tr>
      <w:tr w:rsidR="008B1B9D" w:rsidRPr="008B4FE6" w14:paraId="746E5992" w14:textId="77777777" w:rsidTr="00F61CC9">
        <w:trPr>
          <w:trHeight w:val="563"/>
        </w:trPr>
        <w:tc>
          <w:tcPr>
            <w:tcW w:w="2241" w:type="dxa"/>
            <w:gridSpan w:val="2"/>
            <w:shd w:val="clear" w:color="auto" w:fill="FFFFFF"/>
          </w:tcPr>
          <w:p w14:paraId="783F3D16" w14:textId="77777777" w:rsidR="008B1B9D" w:rsidRPr="0027681F" w:rsidRDefault="008B1B9D" w:rsidP="008B1B9D">
            <w:pPr>
              <w:spacing w:line="240" w:lineRule="auto"/>
              <w:rPr>
                <w:rFonts w:ascii="Times New Roman" w:hAnsi="Times New Roman"/>
                <w:color w:val="000000"/>
              </w:rPr>
            </w:pPr>
            <w:r w:rsidRPr="0027681F">
              <w:rPr>
                <w:rFonts w:ascii="Times New Roman" w:hAnsi="Times New Roman"/>
                <w:color w:val="000000"/>
              </w:rPr>
              <w:lastRenderedPageBreak/>
              <w:t>Dodatkowe informacje, w tym wskazanie źródeł danych i przyjętych do obliczeń założeń</w:t>
            </w:r>
          </w:p>
        </w:tc>
        <w:tc>
          <w:tcPr>
            <w:tcW w:w="8562" w:type="dxa"/>
            <w:gridSpan w:val="27"/>
            <w:shd w:val="clear" w:color="auto" w:fill="FFFFFF"/>
          </w:tcPr>
          <w:p w14:paraId="2D175D98" w14:textId="14A833CE" w:rsidR="005246EA" w:rsidRPr="003E2FC2" w:rsidRDefault="000B4015" w:rsidP="004A345E">
            <w:pPr>
              <w:spacing w:after="120" w:line="240" w:lineRule="auto"/>
              <w:jc w:val="both"/>
              <w:rPr>
                <w:rFonts w:ascii="Times New Roman" w:hAnsi="Times New Roman"/>
              </w:rPr>
            </w:pPr>
            <w:r>
              <w:rPr>
                <w:rFonts w:ascii="Times New Roman" w:hAnsi="Times New Roman"/>
              </w:rPr>
              <w:t xml:space="preserve">Wpływy z kar pieniężnych nakładanych przez KNF na podmioty finansowe naruszające obowiązki określone rozporządzeniem </w:t>
            </w:r>
            <w:r w:rsidRPr="005C2937">
              <w:rPr>
                <w:rFonts w:ascii="Times New Roman" w:hAnsi="Times New Roman"/>
              </w:rPr>
              <w:t>2022/2554</w:t>
            </w:r>
            <w:r>
              <w:rPr>
                <w:rFonts w:ascii="Times New Roman" w:hAnsi="Times New Roman"/>
              </w:rPr>
              <w:t xml:space="preserve"> będą stanowiły przychody Funduszu Edukacji Finansowej, o którym mowa w art. 43f ustawy </w:t>
            </w:r>
            <w:r w:rsidRPr="00891827">
              <w:rPr>
                <w:rFonts w:ascii="Times New Roman" w:hAnsi="Times New Roman"/>
              </w:rPr>
              <w:t>z dnia 5 sierpnia 2015 r. o rozpatrywaniu reklamacji przez podmioty rynku finansowego, o Rzeczniku Finansowym i o Funduszu Edukacji Finansowej</w:t>
            </w:r>
            <w:r>
              <w:rPr>
                <w:rFonts w:ascii="Times New Roman" w:hAnsi="Times New Roman"/>
              </w:rPr>
              <w:t xml:space="preserve">. </w:t>
            </w:r>
          </w:p>
        </w:tc>
      </w:tr>
      <w:tr w:rsidR="008B1B9D" w:rsidRPr="008B4FE6" w14:paraId="6C80E5DA" w14:textId="77777777" w:rsidTr="00F61CC9">
        <w:trPr>
          <w:trHeight w:val="345"/>
        </w:trPr>
        <w:tc>
          <w:tcPr>
            <w:tcW w:w="10803" w:type="dxa"/>
            <w:gridSpan w:val="29"/>
            <w:shd w:val="clear" w:color="auto" w:fill="99CCFF"/>
          </w:tcPr>
          <w:p w14:paraId="486F2F93" w14:textId="77777777" w:rsidR="008B1B9D" w:rsidRPr="008B4FE6" w:rsidRDefault="008B1B9D" w:rsidP="008B1B9D">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8B1B9D" w:rsidRPr="008B4FE6" w14:paraId="76D8ACB1" w14:textId="77777777" w:rsidTr="00F61CC9">
        <w:trPr>
          <w:trHeight w:val="142"/>
        </w:trPr>
        <w:tc>
          <w:tcPr>
            <w:tcW w:w="10803" w:type="dxa"/>
            <w:gridSpan w:val="29"/>
            <w:shd w:val="clear" w:color="auto" w:fill="FFFFFF"/>
          </w:tcPr>
          <w:p w14:paraId="27FED907" w14:textId="77777777" w:rsidR="008B1B9D" w:rsidRPr="00301959"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8B1B9D" w:rsidRPr="008B4FE6" w14:paraId="3D28FAE7" w14:textId="77777777" w:rsidTr="00F61CC9">
        <w:trPr>
          <w:trHeight w:val="142"/>
        </w:trPr>
        <w:tc>
          <w:tcPr>
            <w:tcW w:w="3887" w:type="dxa"/>
            <w:gridSpan w:val="7"/>
            <w:shd w:val="clear" w:color="auto" w:fill="FFFFFF"/>
          </w:tcPr>
          <w:p w14:paraId="7166099E"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28BF465"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E2BCC96"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7154871B"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52D0174F"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141B1F53"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F8D5CA9"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290" w:type="dxa"/>
            <w:shd w:val="clear" w:color="auto" w:fill="FFFFFF"/>
          </w:tcPr>
          <w:p w14:paraId="1D28B15D" w14:textId="77777777" w:rsidR="008B1B9D" w:rsidRPr="001B3460" w:rsidRDefault="008B1B9D" w:rsidP="008B1B9D">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8B1B9D" w:rsidRPr="008B4FE6" w14:paraId="082B2308" w14:textId="77777777" w:rsidTr="00F61CC9">
        <w:trPr>
          <w:trHeight w:val="142"/>
        </w:trPr>
        <w:tc>
          <w:tcPr>
            <w:tcW w:w="1595" w:type="dxa"/>
            <w:vMerge w:val="restart"/>
            <w:shd w:val="clear" w:color="auto" w:fill="FFFFFF"/>
          </w:tcPr>
          <w:p w14:paraId="682E39A5" w14:textId="77777777" w:rsidR="008B1B9D" w:rsidRDefault="008B1B9D" w:rsidP="008B1B9D">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06664F4" w14:textId="77777777" w:rsidR="008B1B9D" w:rsidRDefault="008B1B9D" w:rsidP="008B1B9D">
            <w:pPr>
              <w:rPr>
                <w:rFonts w:ascii="Times New Roman" w:hAnsi="Times New Roman"/>
                <w:spacing w:val="-2"/>
                <w:sz w:val="21"/>
                <w:szCs w:val="21"/>
              </w:rPr>
            </w:pPr>
            <w:r>
              <w:rPr>
                <w:rFonts w:ascii="Times New Roman" w:hAnsi="Times New Roman"/>
                <w:spacing w:val="-2"/>
                <w:sz w:val="21"/>
                <w:szCs w:val="21"/>
              </w:rPr>
              <w:t xml:space="preserve">(w mln zł, </w:t>
            </w:r>
          </w:p>
          <w:p w14:paraId="033BC1B5" w14:textId="77777777" w:rsidR="008B1B9D" w:rsidRPr="00301959" w:rsidRDefault="008B1B9D" w:rsidP="008B1B9D">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2" w:type="dxa"/>
            <w:gridSpan w:val="6"/>
            <w:shd w:val="clear" w:color="auto" w:fill="FFFFFF"/>
          </w:tcPr>
          <w:p w14:paraId="2682E0CC"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5F6B3C1"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5"/>
            <w:shd w:val="clear" w:color="auto" w:fill="FFFFFF"/>
          </w:tcPr>
          <w:p w14:paraId="645A9BB9"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0314F349" w14:textId="77777777" w:rsidR="008B1B9D" w:rsidRPr="00B37C80" w:rsidRDefault="008B1B9D" w:rsidP="008B1B9D">
            <w:pPr>
              <w:spacing w:line="240" w:lineRule="auto"/>
              <w:rPr>
                <w:rFonts w:ascii="Times New Roman" w:hAnsi="Times New Roman"/>
                <w:color w:val="000000"/>
                <w:sz w:val="21"/>
                <w:szCs w:val="21"/>
              </w:rPr>
            </w:pPr>
          </w:p>
        </w:tc>
        <w:tc>
          <w:tcPr>
            <w:tcW w:w="937" w:type="dxa"/>
            <w:gridSpan w:val="3"/>
            <w:shd w:val="clear" w:color="auto" w:fill="FFFFFF"/>
          </w:tcPr>
          <w:p w14:paraId="55C5DA49"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22540727"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3"/>
            <w:shd w:val="clear" w:color="auto" w:fill="FFFFFF"/>
          </w:tcPr>
          <w:p w14:paraId="0CA32B7A" w14:textId="77777777" w:rsidR="008B1B9D" w:rsidRPr="00B37C80" w:rsidRDefault="008B1B9D" w:rsidP="008B1B9D">
            <w:pPr>
              <w:spacing w:line="240" w:lineRule="auto"/>
              <w:rPr>
                <w:rFonts w:ascii="Times New Roman" w:hAnsi="Times New Roman"/>
                <w:color w:val="000000"/>
                <w:sz w:val="21"/>
                <w:szCs w:val="21"/>
              </w:rPr>
            </w:pPr>
          </w:p>
        </w:tc>
        <w:tc>
          <w:tcPr>
            <w:tcW w:w="1290" w:type="dxa"/>
            <w:shd w:val="clear" w:color="auto" w:fill="FFFFFF"/>
          </w:tcPr>
          <w:p w14:paraId="6AC7A5A9"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02770C2A" w14:textId="77777777" w:rsidTr="00F61CC9">
        <w:trPr>
          <w:trHeight w:val="142"/>
        </w:trPr>
        <w:tc>
          <w:tcPr>
            <w:tcW w:w="1595" w:type="dxa"/>
            <w:vMerge/>
            <w:shd w:val="clear" w:color="auto" w:fill="FFFFFF"/>
          </w:tcPr>
          <w:p w14:paraId="79EBAD43"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6162EEDB"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2B7229CB"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5"/>
            <w:shd w:val="clear" w:color="auto" w:fill="FFFFFF"/>
          </w:tcPr>
          <w:p w14:paraId="55BA093E"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5D0167B6" w14:textId="77777777" w:rsidR="008B1B9D" w:rsidRPr="00B37C80" w:rsidRDefault="008B1B9D" w:rsidP="008B1B9D">
            <w:pPr>
              <w:spacing w:line="240" w:lineRule="auto"/>
              <w:rPr>
                <w:rFonts w:ascii="Times New Roman" w:hAnsi="Times New Roman"/>
                <w:color w:val="000000"/>
                <w:sz w:val="21"/>
                <w:szCs w:val="21"/>
              </w:rPr>
            </w:pPr>
          </w:p>
        </w:tc>
        <w:tc>
          <w:tcPr>
            <w:tcW w:w="937" w:type="dxa"/>
            <w:gridSpan w:val="3"/>
            <w:shd w:val="clear" w:color="auto" w:fill="FFFFFF"/>
          </w:tcPr>
          <w:p w14:paraId="19F4A94E"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5A0FD64C"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3"/>
            <w:shd w:val="clear" w:color="auto" w:fill="FFFFFF"/>
          </w:tcPr>
          <w:p w14:paraId="2C9D0DF5" w14:textId="77777777" w:rsidR="008B1B9D" w:rsidRPr="00B37C80" w:rsidRDefault="008B1B9D" w:rsidP="008B1B9D">
            <w:pPr>
              <w:spacing w:line="240" w:lineRule="auto"/>
              <w:rPr>
                <w:rFonts w:ascii="Times New Roman" w:hAnsi="Times New Roman"/>
                <w:color w:val="000000"/>
                <w:sz w:val="21"/>
                <w:szCs w:val="21"/>
              </w:rPr>
            </w:pPr>
          </w:p>
        </w:tc>
        <w:tc>
          <w:tcPr>
            <w:tcW w:w="1290" w:type="dxa"/>
            <w:shd w:val="clear" w:color="auto" w:fill="FFFFFF"/>
          </w:tcPr>
          <w:p w14:paraId="202D3C82"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07D15C7E" w14:textId="77777777" w:rsidTr="00F61CC9">
        <w:trPr>
          <w:trHeight w:val="142"/>
        </w:trPr>
        <w:tc>
          <w:tcPr>
            <w:tcW w:w="1595" w:type="dxa"/>
            <w:vMerge/>
            <w:shd w:val="clear" w:color="auto" w:fill="FFFFFF"/>
          </w:tcPr>
          <w:p w14:paraId="2C1A5EEE"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0AB8A8BB" w14:textId="77777777" w:rsidR="008B1B9D" w:rsidRPr="00301959" w:rsidRDefault="008B1B9D" w:rsidP="008B1B9D">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692DD75C"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5"/>
            <w:shd w:val="clear" w:color="auto" w:fill="FFFFFF"/>
          </w:tcPr>
          <w:p w14:paraId="1EABE4ED"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437A1F48" w14:textId="77777777" w:rsidR="008B1B9D" w:rsidRPr="00B37C80" w:rsidRDefault="008B1B9D" w:rsidP="008B1B9D">
            <w:pPr>
              <w:spacing w:line="240" w:lineRule="auto"/>
              <w:rPr>
                <w:rFonts w:ascii="Times New Roman" w:hAnsi="Times New Roman"/>
                <w:color w:val="000000"/>
                <w:sz w:val="21"/>
                <w:szCs w:val="21"/>
              </w:rPr>
            </w:pPr>
          </w:p>
        </w:tc>
        <w:tc>
          <w:tcPr>
            <w:tcW w:w="937" w:type="dxa"/>
            <w:gridSpan w:val="3"/>
            <w:shd w:val="clear" w:color="auto" w:fill="FFFFFF"/>
          </w:tcPr>
          <w:p w14:paraId="3F0ED610"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3736F389"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3"/>
            <w:shd w:val="clear" w:color="auto" w:fill="FFFFFF"/>
          </w:tcPr>
          <w:p w14:paraId="5229B2CC" w14:textId="77777777" w:rsidR="008B1B9D" w:rsidRPr="00B37C80" w:rsidRDefault="008B1B9D" w:rsidP="008B1B9D">
            <w:pPr>
              <w:spacing w:line="240" w:lineRule="auto"/>
              <w:rPr>
                <w:rFonts w:ascii="Times New Roman" w:hAnsi="Times New Roman"/>
                <w:color w:val="000000"/>
                <w:sz w:val="21"/>
                <w:szCs w:val="21"/>
              </w:rPr>
            </w:pPr>
          </w:p>
        </w:tc>
        <w:tc>
          <w:tcPr>
            <w:tcW w:w="1290" w:type="dxa"/>
            <w:shd w:val="clear" w:color="auto" w:fill="FFFFFF"/>
          </w:tcPr>
          <w:p w14:paraId="24BD28C2"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1E6DD36B" w14:textId="77777777" w:rsidTr="00F61CC9">
        <w:trPr>
          <w:trHeight w:val="142"/>
        </w:trPr>
        <w:tc>
          <w:tcPr>
            <w:tcW w:w="1595" w:type="dxa"/>
            <w:vMerge/>
            <w:shd w:val="clear" w:color="auto" w:fill="FFFFFF"/>
          </w:tcPr>
          <w:p w14:paraId="05D6023A"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7E20243D" w14:textId="77777777" w:rsidR="008B1B9D" w:rsidRPr="00301959" w:rsidRDefault="008B1B9D" w:rsidP="008B1B9D">
            <w:pPr>
              <w:spacing w:line="240" w:lineRule="auto"/>
              <w:rPr>
                <w:rFonts w:ascii="Times New Roman" w:hAnsi="Times New Roman"/>
                <w:color w:val="000000"/>
                <w:sz w:val="21"/>
                <w:szCs w:val="21"/>
              </w:rPr>
            </w:pPr>
          </w:p>
        </w:tc>
        <w:tc>
          <w:tcPr>
            <w:tcW w:w="937" w:type="dxa"/>
            <w:gridSpan w:val="2"/>
            <w:shd w:val="clear" w:color="auto" w:fill="FFFFFF"/>
          </w:tcPr>
          <w:p w14:paraId="321B28B4"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5"/>
            <w:shd w:val="clear" w:color="auto" w:fill="FFFFFF"/>
          </w:tcPr>
          <w:p w14:paraId="56F554A3"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1CBCC37D" w14:textId="77777777" w:rsidR="008B1B9D" w:rsidRPr="00B37C80" w:rsidRDefault="008B1B9D" w:rsidP="008B1B9D">
            <w:pPr>
              <w:spacing w:line="240" w:lineRule="auto"/>
              <w:rPr>
                <w:rFonts w:ascii="Times New Roman" w:hAnsi="Times New Roman"/>
                <w:color w:val="000000"/>
                <w:sz w:val="21"/>
                <w:szCs w:val="21"/>
              </w:rPr>
            </w:pPr>
          </w:p>
        </w:tc>
        <w:tc>
          <w:tcPr>
            <w:tcW w:w="937" w:type="dxa"/>
            <w:gridSpan w:val="3"/>
            <w:shd w:val="clear" w:color="auto" w:fill="FFFFFF"/>
          </w:tcPr>
          <w:p w14:paraId="10A456D3"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0BA389EA"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3"/>
            <w:shd w:val="clear" w:color="auto" w:fill="FFFFFF"/>
          </w:tcPr>
          <w:p w14:paraId="1BEE7E66" w14:textId="77777777" w:rsidR="008B1B9D" w:rsidRPr="00B37C80" w:rsidRDefault="008B1B9D" w:rsidP="008B1B9D">
            <w:pPr>
              <w:spacing w:line="240" w:lineRule="auto"/>
              <w:rPr>
                <w:rFonts w:ascii="Times New Roman" w:hAnsi="Times New Roman"/>
                <w:color w:val="000000"/>
                <w:sz w:val="21"/>
                <w:szCs w:val="21"/>
              </w:rPr>
            </w:pPr>
          </w:p>
        </w:tc>
        <w:tc>
          <w:tcPr>
            <w:tcW w:w="1290" w:type="dxa"/>
            <w:shd w:val="clear" w:color="auto" w:fill="FFFFFF"/>
          </w:tcPr>
          <w:p w14:paraId="2773BEDC"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4B42FE5E" w14:textId="77777777" w:rsidTr="00E65235">
        <w:trPr>
          <w:trHeight w:val="4048"/>
        </w:trPr>
        <w:tc>
          <w:tcPr>
            <w:tcW w:w="1595" w:type="dxa"/>
            <w:vMerge w:val="restart"/>
            <w:shd w:val="clear" w:color="auto" w:fill="FFFFFF"/>
          </w:tcPr>
          <w:p w14:paraId="76546D02"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2" w:type="dxa"/>
            <w:gridSpan w:val="6"/>
            <w:shd w:val="clear" w:color="auto" w:fill="FFFFFF"/>
          </w:tcPr>
          <w:p w14:paraId="1FE6EE53"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916" w:type="dxa"/>
            <w:gridSpan w:val="22"/>
            <w:shd w:val="clear" w:color="auto" w:fill="FFFFFF"/>
          </w:tcPr>
          <w:p w14:paraId="39F7BA88" w14:textId="77777777" w:rsidR="008B1B9D" w:rsidRPr="00E65235" w:rsidRDefault="004A345E" w:rsidP="004A345E">
            <w:pPr>
              <w:spacing w:line="240" w:lineRule="auto"/>
              <w:jc w:val="both"/>
              <w:rPr>
                <w:rFonts w:ascii="Times New Roman" w:hAnsi="Times New Roman"/>
              </w:rPr>
            </w:pPr>
            <w:r w:rsidRPr="00E65235">
              <w:rPr>
                <w:rFonts w:ascii="Times New Roman" w:hAnsi="Times New Roman"/>
              </w:rPr>
              <w:t>Projektowana ustawa zapewnia</w:t>
            </w:r>
            <w:r w:rsidR="005526CF" w:rsidRPr="00E65235">
              <w:rPr>
                <w:rFonts w:ascii="Times New Roman" w:hAnsi="Times New Roman"/>
              </w:rPr>
              <w:t xml:space="preserve"> </w:t>
            </w:r>
            <w:r w:rsidR="0033178E" w:rsidRPr="00E65235">
              <w:rPr>
                <w:rFonts w:ascii="Times New Roman" w:hAnsi="Times New Roman"/>
              </w:rPr>
              <w:t>stosowanie</w:t>
            </w:r>
            <w:r w:rsidR="005526CF" w:rsidRPr="00E65235">
              <w:rPr>
                <w:rFonts w:ascii="Times New Roman" w:hAnsi="Times New Roman"/>
              </w:rPr>
              <w:t xml:space="preserve"> przepisów unijnych</w:t>
            </w:r>
            <w:r w:rsidRPr="00E65235">
              <w:rPr>
                <w:rFonts w:ascii="Times New Roman" w:hAnsi="Times New Roman"/>
              </w:rPr>
              <w:t>.</w:t>
            </w:r>
            <w:r w:rsidR="005526CF" w:rsidRPr="00E65235">
              <w:rPr>
                <w:rFonts w:ascii="Times New Roman" w:hAnsi="Times New Roman"/>
              </w:rPr>
              <w:t xml:space="preserve"> </w:t>
            </w:r>
            <w:r w:rsidR="008B1B9D" w:rsidRPr="00E65235">
              <w:rPr>
                <w:rFonts w:ascii="Times New Roman" w:hAnsi="Times New Roman"/>
              </w:rPr>
              <w:t>W</w:t>
            </w:r>
            <w:r w:rsidR="00FF1712" w:rsidRPr="00E65235">
              <w:rPr>
                <w:rFonts w:ascii="Times New Roman" w:hAnsi="Times New Roman"/>
              </w:rPr>
              <w:t xml:space="preserve">pływ na podmioty finansowe </w:t>
            </w:r>
            <w:r w:rsidRPr="00E65235">
              <w:rPr>
                <w:rFonts w:ascii="Times New Roman" w:hAnsi="Times New Roman"/>
              </w:rPr>
              <w:t xml:space="preserve">wynika z </w:t>
            </w:r>
            <w:r w:rsidR="00FF1712" w:rsidRPr="00E65235">
              <w:rPr>
                <w:rFonts w:ascii="Times New Roman" w:hAnsi="Times New Roman"/>
              </w:rPr>
              <w:t>obję</w:t>
            </w:r>
            <w:r w:rsidRPr="00E65235">
              <w:rPr>
                <w:rFonts w:ascii="Times New Roman" w:hAnsi="Times New Roman"/>
              </w:rPr>
              <w:t xml:space="preserve">cia ich </w:t>
            </w:r>
            <w:r w:rsidR="00FF1712" w:rsidRPr="00E65235">
              <w:rPr>
                <w:rFonts w:ascii="Times New Roman" w:hAnsi="Times New Roman"/>
              </w:rPr>
              <w:t xml:space="preserve">zakresem stosowania </w:t>
            </w:r>
            <w:r w:rsidR="007E080F" w:rsidRPr="00E65235">
              <w:rPr>
                <w:rFonts w:ascii="Times New Roman" w:hAnsi="Times New Roman"/>
              </w:rPr>
              <w:t>rozporządzeniem 2022/2554</w:t>
            </w:r>
            <w:r w:rsidR="007A6EEE" w:rsidRPr="00E65235">
              <w:rPr>
                <w:rFonts w:ascii="Times New Roman" w:hAnsi="Times New Roman"/>
              </w:rPr>
              <w:t xml:space="preserve"> w zakresie obowiązków mających zapewnić wysoki poziom operacyjnej odporności cyfrowej</w:t>
            </w:r>
            <w:r w:rsidR="00FF1712" w:rsidRPr="00E65235">
              <w:rPr>
                <w:rFonts w:ascii="Times New Roman" w:hAnsi="Times New Roman"/>
              </w:rPr>
              <w:t xml:space="preserve">. </w:t>
            </w:r>
          </w:p>
          <w:p w14:paraId="79519EB8" w14:textId="3D8CAD0E" w:rsidR="00E65235" w:rsidRPr="00E65235" w:rsidRDefault="005A68C2" w:rsidP="004A345E">
            <w:pPr>
              <w:spacing w:line="240" w:lineRule="auto"/>
              <w:jc w:val="both"/>
              <w:rPr>
                <w:rFonts w:ascii="Times New Roman" w:hAnsi="Times New Roman"/>
              </w:rPr>
            </w:pPr>
            <w:r w:rsidRPr="00E65235">
              <w:rPr>
                <w:rFonts w:ascii="Times New Roman" w:hAnsi="Times New Roman"/>
              </w:rPr>
              <w:t xml:space="preserve">Wpływ projektowanej ustawy wynika przede wszystkim z wprowadzenia do ustaw sektorowych zmian wynikających z transpozycji dyrektywy  2022/2556. Wprowadzane zmiany dotyczą uzupełnienia obowiązujących regulacji sektorowych, przede wszystkim mające na celu wprowadzenie odesłań do bezpośrednio stosowanych przepisów rozporządzenia 2022/2554. We ww. zakresie, wpływem projektowanej ustawy będą objęte podmioty, o których mowa w projektowanym art. 18za ust. 1 </w:t>
            </w:r>
            <w:r w:rsidR="00E65235" w:rsidRPr="00E65235">
              <w:rPr>
                <w:rFonts w:ascii="Times New Roman" w:hAnsi="Times New Roman"/>
              </w:rPr>
              <w:t>pkt 1 – 4, 6 – 10, 18 – 19 oraz 23 i 24 (art. 5 pkt 6 projektu). Pozostałe podmioty wymienione w projektowanym art. 18za ust. 1 będą objęte skutkami regulacji</w:t>
            </w:r>
            <w:r w:rsidR="00E65235">
              <w:rPr>
                <w:rFonts w:ascii="Times New Roman" w:hAnsi="Times New Roman"/>
              </w:rPr>
              <w:t xml:space="preserve">, </w:t>
            </w:r>
            <w:r w:rsidR="00E65235" w:rsidRPr="00E65235">
              <w:rPr>
                <w:rFonts w:ascii="Times New Roman" w:hAnsi="Times New Roman"/>
              </w:rPr>
              <w:t>w zakresie kontroli działalności tych podmiotów, której celem jest ustalenie zgodności działalności podmiotów, o których mowa w ust. 1, z przepisami rozporządzenia 2022/2554.</w:t>
            </w:r>
            <w:r w:rsidR="00E65235">
              <w:t xml:space="preserve"> </w:t>
            </w:r>
          </w:p>
        </w:tc>
      </w:tr>
      <w:tr w:rsidR="008B1B9D" w:rsidRPr="008B4FE6" w14:paraId="28E9D11A" w14:textId="77777777" w:rsidTr="00F61CC9">
        <w:trPr>
          <w:trHeight w:val="142"/>
        </w:trPr>
        <w:tc>
          <w:tcPr>
            <w:tcW w:w="1595" w:type="dxa"/>
            <w:vMerge/>
            <w:shd w:val="clear" w:color="auto" w:fill="FFFFFF"/>
          </w:tcPr>
          <w:p w14:paraId="642529FF"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00C91147"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916" w:type="dxa"/>
            <w:gridSpan w:val="22"/>
            <w:shd w:val="clear" w:color="auto" w:fill="FFFFFF"/>
          </w:tcPr>
          <w:p w14:paraId="3CA88B03" w14:textId="0AF6AAAF" w:rsidR="008B1B9D" w:rsidRPr="00FF1712" w:rsidRDefault="008B1B9D" w:rsidP="003E2FC2">
            <w:pPr>
              <w:spacing w:line="240" w:lineRule="auto"/>
              <w:jc w:val="both"/>
              <w:rPr>
                <w:rFonts w:ascii="Times New Roman" w:hAnsi="Times New Roman"/>
                <w:color w:val="000000"/>
                <w:spacing w:val="-2"/>
              </w:rPr>
            </w:pPr>
            <w:r w:rsidRPr="00FF1712">
              <w:rPr>
                <w:rFonts w:ascii="Times New Roman" w:hAnsi="Times New Roman"/>
              </w:rPr>
              <w:t xml:space="preserve">Projektowane zmiany </w:t>
            </w:r>
            <w:r w:rsidR="003E2FC2" w:rsidRPr="00FF1712">
              <w:rPr>
                <w:rFonts w:ascii="Times New Roman" w:hAnsi="Times New Roman"/>
              </w:rPr>
              <w:t xml:space="preserve">nie powinny mieć wpływu na działalność </w:t>
            </w:r>
            <w:r w:rsidR="0033178E" w:rsidRPr="00FF1712">
              <w:rPr>
                <w:rFonts w:ascii="Times New Roman" w:hAnsi="Times New Roman"/>
              </w:rPr>
              <w:t>mikro</w:t>
            </w:r>
            <w:r w:rsidR="00D852BC">
              <w:rPr>
                <w:rFonts w:ascii="Times New Roman" w:hAnsi="Times New Roman"/>
              </w:rPr>
              <w:t>-</w:t>
            </w:r>
            <w:r w:rsidR="003E2FC2" w:rsidRPr="00FF1712">
              <w:rPr>
                <w:rFonts w:ascii="Times New Roman" w:hAnsi="Times New Roman"/>
              </w:rPr>
              <w:t xml:space="preserve"> i małych przedsiębiorców. Zgodnie z zasadą proporcjonalności wyrażoną w art. 4 rozporządzeni</w:t>
            </w:r>
            <w:r w:rsidR="00340BC2">
              <w:rPr>
                <w:rFonts w:ascii="Times New Roman" w:hAnsi="Times New Roman"/>
              </w:rPr>
              <w:t>a</w:t>
            </w:r>
            <w:r w:rsidR="007E080F">
              <w:rPr>
                <w:rFonts w:ascii="Times New Roman" w:hAnsi="Times New Roman"/>
              </w:rPr>
              <w:t xml:space="preserve"> </w:t>
            </w:r>
            <w:r w:rsidR="007E080F" w:rsidRPr="005C2937">
              <w:rPr>
                <w:rFonts w:ascii="Times New Roman" w:hAnsi="Times New Roman"/>
              </w:rPr>
              <w:t>2022/2554</w:t>
            </w:r>
            <w:r w:rsidR="007E080F">
              <w:rPr>
                <w:rFonts w:ascii="Times New Roman" w:hAnsi="Times New Roman"/>
              </w:rPr>
              <w:t xml:space="preserve"> </w:t>
            </w:r>
            <w:r w:rsidR="00FF1712" w:rsidRPr="00FF1712">
              <w:rPr>
                <w:rFonts w:ascii="Times New Roman" w:hAnsi="Times New Roman"/>
              </w:rPr>
              <w:t>p</w:t>
            </w:r>
            <w:r w:rsidR="00556729" w:rsidRPr="00FF1712">
              <w:rPr>
                <w:rFonts w:ascii="Times New Roman" w:hAnsi="Times New Roman"/>
                <w:color w:val="000000"/>
                <w:shd w:val="clear" w:color="auto" w:fill="FFFFFF"/>
              </w:rPr>
              <w:t xml:space="preserve">odmioty finansowe stosują przepisy </w:t>
            </w:r>
            <w:r w:rsidR="007E080F">
              <w:rPr>
                <w:rFonts w:ascii="Times New Roman" w:hAnsi="Times New Roman"/>
                <w:color w:val="000000"/>
                <w:shd w:val="clear" w:color="auto" w:fill="FFFFFF"/>
              </w:rPr>
              <w:t xml:space="preserve">tego rozporządzenia, </w:t>
            </w:r>
            <w:r w:rsidR="00556729" w:rsidRPr="00FF1712">
              <w:rPr>
                <w:rFonts w:ascii="Times New Roman" w:hAnsi="Times New Roman"/>
                <w:color w:val="000000"/>
                <w:shd w:val="clear" w:color="auto" w:fill="FFFFFF"/>
              </w:rPr>
              <w:t>biorąc pod uwagę swoją wielkość i ogólny profil ryzyka oraz charakter, skalę i stopień złożoności swoich usług, działań i operacji.</w:t>
            </w:r>
          </w:p>
        </w:tc>
      </w:tr>
      <w:tr w:rsidR="008B1B9D" w:rsidRPr="008B4FE6" w14:paraId="1EF6897D" w14:textId="77777777" w:rsidTr="00F61CC9">
        <w:trPr>
          <w:trHeight w:val="596"/>
        </w:trPr>
        <w:tc>
          <w:tcPr>
            <w:tcW w:w="1595" w:type="dxa"/>
            <w:vMerge/>
            <w:shd w:val="clear" w:color="auto" w:fill="FFFFFF"/>
          </w:tcPr>
          <w:p w14:paraId="2D079DAD"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1838B76A" w14:textId="77777777" w:rsidR="008B1B9D" w:rsidRPr="00301959" w:rsidRDefault="008B1B9D" w:rsidP="008B1B9D">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916" w:type="dxa"/>
            <w:gridSpan w:val="22"/>
            <w:shd w:val="clear" w:color="auto" w:fill="FFFFFF"/>
          </w:tcPr>
          <w:p w14:paraId="52E10E83" w14:textId="33FEAB3B" w:rsidR="008B1B9D" w:rsidRPr="00AC1776" w:rsidRDefault="008B1B9D" w:rsidP="008B1B9D">
            <w:pPr>
              <w:spacing w:line="240" w:lineRule="auto"/>
              <w:jc w:val="both"/>
              <w:rPr>
                <w:rFonts w:ascii="Times New Roman" w:hAnsi="Times New Roman"/>
              </w:rPr>
            </w:pPr>
            <w:r w:rsidRPr="00AC1776">
              <w:rPr>
                <w:rFonts w:ascii="Times New Roman" w:hAnsi="Times New Roman"/>
              </w:rPr>
              <w:t>Wejście w życie ustawy</w:t>
            </w:r>
            <w:r w:rsidR="00556729">
              <w:rPr>
                <w:rFonts w:ascii="Times New Roman" w:hAnsi="Times New Roman"/>
              </w:rPr>
              <w:t xml:space="preserve"> będzie miało korzystny wpływ na podniesienie poziomu ochrony konsumentów poprzez zwiększenie odporności</w:t>
            </w:r>
            <w:r w:rsidRPr="00AC1776">
              <w:rPr>
                <w:rFonts w:ascii="Times New Roman" w:hAnsi="Times New Roman"/>
              </w:rPr>
              <w:t xml:space="preserve"> </w:t>
            </w:r>
            <w:r w:rsidR="00FF1712" w:rsidRPr="00D37018">
              <w:rPr>
                <w:rFonts w:ascii="Times New Roman" w:hAnsi="Times New Roman"/>
                <w:color w:val="000000"/>
                <w:shd w:val="clear" w:color="auto" w:fill="FFFFFF"/>
              </w:rPr>
              <w:t>cyfrowej i bezpieczeństwa ICT w obszarze usług finansowych</w:t>
            </w:r>
            <w:r w:rsidR="00315F26">
              <w:rPr>
                <w:rFonts w:ascii="Times New Roman" w:hAnsi="Times New Roman"/>
                <w:color w:val="000000"/>
                <w:shd w:val="clear" w:color="auto" w:fill="FFFFFF"/>
              </w:rPr>
              <w:t>.</w:t>
            </w:r>
          </w:p>
        </w:tc>
      </w:tr>
      <w:tr w:rsidR="008B1B9D" w:rsidRPr="008B4FE6" w14:paraId="124DFE43" w14:textId="77777777" w:rsidTr="00F61CC9">
        <w:trPr>
          <w:trHeight w:val="142"/>
        </w:trPr>
        <w:tc>
          <w:tcPr>
            <w:tcW w:w="1595" w:type="dxa"/>
            <w:shd w:val="clear" w:color="auto" w:fill="FFFFFF"/>
          </w:tcPr>
          <w:p w14:paraId="73054857"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2" w:type="dxa"/>
            <w:gridSpan w:val="6"/>
            <w:shd w:val="clear" w:color="auto" w:fill="FFFFFF"/>
          </w:tcPr>
          <w:p w14:paraId="2CB519D5" w14:textId="77777777" w:rsidR="008B1B9D" w:rsidRPr="00301959" w:rsidRDefault="008B1B9D" w:rsidP="008B1B9D">
            <w:pPr>
              <w:spacing w:line="240" w:lineRule="auto"/>
              <w:rPr>
                <w:rFonts w:ascii="Times New Roman" w:hAnsi="Times New Roman"/>
                <w:color w:val="000000"/>
                <w:sz w:val="21"/>
                <w:szCs w:val="21"/>
              </w:rPr>
            </w:pPr>
          </w:p>
        </w:tc>
        <w:tc>
          <w:tcPr>
            <w:tcW w:w="6916" w:type="dxa"/>
            <w:gridSpan w:val="22"/>
            <w:shd w:val="clear" w:color="auto" w:fill="FFFFFF"/>
          </w:tcPr>
          <w:p w14:paraId="3AACCD55"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422E4AF3" w14:textId="77777777" w:rsidTr="00DA2ECA">
        <w:trPr>
          <w:trHeight w:val="1266"/>
        </w:trPr>
        <w:tc>
          <w:tcPr>
            <w:tcW w:w="2241" w:type="dxa"/>
            <w:gridSpan w:val="2"/>
            <w:shd w:val="clear" w:color="auto" w:fill="FFFFFF"/>
          </w:tcPr>
          <w:p w14:paraId="552015A6" w14:textId="77777777" w:rsidR="008B1B9D" w:rsidRPr="00301959" w:rsidRDefault="008B1B9D" w:rsidP="008B1B9D">
            <w:pPr>
              <w:spacing w:line="240" w:lineRule="auto"/>
              <w:rPr>
                <w:rFonts w:ascii="Times New Roman" w:hAnsi="Times New Roman"/>
                <w:color w:val="000000"/>
                <w:sz w:val="21"/>
                <w:szCs w:val="21"/>
              </w:rPr>
            </w:pPr>
            <w:r w:rsidRPr="008A6C6C">
              <w:rPr>
                <w:rFonts w:ascii="Times New Roman" w:hAnsi="Times New Roman"/>
                <w:color w:val="000000"/>
                <w:sz w:val="21"/>
                <w:szCs w:val="21"/>
              </w:rPr>
              <w:t>Dodatkowe informacje, w tym wskazanie źródeł danych i przyjętych do obliczeń założeń</w:t>
            </w:r>
            <w:r w:rsidRPr="00301959">
              <w:rPr>
                <w:rFonts w:ascii="Times New Roman" w:hAnsi="Times New Roman"/>
                <w:color w:val="000000"/>
                <w:sz w:val="21"/>
                <w:szCs w:val="21"/>
              </w:rPr>
              <w:t xml:space="preserve"> </w:t>
            </w:r>
          </w:p>
        </w:tc>
        <w:tc>
          <w:tcPr>
            <w:tcW w:w="8562" w:type="dxa"/>
            <w:gridSpan w:val="27"/>
            <w:shd w:val="clear" w:color="auto" w:fill="FFFFFF"/>
            <w:vAlign w:val="center"/>
          </w:tcPr>
          <w:p w14:paraId="4AEB5BD1" w14:textId="7EC63587" w:rsidR="00707124" w:rsidRPr="00312A2A" w:rsidRDefault="000B4015" w:rsidP="00AC6FEE">
            <w:pPr>
              <w:spacing w:line="240" w:lineRule="auto"/>
              <w:jc w:val="both"/>
              <w:rPr>
                <w:rFonts w:ascii="Times New Roman" w:hAnsi="Times New Roman"/>
                <w:color w:val="000000"/>
              </w:rPr>
            </w:pPr>
            <w:r>
              <w:rPr>
                <w:rFonts w:ascii="Times New Roman" w:hAnsi="Times New Roman"/>
                <w:color w:val="000000"/>
              </w:rPr>
              <w:t xml:space="preserve">Projektowana regulacja powinna mieć korzystny wpływ na funkcjonowanie przedsiębiorców oraz na rodzinę, obywateli i gospodarstwa </w:t>
            </w:r>
            <w:r w:rsidR="00125718">
              <w:rPr>
                <w:rFonts w:ascii="Times New Roman" w:hAnsi="Times New Roman"/>
                <w:color w:val="000000"/>
              </w:rPr>
              <w:t>domowe</w:t>
            </w:r>
            <w:r>
              <w:rPr>
                <w:rFonts w:ascii="Times New Roman" w:hAnsi="Times New Roman"/>
                <w:color w:val="000000"/>
              </w:rPr>
              <w:t xml:space="preserve"> ze względu na zwiększenie bezpieczeństwa usług finansowych świadczonych przez podmioty finansowe takie jak banki, </w:t>
            </w:r>
            <w:r w:rsidR="00D10777">
              <w:rPr>
                <w:rFonts w:ascii="Times New Roman" w:hAnsi="Times New Roman"/>
                <w:color w:val="000000"/>
              </w:rPr>
              <w:t xml:space="preserve">czy </w:t>
            </w:r>
            <w:r>
              <w:rPr>
                <w:rFonts w:ascii="Times New Roman" w:hAnsi="Times New Roman"/>
                <w:color w:val="000000"/>
              </w:rPr>
              <w:t>zakłady ubezpieczeń</w:t>
            </w:r>
            <w:r w:rsidR="00125718">
              <w:rPr>
                <w:rFonts w:ascii="Times New Roman" w:hAnsi="Times New Roman"/>
                <w:color w:val="000000"/>
              </w:rPr>
              <w:t xml:space="preserve">. </w:t>
            </w:r>
          </w:p>
        </w:tc>
      </w:tr>
      <w:tr w:rsidR="008B1B9D" w:rsidRPr="008B4FE6" w14:paraId="2528BD26" w14:textId="77777777" w:rsidTr="00F61CC9">
        <w:trPr>
          <w:trHeight w:val="342"/>
        </w:trPr>
        <w:tc>
          <w:tcPr>
            <w:tcW w:w="10803" w:type="dxa"/>
            <w:gridSpan w:val="29"/>
            <w:shd w:val="clear" w:color="auto" w:fill="99CCFF"/>
            <w:vAlign w:val="center"/>
          </w:tcPr>
          <w:p w14:paraId="04FE26F2" w14:textId="77777777" w:rsidR="008B1B9D" w:rsidRPr="008B4FE6" w:rsidRDefault="008B1B9D" w:rsidP="008B1B9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8B1B9D" w:rsidRPr="008B4FE6" w14:paraId="73ECDC6A" w14:textId="77777777" w:rsidTr="00F61CC9">
        <w:trPr>
          <w:trHeight w:val="151"/>
        </w:trPr>
        <w:tc>
          <w:tcPr>
            <w:tcW w:w="10803" w:type="dxa"/>
            <w:gridSpan w:val="29"/>
            <w:shd w:val="clear" w:color="auto" w:fill="FFFFFF"/>
          </w:tcPr>
          <w:p w14:paraId="26ED2D3A" w14:textId="77777777" w:rsidR="008B1B9D" w:rsidRPr="008B4FE6" w:rsidRDefault="00EA074C" w:rsidP="008B1B9D">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1A5FDA">
              <w:rPr>
                <w:rFonts w:ascii="Times New Roman" w:hAnsi="Times New Roman"/>
                <w:color w:val="000000"/>
                <w:spacing w:val="-2"/>
              </w:rPr>
              <w:t>nie dotyczy</w:t>
            </w:r>
          </w:p>
        </w:tc>
      </w:tr>
      <w:tr w:rsidR="008B1B9D" w:rsidRPr="008B4FE6" w14:paraId="770E8D78" w14:textId="77777777" w:rsidTr="00F61CC9">
        <w:trPr>
          <w:trHeight w:val="946"/>
        </w:trPr>
        <w:tc>
          <w:tcPr>
            <w:tcW w:w="5109" w:type="dxa"/>
            <w:gridSpan w:val="12"/>
            <w:shd w:val="clear" w:color="auto" w:fill="FFFFFF"/>
          </w:tcPr>
          <w:p w14:paraId="60D0C03F" w14:textId="77777777" w:rsidR="008B1B9D" w:rsidRDefault="008B1B9D" w:rsidP="008B1B9D">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694" w:type="dxa"/>
            <w:gridSpan w:val="17"/>
            <w:shd w:val="clear" w:color="auto" w:fill="FFFFFF"/>
          </w:tcPr>
          <w:p w14:paraId="436C26E6"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tak</w:t>
            </w:r>
          </w:p>
          <w:p w14:paraId="271D229E"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nie</w:t>
            </w:r>
          </w:p>
          <w:p w14:paraId="23C5D1CE" w14:textId="77777777" w:rsidR="008B1B9D" w:rsidRDefault="00EA074C" w:rsidP="008B1B9D">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nie dotyczy</w:t>
            </w:r>
          </w:p>
        </w:tc>
      </w:tr>
      <w:tr w:rsidR="008B1B9D" w:rsidRPr="008B4FE6" w14:paraId="3B5D8EEB" w14:textId="77777777" w:rsidTr="00F61CC9">
        <w:trPr>
          <w:trHeight w:val="1245"/>
        </w:trPr>
        <w:tc>
          <w:tcPr>
            <w:tcW w:w="5109" w:type="dxa"/>
            <w:gridSpan w:val="12"/>
            <w:shd w:val="clear" w:color="auto" w:fill="FFFFFF"/>
          </w:tcPr>
          <w:p w14:paraId="0456394C" w14:textId="77777777" w:rsidR="008B1B9D" w:rsidRPr="008B4FE6"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556729">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zmniejszenie liczby dokumentów</w:t>
            </w:r>
            <w:r w:rsidR="008B1B9D">
              <w:rPr>
                <w:rFonts w:ascii="Times New Roman" w:hAnsi="Times New Roman"/>
                <w:color w:val="000000"/>
                <w:spacing w:val="-2"/>
              </w:rPr>
              <w:t xml:space="preserve"> </w:t>
            </w:r>
          </w:p>
          <w:p w14:paraId="7AE0C018" w14:textId="77777777" w:rsidR="008B1B9D" w:rsidRPr="008B4FE6"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556729">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zmniejszenie liczby procedur</w:t>
            </w:r>
          </w:p>
          <w:p w14:paraId="1B364E5C" w14:textId="77777777" w:rsidR="008B1B9D"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556729">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skrócenie czasu</w:t>
            </w:r>
            <w:r w:rsidR="008B1B9D">
              <w:rPr>
                <w:rFonts w:ascii="Times New Roman" w:hAnsi="Times New Roman"/>
                <w:color w:val="000000"/>
                <w:spacing w:val="-2"/>
              </w:rPr>
              <w:t xml:space="preserve"> na załatwienie sprawy</w:t>
            </w:r>
          </w:p>
          <w:p w14:paraId="0D68D9CB" w14:textId="77777777" w:rsidR="008B1B9D" w:rsidRPr="008B4FE6" w:rsidRDefault="00EA074C" w:rsidP="008B1B9D">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inne:</w:t>
            </w:r>
            <w:r w:rsidR="008B1B9D" w:rsidRPr="008B4FE6">
              <w:rPr>
                <w:rFonts w:ascii="Times New Roman" w:hAnsi="Times New Roman"/>
                <w:color w:val="000000"/>
              </w:rPr>
              <w:t xml:space="preserve"> </w:t>
            </w:r>
            <w:r w:rsidR="008B1B9D">
              <w:rPr>
                <w:rFonts w:ascii="Times New Roman" w:hAnsi="Times New Roman"/>
                <w:color w:val="000000"/>
              </w:rPr>
              <w:t>…</w:t>
            </w:r>
          </w:p>
        </w:tc>
        <w:tc>
          <w:tcPr>
            <w:tcW w:w="5694" w:type="dxa"/>
            <w:gridSpan w:val="17"/>
            <w:shd w:val="clear" w:color="auto" w:fill="FFFFFF"/>
          </w:tcPr>
          <w:p w14:paraId="0A780755" w14:textId="77777777" w:rsidR="008B1B9D" w:rsidRPr="008B4FE6"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zwiększenie liczby dokumentów</w:t>
            </w:r>
          </w:p>
          <w:p w14:paraId="39BDFF67" w14:textId="77777777" w:rsidR="008B1B9D" w:rsidRPr="008B4FE6" w:rsidRDefault="00EA074C" w:rsidP="008B1B9D">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556729">
                  <w:rPr>
                    <w:rFonts w:ascii="MS Gothic" w:eastAsia="MS Gothic" w:hAnsi="MS Gothic" w:hint="eastAsia"/>
                    <w:color w:val="000000"/>
                  </w:rPr>
                  <w:t>☒</w:t>
                </w:r>
              </w:sdtContent>
            </w:sdt>
            <w:r w:rsidR="008B1B9D">
              <w:rPr>
                <w:rFonts w:ascii="Times New Roman" w:hAnsi="Times New Roman"/>
                <w:color w:val="000000"/>
              </w:rPr>
              <w:t xml:space="preserve"> </w:t>
            </w:r>
            <w:r w:rsidR="008B1B9D" w:rsidRPr="008B4FE6">
              <w:rPr>
                <w:rFonts w:ascii="Times New Roman" w:hAnsi="Times New Roman"/>
                <w:color w:val="000000"/>
                <w:spacing w:val="-2"/>
              </w:rPr>
              <w:t>zwiększenie liczby procedur</w:t>
            </w:r>
          </w:p>
          <w:p w14:paraId="48FBDCBF" w14:textId="77777777" w:rsidR="008B1B9D" w:rsidRPr="008B4FE6"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wydłużenie czasu</w:t>
            </w:r>
            <w:r w:rsidR="008B1B9D">
              <w:rPr>
                <w:rFonts w:ascii="Times New Roman" w:hAnsi="Times New Roman"/>
                <w:color w:val="000000"/>
                <w:spacing w:val="-2"/>
              </w:rPr>
              <w:t xml:space="preserve"> na załatwienie sprawy</w:t>
            </w:r>
          </w:p>
          <w:p w14:paraId="01506C6C" w14:textId="77777777" w:rsidR="008B1B9D" w:rsidRPr="008B4FE6" w:rsidRDefault="00EA074C" w:rsidP="008B1B9D">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inne:</w:t>
            </w:r>
            <w:r w:rsidR="008B1B9D" w:rsidRPr="008B4FE6">
              <w:rPr>
                <w:rFonts w:ascii="Times New Roman" w:hAnsi="Times New Roman"/>
                <w:color w:val="000000"/>
              </w:rPr>
              <w:t xml:space="preserve"> </w:t>
            </w:r>
            <w:r w:rsidR="008B1B9D">
              <w:rPr>
                <w:rFonts w:ascii="Times New Roman" w:hAnsi="Times New Roman"/>
                <w:color w:val="000000"/>
              </w:rPr>
              <w:t>…</w:t>
            </w:r>
          </w:p>
          <w:p w14:paraId="055C2755" w14:textId="77777777" w:rsidR="008B1B9D" w:rsidRPr="008B4FE6" w:rsidRDefault="008B1B9D" w:rsidP="008B1B9D">
            <w:pPr>
              <w:spacing w:line="240" w:lineRule="auto"/>
              <w:rPr>
                <w:rFonts w:ascii="Times New Roman" w:hAnsi="Times New Roman"/>
                <w:color w:val="000000"/>
              </w:rPr>
            </w:pPr>
          </w:p>
        </w:tc>
      </w:tr>
      <w:tr w:rsidR="008B1B9D" w:rsidRPr="008B4FE6" w14:paraId="77E087C0" w14:textId="77777777" w:rsidTr="00F61CC9">
        <w:trPr>
          <w:trHeight w:val="870"/>
        </w:trPr>
        <w:tc>
          <w:tcPr>
            <w:tcW w:w="5109" w:type="dxa"/>
            <w:gridSpan w:val="12"/>
            <w:shd w:val="clear" w:color="auto" w:fill="FFFFFF"/>
          </w:tcPr>
          <w:p w14:paraId="0F40A4B3" w14:textId="77777777" w:rsidR="008B1B9D" w:rsidRPr="008B4FE6" w:rsidRDefault="008B1B9D" w:rsidP="008B1B9D">
            <w:pPr>
              <w:spacing w:line="240" w:lineRule="auto"/>
              <w:rPr>
                <w:rFonts w:ascii="Times New Roman" w:hAnsi="Times New Roman"/>
                <w:color w:val="000000"/>
              </w:rPr>
            </w:pPr>
            <w:r>
              <w:rPr>
                <w:rFonts w:ascii="Times New Roman" w:hAnsi="Times New Roman"/>
                <w:color w:val="000000"/>
                <w:spacing w:val="-2"/>
              </w:rPr>
              <w:lastRenderedPageBreak/>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694" w:type="dxa"/>
            <w:gridSpan w:val="17"/>
            <w:shd w:val="clear" w:color="auto" w:fill="FFFFFF"/>
          </w:tcPr>
          <w:p w14:paraId="3DFB1AA7"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tak</w:t>
            </w:r>
          </w:p>
          <w:p w14:paraId="653A5846"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nie</w:t>
            </w:r>
          </w:p>
          <w:p w14:paraId="0A596CF2"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8B1B9D">
                  <w:rPr>
                    <w:rFonts w:ascii="MS Gothic" w:eastAsia="MS Gothic" w:hAnsi="MS Gothic" w:hint="eastAsia"/>
                    <w:color w:val="000000"/>
                  </w:rPr>
                  <w:t>☐</w:t>
                </w:r>
              </w:sdtContent>
            </w:sdt>
            <w:r w:rsidR="008B1B9D">
              <w:rPr>
                <w:rFonts w:ascii="Times New Roman" w:hAnsi="Times New Roman"/>
                <w:color w:val="000000"/>
              </w:rPr>
              <w:t xml:space="preserve"> nie dotyczy</w:t>
            </w:r>
          </w:p>
          <w:p w14:paraId="23B52887" w14:textId="77777777" w:rsidR="008B1B9D" w:rsidRPr="008B4FE6" w:rsidRDefault="008B1B9D" w:rsidP="008B1B9D">
            <w:pPr>
              <w:spacing w:line="240" w:lineRule="auto"/>
              <w:rPr>
                <w:rFonts w:ascii="Times New Roman" w:hAnsi="Times New Roman"/>
                <w:color w:val="000000"/>
              </w:rPr>
            </w:pPr>
          </w:p>
        </w:tc>
      </w:tr>
      <w:tr w:rsidR="008B1B9D" w:rsidRPr="008B4FE6" w14:paraId="460FEF27" w14:textId="77777777" w:rsidTr="00F61CC9">
        <w:trPr>
          <w:trHeight w:val="630"/>
        </w:trPr>
        <w:tc>
          <w:tcPr>
            <w:tcW w:w="10803" w:type="dxa"/>
            <w:gridSpan w:val="29"/>
            <w:shd w:val="clear" w:color="auto" w:fill="FFFFFF"/>
          </w:tcPr>
          <w:p w14:paraId="7BC4C03D" w14:textId="0B3501BC" w:rsidR="00444BF1" w:rsidRPr="00556729" w:rsidRDefault="007A6EEE" w:rsidP="00556729">
            <w:pPr>
              <w:spacing w:after="120" w:line="240" w:lineRule="auto"/>
              <w:jc w:val="both"/>
              <w:rPr>
                <w:rFonts w:ascii="Times New Roman" w:hAnsi="Times New Roman"/>
                <w:color w:val="000000"/>
              </w:rPr>
            </w:pPr>
            <w:r>
              <w:rPr>
                <w:rFonts w:ascii="Times New Roman" w:hAnsi="Times New Roman"/>
                <w:color w:val="000000"/>
              </w:rPr>
              <w:t xml:space="preserve">W celu zapewnienia wysokiego poziomu operacyjnej odporności cyfrowej, zwiększa się liczba podmiotów finansowych objętych zakresem obowiązków związanych z informowaniem </w:t>
            </w:r>
            <w:r w:rsidRPr="00125718">
              <w:rPr>
                <w:rFonts w:ascii="Times New Roman" w:eastAsia="Times New Roman" w:hAnsi="Times New Roman"/>
              </w:rPr>
              <w:t>o poważnych incydentach związanych z ICT oraz o znaczących zagrożeniach</w:t>
            </w:r>
            <w:r>
              <w:rPr>
                <w:rFonts w:ascii="Times New Roman" w:eastAsia="Times New Roman" w:hAnsi="Times New Roman"/>
              </w:rPr>
              <w:t>. Ponadto zakres obowiązków związany jest z rozmiarem przedsiębiorstwa, zatem podmioty finansowe zostaną zobowiązane do przekazywania</w:t>
            </w:r>
            <w:r w:rsidR="00D2280E">
              <w:rPr>
                <w:rFonts w:ascii="Times New Roman" w:eastAsia="Times New Roman" w:hAnsi="Times New Roman"/>
              </w:rPr>
              <w:t xml:space="preserve"> </w:t>
            </w:r>
            <w:r w:rsidR="00D2280E" w:rsidRPr="00D2280E">
              <w:rPr>
                <w:rFonts w:ascii="Times New Roman" w:hAnsi="Times New Roman"/>
              </w:rPr>
              <w:t>oświadczenia o posiadaniu statusu mikroprzedsiębiorstwa.</w:t>
            </w:r>
            <w:r w:rsidR="00D2280E">
              <w:t xml:space="preserve"> </w:t>
            </w:r>
          </w:p>
        </w:tc>
      </w:tr>
      <w:tr w:rsidR="008B1B9D" w:rsidRPr="008B4FE6" w14:paraId="4DE8F305" w14:textId="77777777" w:rsidTr="00F61CC9">
        <w:trPr>
          <w:trHeight w:val="142"/>
        </w:trPr>
        <w:tc>
          <w:tcPr>
            <w:tcW w:w="10803" w:type="dxa"/>
            <w:gridSpan w:val="29"/>
            <w:shd w:val="clear" w:color="auto" w:fill="99CCFF"/>
          </w:tcPr>
          <w:p w14:paraId="6C5682E8" w14:textId="77777777" w:rsidR="008B1B9D" w:rsidRPr="008B4FE6" w:rsidRDefault="008B1B9D" w:rsidP="008B1B9D">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8B1B9D" w:rsidRPr="008B4FE6" w14:paraId="56AFF8EE" w14:textId="77777777" w:rsidTr="00F61CC9">
        <w:trPr>
          <w:trHeight w:val="142"/>
        </w:trPr>
        <w:tc>
          <w:tcPr>
            <w:tcW w:w="10803" w:type="dxa"/>
            <w:gridSpan w:val="29"/>
            <w:shd w:val="clear" w:color="auto" w:fill="auto"/>
          </w:tcPr>
          <w:p w14:paraId="4B633A43" w14:textId="4B857BAB" w:rsidR="00A47FDB" w:rsidRDefault="00A47FDB" w:rsidP="002E1505">
            <w:pPr>
              <w:spacing w:before="120" w:after="120" w:line="240" w:lineRule="auto"/>
              <w:jc w:val="both"/>
              <w:rPr>
                <w:rFonts w:ascii="Times New Roman" w:hAnsi="Times New Roman"/>
                <w:color w:val="000000"/>
              </w:rPr>
            </w:pPr>
            <w:r w:rsidRPr="00125718">
              <w:rPr>
                <w:rFonts w:ascii="Times New Roman" w:hAnsi="Times New Roman"/>
                <w:color w:val="21262C"/>
                <w:shd w:val="clear" w:color="auto" w:fill="FFFFFF"/>
              </w:rPr>
              <w:t xml:space="preserve">Z raportu firmy analitycznej  PMR „Rynek cyberbezpieczeństwa w Polsce 2021. Analiza rynku i prognozy rozwoju na lata 2022-2026” wynika, że lata 2021-2022 to powrót do dwucyfrowej dynamiki wydatków na cyberbezpieczeństwo w Polsce. W </w:t>
            </w:r>
            <w:r w:rsidR="00D10777">
              <w:rPr>
                <w:rFonts w:ascii="Times New Roman" w:hAnsi="Times New Roman"/>
                <w:color w:val="21262C"/>
                <w:shd w:val="clear" w:color="auto" w:fill="FFFFFF"/>
              </w:rPr>
              <w:t>kolejnym</w:t>
            </w:r>
            <w:r w:rsidRPr="00125718">
              <w:rPr>
                <w:rFonts w:ascii="Times New Roman" w:hAnsi="Times New Roman"/>
                <w:color w:val="21262C"/>
                <w:shd w:val="clear" w:color="auto" w:fill="FFFFFF"/>
              </w:rPr>
              <w:t xml:space="preserve"> roku wartość roku już wyraźnie przekroczy 2 mld zł</w:t>
            </w:r>
            <w:r>
              <w:rPr>
                <w:rFonts w:ascii="Times New Roman" w:hAnsi="Times New Roman"/>
                <w:color w:val="21262C"/>
                <w:shd w:val="clear" w:color="auto" w:fill="FFFFFF"/>
              </w:rPr>
              <w:t xml:space="preserve">, co powinno przełożyć się na rynek pracy i wzrost </w:t>
            </w:r>
            <w:r w:rsidRPr="0087445E">
              <w:rPr>
                <w:rFonts w:ascii="Times New Roman" w:hAnsi="Times New Roman"/>
                <w:color w:val="000000"/>
              </w:rPr>
              <w:t>zapotrzebowani</w:t>
            </w:r>
            <w:r>
              <w:rPr>
                <w:rFonts w:ascii="Times New Roman" w:hAnsi="Times New Roman"/>
                <w:color w:val="000000"/>
              </w:rPr>
              <w:t xml:space="preserve">a </w:t>
            </w:r>
            <w:r w:rsidRPr="0087445E">
              <w:rPr>
                <w:rFonts w:ascii="Times New Roman" w:hAnsi="Times New Roman"/>
                <w:color w:val="000000"/>
              </w:rPr>
              <w:t>w szczególności na specjalistów w dziedzinie bezpieczeństwa IT</w:t>
            </w:r>
            <w:r>
              <w:rPr>
                <w:rFonts w:ascii="Times New Roman" w:hAnsi="Times New Roman"/>
                <w:color w:val="000000"/>
              </w:rPr>
              <w:t xml:space="preserve">/ICT. </w:t>
            </w:r>
          </w:p>
          <w:p w14:paraId="681A5EB3" w14:textId="13D81A70" w:rsidR="008B1B9D" w:rsidRPr="00125718" w:rsidRDefault="00A47FDB" w:rsidP="00125718">
            <w:pPr>
              <w:spacing w:before="120" w:after="120" w:line="240" w:lineRule="auto"/>
              <w:jc w:val="both"/>
              <w:rPr>
                <w:rFonts w:ascii="Times New Roman" w:hAnsi="Times New Roman"/>
                <w:color w:val="000000"/>
              </w:rPr>
            </w:pPr>
            <w:r w:rsidRPr="00A47FDB">
              <w:rPr>
                <w:rFonts w:ascii="Times New Roman" w:hAnsi="Times New Roman"/>
                <w:color w:val="000000"/>
              </w:rPr>
              <w:t>https://www.pmrmarketexperts.com/wiadomosci/wartosc-rynku-cyberbezpieczenstwa-w-2022-roku-przekroczy-2-mld-zl/</w:t>
            </w:r>
          </w:p>
        </w:tc>
      </w:tr>
      <w:tr w:rsidR="008B1B9D" w:rsidRPr="008B4FE6" w14:paraId="31EB23A3" w14:textId="77777777" w:rsidTr="00F61CC9">
        <w:trPr>
          <w:trHeight w:val="142"/>
        </w:trPr>
        <w:tc>
          <w:tcPr>
            <w:tcW w:w="10803" w:type="dxa"/>
            <w:gridSpan w:val="29"/>
            <w:shd w:val="clear" w:color="auto" w:fill="99CCFF"/>
          </w:tcPr>
          <w:p w14:paraId="37ED9EA0" w14:textId="77777777" w:rsidR="008B1B9D" w:rsidRPr="008B4FE6" w:rsidRDefault="008B1B9D" w:rsidP="008B1B9D">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8B1B9D" w:rsidRPr="008B4FE6" w14:paraId="4031FA91" w14:textId="77777777" w:rsidTr="00F61CC9">
        <w:trPr>
          <w:trHeight w:val="1031"/>
        </w:trPr>
        <w:tc>
          <w:tcPr>
            <w:tcW w:w="3545" w:type="dxa"/>
            <w:gridSpan w:val="5"/>
            <w:shd w:val="clear" w:color="auto" w:fill="FFFFFF"/>
          </w:tcPr>
          <w:p w14:paraId="24C2F0F2" w14:textId="77777777" w:rsidR="008B1B9D" w:rsidRPr="001D73A7" w:rsidRDefault="008B1B9D" w:rsidP="008B1B9D">
            <w:pPr>
              <w:spacing w:line="240" w:lineRule="auto"/>
              <w:rPr>
                <w:rFonts w:ascii="Times New Roman" w:hAnsi="Times New Roman"/>
                <w:color w:val="000000"/>
              </w:rPr>
            </w:pPr>
          </w:p>
          <w:p w14:paraId="65A22763" w14:textId="77777777" w:rsidR="008B1B9D" w:rsidRPr="001D73A7" w:rsidRDefault="00EA074C" w:rsidP="008B1B9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8B1B9D" w:rsidRPr="001D73A7">
                  <w:rPr>
                    <w:rFonts w:ascii="MS Gothic" w:eastAsia="MS Gothic" w:hAnsi="MS Gothic" w:hint="eastAsia"/>
                    <w:color w:val="000000"/>
                  </w:rPr>
                  <w:t>☐</w:t>
                </w:r>
              </w:sdtContent>
            </w:sdt>
            <w:r w:rsidR="008B1B9D" w:rsidRPr="001D73A7">
              <w:rPr>
                <w:rFonts w:ascii="Times New Roman" w:hAnsi="Times New Roman"/>
                <w:color w:val="000000"/>
              </w:rPr>
              <w:t xml:space="preserve"> </w:t>
            </w:r>
            <w:r w:rsidR="008B1B9D" w:rsidRPr="001D73A7">
              <w:rPr>
                <w:rFonts w:ascii="Times New Roman" w:hAnsi="Times New Roman"/>
                <w:color w:val="000000"/>
                <w:spacing w:val="-2"/>
              </w:rPr>
              <w:t>środowisko naturalne</w:t>
            </w:r>
          </w:p>
          <w:p w14:paraId="18CDF901"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8B1B9D" w:rsidRPr="001D73A7">
                  <w:rPr>
                    <w:rFonts w:ascii="MS Gothic" w:eastAsia="MS Gothic" w:hAnsi="MS Gothic" w:hint="eastAsia"/>
                    <w:color w:val="000000"/>
                  </w:rPr>
                  <w:t>☐</w:t>
                </w:r>
              </w:sdtContent>
            </w:sdt>
            <w:r w:rsidR="008B1B9D" w:rsidRPr="001D73A7">
              <w:rPr>
                <w:rFonts w:ascii="Times New Roman" w:hAnsi="Times New Roman"/>
                <w:color w:val="000000"/>
              </w:rPr>
              <w:t xml:space="preserve"> sytuacja i rozwój regionalny</w:t>
            </w:r>
          </w:p>
          <w:p w14:paraId="30D64E64" w14:textId="77777777" w:rsidR="008B1B9D" w:rsidRPr="001D73A7" w:rsidRDefault="00EA074C" w:rsidP="008B1B9D">
            <w:pPr>
              <w:spacing w:line="240" w:lineRule="auto"/>
              <w:rPr>
                <w:rFonts w:ascii="Times New Roman" w:hAnsi="Times New Roman"/>
                <w:color w:val="000000"/>
              </w:rPr>
            </w:pPr>
            <w:sdt>
              <w:sdtPr>
                <w:rPr>
                  <w:rFonts w:ascii="Times New Roman" w:hAnsi="Times New Roman"/>
                  <w:color w:val="000000"/>
                </w:rPr>
                <w:id w:val="-652756475"/>
                <w14:checkbox>
                  <w14:checked w14:val="0"/>
                  <w14:checkedState w14:val="2612" w14:font="MS Gothic"/>
                  <w14:uncheckedState w14:val="2610" w14:font="MS Gothic"/>
                </w14:checkbox>
              </w:sdtPr>
              <w:sdtEndPr/>
              <w:sdtContent>
                <w:r w:rsidR="00556729">
                  <w:rPr>
                    <w:rFonts w:ascii="MS Gothic" w:eastAsia="MS Gothic" w:hAnsi="MS Gothic" w:hint="eastAsia"/>
                    <w:color w:val="000000"/>
                  </w:rPr>
                  <w:t>☐</w:t>
                </w:r>
              </w:sdtContent>
            </w:sdt>
            <w:r w:rsidR="008B1B9D">
              <w:rPr>
                <w:rFonts w:ascii="Times New Roman" w:hAnsi="Times New Roman"/>
                <w:color w:val="000000"/>
              </w:rPr>
              <w:t xml:space="preserve"> </w:t>
            </w:r>
            <w:r w:rsidR="008B1B9D" w:rsidRPr="00D93C2B">
              <w:rPr>
                <w:rFonts w:ascii="Times New Roman" w:hAnsi="Times New Roman"/>
                <w:spacing w:val="-2"/>
              </w:rPr>
              <w:t>sądy powszechne, administracyjne lub wojskowe</w:t>
            </w:r>
          </w:p>
          <w:p w14:paraId="288A208E" w14:textId="77777777" w:rsidR="008B1B9D" w:rsidRPr="001D73A7" w:rsidRDefault="008B1B9D" w:rsidP="008B1B9D">
            <w:pPr>
              <w:spacing w:line="240" w:lineRule="auto"/>
              <w:rPr>
                <w:rFonts w:ascii="Times New Roman" w:hAnsi="Times New Roman"/>
                <w:color w:val="000000"/>
                <w:spacing w:val="-2"/>
              </w:rPr>
            </w:pPr>
          </w:p>
        </w:tc>
        <w:tc>
          <w:tcPr>
            <w:tcW w:w="3687" w:type="dxa"/>
            <w:gridSpan w:val="15"/>
            <w:shd w:val="clear" w:color="auto" w:fill="FFFFFF"/>
          </w:tcPr>
          <w:p w14:paraId="560FB356" w14:textId="77777777" w:rsidR="008B1B9D" w:rsidRPr="001D73A7" w:rsidRDefault="008B1B9D" w:rsidP="008B1B9D">
            <w:pPr>
              <w:spacing w:line="240" w:lineRule="auto"/>
              <w:rPr>
                <w:rFonts w:ascii="Times New Roman" w:hAnsi="Times New Roman"/>
                <w:color w:val="000000"/>
              </w:rPr>
            </w:pPr>
          </w:p>
          <w:p w14:paraId="335FDC95" w14:textId="77777777" w:rsidR="008B1B9D" w:rsidRPr="001D73A7"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8B1B9D" w:rsidRPr="001D73A7">
                  <w:rPr>
                    <w:rFonts w:ascii="MS Gothic" w:eastAsia="MS Gothic" w:hAnsi="MS Gothic" w:hint="eastAsia"/>
                    <w:color w:val="000000"/>
                    <w:spacing w:val="-2"/>
                  </w:rPr>
                  <w:t>☐</w:t>
                </w:r>
              </w:sdtContent>
            </w:sdt>
            <w:r w:rsidR="008B1B9D" w:rsidRPr="001D73A7">
              <w:rPr>
                <w:rFonts w:ascii="Times New Roman" w:hAnsi="Times New Roman"/>
                <w:color w:val="000000"/>
                <w:spacing w:val="-2"/>
              </w:rPr>
              <w:t xml:space="preserve"> demografia</w:t>
            </w:r>
          </w:p>
          <w:p w14:paraId="7F9E2102" w14:textId="77777777" w:rsidR="008B1B9D" w:rsidRDefault="00EA074C" w:rsidP="008B1B9D">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8B1B9D" w:rsidRPr="001D73A7">
                  <w:rPr>
                    <w:rFonts w:ascii="MS Gothic" w:eastAsia="MS Gothic" w:hAnsi="MS Gothic" w:hint="eastAsia"/>
                    <w:color w:val="000000"/>
                  </w:rPr>
                  <w:t>☐</w:t>
                </w:r>
              </w:sdtContent>
            </w:sdt>
            <w:r w:rsidR="008B1B9D" w:rsidRPr="001D73A7">
              <w:rPr>
                <w:rFonts w:ascii="Times New Roman" w:hAnsi="Times New Roman"/>
                <w:color w:val="000000"/>
              </w:rPr>
              <w:t xml:space="preserve"> mienie państwowe</w:t>
            </w:r>
          </w:p>
          <w:p w14:paraId="7065449B" w14:textId="77777777" w:rsidR="008B1B9D" w:rsidRPr="001D73A7" w:rsidRDefault="00EA074C" w:rsidP="008B1B9D">
            <w:pPr>
              <w:spacing w:line="240" w:lineRule="auto"/>
              <w:rPr>
                <w:rFonts w:ascii="Times New Roman" w:hAnsi="Times New Roman"/>
                <w:color w:val="000000"/>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8B1B9D" w:rsidRPr="001D73A7">
                  <w:rPr>
                    <w:rFonts w:ascii="MS Gothic" w:eastAsia="MS Gothic" w:hAnsi="MS Gothic" w:hint="eastAsia"/>
                    <w:color w:val="000000"/>
                    <w:spacing w:val="-2"/>
                  </w:rPr>
                  <w:t>☐</w:t>
                </w:r>
              </w:sdtContent>
            </w:sdt>
            <w:r w:rsidR="008B1B9D" w:rsidRPr="001D73A7">
              <w:rPr>
                <w:rFonts w:ascii="Times New Roman" w:hAnsi="Times New Roman"/>
                <w:color w:val="000000"/>
                <w:spacing w:val="-2"/>
              </w:rPr>
              <w:t xml:space="preserve"> inne:</w:t>
            </w:r>
          </w:p>
        </w:tc>
        <w:tc>
          <w:tcPr>
            <w:tcW w:w="3571" w:type="dxa"/>
            <w:gridSpan w:val="9"/>
            <w:shd w:val="clear" w:color="auto" w:fill="FFFFFF"/>
          </w:tcPr>
          <w:p w14:paraId="7805EA50" w14:textId="77777777" w:rsidR="008B1B9D" w:rsidRPr="008B4FE6" w:rsidRDefault="008B1B9D" w:rsidP="008B1B9D">
            <w:pPr>
              <w:spacing w:line="240" w:lineRule="auto"/>
              <w:rPr>
                <w:rFonts w:ascii="Times New Roman" w:hAnsi="Times New Roman"/>
                <w:color w:val="000000"/>
              </w:rPr>
            </w:pPr>
          </w:p>
          <w:p w14:paraId="15FAF095" w14:textId="77777777" w:rsidR="008B1B9D" w:rsidRDefault="00EA074C" w:rsidP="008B1B9D">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1"/>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w:t>
            </w:r>
            <w:r w:rsidR="008B1B9D" w:rsidRPr="008B4FE6">
              <w:rPr>
                <w:rFonts w:ascii="Times New Roman" w:hAnsi="Times New Roman"/>
                <w:color w:val="000000"/>
                <w:spacing w:val="-2"/>
              </w:rPr>
              <w:t>informatyzacja</w:t>
            </w:r>
          </w:p>
          <w:p w14:paraId="56EC3ECC" w14:textId="77777777" w:rsidR="008B1B9D" w:rsidRPr="008B4FE6" w:rsidRDefault="00EA074C" w:rsidP="008B1B9D">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8B1B9D">
                  <w:rPr>
                    <w:rFonts w:ascii="MS Gothic" w:eastAsia="MS Gothic" w:hAnsi="MS Gothic" w:hint="eastAsia"/>
                    <w:color w:val="000000"/>
                    <w:spacing w:val="-2"/>
                  </w:rPr>
                  <w:t>☐</w:t>
                </w:r>
              </w:sdtContent>
            </w:sdt>
            <w:r w:rsidR="008B1B9D">
              <w:rPr>
                <w:rFonts w:ascii="Times New Roman" w:hAnsi="Times New Roman"/>
                <w:color w:val="000000"/>
                <w:spacing w:val="-2"/>
              </w:rPr>
              <w:t xml:space="preserve"> zdrowie</w:t>
            </w:r>
          </w:p>
        </w:tc>
      </w:tr>
      <w:tr w:rsidR="008B1B9D" w:rsidRPr="008B4FE6" w14:paraId="66BDD4AA" w14:textId="77777777" w:rsidTr="00F61CC9">
        <w:trPr>
          <w:trHeight w:val="712"/>
        </w:trPr>
        <w:tc>
          <w:tcPr>
            <w:tcW w:w="2241" w:type="dxa"/>
            <w:gridSpan w:val="2"/>
            <w:shd w:val="clear" w:color="auto" w:fill="FFFFFF"/>
            <w:vAlign w:val="center"/>
          </w:tcPr>
          <w:p w14:paraId="58665A13" w14:textId="77777777" w:rsidR="008B1B9D" w:rsidRPr="001D73A7" w:rsidRDefault="008B1B9D" w:rsidP="008B1B9D">
            <w:pPr>
              <w:spacing w:line="240" w:lineRule="auto"/>
              <w:rPr>
                <w:rFonts w:ascii="Times New Roman" w:hAnsi="Times New Roman"/>
                <w:color w:val="000000"/>
              </w:rPr>
            </w:pPr>
            <w:r w:rsidRPr="001D73A7">
              <w:rPr>
                <w:rFonts w:ascii="Times New Roman" w:hAnsi="Times New Roman"/>
                <w:color w:val="000000"/>
              </w:rPr>
              <w:t>Omówienie wpływu</w:t>
            </w:r>
          </w:p>
        </w:tc>
        <w:tc>
          <w:tcPr>
            <w:tcW w:w="8562" w:type="dxa"/>
            <w:gridSpan w:val="27"/>
            <w:shd w:val="clear" w:color="auto" w:fill="FFFFFF"/>
            <w:vAlign w:val="center"/>
          </w:tcPr>
          <w:p w14:paraId="123F0FF8" w14:textId="31EF27EE" w:rsidR="00F677D5" w:rsidRDefault="00F677D5" w:rsidP="00F677D5">
            <w:pPr>
              <w:spacing w:after="120" w:line="240" w:lineRule="auto"/>
              <w:jc w:val="both"/>
              <w:rPr>
                <w:rFonts w:ascii="Times New Roman" w:hAnsi="Times New Roman"/>
              </w:rPr>
            </w:pPr>
            <w:r>
              <w:rPr>
                <w:rFonts w:ascii="Times New Roman" w:hAnsi="Times New Roman"/>
                <w:color w:val="000000"/>
                <w:shd w:val="clear" w:color="auto" w:fill="FFFFFF"/>
              </w:rPr>
              <w:t xml:space="preserve">Zgodnie z pkt 16 preambuły do </w:t>
            </w:r>
            <w:r w:rsidRPr="00125718">
              <w:rPr>
                <w:rFonts w:ascii="Times New Roman" w:hAnsi="Times New Roman"/>
                <w:color w:val="000000"/>
                <w:shd w:val="clear" w:color="auto" w:fill="FFFFFF"/>
              </w:rPr>
              <w:t xml:space="preserve">rozporządzenia </w:t>
            </w:r>
            <w:r w:rsidRPr="00125718">
              <w:rPr>
                <w:rFonts w:ascii="Times New Roman" w:hAnsi="Times New Roman"/>
              </w:rPr>
              <w:t>2022/2554</w:t>
            </w:r>
            <w:r>
              <w:rPr>
                <w:rFonts w:ascii="Times New Roman" w:hAnsi="Times New Roman"/>
              </w:rPr>
              <w:t xml:space="preserve">: „(…) rozporządzenie zwiększa poziom harmonizacji różnych elementów odporności cyfrowej poprzez wprowadzenie wymogów w zakresie zarządzania ryzykiem związanym z ICT i zgłaszania incydentów związanych z ICT, które to wymogi są bardziej rygorystyczne w porównaniu z wymogami określonymi w obecnych unijnych przepisach </w:t>
            </w:r>
            <w:r w:rsidR="00AA391C">
              <w:rPr>
                <w:rFonts w:ascii="Times New Roman" w:hAnsi="Times New Roman"/>
              </w:rPr>
              <w:t xml:space="preserve">dotyczących usług finansowych, ten wyższy poziom zapewnia zwiększoną harmonizację również w porównaniu z wymogami określonymi w dyrektywie (UE) 2022/2555 (…)”. </w:t>
            </w:r>
          </w:p>
          <w:p w14:paraId="699A7D17" w14:textId="3E146368" w:rsidR="008B1B9D" w:rsidRPr="00D852BC" w:rsidRDefault="00AA391C" w:rsidP="00AA391C">
            <w:pPr>
              <w:spacing w:after="120" w:line="240" w:lineRule="auto"/>
              <w:jc w:val="both"/>
              <w:rPr>
                <w:rFonts w:ascii="Times New Roman" w:hAnsi="Times New Roman"/>
                <w:color w:val="000000"/>
                <w:shd w:val="clear" w:color="auto" w:fill="FFFFFF"/>
              </w:rPr>
            </w:pPr>
            <w:r w:rsidRPr="00D852BC">
              <w:rPr>
                <w:rFonts w:ascii="Times New Roman" w:hAnsi="Times New Roman"/>
                <w:color w:val="000000"/>
                <w:shd w:val="clear" w:color="auto" w:fill="FFFFFF"/>
              </w:rPr>
              <w:t xml:space="preserve">W zakresie stosunku rozporządzenia </w:t>
            </w:r>
            <w:r w:rsidRPr="00D852BC">
              <w:rPr>
                <w:rFonts w:ascii="Times New Roman" w:hAnsi="Times New Roman"/>
              </w:rPr>
              <w:t>2022/2554</w:t>
            </w:r>
            <w:r w:rsidRPr="00D852BC">
              <w:rPr>
                <w:rFonts w:ascii="Times New Roman" w:hAnsi="Times New Roman"/>
                <w:color w:val="000000"/>
                <w:shd w:val="clear" w:color="auto" w:fill="FFFFFF"/>
              </w:rPr>
              <w:t xml:space="preserve"> do regulacji o charakterze ogólnym, zgodnie z art. 1 ust. 2, w odniesieniu do podmiotów finansowych zidentyfikowanych jako podmioty kluczowe lub ważne zgodnie z przepisami krajowymi transponującymi art. 3 dyrektywy</w:t>
            </w:r>
            <w:r w:rsidR="00E0071D" w:rsidRPr="00D852BC">
              <w:rPr>
                <w:rFonts w:ascii="Times New Roman" w:hAnsi="Times New Roman"/>
                <w:shd w:val="clear" w:color="auto" w:fill="FFFFFF"/>
              </w:rPr>
              <w:t xml:space="preserve"> Parlamentu Europejskiego i Rady 2022/2555 z dnia 14 grudnia 2022 r. w sprawie środków na rzecz wysokiego wspólnego poziomu cyberbezpieczeństwa na terytorium Unii, zmieniająca rozporządzenie (UE) nr 910/2014 i dyrektywę (UE) 2018/1972 oraz uchylająca dyrektywę (UE) 2016/1148 (dyrektywa NIS 2)</w:t>
            </w:r>
            <w:r w:rsidR="00E0071D" w:rsidRPr="00D852BC">
              <w:rPr>
                <w:rFonts w:ascii="Times New Roman" w:hAnsi="Times New Roman"/>
                <w:color w:val="000000"/>
                <w:shd w:val="clear" w:color="auto" w:fill="FFFFFF"/>
              </w:rPr>
              <w:t xml:space="preserve">, </w:t>
            </w:r>
            <w:r w:rsidRPr="00D852BC">
              <w:rPr>
                <w:rFonts w:ascii="Times New Roman" w:hAnsi="Times New Roman"/>
                <w:color w:val="000000"/>
                <w:shd w:val="clear" w:color="auto" w:fill="FFFFFF"/>
              </w:rPr>
              <w:t>niniejsze rozporządzenie uznaje się za sektorowy akt prawny Unii</w:t>
            </w:r>
            <w:r w:rsidR="008E0B3D" w:rsidRPr="00D852BC">
              <w:rPr>
                <w:rFonts w:ascii="Times New Roman" w:hAnsi="Times New Roman"/>
                <w:color w:val="000000"/>
                <w:shd w:val="clear" w:color="auto" w:fill="FFFFFF"/>
              </w:rPr>
              <w:t xml:space="preserve"> Europejskiej</w:t>
            </w:r>
            <w:r w:rsidRPr="00D852BC">
              <w:rPr>
                <w:rFonts w:ascii="Times New Roman" w:hAnsi="Times New Roman"/>
                <w:color w:val="000000"/>
                <w:shd w:val="clear" w:color="auto" w:fill="FFFFFF"/>
              </w:rPr>
              <w:t xml:space="preserve"> do celów art. 4 tej dyrektywy.</w:t>
            </w:r>
            <w:r w:rsidR="007E080F" w:rsidRPr="00D852BC">
              <w:rPr>
                <w:rFonts w:ascii="Times New Roman" w:hAnsi="Times New Roman"/>
                <w:color w:val="000000"/>
                <w:shd w:val="clear" w:color="auto" w:fill="FFFFFF"/>
              </w:rPr>
              <w:t xml:space="preserve"> </w:t>
            </w:r>
            <w:r w:rsidR="001853AF" w:rsidRPr="00D852BC">
              <w:rPr>
                <w:rFonts w:ascii="Times New Roman" w:hAnsi="Times New Roman"/>
                <w:color w:val="000000"/>
                <w:shd w:val="clear" w:color="auto" w:fill="FFFFFF"/>
              </w:rPr>
              <w:t xml:space="preserve">W związku z powyższym, projektowana ustawa wprowadzi regulacje szczególne, dedykowane sektorowi usług finansowych. </w:t>
            </w:r>
          </w:p>
        </w:tc>
      </w:tr>
      <w:tr w:rsidR="008B1B9D" w:rsidRPr="008B4FE6" w14:paraId="25617536" w14:textId="77777777" w:rsidTr="00F61CC9">
        <w:trPr>
          <w:trHeight w:val="142"/>
        </w:trPr>
        <w:tc>
          <w:tcPr>
            <w:tcW w:w="10803" w:type="dxa"/>
            <w:gridSpan w:val="29"/>
            <w:shd w:val="clear" w:color="auto" w:fill="99CCFF"/>
          </w:tcPr>
          <w:p w14:paraId="1B945A86" w14:textId="77777777" w:rsidR="008B1B9D" w:rsidRPr="00627221" w:rsidRDefault="008B1B9D" w:rsidP="008B1B9D">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8B1B9D" w:rsidRPr="008B4FE6" w14:paraId="243DB180" w14:textId="77777777" w:rsidTr="00F61CC9">
        <w:trPr>
          <w:trHeight w:val="142"/>
        </w:trPr>
        <w:tc>
          <w:tcPr>
            <w:tcW w:w="10803" w:type="dxa"/>
            <w:gridSpan w:val="29"/>
            <w:shd w:val="clear" w:color="auto" w:fill="FFFFFF"/>
          </w:tcPr>
          <w:p w14:paraId="26DA6ABE" w14:textId="77777777" w:rsidR="008B1B9D" w:rsidRPr="00AC1776" w:rsidRDefault="008B1B9D" w:rsidP="008B1B9D">
            <w:pPr>
              <w:spacing w:line="240" w:lineRule="auto"/>
              <w:jc w:val="both"/>
              <w:rPr>
                <w:rFonts w:ascii="Times New Roman" w:hAnsi="Times New Roman"/>
                <w:spacing w:val="-2"/>
              </w:rPr>
            </w:pPr>
            <w:r w:rsidRPr="00AC1776">
              <w:rPr>
                <w:rFonts w:ascii="Times New Roman" w:eastAsia="Times New Roman" w:hAnsi="Times New Roman"/>
                <w:lang w:eastAsia="pl-PL"/>
              </w:rPr>
              <w:t>Planowane wykonanie przepisów ustawy nastąpi wraz z jej wejściem w życie.</w:t>
            </w:r>
          </w:p>
        </w:tc>
      </w:tr>
      <w:tr w:rsidR="008B1B9D" w:rsidRPr="008B4FE6" w14:paraId="40979B00" w14:textId="77777777" w:rsidTr="00F61CC9">
        <w:trPr>
          <w:trHeight w:val="142"/>
        </w:trPr>
        <w:tc>
          <w:tcPr>
            <w:tcW w:w="10803" w:type="dxa"/>
            <w:gridSpan w:val="29"/>
            <w:shd w:val="clear" w:color="auto" w:fill="99CCFF"/>
          </w:tcPr>
          <w:p w14:paraId="6DCF30FF" w14:textId="77777777" w:rsidR="008B1B9D" w:rsidRPr="008B4FE6" w:rsidRDefault="008B1B9D" w:rsidP="008B1B9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8B1B9D" w:rsidRPr="008B4FE6" w14:paraId="2109CBD5" w14:textId="77777777" w:rsidTr="00F61CC9">
        <w:trPr>
          <w:trHeight w:val="142"/>
        </w:trPr>
        <w:tc>
          <w:tcPr>
            <w:tcW w:w="10803" w:type="dxa"/>
            <w:gridSpan w:val="29"/>
            <w:shd w:val="clear" w:color="auto" w:fill="FFFFFF"/>
          </w:tcPr>
          <w:p w14:paraId="13222C4A" w14:textId="77777777" w:rsidR="008B1B9D" w:rsidRPr="00AC1776" w:rsidRDefault="008B1B9D" w:rsidP="008B1B9D">
            <w:pPr>
              <w:spacing w:line="240" w:lineRule="auto"/>
              <w:jc w:val="both"/>
              <w:rPr>
                <w:rFonts w:ascii="Times New Roman" w:hAnsi="Times New Roman"/>
                <w:color w:val="000000"/>
                <w:spacing w:val="-2"/>
              </w:rPr>
            </w:pPr>
            <w:r w:rsidRPr="00AC1776">
              <w:rPr>
                <w:rFonts w:ascii="Times New Roman" w:eastAsia="Times New Roman" w:hAnsi="Times New Roman"/>
                <w:lang w:eastAsia="pl-PL"/>
              </w:rPr>
              <w:t xml:space="preserve">Stosowanie regulacji będzie stanowić przedmiot bieżących analiz prowadzonych przez Ministerstwo Finansów oraz KNF. </w:t>
            </w:r>
          </w:p>
        </w:tc>
      </w:tr>
      <w:tr w:rsidR="008B1B9D" w:rsidRPr="008B4FE6" w14:paraId="3AAB6921" w14:textId="77777777" w:rsidTr="00F61CC9">
        <w:trPr>
          <w:trHeight w:val="142"/>
        </w:trPr>
        <w:tc>
          <w:tcPr>
            <w:tcW w:w="10803" w:type="dxa"/>
            <w:gridSpan w:val="29"/>
            <w:shd w:val="clear" w:color="auto" w:fill="99CCFF"/>
          </w:tcPr>
          <w:p w14:paraId="0FDD5FA8" w14:textId="77777777" w:rsidR="008B1B9D" w:rsidRPr="008B4FE6" w:rsidRDefault="008B1B9D" w:rsidP="008B1B9D">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8B1B9D" w:rsidRPr="008B4FE6" w14:paraId="057BADBF" w14:textId="77777777" w:rsidTr="00F61CC9">
        <w:trPr>
          <w:trHeight w:val="65"/>
        </w:trPr>
        <w:tc>
          <w:tcPr>
            <w:tcW w:w="10803" w:type="dxa"/>
            <w:gridSpan w:val="29"/>
            <w:shd w:val="clear" w:color="auto" w:fill="FFFFFF"/>
          </w:tcPr>
          <w:p w14:paraId="5CECDA33" w14:textId="77777777" w:rsidR="008B1B9D" w:rsidRPr="00B37C80" w:rsidRDefault="008B1B9D" w:rsidP="008B1B9D">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74C53C58" w14:textId="77777777" w:rsidR="006176ED" w:rsidRPr="00522D94" w:rsidRDefault="006176ED" w:rsidP="009967F0">
      <w:pPr>
        <w:spacing w:after="120"/>
        <w:jc w:val="both"/>
        <w:rPr>
          <w:rFonts w:ascii="Times New Roman" w:hAnsi="Times New Roman"/>
          <w:sz w:val="20"/>
          <w:szCs w:val="20"/>
        </w:rPr>
      </w:pPr>
    </w:p>
    <w:sectPr w:rsidR="006176ED" w:rsidRPr="00522D94" w:rsidSect="00725DE7">
      <w:footerReference w:type="default" r:id="rId12"/>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0A6E" w14:textId="77777777" w:rsidR="00EA074C" w:rsidRDefault="00EA074C" w:rsidP="00044739">
      <w:pPr>
        <w:spacing w:line="240" w:lineRule="auto"/>
      </w:pPr>
      <w:r>
        <w:separator/>
      </w:r>
    </w:p>
  </w:endnote>
  <w:endnote w:type="continuationSeparator" w:id="0">
    <w:p w14:paraId="2D318136" w14:textId="77777777" w:rsidR="00EA074C" w:rsidRDefault="00EA074C"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6585"/>
      <w:docPartObj>
        <w:docPartGallery w:val="Page Numbers (Bottom of Page)"/>
        <w:docPartUnique/>
      </w:docPartObj>
    </w:sdtPr>
    <w:sdtEndPr/>
    <w:sdtContent>
      <w:p w14:paraId="558F7456" w14:textId="77777777" w:rsidR="002406D3" w:rsidRDefault="002406D3">
        <w:pPr>
          <w:pStyle w:val="Stopka"/>
          <w:jc w:val="right"/>
        </w:pPr>
        <w:r>
          <w:fldChar w:fldCharType="begin"/>
        </w:r>
        <w:r>
          <w:instrText>PAGE   \* MERGEFORMAT</w:instrText>
        </w:r>
        <w:r>
          <w:fldChar w:fldCharType="separate"/>
        </w:r>
        <w:r w:rsidR="00F32170">
          <w:rPr>
            <w:noProof/>
          </w:rPr>
          <w:t>1</w:t>
        </w:r>
        <w:r>
          <w:fldChar w:fldCharType="end"/>
        </w:r>
      </w:p>
    </w:sdtContent>
  </w:sdt>
  <w:p w14:paraId="7B6EE44D" w14:textId="77777777" w:rsidR="002406D3" w:rsidRDefault="002406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E4B8" w14:textId="77777777" w:rsidR="00EA074C" w:rsidRDefault="00EA074C" w:rsidP="00044739">
      <w:pPr>
        <w:spacing w:line="240" w:lineRule="auto"/>
      </w:pPr>
      <w:r>
        <w:separator/>
      </w:r>
    </w:p>
  </w:footnote>
  <w:footnote w:type="continuationSeparator" w:id="0">
    <w:p w14:paraId="4E82FD7B" w14:textId="77777777" w:rsidR="00EA074C" w:rsidRDefault="00EA074C"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0F6553"/>
    <w:multiLevelType w:val="hybridMultilevel"/>
    <w:tmpl w:val="C0483EE0"/>
    <w:lvl w:ilvl="0" w:tplc="2CF86D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465BF9"/>
    <w:multiLevelType w:val="hybridMultilevel"/>
    <w:tmpl w:val="36500030"/>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
    <w:nsid w:val="12614470"/>
    <w:multiLevelType w:val="hybridMultilevel"/>
    <w:tmpl w:val="862E1DA6"/>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nsid w:val="19464CEB"/>
    <w:multiLevelType w:val="hybridMultilevel"/>
    <w:tmpl w:val="0CFEA99C"/>
    <w:lvl w:ilvl="0" w:tplc="2CF86D8E">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
    <w:nsid w:val="1B83206F"/>
    <w:multiLevelType w:val="hybridMultilevel"/>
    <w:tmpl w:val="DD92C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F4975BC"/>
    <w:multiLevelType w:val="hybridMultilevel"/>
    <w:tmpl w:val="F85ED2BC"/>
    <w:lvl w:ilvl="0" w:tplc="2332B4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3">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93329D"/>
    <w:multiLevelType w:val="hybridMultilevel"/>
    <w:tmpl w:val="017A12CA"/>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955D0B"/>
    <w:multiLevelType w:val="hybridMultilevel"/>
    <w:tmpl w:val="2DEAB88A"/>
    <w:lvl w:ilvl="0" w:tplc="12DAB63E">
      <w:start w:val="1"/>
      <w:numFmt w:val="decimal"/>
      <w:lvlText w:val="%1)"/>
      <w:lvlJc w:val="left"/>
      <w:pPr>
        <w:ind w:left="360" w:hanging="360"/>
      </w:pPr>
      <w:rPr>
        <w:rFonts w:eastAsia="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F06424"/>
    <w:multiLevelType w:val="hybridMultilevel"/>
    <w:tmpl w:val="E60CEA72"/>
    <w:lvl w:ilvl="0" w:tplc="2CF86D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nsid w:val="3F184817"/>
    <w:multiLevelType w:val="hybridMultilevel"/>
    <w:tmpl w:val="B4301224"/>
    <w:lvl w:ilvl="0" w:tplc="DA9E71FE">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FE7DA4"/>
    <w:multiLevelType w:val="hybridMultilevel"/>
    <w:tmpl w:val="C16027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0760C2"/>
    <w:multiLevelType w:val="hybridMultilevel"/>
    <w:tmpl w:val="5BD0A810"/>
    <w:lvl w:ilvl="0" w:tplc="DA9E71FE">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7166A3"/>
    <w:multiLevelType w:val="hybridMultilevel"/>
    <w:tmpl w:val="53B82746"/>
    <w:lvl w:ilvl="0" w:tplc="E3946502">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6">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nsid w:val="610B2EB7"/>
    <w:multiLevelType w:val="hybridMultilevel"/>
    <w:tmpl w:val="D8A6115A"/>
    <w:lvl w:ilvl="0" w:tplc="DA9E7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6808B4"/>
    <w:multiLevelType w:val="hybridMultilevel"/>
    <w:tmpl w:val="1F4CF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nsid w:val="642F1983"/>
    <w:multiLevelType w:val="hybridMultilevel"/>
    <w:tmpl w:val="E5ACA06C"/>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5">
    <w:nsid w:val="66645593"/>
    <w:multiLevelType w:val="hybridMultilevel"/>
    <w:tmpl w:val="06DEB5C4"/>
    <w:lvl w:ilvl="0" w:tplc="DF509330">
      <w:start w:val="1"/>
      <w:numFmt w:val="decimal"/>
      <w:lvlText w:val="%1."/>
      <w:lvlJc w:val="left"/>
      <w:pPr>
        <w:ind w:left="315" w:hanging="360"/>
      </w:pPr>
      <w:rPr>
        <w:rFonts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36">
    <w:nsid w:val="6B352B93"/>
    <w:multiLevelType w:val="hybridMultilevel"/>
    <w:tmpl w:val="B85AC332"/>
    <w:lvl w:ilvl="0" w:tplc="DA9E71FE">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193892"/>
    <w:multiLevelType w:val="hybridMultilevel"/>
    <w:tmpl w:val="FD540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4813C1"/>
    <w:multiLevelType w:val="hybridMultilevel"/>
    <w:tmpl w:val="0D7E1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72B020DF"/>
    <w:multiLevelType w:val="hybridMultilevel"/>
    <w:tmpl w:val="7FAA1B64"/>
    <w:lvl w:ilvl="0" w:tplc="DA9E71FE">
      <w:start w:val="1"/>
      <w:numFmt w:val="bullet"/>
      <w:lvlText w:val="-"/>
      <w:lvlJc w:val="left"/>
      <w:pPr>
        <w:ind w:left="783" w:hanging="360"/>
      </w:pPr>
      <w:rPr>
        <w:rFonts w:ascii="Courier New" w:hAnsi="Courier New"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1">
    <w:nsid w:val="768D606D"/>
    <w:multiLevelType w:val="hybridMultilevel"/>
    <w:tmpl w:val="F3DCF038"/>
    <w:lvl w:ilvl="0" w:tplc="2CF86D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0"/>
  </w:num>
  <w:num w:numId="3">
    <w:abstractNumId w:val="17"/>
  </w:num>
  <w:num w:numId="4">
    <w:abstractNumId w:val="31"/>
  </w:num>
  <w:num w:numId="5">
    <w:abstractNumId w:val="1"/>
  </w:num>
  <w:num w:numId="6">
    <w:abstractNumId w:val="13"/>
  </w:num>
  <w:num w:numId="7">
    <w:abstractNumId w:val="23"/>
  </w:num>
  <w:num w:numId="8">
    <w:abstractNumId w:val="10"/>
  </w:num>
  <w:num w:numId="9">
    <w:abstractNumId w:val="26"/>
  </w:num>
  <w:num w:numId="10">
    <w:abstractNumId w:val="19"/>
  </w:num>
  <w:num w:numId="11">
    <w:abstractNumId w:val="25"/>
  </w:num>
  <w:num w:numId="12">
    <w:abstractNumId w:val="5"/>
  </w:num>
  <w:num w:numId="13">
    <w:abstractNumId w:val="18"/>
  </w:num>
  <w:num w:numId="14">
    <w:abstractNumId w:val="33"/>
  </w:num>
  <w:num w:numId="15">
    <w:abstractNumId w:val="27"/>
  </w:num>
  <w:num w:numId="16">
    <w:abstractNumId w:val="29"/>
  </w:num>
  <w:num w:numId="17">
    <w:abstractNumId w:val="11"/>
  </w:num>
  <w:num w:numId="18">
    <w:abstractNumId w:val="39"/>
  </w:num>
  <w:num w:numId="19">
    <w:abstractNumId w:val="42"/>
  </w:num>
  <w:num w:numId="20">
    <w:abstractNumId w:val="28"/>
  </w:num>
  <w:num w:numId="21">
    <w:abstractNumId w:val="12"/>
  </w:num>
  <w:num w:numId="22">
    <w:abstractNumId w:val="30"/>
  </w:num>
  <w:num w:numId="23">
    <w:abstractNumId w:val="35"/>
  </w:num>
  <w:num w:numId="24">
    <w:abstractNumId w:val="22"/>
  </w:num>
  <w:num w:numId="25">
    <w:abstractNumId w:val="38"/>
  </w:num>
  <w:num w:numId="26">
    <w:abstractNumId w:val="4"/>
  </w:num>
  <w:num w:numId="27">
    <w:abstractNumId w:val="16"/>
  </w:num>
  <w:num w:numId="28">
    <w:abstractNumId w:val="41"/>
  </w:num>
  <w:num w:numId="29">
    <w:abstractNumId w:val="2"/>
  </w:num>
  <w:num w:numId="30">
    <w:abstractNumId w:val="6"/>
  </w:num>
  <w:num w:numId="31">
    <w:abstractNumId w:val="14"/>
  </w:num>
  <w:num w:numId="32">
    <w:abstractNumId w:val="40"/>
  </w:num>
  <w:num w:numId="33">
    <w:abstractNumId w:val="8"/>
  </w:num>
  <w:num w:numId="34">
    <w:abstractNumId w:val="32"/>
  </w:num>
  <w:num w:numId="35">
    <w:abstractNumId w:val="37"/>
  </w:num>
  <w:num w:numId="36">
    <w:abstractNumId w:val="15"/>
  </w:num>
  <w:num w:numId="37">
    <w:abstractNumId w:val="20"/>
  </w:num>
  <w:num w:numId="38">
    <w:abstractNumId w:val="3"/>
  </w:num>
  <w:num w:numId="39">
    <w:abstractNumId w:val="38"/>
  </w:num>
  <w:num w:numId="40">
    <w:abstractNumId w:val="34"/>
  </w:num>
  <w:num w:numId="41">
    <w:abstractNumId w:val="36"/>
  </w:num>
  <w:num w:numId="42">
    <w:abstractNumId w:val="21"/>
  </w:num>
  <w:num w:numId="43">
    <w:abstractNumId w:val="2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19E"/>
    <w:rsid w:val="000008E5"/>
    <w:rsid w:val="000015EE"/>
    <w:rsid w:val="000022D5"/>
    <w:rsid w:val="0000280F"/>
    <w:rsid w:val="0000375F"/>
    <w:rsid w:val="00004C6A"/>
    <w:rsid w:val="00005D7C"/>
    <w:rsid w:val="000078F3"/>
    <w:rsid w:val="00007E6A"/>
    <w:rsid w:val="000125AD"/>
    <w:rsid w:val="00012D11"/>
    <w:rsid w:val="00013DAC"/>
    <w:rsid w:val="00013EB5"/>
    <w:rsid w:val="0001485F"/>
    <w:rsid w:val="00017D64"/>
    <w:rsid w:val="00021D8D"/>
    <w:rsid w:val="00022A2D"/>
    <w:rsid w:val="00023836"/>
    <w:rsid w:val="00024605"/>
    <w:rsid w:val="00025451"/>
    <w:rsid w:val="00026D14"/>
    <w:rsid w:val="000310CF"/>
    <w:rsid w:val="00031BEA"/>
    <w:rsid w:val="0003244B"/>
    <w:rsid w:val="00034BDD"/>
    <w:rsid w:val="000356A9"/>
    <w:rsid w:val="0003581C"/>
    <w:rsid w:val="00042A0E"/>
    <w:rsid w:val="00044138"/>
    <w:rsid w:val="00044739"/>
    <w:rsid w:val="000455FE"/>
    <w:rsid w:val="0004562C"/>
    <w:rsid w:val="00045EF4"/>
    <w:rsid w:val="000462C2"/>
    <w:rsid w:val="00046D85"/>
    <w:rsid w:val="00046E3B"/>
    <w:rsid w:val="00050278"/>
    <w:rsid w:val="00050F77"/>
    <w:rsid w:val="00051637"/>
    <w:rsid w:val="00052439"/>
    <w:rsid w:val="00052BA3"/>
    <w:rsid w:val="00056681"/>
    <w:rsid w:val="0005762D"/>
    <w:rsid w:val="00062331"/>
    <w:rsid w:val="00062348"/>
    <w:rsid w:val="0006287B"/>
    <w:rsid w:val="000648A7"/>
    <w:rsid w:val="00065BF1"/>
    <w:rsid w:val="00065F75"/>
    <w:rsid w:val="00065FE4"/>
    <w:rsid w:val="0006618B"/>
    <w:rsid w:val="000670C0"/>
    <w:rsid w:val="00070B68"/>
    <w:rsid w:val="000711A4"/>
    <w:rsid w:val="00071B3D"/>
    <w:rsid w:val="00071B99"/>
    <w:rsid w:val="000725B3"/>
    <w:rsid w:val="00073C6F"/>
    <w:rsid w:val="00075643"/>
    <w:rsid w:val="000756E5"/>
    <w:rsid w:val="00075F9A"/>
    <w:rsid w:val="0007704E"/>
    <w:rsid w:val="00080EC8"/>
    <w:rsid w:val="00081F98"/>
    <w:rsid w:val="00082F53"/>
    <w:rsid w:val="000832BF"/>
    <w:rsid w:val="00083AE4"/>
    <w:rsid w:val="000853F0"/>
    <w:rsid w:val="0008551E"/>
    <w:rsid w:val="00085E29"/>
    <w:rsid w:val="00086571"/>
    <w:rsid w:val="00086B44"/>
    <w:rsid w:val="00086F67"/>
    <w:rsid w:val="00091131"/>
    <w:rsid w:val="00091A87"/>
    <w:rsid w:val="00092BFB"/>
    <w:rsid w:val="00093832"/>
    <w:rsid w:val="00093F3F"/>
    <w:rsid w:val="000944AC"/>
    <w:rsid w:val="00094CB9"/>
    <w:rsid w:val="000954F3"/>
    <w:rsid w:val="000956B2"/>
    <w:rsid w:val="000969E7"/>
    <w:rsid w:val="00096F35"/>
    <w:rsid w:val="000A0F0D"/>
    <w:rsid w:val="000A23DE"/>
    <w:rsid w:val="000A4020"/>
    <w:rsid w:val="000A432D"/>
    <w:rsid w:val="000A674A"/>
    <w:rsid w:val="000A6BBF"/>
    <w:rsid w:val="000B14EB"/>
    <w:rsid w:val="000B1F9A"/>
    <w:rsid w:val="000B3152"/>
    <w:rsid w:val="000B4015"/>
    <w:rsid w:val="000B4B64"/>
    <w:rsid w:val="000B54FB"/>
    <w:rsid w:val="000B60F2"/>
    <w:rsid w:val="000B6429"/>
    <w:rsid w:val="000C1F09"/>
    <w:rsid w:val="000C29B0"/>
    <w:rsid w:val="000C2F56"/>
    <w:rsid w:val="000C7565"/>
    <w:rsid w:val="000C76FC"/>
    <w:rsid w:val="000D04DF"/>
    <w:rsid w:val="000D1E21"/>
    <w:rsid w:val="000D2373"/>
    <w:rsid w:val="000D25BA"/>
    <w:rsid w:val="000D355F"/>
    <w:rsid w:val="000D38FC"/>
    <w:rsid w:val="000D4D90"/>
    <w:rsid w:val="000D6DA0"/>
    <w:rsid w:val="000E2602"/>
    <w:rsid w:val="000E2D10"/>
    <w:rsid w:val="000E5AD0"/>
    <w:rsid w:val="000E7FDA"/>
    <w:rsid w:val="000F0A54"/>
    <w:rsid w:val="000F2409"/>
    <w:rsid w:val="000F3204"/>
    <w:rsid w:val="000F37E9"/>
    <w:rsid w:val="000F3EDD"/>
    <w:rsid w:val="000F4F35"/>
    <w:rsid w:val="000F61A6"/>
    <w:rsid w:val="000F6241"/>
    <w:rsid w:val="000F7422"/>
    <w:rsid w:val="001001D9"/>
    <w:rsid w:val="001031FB"/>
    <w:rsid w:val="00103C3B"/>
    <w:rsid w:val="0010548B"/>
    <w:rsid w:val="00105A4E"/>
    <w:rsid w:val="0010671A"/>
    <w:rsid w:val="001067B5"/>
    <w:rsid w:val="001072D1"/>
    <w:rsid w:val="0011036A"/>
    <w:rsid w:val="0011238A"/>
    <w:rsid w:val="00115C94"/>
    <w:rsid w:val="00115C99"/>
    <w:rsid w:val="00117017"/>
    <w:rsid w:val="001218EC"/>
    <w:rsid w:val="00125718"/>
    <w:rsid w:val="00125869"/>
    <w:rsid w:val="00130873"/>
    <w:rsid w:val="00130E8E"/>
    <w:rsid w:val="00131256"/>
    <w:rsid w:val="0013216E"/>
    <w:rsid w:val="0013476F"/>
    <w:rsid w:val="0013535D"/>
    <w:rsid w:val="001364B8"/>
    <w:rsid w:val="001370D2"/>
    <w:rsid w:val="001401B5"/>
    <w:rsid w:val="00141253"/>
    <w:rsid w:val="001421A8"/>
    <w:rsid w:val="001422B9"/>
    <w:rsid w:val="00142976"/>
    <w:rsid w:val="001434F6"/>
    <w:rsid w:val="0014665F"/>
    <w:rsid w:val="00147ECE"/>
    <w:rsid w:val="001518CF"/>
    <w:rsid w:val="001532F8"/>
    <w:rsid w:val="00153464"/>
    <w:rsid w:val="001541B3"/>
    <w:rsid w:val="00155B15"/>
    <w:rsid w:val="00157376"/>
    <w:rsid w:val="00157654"/>
    <w:rsid w:val="00160D10"/>
    <w:rsid w:val="001625BE"/>
    <w:rsid w:val="00162C75"/>
    <w:rsid w:val="00163082"/>
    <w:rsid w:val="001643A4"/>
    <w:rsid w:val="0016449E"/>
    <w:rsid w:val="00165A39"/>
    <w:rsid w:val="0016641B"/>
    <w:rsid w:val="00167FDF"/>
    <w:rsid w:val="001702F3"/>
    <w:rsid w:val="00171D32"/>
    <w:rsid w:val="0017217F"/>
    <w:rsid w:val="001727BB"/>
    <w:rsid w:val="00174D94"/>
    <w:rsid w:val="00177913"/>
    <w:rsid w:val="0018028E"/>
    <w:rsid w:val="00180D25"/>
    <w:rsid w:val="001814EE"/>
    <w:rsid w:val="00181ED5"/>
    <w:rsid w:val="001827A2"/>
    <w:rsid w:val="0018318D"/>
    <w:rsid w:val="00184144"/>
    <w:rsid w:val="001850B4"/>
    <w:rsid w:val="001853AF"/>
    <w:rsid w:val="00185416"/>
    <w:rsid w:val="0018570E"/>
    <w:rsid w:val="0018572C"/>
    <w:rsid w:val="00185D03"/>
    <w:rsid w:val="001870AC"/>
    <w:rsid w:val="00187E79"/>
    <w:rsid w:val="00187F0D"/>
    <w:rsid w:val="00187FC5"/>
    <w:rsid w:val="001908FA"/>
    <w:rsid w:val="00192259"/>
    <w:rsid w:val="00192CC5"/>
    <w:rsid w:val="00193F73"/>
    <w:rsid w:val="00194CED"/>
    <w:rsid w:val="001956A7"/>
    <w:rsid w:val="00195B9C"/>
    <w:rsid w:val="001978BB"/>
    <w:rsid w:val="001A118A"/>
    <w:rsid w:val="001A16F9"/>
    <w:rsid w:val="001A27F4"/>
    <w:rsid w:val="001A2D95"/>
    <w:rsid w:val="001A34F9"/>
    <w:rsid w:val="001A381B"/>
    <w:rsid w:val="001A7C85"/>
    <w:rsid w:val="001B19D7"/>
    <w:rsid w:val="001B1A19"/>
    <w:rsid w:val="001B3460"/>
    <w:rsid w:val="001B3BB5"/>
    <w:rsid w:val="001B4CA1"/>
    <w:rsid w:val="001B5190"/>
    <w:rsid w:val="001B5BB8"/>
    <w:rsid w:val="001B725C"/>
    <w:rsid w:val="001B75D8"/>
    <w:rsid w:val="001C1060"/>
    <w:rsid w:val="001C3C63"/>
    <w:rsid w:val="001C454E"/>
    <w:rsid w:val="001C6521"/>
    <w:rsid w:val="001D1587"/>
    <w:rsid w:val="001D1622"/>
    <w:rsid w:val="001D24E3"/>
    <w:rsid w:val="001D418F"/>
    <w:rsid w:val="001D4732"/>
    <w:rsid w:val="001D4C5F"/>
    <w:rsid w:val="001D5725"/>
    <w:rsid w:val="001D617D"/>
    <w:rsid w:val="001D6A3C"/>
    <w:rsid w:val="001D6D51"/>
    <w:rsid w:val="001D73A7"/>
    <w:rsid w:val="001D78C0"/>
    <w:rsid w:val="001D7A3B"/>
    <w:rsid w:val="001E1F83"/>
    <w:rsid w:val="001E4DFF"/>
    <w:rsid w:val="001E5D7D"/>
    <w:rsid w:val="001E6CC0"/>
    <w:rsid w:val="001E6E5F"/>
    <w:rsid w:val="001E7366"/>
    <w:rsid w:val="001F001C"/>
    <w:rsid w:val="001F078C"/>
    <w:rsid w:val="001F0EF5"/>
    <w:rsid w:val="001F36B1"/>
    <w:rsid w:val="001F653A"/>
    <w:rsid w:val="001F6979"/>
    <w:rsid w:val="00200D12"/>
    <w:rsid w:val="002019F4"/>
    <w:rsid w:val="002021C8"/>
    <w:rsid w:val="00202BC6"/>
    <w:rsid w:val="00202EE8"/>
    <w:rsid w:val="00203E8B"/>
    <w:rsid w:val="00204393"/>
    <w:rsid w:val="00205141"/>
    <w:rsid w:val="0020516B"/>
    <w:rsid w:val="002075C9"/>
    <w:rsid w:val="002111CD"/>
    <w:rsid w:val="0021271B"/>
    <w:rsid w:val="00212FB7"/>
    <w:rsid w:val="00213559"/>
    <w:rsid w:val="00213B18"/>
    <w:rsid w:val="00213EA0"/>
    <w:rsid w:val="00213EFD"/>
    <w:rsid w:val="00214C44"/>
    <w:rsid w:val="0021635D"/>
    <w:rsid w:val="002172F1"/>
    <w:rsid w:val="002176C9"/>
    <w:rsid w:val="00220034"/>
    <w:rsid w:val="00221796"/>
    <w:rsid w:val="002226F4"/>
    <w:rsid w:val="00222AAA"/>
    <w:rsid w:val="00223C7B"/>
    <w:rsid w:val="002241C8"/>
    <w:rsid w:val="002248B6"/>
    <w:rsid w:val="00224AB1"/>
    <w:rsid w:val="002266EF"/>
    <w:rsid w:val="0022687A"/>
    <w:rsid w:val="00226DB5"/>
    <w:rsid w:val="00230005"/>
    <w:rsid w:val="00230728"/>
    <w:rsid w:val="00234040"/>
    <w:rsid w:val="00234D06"/>
    <w:rsid w:val="002358E5"/>
    <w:rsid w:val="00235CD2"/>
    <w:rsid w:val="00236439"/>
    <w:rsid w:val="00236A0E"/>
    <w:rsid w:val="00236A1A"/>
    <w:rsid w:val="00237FD8"/>
    <w:rsid w:val="0024058B"/>
    <w:rsid w:val="002406D3"/>
    <w:rsid w:val="00240C9E"/>
    <w:rsid w:val="0024138B"/>
    <w:rsid w:val="0024285A"/>
    <w:rsid w:val="002438C1"/>
    <w:rsid w:val="00243D94"/>
    <w:rsid w:val="002460F7"/>
    <w:rsid w:val="00246164"/>
    <w:rsid w:val="0025337F"/>
    <w:rsid w:val="00253773"/>
    <w:rsid w:val="00253F9D"/>
    <w:rsid w:val="00254DED"/>
    <w:rsid w:val="0025517C"/>
    <w:rsid w:val="00255619"/>
    <w:rsid w:val="00255DAD"/>
    <w:rsid w:val="00255DD9"/>
    <w:rsid w:val="00255EAE"/>
    <w:rsid w:val="00256108"/>
    <w:rsid w:val="00260F33"/>
    <w:rsid w:val="002613BD"/>
    <w:rsid w:val="002623B3"/>
    <w:rsid w:val="002624F1"/>
    <w:rsid w:val="00264BB3"/>
    <w:rsid w:val="0026642A"/>
    <w:rsid w:val="002706DB"/>
    <w:rsid w:val="00270C81"/>
    <w:rsid w:val="00271558"/>
    <w:rsid w:val="002729FB"/>
    <w:rsid w:val="00274862"/>
    <w:rsid w:val="0027681F"/>
    <w:rsid w:val="00282080"/>
    <w:rsid w:val="00282AAF"/>
    <w:rsid w:val="00282D72"/>
    <w:rsid w:val="00283402"/>
    <w:rsid w:val="002869CF"/>
    <w:rsid w:val="00286E76"/>
    <w:rsid w:val="002876BD"/>
    <w:rsid w:val="00287A0A"/>
    <w:rsid w:val="00290449"/>
    <w:rsid w:val="00290986"/>
    <w:rsid w:val="00290FD6"/>
    <w:rsid w:val="00294259"/>
    <w:rsid w:val="00296BC0"/>
    <w:rsid w:val="00297028"/>
    <w:rsid w:val="002A1715"/>
    <w:rsid w:val="002A250F"/>
    <w:rsid w:val="002A2C81"/>
    <w:rsid w:val="002A3D7F"/>
    <w:rsid w:val="002A631A"/>
    <w:rsid w:val="002B11A4"/>
    <w:rsid w:val="002B1882"/>
    <w:rsid w:val="002B23AF"/>
    <w:rsid w:val="002B3D1A"/>
    <w:rsid w:val="002B6197"/>
    <w:rsid w:val="002C0000"/>
    <w:rsid w:val="002C27D0"/>
    <w:rsid w:val="002C2C9B"/>
    <w:rsid w:val="002C44F1"/>
    <w:rsid w:val="002C5225"/>
    <w:rsid w:val="002C55B8"/>
    <w:rsid w:val="002C7048"/>
    <w:rsid w:val="002D17D6"/>
    <w:rsid w:val="002D18D7"/>
    <w:rsid w:val="002D21CE"/>
    <w:rsid w:val="002D2C35"/>
    <w:rsid w:val="002D4AE2"/>
    <w:rsid w:val="002D6C97"/>
    <w:rsid w:val="002D6F68"/>
    <w:rsid w:val="002D72F2"/>
    <w:rsid w:val="002E0DD1"/>
    <w:rsid w:val="002E1505"/>
    <w:rsid w:val="002E163E"/>
    <w:rsid w:val="002E20C4"/>
    <w:rsid w:val="002E2466"/>
    <w:rsid w:val="002E3DA3"/>
    <w:rsid w:val="002E450F"/>
    <w:rsid w:val="002E46A8"/>
    <w:rsid w:val="002E579B"/>
    <w:rsid w:val="002E6B38"/>
    <w:rsid w:val="002E6D63"/>
    <w:rsid w:val="002E6E2B"/>
    <w:rsid w:val="002F3E00"/>
    <w:rsid w:val="002F500B"/>
    <w:rsid w:val="002F66BB"/>
    <w:rsid w:val="002F672D"/>
    <w:rsid w:val="002F7425"/>
    <w:rsid w:val="00300991"/>
    <w:rsid w:val="00301959"/>
    <w:rsid w:val="003023FB"/>
    <w:rsid w:val="00302423"/>
    <w:rsid w:val="00302E1E"/>
    <w:rsid w:val="00303222"/>
    <w:rsid w:val="00305B8A"/>
    <w:rsid w:val="00306C62"/>
    <w:rsid w:val="00310075"/>
    <w:rsid w:val="0031159C"/>
    <w:rsid w:val="00311BE9"/>
    <w:rsid w:val="00311F2A"/>
    <w:rsid w:val="00312A2A"/>
    <w:rsid w:val="00313A87"/>
    <w:rsid w:val="00314265"/>
    <w:rsid w:val="0031498E"/>
    <w:rsid w:val="003158EF"/>
    <w:rsid w:val="00315F26"/>
    <w:rsid w:val="003168C0"/>
    <w:rsid w:val="00321716"/>
    <w:rsid w:val="00322E25"/>
    <w:rsid w:val="00323E21"/>
    <w:rsid w:val="00324CFD"/>
    <w:rsid w:val="0032621E"/>
    <w:rsid w:val="0033178E"/>
    <w:rsid w:val="00331BF9"/>
    <w:rsid w:val="00333F94"/>
    <w:rsid w:val="0033495E"/>
    <w:rsid w:val="00334A79"/>
    <w:rsid w:val="00334D8D"/>
    <w:rsid w:val="00335FFA"/>
    <w:rsid w:val="0033678D"/>
    <w:rsid w:val="00337345"/>
    <w:rsid w:val="00337C21"/>
    <w:rsid w:val="00337DD2"/>
    <w:rsid w:val="003404D1"/>
    <w:rsid w:val="00340614"/>
    <w:rsid w:val="00340BC2"/>
    <w:rsid w:val="00342BB1"/>
    <w:rsid w:val="00342EDA"/>
    <w:rsid w:val="003443FF"/>
    <w:rsid w:val="00345260"/>
    <w:rsid w:val="00346327"/>
    <w:rsid w:val="00351DDA"/>
    <w:rsid w:val="003525CD"/>
    <w:rsid w:val="0035399D"/>
    <w:rsid w:val="00355808"/>
    <w:rsid w:val="00355B52"/>
    <w:rsid w:val="00356C1E"/>
    <w:rsid w:val="003577B3"/>
    <w:rsid w:val="003602C4"/>
    <w:rsid w:val="00360C7C"/>
    <w:rsid w:val="00361FF4"/>
    <w:rsid w:val="00362C7E"/>
    <w:rsid w:val="00363209"/>
    <w:rsid w:val="00363309"/>
    <w:rsid w:val="00363601"/>
    <w:rsid w:val="00363A67"/>
    <w:rsid w:val="0036400A"/>
    <w:rsid w:val="00364855"/>
    <w:rsid w:val="003671AD"/>
    <w:rsid w:val="00371578"/>
    <w:rsid w:val="00371857"/>
    <w:rsid w:val="0037316E"/>
    <w:rsid w:val="003737E7"/>
    <w:rsid w:val="003740CA"/>
    <w:rsid w:val="00374C2E"/>
    <w:rsid w:val="00376AC9"/>
    <w:rsid w:val="00382A2E"/>
    <w:rsid w:val="003837ED"/>
    <w:rsid w:val="003842F1"/>
    <w:rsid w:val="00385A38"/>
    <w:rsid w:val="00385DDD"/>
    <w:rsid w:val="003865C9"/>
    <w:rsid w:val="00386C0C"/>
    <w:rsid w:val="003874E9"/>
    <w:rsid w:val="003913CE"/>
    <w:rsid w:val="003922C7"/>
    <w:rsid w:val="00393032"/>
    <w:rsid w:val="0039361B"/>
    <w:rsid w:val="003945FE"/>
    <w:rsid w:val="00394B69"/>
    <w:rsid w:val="0039511B"/>
    <w:rsid w:val="00397078"/>
    <w:rsid w:val="003A175E"/>
    <w:rsid w:val="003A54E1"/>
    <w:rsid w:val="003A5875"/>
    <w:rsid w:val="003A6953"/>
    <w:rsid w:val="003B01A5"/>
    <w:rsid w:val="003B067B"/>
    <w:rsid w:val="003B0DBD"/>
    <w:rsid w:val="003B5B3A"/>
    <w:rsid w:val="003B6083"/>
    <w:rsid w:val="003B63ED"/>
    <w:rsid w:val="003B7396"/>
    <w:rsid w:val="003B798B"/>
    <w:rsid w:val="003C0509"/>
    <w:rsid w:val="003C0CAD"/>
    <w:rsid w:val="003C2643"/>
    <w:rsid w:val="003C3838"/>
    <w:rsid w:val="003C3B9D"/>
    <w:rsid w:val="003C5847"/>
    <w:rsid w:val="003C59E4"/>
    <w:rsid w:val="003C5FB7"/>
    <w:rsid w:val="003C5FC2"/>
    <w:rsid w:val="003C7E70"/>
    <w:rsid w:val="003D0292"/>
    <w:rsid w:val="003D061E"/>
    <w:rsid w:val="003D0681"/>
    <w:rsid w:val="003D12F6"/>
    <w:rsid w:val="003D1426"/>
    <w:rsid w:val="003D1E04"/>
    <w:rsid w:val="003D3AEF"/>
    <w:rsid w:val="003E0CA0"/>
    <w:rsid w:val="003E1052"/>
    <w:rsid w:val="003E1ED8"/>
    <w:rsid w:val="003E2F4E"/>
    <w:rsid w:val="003E2FC2"/>
    <w:rsid w:val="003E3B92"/>
    <w:rsid w:val="003E3BF7"/>
    <w:rsid w:val="003E3F44"/>
    <w:rsid w:val="003E4DD9"/>
    <w:rsid w:val="003E647C"/>
    <w:rsid w:val="003E720A"/>
    <w:rsid w:val="003E7FF4"/>
    <w:rsid w:val="003F07E1"/>
    <w:rsid w:val="003F371D"/>
    <w:rsid w:val="003F5CD1"/>
    <w:rsid w:val="003F5FBF"/>
    <w:rsid w:val="003F769A"/>
    <w:rsid w:val="00400210"/>
    <w:rsid w:val="004023E3"/>
    <w:rsid w:val="0040375F"/>
    <w:rsid w:val="00403E6E"/>
    <w:rsid w:val="004044CF"/>
    <w:rsid w:val="004079FC"/>
    <w:rsid w:val="004129B4"/>
    <w:rsid w:val="00414A89"/>
    <w:rsid w:val="00414D29"/>
    <w:rsid w:val="00417679"/>
    <w:rsid w:val="00417EF0"/>
    <w:rsid w:val="00421E32"/>
    <w:rsid w:val="00422181"/>
    <w:rsid w:val="004244A8"/>
    <w:rsid w:val="00425096"/>
    <w:rsid w:val="00425F72"/>
    <w:rsid w:val="00427736"/>
    <w:rsid w:val="0043131B"/>
    <w:rsid w:val="0043202B"/>
    <w:rsid w:val="00432181"/>
    <w:rsid w:val="00432B44"/>
    <w:rsid w:val="0043449C"/>
    <w:rsid w:val="00436F82"/>
    <w:rsid w:val="00437A92"/>
    <w:rsid w:val="00441787"/>
    <w:rsid w:val="004429ED"/>
    <w:rsid w:val="00442AAC"/>
    <w:rsid w:val="0044394C"/>
    <w:rsid w:val="00443FB4"/>
    <w:rsid w:val="00444BF1"/>
    <w:rsid w:val="00444F2D"/>
    <w:rsid w:val="0044683C"/>
    <w:rsid w:val="00451D70"/>
    <w:rsid w:val="00452034"/>
    <w:rsid w:val="004522BA"/>
    <w:rsid w:val="00455FA6"/>
    <w:rsid w:val="00456149"/>
    <w:rsid w:val="00456ADA"/>
    <w:rsid w:val="00456B2A"/>
    <w:rsid w:val="004617A6"/>
    <w:rsid w:val="00462821"/>
    <w:rsid w:val="00462F05"/>
    <w:rsid w:val="00466C70"/>
    <w:rsid w:val="0046720B"/>
    <w:rsid w:val="004702C9"/>
    <w:rsid w:val="00470CDB"/>
    <w:rsid w:val="0047225B"/>
    <w:rsid w:val="00472AB7"/>
    <w:rsid w:val="00472E45"/>
    <w:rsid w:val="00473B6C"/>
    <w:rsid w:val="00473D50"/>
    <w:rsid w:val="00473FEA"/>
    <w:rsid w:val="004745CE"/>
    <w:rsid w:val="0047579D"/>
    <w:rsid w:val="004777FE"/>
    <w:rsid w:val="00477AFE"/>
    <w:rsid w:val="00480EDE"/>
    <w:rsid w:val="00483262"/>
    <w:rsid w:val="00484107"/>
    <w:rsid w:val="004846EC"/>
    <w:rsid w:val="00485CC5"/>
    <w:rsid w:val="00485D0F"/>
    <w:rsid w:val="0048648B"/>
    <w:rsid w:val="00486AD5"/>
    <w:rsid w:val="0048717F"/>
    <w:rsid w:val="0049009F"/>
    <w:rsid w:val="0049343F"/>
    <w:rsid w:val="00493FA0"/>
    <w:rsid w:val="004964FC"/>
    <w:rsid w:val="00496792"/>
    <w:rsid w:val="00496F46"/>
    <w:rsid w:val="004A041A"/>
    <w:rsid w:val="004A145E"/>
    <w:rsid w:val="004A1F15"/>
    <w:rsid w:val="004A2A81"/>
    <w:rsid w:val="004A2CB1"/>
    <w:rsid w:val="004A345E"/>
    <w:rsid w:val="004A5213"/>
    <w:rsid w:val="004A5AE0"/>
    <w:rsid w:val="004A6F3F"/>
    <w:rsid w:val="004A7BD7"/>
    <w:rsid w:val="004A7EB4"/>
    <w:rsid w:val="004B0558"/>
    <w:rsid w:val="004B3034"/>
    <w:rsid w:val="004B3DBF"/>
    <w:rsid w:val="004B504C"/>
    <w:rsid w:val="004B6F4C"/>
    <w:rsid w:val="004B747A"/>
    <w:rsid w:val="004B7976"/>
    <w:rsid w:val="004B7A17"/>
    <w:rsid w:val="004C15C2"/>
    <w:rsid w:val="004C1762"/>
    <w:rsid w:val="004C1C4B"/>
    <w:rsid w:val="004C1CBF"/>
    <w:rsid w:val="004C32BD"/>
    <w:rsid w:val="004C36D8"/>
    <w:rsid w:val="004C5C16"/>
    <w:rsid w:val="004C653D"/>
    <w:rsid w:val="004D1248"/>
    <w:rsid w:val="004D1511"/>
    <w:rsid w:val="004D1E3C"/>
    <w:rsid w:val="004D29BD"/>
    <w:rsid w:val="004D3277"/>
    <w:rsid w:val="004D40C7"/>
    <w:rsid w:val="004D4169"/>
    <w:rsid w:val="004D6725"/>
    <w:rsid w:val="004D6E14"/>
    <w:rsid w:val="004D77AD"/>
    <w:rsid w:val="004E2197"/>
    <w:rsid w:val="004E23E2"/>
    <w:rsid w:val="004E3DD0"/>
    <w:rsid w:val="004E3ED3"/>
    <w:rsid w:val="004E50DF"/>
    <w:rsid w:val="004E694E"/>
    <w:rsid w:val="004E78E9"/>
    <w:rsid w:val="004F0278"/>
    <w:rsid w:val="004F032A"/>
    <w:rsid w:val="004F0575"/>
    <w:rsid w:val="004F2306"/>
    <w:rsid w:val="004F2C52"/>
    <w:rsid w:val="004F3E92"/>
    <w:rsid w:val="004F444B"/>
    <w:rsid w:val="004F4718"/>
    <w:rsid w:val="004F4E17"/>
    <w:rsid w:val="004F58E3"/>
    <w:rsid w:val="004F64EA"/>
    <w:rsid w:val="0050038E"/>
    <w:rsid w:val="0050082F"/>
    <w:rsid w:val="00500C56"/>
    <w:rsid w:val="00501713"/>
    <w:rsid w:val="0050495A"/>
    <w:rsid w:val="0050568A"/>
    <w:rsid w:val="00506568"/>
    <w:rsid w:val="0050781A"/>
    <w:rsid w:val="00507B20"/>
    <w:rsid w:val="00507E27"/>
    <w:rsid w:val="005112AE"/>
    <w:rsid w:val="00513411"/>
    <w:rsid w:val="0051551B"/>
    <w:rsid w:val="00515E4F"/>
    <w:rsid w:val="0051797A"/>
    <w:rsid w:val="00520C57"/>
    <w:rsid w:val="0052242A"/>
    <w:rsid w:val="005224BF"/>
    <w:rsid w:val="00522D94"/>
    <w:rsid w:val="005233F8"/>
    <w:rsid w:val="005246EA"/>
    <w:rsid w:val="00525964"/>
    <w:rsid w:val="005267AB"/>
    <w:rsid w:val="0052759A"/>
    <w:rsid w:val="00527BD2"/>
    <w:rsid w:val="00530EBF"/>
    <w:rsid w:val="00531F43"/>
    <w:rsid w:val="00532E78"/>
    <w:rsid w:val="0053361A"/>
    <w:rsid w:val="00533ADA"/>
    <w:rsid w:val="00533D89"/>
    <w:rsid w:val="005353A7"/>
    <w:rsid w:val="00535A0C"/>
    <w:rsid w:val="00536564"/>
    <w:rsid w:val="00537BF7"/>
    <w:rsid w:val="0054061E"/>
    <w:rsid w:val="005408C0"/>
    <w:rsid w:val="00541215"/>
    <w:rsid w:val="005416F9"/>
    <w:rsid w:val="0054347F"/>
    <w:rsid w:val="00543E59"/>
    <w:rsid w:val="0054408E"/>
    <w:rsid w:val="00544597"/>
    <w:rsid w:val="00544FFE"/>
    <w:rsid w:val="00546D56"/>
    <w:rsid w:val="005473F5"/>
    <w:rsid w:val="005477B0"/>
    <w:rsid w:val="005477E7"/>
    <w:rsid w:val="00547FC6"/>
    <w:rsid w:val="00551E53"/>
    <w:rsid w:val="00551F1A"/>
    <w:rsid w:val="005526CF"/>
    <w:rsid w:val="00552794"/>
    <w:rsid w:val="00555976"/>
    <w:rsid w:val="00555E49"/>
    <w:rsid w:val="00556729"/>
    <w:rsid w:val="00560EAC"/>
    <w:rsid w:val="00561CDC"/>
    <w:rsid w:val="00563199"/>
    <w:rsid w:val="00563A90"/>
    <w:rsid w:val="0056454A"/>
    <w:rsid w:val="00564874"/>
    <w:rsid w:val="00567963"/>
    <w:rsid w:val="005679D3"/>
    <w:rsid w:val="0057009A"/>
    <w:rsid w:val="0057044C"/>
    <w:rsid w:val="00571260"/>
    <w:rsid w:val="0057189C"/>
    <w:rsid w:val="005737E3"/>
    <w:rsid w:val="00573FC1"/>
    <w:rsid w:val="005741EE"/>
    <w:rsid w:val="0057668E"/>
    <w:rsid w:val="00576788"/>
    <w:rsid w:val="00577C16"/>
    <w:rsid w:val="00580A34"/>
    <w:rsid w:val="005871A9"/>
    <w:rsid w:val="00587AC9"/>
    <w:rsid w:val="00591664"/>
    <w:rsid w:val="00592947"/>
    <w:rsid w:val="00592F98"/>
    <w:rsid w:val="00594D42"/>
    <w:rsid w:val="00595543"/>
    <w:rsid w:val="00595E83"/>
    <w:rsid w:val="00596530"/>
    <w:rsid w:val="0059668A"/>
    <w:rsid w:val="005967F3"/>
    <w:rsid w:val="005978E3"/>
    <w:rsid w:val="00597E86"/>
    <w:rsid w:val="00597EA2"/>
    <w:rsid w:val="005A06DF"/>
    <w:rsid w:val="005A207F"/>
    <w:rsid w:val="005A289B"/>
    <w:rsid w:val="005A2CC2"/>
    <w:rsid w:val="005A4936"/>
    <w:rsid w:val="005A4E51"/>
    <w:rsid w:val="005A5527"/>
    <w:rsid w:val="005A58AF"/>
    <w:rsid w:val="005A5AE6"/>
    <w:rsid w:val="005A5E4B"/>
    <w:rsid w:val="005A68C2"/>
    <w:rsid w:val="005A6EF6"/>
    <w:rsid w:val="005A765B"/>
    <w:rsid w:val="005A7994"/>
    <w:rsid w:val="005B0E2D"/>
    <w:rsid w:val="005B0E58"/>
    <w:rsid w:val="005B1206"/>
    <w:rsid w:val="005B1A4B"/>
    <w:rsid w:val="005B2286"/>
    <w:rsid w:val="005B2EC5"/>
    <w:rsid w:val="005B37E8"/>
    <w:rsid w:val="005B50CF"/>
    <w:rsid w:val="005B6450"/>
    <w:rsid w:val="005C0056"/>
    <w:rsid w:val="005C271F"/>
    <w:rsid w:val="005C2937"/>
    <w:rsid w:val="005C3915"/>
    <w:rsid w:val="005C63C1"/>
    <w:rsid w:val="005D039D"/>
    <w:rsid w:val="005D09EF"/>
    <w:rsid w:val="005D149F"/>
    <w:rsid w:val="005D2868"/>
    <w:rsid w:val="005D2AFC"/>
    <w:rsid w:val="005D2DC9"/>
    <w:rsid w:val="005D5596"/>
    <w:rsid w:val="005D61D6"/>
    <w:rsid w:val="005D7699"/>
    <w:rsid w:val="005D78A2"/>
    <w:rsid w:val="005E0D13"/>
    <w:rsid w:val="005E131A"/>
    <w:rsid w:val="005E231A"/>
    <w:rsid w:val="005E3124"/>
    <w:rsid w:val="005E5047"/>
    <w:rsid w:val="005E66CE"/>
    <w:rsid w:val="005E7205"/>
    <w:rsid w:val="005E7371"/>
    <w:rsid w:val="005F116C"/>
    <w:rsid w:val="005F2131"/>
    <w:rsid w:val="005F2F94"/>
    <w:rsid w:val="005F482C"/>
    <w:rsid w:val="005F4D45"/>
    <w:rsid w:val="005F5624"/>
    <w:rsid w:val="005F7E17"/>
    <w:rsid w:val="00600A4B"/>
    <w:rsid w:val="00600E4E"/>
    <w:rsid w:val="00602F0D"/>
    <w:rsid w:val="006035B9"/>
    <w:rsid w:val="0060451A"/>
    <w:rsid w:val="00605EF6"/>
    <w:rsid w:val="00606455"/>
    <w:rsid w:val="006072AF"/>
    <w:rsid w:val="00610221"/>
    <w:rsid w:val="00610B69"/>
    <w:rsid w:val="006110B2"/>
    <w:rsid w:val="00611A0D"/>
    <w:rsid w:val="006122F7"/>
    <w:rsid w:val="006144FE"/>
    <w:rsid w:val="00614929"/>
    <w:rsid w:val="00616511"/>
    <w:rsid w:val="006176ED"/>
    <w:rsid w:val="006202F3"/>
    <w:rsid w:val="0062097A"/>
    <w:rsid w:val="00621DA6"/>
    <w:rsid w:val="006234BE"/>
    <w:rsid w:val="00623CFE"/>
    <w:rsid w:val="0062408B"/>
    <w:rsid w:val="00627221"/>
    <w:rsid w:val="00627EE8"/>
    <w:rsid w:val="00627FEE"/>
    <w:rsid w:val="006316FA"/>
    <w:rsid w:val="0063275A"/>
    <w:rsid w:val="00632E75"/>
    <w:rsid w:val="006358DF"/>
    <w:rsid w:val="00635CA1"/>
    <w:rsid w:val="00636BF7"/>
    <w:rsid w:val="006370D2"/>
    <w:rsid w:val="00640531"/>
    <w:rsid w:val="0064074F"/>
    <w:rsid w:val="00640E83"/>
    <w:rsid w:val="00641F55"/>
    <w:rsid w:val="00642819"/>
    <w:rsid w:val="00644891"/>
    <w:rsid w:val="00644A37"/>
    <w:rsid w:val="00645E4A"/>
    <w:rsid w:val="006469DA"/>
    <w:rsid w:val="006469F4"/>
    <w:rsid w:val="006474F3"/>
    <w:rsid w:val="00647B4D"/>
    <w:rsid w:val="00647B92"/>
    <w:rsid w:val="0065145D"/>
    <w:rsid w:val="0065207E"/>
    <w:rsid w:val="00653688"/>
    <w:rsid w:val="00653B21"/>
    <w:rsid w:val="006574B9"/>
    <w:rsid w:val="0065782C"/>
    <w:rsid w:val="00657B70"/>
    <w:rsid w:val="00657EDE"/>
    <w:rsid w:val="00660722"/>
    <w:rsid w:val="0066091B"/>
    <w:rsid w:val="00661695"/>
    <w:rsid w:val="00661814"/>
    <w:rsid w:val="006624C1"/>
    <w:rsid w:val="0066316F"/>
    <w:rsid w:val="00664A86"/>
    <w:rsid w:val="006660E9"/>
    <w:rsid w:val="00666CEC"/>
    <w:rsid w:val="00667249"/>
    <w:rsid w:val="00667558"/>
    <w:rsid w:val="006678EC"/>
    <w:rsid w:val="00670979"/>
    <w:rsid w:val="00671523"/>
    <w:rsid w:val="006740F9"/>
    <w:rsid w:val="006754EF"/>
    <w:rsid w:val="00676C8D"/>
    <w:rsid w:val="00676F1F"/>
    <w:rsid w:val="00677381"/>
    <w:rsid w:val="00677414"/>
    <w:rsid w:val="00680D29"/>
    <w:rsid w:val="006832CF"/>
    <w:rsid w:val="00684020"/>
    <w:rsid w:val="0068601E"/>
    <w:rsid w:val="00687649"/>
    <w:rsid w:val="00687E6F"/>
    <w:rsid w:val="006917E3"/>
    <w:rsid w:val="00691B67"/>
    <w:rsid w:val="00691BE7"/>
    <w:rsid w:val="00692ADE"/>
    <w:rsid w:val="00694524"/>
    <w:rsid w:val="0069486B"/>
    <w:rsid w:val="006949C6"/>
    <w:rsid w:val="0069638F"/>
    <w:rsid w:val="00696EEC"/>
    <w:rsid w:val="00696F37"/>
    <w:rsid w:val="006A1C4C"/>
    <w:rsid w:val="006A4904"/>
    <w:rsid w:val="006A548F"/>
    <w:rsid w:val="006A67FC"/>
    <w:rsid w:val="006A6D60"/>
    <w:rsid w:val="006A701A"/>
    <w:rsid w:val="006B221A"/>
    <w:rsid w:val="006B36FD"/>
    <w:rsid w:val="006B58DD"/>
    <w:rsid w:val="006B597D"/>
    <w:rsid w:val="006B64DC"/>
    <w:rsid w:val="006B6924"/>
    <w:rsid w:val="006B7A91"/>
    <w:rsid w:val="006B7AE2"/>
    <w:rsid w:val="006C13D1"/>
    <w:rsid w:val="006C1907"/>
    <w:rsid w:val="006C20B5"/>
    <w:rsid w:val="006C4DE5"/>
    <w:rsid w:val="006C6299"/>
    <w:rsid w:val="006D05EF"/>
    <w:rsid w:val="006D1459"/>
    <w:rsid w:val="006D2B37"/>
    <w:rsid w:val="006D3E7A"/>
    <w:rsid w:val="006D4704"/>
    <w:rsid w:val="006D6A2D"/>
    <w:rsid w:val="006E1E18"/>
    <w:rsid w:val="006E31CE"/>
    <w:rsid w:val="006E34D3"/>
    <w:rsid w:val="006E411B"/>
    <w:rsid w:val="006E6F43"/>
    <w:rsid w:val="006E7962"/>
    <w:rsid w:val="006F092F"/>
    <w:rsid w:val="006F11B6"/>
    <w:rsid w:val="006F1435"/>
    <w:rsid w:val="006F2163"/>
    <w:rsid w:val="006F541D"/>
    <w:rsid w:val="006F5D29"/>
    <w:rsid w:val="006F690E"/>
    <w:rsid w:val="006F6F94"/>
    <w:rsid w:val="006F70D0"/>
    <w:rsid w:val="006F73A6"/>
    <w:rsid w:val="006F78C4"/>
    <w:rsid w:val="007000CD"/>
    <w:rsid w:val="00701125"/>
    <w:rsid w:val="00701265"/>
    <w:rsid w:val="00701E0D"/>
    <w:rsid w:val="00701FBB"/>
    <w:rsid w:val="0070259C"/>
    <w:rsid w:val="007031A0"/>
    <w:rsid w:val="00704B18"/>
    <w:rsid w:val="00705A29"/>
    <w:rsid w:val="0070676D"/>
    <w:rsid w:val="00707124"/>
    <w:rsid w:val="00707498"/>
    <w:rsid w:val="00711A65"/>
    <w:rsid w:val="00713C3E"/>
    <w:rsid w:val="00714133"/>
    <w:rsid w:val="00714DA4"/>
    <w:rsid w:val="0071569B"/>
    <w:rsid w:val="007158B2"/>
    <w:rsid w:val="00715ACA"/>
    <w:rsid w:val="00716081"/>
    <w:rsid w:val="007165DB"/>
    <w:rsid w:val="00716806"/>
    <w:rsid w:val="00720192"/>
    <w:rsid w:val="00722B48"/>
    <w:rsid w:val="00722BA6"/>
    <w:rsid w:val="00724043"/>
    <w:rsid w:val="00724144"/>
    <w:rsid w:val="00724164"/>
    <w:rsid w:val="00724466"/>
    <w:rsid w:val="00724713"/>
    <w:rsid w:val="007254B3"/>
    <w:rsid w:val="007254CF"/>
    <w:rsid w:val="00725DE7"/>
    <w:rsid w:val="0072636A"/>
    <w:rsid w:val="00726B44"/>
    <w:rsid w:val="007279CC"/>
    <w:rsid w:val="00730D7B"/>
    <w:rsid w:val="007314CC"/>
    <w:rsid w:val="007318DD"/>
    <w:rsid w:val="00733167"/>
    <w:rsid w:val="0073763C"/>
    <w:rsid w:val="00740D2C"/>
    <w:rsid w:val="007415D0"/>
    <w:rsid w:val="00742349"/>
    <w:rsid w:val="00744BF9"/>
    <w:rsid w:val="00746578"/>
    <w:rsid w:val="0074760D"/>
    <w:rsid w:val="00752623"/>
    <w:rsid w:val="007579D0"/>
    <w:rsid w:val="00760F1F"/>
    <w:rsid w:val="00762CD2"/>
    <w:rsid w:val="0076423E"/>
    <w:rsid w:val="007646CB"/>
    <w:rsid w:val="0076497A"/>
    <w:rsid w:val="00764C13"/>
    <w:rsid w:val="0076550D"/>
    <w:rsid w:val="00765B0A"/>
    <w:rsid w:val="0076658F"/>
    <w:rsid w:val="00766FB1"/>
    <w:rsid w:val="0077040A"/>
    <w:rsid w:val="00771DA8"/>
    <w:rsid w:val="00772D64"/>
    <w:rsid w:val="007739BD"/>
    <w:rsid w:val="00773F41"/>
    <w:rsid w:val="007740C6"/>
    <w:rsid w:val="00774C47"/>
    <w:rsid w:val="00776171"/>
    <w:rsid w:val="007768D2"/>
    <w:rsid w:val="00782620"/>
    <w:rsid w:val="00782D7A"/>
    <w:rsid w:val="00783EA6"/>
    <w:rsid w:val="00784DB9"/>
    <w:rsid w:val="007850DC"/>
    <w:rsid w:val="00785304"/>
    <w:rsid w:val="00785A04"/>
    <w:rsid w:val="00792609"/>
    <w:rsid w:val="00792887"/>
    <w:rsid w:val="00792AEA"/>
    <w:rsid w:val="007934FE"/>
    <w:rsid w:val="007943E2"/>
    <w:rsid w:val="00794544"/>
    <w:rsid w:val="00794F2C"/>
    <w:rsid w:val="007977BC"/>
    <w:rsid w:val="00797A01"/>
    <w:rsid w:val="007A05D2"/>
    <w:rsid w:val="007A16BF"/>
    <w:rsid w:val="007A2071"/>
    <w:rsid w:val="007A23F8"/>
    <w:rsid w:val="007A30BA"/>
    <w:rsid w:val="007A320A"/>
    <w:rsid w:val="007A3BC7"/>
    <w:rsid w:val="007A5AC4"/>
    <w:rsid w:val="007A6EEE"/>
    <w:rsid w:val="007A733A"/>
    <w:rsid w:val="007B0FDD"/>
    <w:rsid w:val="007B3BAF"/>
    <w:rsid w:val="007B4802"/>
    <w:rsid w:val="007B4895"/>
    <w:rsid w:val="007B4D37"/>
    <w:rsid w:val="007B5DAB"/>
    <w:rsid w:val="007B6668"/>
    <w:rsid w:val="007B6AC2"/>
    <w:rsid w:val="007B6B33"/>
    <w:rsid w:val="007B6BD9"/>
    <w:rsid w:val="007B7ACB"/>
    <w:rsid w:val="007C068E"/>
    <w:rsid w:val="007C0D74"/>
    <w:rsid w:val="007C2701"/>
    <w:rsid w:val="007C32BA"/>
    <w:rsid w:val="007C3385"/>
    <w:rsid w:val="007C3D50"/>
    <w:rsid w:val="007C6DED"/>
    <w:rsid w:val="007C7B3C"/>
    <w:rsid w:val="007D2192"/>
    <w:rsid w:val="007D44D5"/>
    <w:rsid w:val="007E080F"/>
    <w:rsid w:val="007E1EEF"/>
    <w:rsid w:val="007E2C40"/>
    <w:rsid w:val="007E47A1"/>
    <w:rsid w:val="007E75D4"/>
    <w:rsid w:val="007E7C33"/>
    <w:rsid w:val="007F0021"/>
    <w:rsid w:val="007F1E7D"/>
    <w:rsid w:val="007F2160"/>
    <w:rsid w:val="007F2377"/>
    <w:rsid w:val="007F2E46"/>
    <w:rsid w:val="007F2F52"/>
    <w:rsid w:val="007F3520"/>
    <w:rsid w:val="007F3579"/>
    <w:rsid w:val="007F3EC6"/>
    <w:rsid w:val="007F490D"/>
    <w:rsid w:val="007F6016"/>
    <w:rsid w:val="007F751C"/>
    <w:rsid w:val="007F7713"/>
    <w:rsid w:val="007F7E17"/>
    <w:rsid w:val="00800DB2"/>
    <w:rsid w:val="00801F71"/>
    <w:rsid w:val="00802527"/>
    <w:rsid w:val="0080367A"/>
    <w:rsid w:val="00803B16"/>
    <w:rsid w:val="0080448F"/>
    <w:rsid w:val="0080455B"/>
    <w:rsid w:val="00805F28"/>
    <w:rsid w:val="0080749F"/>
    <w:rsid w:val="008108D6"/>
    <w:rsid w:val="0081099B"/>
    <w:rsid w:val="00811D46"/>
    <w:rsid w:val="008125B0"/>
    <w:rsid w:val="00812C67"/>
    <w:rsid w:val="00812DB3"/>
    <w:rsid w:val="0081382B"/>
    <w:rsid w:val="00813A30"/>
    <w:rsid w:val="0081407B"/>
    <w:rsid w:val="008144CB"/>
    <w:rsid w:val="0081547C"/>
    <w:rsid w:val="00816891"/>
    <w:rsid w:val="00816B51"/>
    <w:rsid w:val="008170F1"/>
    <w:rsid w:val="00820B5F"/>
    <w:rsid w:val="00821717"/>
    <w:rsid w:val="00824210"/>
    <w:rsid w:val="008263C0"/>
    <w:rsid w:val="00826D85"/>
    <w:rsid w:val="00830D19"/>
    <w:rsid w:val="008325B4"/>
    <w:rsid w:val="00833009"/>
    <w:rsid w:val="0083371B"/>
    <w:rsid w:val="008341CF"/>
    <w:rsid w:val="008364E6"/>
    <w:rsid w:val="0083693F"/>
    <w:rsid w:val="008369A6"/>
    <w:rsid w:val="008404AE"/>
    <w:rsid w:val="00840E49"/>
    <w:rsid w:val="00841422"/>
    <w:rsid w:val="00841D3B"/>
    <w:rsid w:val="00841F68"/>
    <w:rsid w:val="008428CF"/>
    <w:rsid w:val="0084314C"/>
    <w:rsid w:val="00843171"/>
    <w:rsid w:val="0084534C"/>
    <w:rsid w:val="008468B5"/>
    <w:rsid w:val="00847057"/>
    <w:rsid w:val="008472E6"/>
    <w:rsid w:val="0084754F"/>
    <w:rsid w:val="008513DA"/>
    <w:rsid w:val="00855234"/>
    <w:rsid w:val="008558AB"/>
    <w:rsid w:val="00856799"/>
    <w:rsid w:val="008575C3"/>
    <w:rsid w:val="00857E84"/>
    <w:rsid w:val="00863D28"/>
    <w:rsid w:val="00863F34"/>
    <w:rsid w:val="008640BC"/>
    <w:rsid w:val="008648C3"/>
    <w:rsid w:val="00865831"/>
    <w:rsid w:val="0086743C"/>
    <w:rsid w:val="00867B66"/>
    <w:rsid w:val="008703F6"/>
    <w:rsid w:val="00873F5E"/>
    <w:rsid w:val="0087475C"/>
    <w:rsid w:val="00874C51"/>
    <w:rsid w:val="00875155"/>
    <w:rsid w:val="00875CDA"/>
    <w:rsid w:val="00880F26"/>
    <w:rsid w:val="0088178E"/>
    <w:rsid w:val="00887ACF"/>
    <w:rsid w:val="00891827"/>
    <w:rsid w:val="00891F63"/>
    <w:rsid w:val="008937C9"/>
    <w:rsid w:val="00896C2E"/>
    <w:rsid w:val="0089726F"/>
    <w:rsid w:val="008A0319"/>
    <w:rsid w:val="008A1E51"/>
    <w:rsid w:val="008A5095"/>
    <w:rsid w:val="008A608F"/>
    <w:rsid w:val="008A65F1"/>
    <w:rsid w:val="008A6C6C"/>
    <w:rsid w:val="008A6DD6"/>
    <w:rsid w:val="008A772F"/>
    <w:rsid w:val="008B1A73"/>
    <w:rsid w:val="008B1A9A"/>
    <w:rsid w:val="008B1B9D"/>
    <w:rsid w:val="008B3AA2"/>
    <w:rsid w:val="008B4A6D"/>
    <w:rsid w:val="008B4FE6"/>
    <w:rsid w:val="008B6891"/>
    <w:rsid w:val="008B6C37"/>
    <w:rsid w:val="008C19C4"/>
    <w:rsid w:val="008C1C79"/>
    <w:rsid w:val="008C20D1"/>
    <w:rsid w:val="008C291D"/>
    <w:rsid w:val="008C30F2"/>
    <w:rsid w:val="008C37F0"/>
    <w:rsid w:val="008C3FE4"/>
    <w:rsid w:val="008C4A3A"/>
    <w:rsid w:val="008D0F6F"/>
    <w:rsid w:val="008D2C76"/>
    <w:rsid w:val="008D2D34"/>
    <w:rsid w:val="008D3781"/>
    <w:rsid w:val="008D5FF7"/>
    <w:rsid w:val="008D6839"/>
    <w:rsid w:val="008E0B3D"/>
    <w:rsid w:val="008E18F7"/>
    <w:rsid w:val="008E1E10"/>
    <w:rsid w:val="008E291B"/>
    <w:rsid w:val="008E3069"/>
    <w:rsid w:val="008E4F2F"/>
    <w:rsid w:val="008E74B0"/>
    <w:rsid w:val="008F0AE8"/>
    <w:rsid w:val="008F3A28"/>
    <w:rsid w:val="008F3FFA"/>
    <w:rsid w:val="008F4FB5"/>
    <w:rsid w:val="008F5F88"/>
    <w:rsid w:val="008F6E62"/>
    <w:rsid w:val="009008A8"/>
    <w:rsid w:val="00900B60"/>
    <w:rsid w:val="00904090"/>
    <w:rsid w:val="009047D4"/>
    <w:rsid w:val="00904AB7"/>
    <w:rsid w:val="00905129"/>
    <w:rsid w:val="009052AE"/>
    <w:rsid w:val="00906303"/>
    <w:rsid w:val="009063B0"/>
    <w:rsid w:val="00907106"/>
    <w:rsid w:val="009076C5"/>
    <w:rsid w:val="009107FD"/>
    <w:rsid w:val="0091137C"/>
    <w:rsid w:val="00911567"/>
    <w:rsid w:val="00912327"/>
    <w:rsid w:val="00914089"/>
    <w:rsid w:val="009149A0"/>
    <w:rsid w:val="00917AAE"/>
    <w:rsid w:val="0092150A"/>
    <w:rsid w:val="009229FF"/>
    <w:rsid w:val="0092352C"/>
    <w:rsid w:val="009251A9"/>
    <w:rsid w:val="00926674"/>
    <w:rsid w:val="00926888"/>
    <w:rsid w:val="00930399"/>
    <w:rsid w:val="00930699"/>
    <w:rsid w:val="00931752"/>
    <w:rsid w:val="00931F69"/>
    <w:rsid w:val="00934123"/>
    <w:rsid w:val="009344D4"/>
    <w:rsid w:val="00937446"/>
    <w:rsid w:val="00937E54"/>
    <w:rsid w:val="0094224B"/>
    <w:rsid w:val="00943E65"/>
    <w:rsid w:val="00944E1E"/>
    <w:rsid w:val="00946C15"/>
    <w:rsid w:val="009479AB"/>
    <w:rsid w:val="009501E8"/>
    <w:rsid w:val="00952397"/>
    <w:rsid w:val="009541CB"/>
    <w:rsid w:val="00955368"/>
    <w:rsid w:val="00955774"/>
    <w:rsid w:val="009560B5"/>
    <w:rsid w:val="009657D0"/>
    <w:rsid w:val="00966730"/>
    <w:rsid w:val="009703D6"/>
    <w:rsid w:val="0097181B"/>
    <w:rsid w:val="009722F2"/>
    <w:rsid w:val="00972930"/>
    <w:rsid w:val="00972E9D"/>
    <w:rsid w:val="00973CF9"/>
    <w:rsid w:val="0097686D"/>
    <w:rsid w:val="00976DC5"/>
    <w:rsid w:val="00980A38"/>
    <w:rsid w:val="009818C7"/>
    <w:rsid w:val="00982DD4"/>
    <w:rsid w:val="009841E5"/>
    <w:rsid w:val="0098479F"/>
    <w:rsid w:val="00984A8A"/>
    <w:rsid w:val="009857B6"/>
    <w:rsid w:val="00985A8D"/>
    <w:rsid w:val="00986610"/>
    <w:rsid w:val="009877DC"/>
    <w:rsid w:val="00991F96"/>
    <w:rsid w:val="00993D77"/>
    <w:rsid w:val="00994FA7"/>
    <w:rsid w:val="009967F0"/>
    <w:rsid w:val="00996F0A"/>
    <w:rsid w:val="009979CB"/>
    <w:rsid w:val="009A0658"/>
    <w:rsid w:val="009A1D86"/>
    <w:rsid w:val="009A3659"/>
    <w:rsid w:val="009A510D"/>
    <w:rsid w:val="009A6DD3"/>
    <w:rsid w:val="009B049C"/>
    <w:rsid w:val="009B11C8"/>
    <w:rsid w:val="009B1EE9"/>
    <w:rsid w:val="009B28B5"/>
    <w:rsid w:val="009B2BCF"/>
    <w:rsid w:val="009B2FF8"/>
    <w:rsid w:val="009B363F"/>
    <w:rsid w:val="009B3709"/>
    <w:rsid w:val="009B3CFB"/>
    <w:rsid w:val="009B5650"/>
    <w:rsid w:val="009B5BA3"/>
    <w:rsid w:val="009C169D"/>
    <w:rsid w:val="009C1ECA"/>
    <w:rsid w:val="009C2A60"/>
    <w:rsid w:val="009C3D57"/>
    <w:rsid w:val="009C5895"/>
    <w:rsid w:val="009C5DEA"/>
    <w:rsid w:val="009D0027"/>
    <w:rsid w:val="009D0655"/>
    <w:rsid w:val="009D4B69"/>
    <w:rsid w:val="009D6D7A"/>
    <w:rsid w:val="009D7550"/>
    <w:rsid w:val="009E0A48"/>
    <w:rsid w:val="009E1D0C"/>
    <w:rsid w:val="009E1E98"/>
    <w:rsid w:val="009E2B81"/>
    <w:rsid w:val="009E34A4"/>
    <w:rsid w:val="009E3823"/>
    <w:rsid w:val="009E3ABE"/>
    <w:rsid w:val="009E3C4B"/>
    <w:rsid w:val="009E433F"/>
    <w:rsid w:val="009E4FE9"/>
    <w:rsid w:val="009E5F5E"/>
    <w:rsid w:val="009E7474"/>
    <w:rsid w:val="009F0637"/>
    <w:rsid w:val="009F0933"/>
    <w:rsid w:val="009F0DDD"/>
    <w:rsid w:val="009F1E19"/>
    <w:rsid w:val="009F4262"/>
    <w:rsid w:val="009F48CD"/>
    <w:rsid w:val="009F5BB0"/>
    <w:rsid w:val="009F62A6"/>
    <w:rsid w:val="009F674F"/>
    <w:rsid w:val="009F68D0"/>
    <w:rsid w:val="009F799E"/>
    <w:rsid w:val="00A02020"/>
    <w:rsid w:val="00A022D5"/>
    <w:rsid w:val="00A02A7E"/>
    <w:rsid w:val="00A04242"/>
    <w:rsid w:val="00A056CB"/>
    <w:rsid w:val="00A058C0"/>
    <w:rsid w:val="00A05FFD"/>
    <w:rsid w:val="00A06CAF"/>
    <w:rsid w:val="00A06F92"/>
    <w:rsid w:val="00A07A29"/>
    <w:rsid w:val="00A105E7"/>
    <w:rsid w:val="00A10E6D"/>
    <w:rsid w:val="00A10FF1"/>
    <w:rsid w:val="00A11F7B"/>
    <w:rsid w:val="00A12083"/>
    <w:rsid w:val="00A12D61"/>
    <w:rsid w:val="00A130B0"/>
    <w:rsid w:val="00A132CE"/>
    <w:rsid w:val="00A1506B"/>
    <w:rsid w:val="00A1560A"/>
    <w:rsid w:val="00A173E3"/>
    <w:rsid w:val="00A17CB2"/>
    <w:rsid w:val="00A214CD"/>
    <w:rsid w:val="00A23191"/>
    <w:rsid w:val="00A236C4"/>
    <w:rsid w:val="00A24CAB"/>
    <w:rsid w:val="00A25A28"/>
    <w:rsid w:val="00A2731E"/>
    <w:rsid w:val="00A3192D"/>
    <w:rsid w:val="00A319C0"/>
    <w:rsid w:val="00A33560"/>
    <w:rsid w:val="00A342C8"/>
    <w:rsid w:val="00A3509A"/>
    <w:rsid w:val="00A356E2"/>
    <w:rsid w:val="00A35B5F"/>
    <w:rsid w:val="00A364E4"/>
    <w:rsid w:val="00A371A5"/>
    <w:rsid w:val="00A37D58"/>
    <w:rsid w:val="00A44F60"/>
    <w:rsid w:val="00A45CA1"/>
    <w:rsid w:val="00A45FEE"/>
    <w:rsid w:val="00A462A1"/>
    <w:rsid w:val="00A476A9"/>
    <w:rsid w:val="00A47BDF"/>
    <w:rsid w:val="00A47FDB"/>
    <w:rsid w:val="00A50523"/>
    <w:rsid w:val="00A5150F"/>
    <w:rsid w:val="00A51601"/>
    <w:rsid w:val="00A5163A"/>
    <w:rsid w:val="00A51CD7"/>
    <w:rsid w:val="00A52ADB"/>
    <w:rsid w:val="00A533E8"/>
    <w:rsid w:val="00A53951"/>
    <w:rsid w:val="00A53F87"/>
    <w:rsid w:val="00A542D9"/>
    <w:rsid w:val="00A54345"/>
    <w:rsid w:val="00A54398"/>
    <w:rsid w:val="00A550B0"/>
    <w:rsid w:val="00A5581C"/>
    <w:rsid w:val="00A56E64"/>
    <w:rsid w:val="00A5725B"/>
    <w:rsid w:val="00A57CF5"/>
    <w:rsid w:val="00A61F2C"/>
    <w:rsid w:val="00A624C3"/>
    <w:rsid w:val="00A638F6"/>
    <w:rsid w:val="00A6485A"/>
    <w:rsid w:val="00A64FD0"/>
    <w:rsid w:val="00A6610C"/>
    <w:rsid w:val="00A6641C"/>
    <w:rsid w:val="00A674E9"/>
    <w:rsid w:val="00A700BE"/>
    <w:rsid w:val="00A70AA4"/>
    <w:rsid w:val="00A745C3"/>
    <w:rsid w:val="00A74E3C"/>
    <w:rsid w:val="00A750C9"/>
    <w:rsid w:val="00A767D2"/>
    <w:rsid w:val="00A76D2F"/>
    <w:rsid w:val="00A77616"/>
    <w:rsid w:val="00A77B44"/>
    <w:rsid w:val="00A805DA"/>
    <w:rsid w:val="00A811B4"/>
    <w:rsid w:val="00A81AE5"/>
    <w:rsid w:val="00A8469F"/>
    <w:rsid w:val="00A853FC"/>
    <w:rsid w:val="00A85B73"/>
    <w:rsid w:val="00A864E8"/>
    <w:rsid w:val="00A8699E"/>
    <w:rsid w:val="00A87CDE"/>
    <w:rsid w:val="00A91922"/>
    <w:rsid w:val="00A92BAF"/>
    <w:rsid w:val="00A93C8B"/>
    <w:rsid w:val="00A9450B"/>
    <w:rsid w:val="00A94699"/>
    <w:rsid w:val="00A94737"/>
    <w:rsid w:val="00A94BA3"/>
    <w:rsid w:val="00A96C5A"/>
    <w:rsid w:val="00A96CBA"/>
    <w:rsid w:val="00A97428"/>
    <w:rsid w:val="00AA391C"/>
    <w:rsid w:val="00AA4289"/>
    <w:rsid w:val="00AA6DAD"/>
    <w:rsid w:val="00AB1ACD"/>
    <w:rsid w:val="00AB1DF0"/>
    <w:rsid w:val="00AB1FA4"/>
    <w:rsid w:val="00AB277F"/>
    <w:rsid w:val="00AB4099"/>
    <w:rsid w:val="00AB412C"/>
    <w:rsid w:val="00AB449A"/>
    <w:rsid w:val="00AC1776"/>
    <w:rsid w:val="00AC204C"/>
    <w:rsid w:val="00AC279B"/>
    <w:rsid w:val="00AC6FEE"/>
    <w:rsid w:val="00AC7AD0"/>
    <w:rsid w:val="00AD14F9"/>
    <w:rsid w:val="00AD1B56"/>
    <w:rsid w:val="00AD35D6"/>
    <w:rsid w:val="00AD39F9"/>
    <w:rsid w:val="00AD51A2"/>
    <w:rsid w:val="00AD58C5"/>
    <w:rsid w:val="00AD6467"/>
    <w:rsid w:val="00AD68D0"/>
    <w:rsid w:val="00AD6D8A"/>
    <w:rsid w:val="00AD7674"/>
    <w:rsid w:val="00AE0330"/>
    <w:rsid w:val="00AE1E62"/>
    <w:rsid w:val="00AE2276"/>
    <w:rsid w:val="00AE36C4"/>
    <w:rsid w:val="00AE472C"/>
    <w:rsid w:val="00AE5375"/>
    <w:rsid w:val="00AE6CF8"/>
    <w:rsid w:val="00AE7CD7"/>
    <w:rsid w:val="00AF0A6D"/>
    <w:rsid w:val="00AF1319"/>
    <w:rsid w:val="00AF22BD"/>
    <w:rsid w:val="00AF2C89"/>
    <w:rsid w:val="00AF2F39"/>
    <w:rsid w:val="00AF4150"/>
    <w:rsid w:val="00AF4CAC"/>
    <w:rsid w:val="00AF5D13"/>
    <w:rsid w:val="00AF7ADE"/>
    <w:rsid w:val="00B00E11"/>
    <w:rsid w:val="00B02A6C"/>
    <w:rsid w:val="00B03E0D"/>
    <w:rsid w:val="00B0514F"/>
    <w:rsid w:val="00B054F8"/>
    <w:rsid w:val="00B05B33"/>
    <w:rsid w:val="00B0681A"/>
    <w:rsid w:val="00B076BF"/>
    <w:rsid w:val="00B13CDD"/>
    <w:rsid w:val="00B148B3"/>
    <w:rsid w:val="00B14F9E"/>
    <w:rsid w:val="00B15B56"/>
    <w:rsid w:val="00B17CEF"/>
    <w:rsid w:val="00B21C66"/>
    <w:rsid w:val="00B2219A"/>
    <w:rsid w:val="00B22587"/>
    <w:rsid w:val="00B22D04"/>
    <w:rsid w:val="00B22DE5"/>
    <w:rsid w:val="00B2466D"/>
    <w:rsid w:val="00B24FBB"/>
    <w:rsid w:val="00B26892"/>
    <w:rsid w:val="00B3017B"/>
    <w:rsid w:val="00B32734"/>
    <w:rsid w:val="00B3285A"/>
    <w:rsid w:val="00B33046"/>
    <w:rsid w:val="00B34031"/>
    <w:rsid w:val="00B34332"/>
    <w:rsid w:val="00B344B1"/>
    <w:rsid w:val="00B3511F"/>
    <w:rsid w:val="00B3581B"/>
    <w:rsid w:val="00B358C4"/>
    <w:rsid w:val="00B36B81"/>
    <w:rsid w:val="00B36FEE"/>
    <w:rsid w:val="00B37C80"/>
    <w:rsid w:val="00B42188"/>
    <w:rsid w:val="00B42E26"/>
    <w:rsid w:val="00B42EED"/>
    <w:rsid w:val="00B43668"/>
    <w:rsid w:val="00B46E6E"/>
    <w:rsid w:val="00B5092B"/>
    <w:rsid w:val="00B5194E"/>
    <w:rsid w:val="00B51AF5"/>
    <w:rsid w:val="00B531EF"/>
    <w:rsid w:val="00B531FC"/>
    <w:rsid w:val="00B532B8"/>
    <w:rsid w:val="00B539A0"/>
    <w:rsid w:val="00B53AF4"/>
    <w:rsid w:val="00B54948"/>
    <w:rsid w:val="00B55347"/>
    <w:rsid w:val="00B55C1B"/>
    <w:rsid w:val="00B56590"/>
    <w:rsid w:val="00B57E5E"/>
    <w:rsid w:val="00B61D8F"/>
    <w:rsid w:val="00B61F37"/>
    <w:rsid w:val="00B629C0"/>
    <w:rsid w:val="00B6495F"/>
    <w:rsid w:val="00B70045"/>
    <w:rsid w:val="00B703A3"/>
    <w:rsid w:val="00B7258F"/>
    <w:rsid w:val="00B74299"/>
    <w:rsid w:val="00B766D7"/>
    <w:rsid w:val="00B76EC7"/>
    <w:rsid w:val="00B772D6"/>
    <w:rsid w:val="00B7770F"/>
    <w:rsid w:val="00B77A89"/>
    <w:rsid w:val="00B77B27"/>
    <w:rsid w:val="00B8134E"/>
    <w:rsid w:val="00B81B55"/>
    <w:rsid w:val="00B82038"/>
    <w:rsid w:val="00B826EB"/>
    <w:rsid w:val="00B82BD3"/>
    <w:rsid w:val="00B84613"/>
    <w:rsid w:val="00B87AF0"/>
    <w:rsid w:val="00B9037B"/>
    <w:rsid w:val="00B904B4"/>
    <w:rsid w:val="00B910BD"/>
    <w:rsid w:val="00B9189C"/>
    <w:rsid w:val="00B92B5D"/>
    <w:rsid w:val="00B93834"/>
    <w:rsid w:val="00B93D74"/>
    <w:rsid w:val="00B940EB"/>
    <w:rsid w:val="00B96469"/>
    <w:rsid w:val="00BA0DA2"/>
    <w:rsid w:val="00BA1875"/>
    <w:rsid w:val="00BA1FBF"/>
    <w:rsid w:val="00BA2981"/>
    <w:rsid w:val="00BA2BB7"/>
    <w:rsid w:val="00BA35ED"/>
    <w:rsid w:val="00BA395A"/>
    <w:rsid w:val="00BA42EE"/>
    <w:rsid w:val="00BA48F9"/>
    <w:rsid w:val="00BB0649"/>
    <w:rsid w:val="00BB0DCA"/>
    <w:rsid w:val="00BB2666"/>
    <w:rsid w:val="00BB3E36"/>
    <w:rsid w:val="00BB6B80"/>
    <w:rsid w:val="00BB6CA3"/>
    <w:rsid w:val="00BC00E1"/>
    <w:rsid w:val="00BC2CFD"/>
    <w:rsid w:val="00BC2E6B"/>
    <w:rsid w:val="00BC331E"/>
    <w:rsid w:val="00BC3773"/>
    <w:rsid w:val="00BC381A"/>
    <w:rsid w:val="00BC7BCD"/>
    <w:rsid w:val="00BC7E6E"/>
    <w:rsid w:val="00BD0962"/>
    <w:rsid w:val="00BD1EED"/>
    <w:rsid w:val="00BD3072"/>
    <w:rsid w:val="00BD31B8"/>
    <w:rsid w:val="00BD459B"/>
    <w:rsid w:val="00BD5186"/>
    <w:rsid w:val="00BD5CC1"/>
    <w:rsid w:val="00BD6358"/>
    <w:rsid w:val="00BE08EA"/>
    <w:rsid w:val="00BE29DF"/>
    <w:rsid w:val="00BF0DA2"/>
    <w:rsid w:val="00BF109C"/>
    <w:rsid w:val="00BF11DD"/>
    <w:rsid w:val="00BF1547"/>
    <w:rsid w:val="00BF24E2"/>
    <w:rsid w:val="00BF2D15"/>
    <w:rsid w:val="00BF34FA"/>
    <w:rsid w:val="00C004B6"/>
    <w:rsid w:val="00C00549"/>
    <w:rsid w:val="00C0109A"/>
    <w:rsid w:val="00C02917"/>
    <w:rsid w:val="00C03E07"/>
    <w:rsid w:val="00C047A7"/>
    <w:rsid w:val="00C04EC1"/>
    <w:rsid w:val="00C05BD9"/>
    <w:rsid w:val="00C05DE5"/>
    <w:rsid w:val="00C077E9"/>
    <w:rsid w:val="00C07E38"/>
    <w:rsid w:val="00C11B44"/>
    <w:rsid w:val="00C133B2"/>
    <w:rsid w:val="00C161C1"/>
    <w:rsid w:val="00C162ED"/>
    <w:rsid w:val="00C17D66"/>
    <w:rsid w:val="00C17FEE"/>
    <w:rsid w:val="00C20C6E"/>
    <w:rsid w:val="00C21B87"/>
    <w:rsid w:val="00C220A7"/>
    <w:rsid w:val="00C23235"/>
    <w:rsid w:val="00C31B35"/>
    <w:rsid w:val="00C33027"/>
    <w:rsid w:val="00C33054"/>
    <w:rsid w:val="00C33B24"/>
    <w:rsid w:val="00C350D6"/>
    <w:rsid w:val="00C37667"/>
    <w:rsid w:val="00C40327"/>
    <w:rsid w:val="00C40703"/>
    <w:rsid w:val="00C40D76"/>
    <w:rsid w:val="00C41ECF"/>
    <w:rsid w:val="00C41F09"/>
    <w:rsid w:val="00C435DB"/>
    <w:rsid w:val="00C44C69"/>
    <w:rsid w:val="00C44D73"/>
    <w:rsid w:val="00C46131"/>
    <w:rsid w:val="00C46D8F"/>
    <w:rsid w:val="00C47B00"/>
    <w:rsid w:val="00C50B42"/>
    <w:rsid w:val="00C50D2E"/>
    <w:rsid w:val="00C516FF"/>
    <w:rsid w:val="00C52BFA"/>
    <w:rsid w:val="00C52EBD"/>
    <w:rsid w:val="00C537A2"/>
    <w:rsid w:val="00C53D1D"/>
    <w:rsid w:val="00C53F26"/>
    <w:rsid w:val="00C54098"/>
    <w:rsid w:val="00C540BC"/>
    <w:rsid w:val="00C5499D"/>
    <w:rsid w:val="00C54B63"/>
    <w:rsid w:val="00C55617"/>
    <w:rsid w:val="00C6269B"/>
    <w:rsid w:val="00C64F7D"/>
    <w:rsid w:val="00C66DBF"/>
    <w:rsid w:val="00C67309"/>
    <w:rsid w:val="00C746C1"/>
    <w:rsid w:val="00C7581C"/>
    <w:rsid w:val="00C7614E"/>
    <w:rsid w:val="00C76623"/>
    <w:rsid w:val="00C76F01"/>
    <w:rsid w:val="00C77BF1"/>
    <w:rsid w:val="00C80D60"/>
    <w:rsid w:val="00C82FBD"/>
    <w:rsid w:val="00C838C4"/>
    <w:rsid w:val="00C84198"/>
    <w:rsid w:val="00C85267"/>
    <w:rsid w:val="00C85F1F"/>
    <w:rsid w:val="00C85FBF"/>
    <w:rsid w:val="00C8721B"/>
    <w:rsid w:val="00C90C48"/>
    <w:rsid w:val="00C912D1"/>
    <w:rsid w:val="00C93046"/>
    <w:rsid w:val="00C9372C"/>
    <w:rsid w:val="00C937FB"/>
    <w:rsid w:val="00C94315"/>
    <w:rsid w:val="00C946E3"/>
    <w:rsid w:val="00C9470E"/>
    <w:rsid w:val="00C9512D"/>
    <w:rsid w:val="00C95CEB"/>
    <w:rsid w:val="00C975A3"/>
    <w:rsid w:val="00C97DDB"/>
    <w:rsid w:val="00CA0ACF"/>
    <w:rsid w:val="00CA1054"/>
    <w:rsid w:val="00CA2ED0"/>
    <w:rsid w:val="00CA63EB"/>
    <w:rsid w:val="00CA69F1"/>
    <w:rsid w:val="00CA73BB"/>
    <w:rsid w:val="00CA767C"/>
    <w:rsid w:val="00CB0E9F"/>
    <w:rsid w:val="00CB0F16"/>
    <w:rsid w:val="00CB2E88"/>
    <w:rsid w:val="00CB3DDB"/>
    <w:rsid w:val="00CB6991"/>
    <w:rsid w:val="00CC0236"/>
    <w:rsid w:val="00CC0FC7"/>
    <w:rsid w:val="00CC1157"/>
    <w:rsid w:val="00CC19D8"/>
    <w:rsid w:val="00CC1AF4"/>
    <w:rsid w:val="00CC3F47"/>
    <w:rsid w:val="00CC44AA"/>
    <w:rsid w:val="00CC49F7"/>
    <w:rsid w:val="00CC509B"/>
    <w:rsid w:val="00CC6194"/>
    <w:rsid w:val="00CC6305"/>
    <w:rsid w:val="00CC770A"/>
    <w:rsid w:val="00CC78A5"/>
    <w:rsid w:val="00CC7C45"/>
    <w:rsid w:val="00CD0516"/>
    <w:rsid w:val="00CD203C"/>
    <w:rsid w:val="00CD3CE1"/>
    <w:rsid w:val="00CD647D"/>
    <w:rsid w:val="00CD6D0F"/>
    <w:rsid w:val="00CD756B"/>
    <w:rsid w:val="00CD7CC1"/>
    <w:rsid w:val="00CD7D68"/>
    <w:rsid w:val="00CE275D"/>
    <w:rsid w:val="00CE59A8"/>
    <w:rsid w:val="00CE6469"/>
    <w:rsid w:val="00CE734F"/>
    <w:rsid w:val="00CE7B53"/>
    <w:rsid w:val="00CF0AAA"/>
    <w:rsid w:val="00CF112E"/>
    <w:rsid w:val="00CF531B"/>
    <w:rsid w:val="00CF58B0"/>
    <w:rsid w:val="00CF5F4F"/>
    <w:rsid w:val="00CF6387"/>
    <w:rsid w:val="00D01EDF"/>
    <w:rsid w:val="00D02C68"/>
    <w:rsid w:val="00D04AA0"/>
    <w:rsid w:val="00D05495"/>
    <w:rsid w:val="00D06AA6"/>
    <w:rsid w:val="00D10777"/>
    <w:rsid w:val="00D122CE"/>
    <w:rsid w:val="00D1342D"/>
    <w:rsid w:val="00D14ED0"/>
    <w:rsid w:val="00D16650"/>
    <w:rsid w:val="00D218DC"/>
    <w:rsid w:val="00D2280E"/>
    <w:rsid w:val="00D2349C"/>
    <w:rsid w:val="00D24A86"/>
    <w:rsid w:val="00D24E56"/>
    <w:rsid w:val="00D2600C"/>
    <w:rsid w:val="00D261FA"/>
    <w:rsid w:val="00D26F57"/>
    <w:rsid w:val="00D27401"/>
    <w:rsid w:val="00D30C30"/>
    <w:rsid w:val="00D31643"/>
    <w:rsid w:val="00D3170F"/>
    <w:rsid w:val="00D318DC"/>
    <w:rsid w:val="00D31AEB"/>
    <w:rsid w:val="00D32ECD"/>
    <w:rsid w:val="00D3492C"/>
    <w:rsid w:val="00D35431"/>
    <w:rsid w:val="00D35C8E"/>
    <w:rsid w:val="00D361E4"/>
    <w:rsid w:val="00D36264"/>
    <w:rsid w:val="00D37018"/>
    <w:rsid w:val="00D40E22"/>
    <w:rsid w:val="00D42A8F"/>
    <w:rsid w:val="00D439F6"/>
    <w:rsid w:val="00D43D55"/>
    <w:rsid w:val="00D459C6"/>
    <w:rsid w:val="00D45B87"/>
    <w:rsid w:val="00D45CCB"/>
    <w:rsid w:val="00D478B9"/>
    <w:rsid w:val="00D50729"/>
    <w:rsid w:val="00D508F1"/>
    <w:rsid w:val="00D50C19"/>
    <w:rsid w:val="00D51C03"/>
    <w:rsid w:val="00D51FB2"/>
    <w:rsid w:val="00D5369C"/>
    <w:rsid w:val="00D5379E"/>
    <w:rsid w:val="00D54A98"/>
    <w:rsid w:val="00D562E9"/>
    <w:rsid w:val="00D57898"/>
    <w:rsid w:val="00D60CED"/>
    <w:rsid w:val="00D62643"/>
    <w:rsid w:val="00D63860"/>
    <w:rsid w:val="00D63BA1"/>
    <w:rsid w:val="00D64C0F"/>
    <w:rsid w:val="00D661A3"/>
    <w:rsid w:val="00D70D2C"/>
    <w:rsid w:val="00D723C1"/>
    <w:rsid w:val="00D72EFE"/>
    <w:rsid w:val="00D7333E"/>
    <w:rsid w:val="00D746A9"/>
    <w:rsid w:val="00D74CD3"/>
    <w:rsid w:val="00D76227"/>
    <w:rsid w:val="00D7758F"/>
    <w:rsid w:val="00D7799A"/>
    <w:rsid w:val="00D77DF1"/>
    <w:rsid w:val="00D82B42"/>
    <w:rsid w:val="00D83D54"/>
    <w:rsid w:val="00D840D8"/>
    <w:rsid w:val="00D852BC"/>
    <w:rsid w:val="00D85BE7"/>
    <w:rsid w:val="00D86AFF"/>
    <w:rsid w:val="00D874B1"/>
    <w:rsid w:val="00D915EE"/>
    <w:rsid w:val="00D920B5"/>
    <w:rsid w:val="00D92245"/>
    <w:rsid w:val="00D925C4"/>
    <w:rsid w:val="00D93CEB"/>
    <w:rsid w:val="00D95A44"/>
    <w:rsid w:val="00D95C4C"/>
    <w:rsid w:val="00D95D16"/>
    <w:rsid w:val="00D95F84"/>
    <w:rsid w:val="00D97561"/>
    <w:rsid w:val="00D97C76"/>
    <w:rsid w:val="00DA2ECA"/>
    <w:rsid w:val="00DA35A4"/>
    <w:rsid w:val="00DA3807"/>
    <w:rsid w:val="00DA5B9E"/>
    <w:rsid w:val="00DA7C2C"/>
    <w:rsid w:val="00DB02B4"/>
    <w:rsid w:val="00DB09E3"/>
    <w:rsid w:val="00DB1E34"/>
    <w:rsid w:val="00DB2AB7"/>
    <w:rsid w:val="00DB3BD3"/>
    <w:rsid w:val="00DB475A"/>
    <w:rsid w:val="00DB538D"/>
    <w:rsid w:val="00DB7E76"/>
    <w:rsid w:val="00DC0855"/>
    <w:rsid w:val="00DC15B3"/>
    <w:rsid w:val="00DC197E"/>
    <w:rsid w:val="00DC1D30"/>
    <w:rsid w:val="00DC275C"/>
    <w:rsid w:val="00DC38AC"/>
    <w:rsid w:val="00DC459C"/>
    <w:rsid w:val="00DC4734"/>
    <w:rsid w:val="00DC4878"/>
    <w:rsid w:val="00DC4B0D"/>
    <w:rsid w:val="00DC674E"/>
    <w:rsid w:val="00DC69C2"/>
    <w:rsid w:val="00DC7694"/>
    <w:rsid w:val="00DC7FE1"/>
    <w:rsid w:val="00DD0F48"/>
    <w:rsid w:val="00DD0F90"/>
    <w:rsid w:val="00DD2E0E"/>
    <w:rsid w:val="00DD3514"/>
    <w:rsid w:val="00DD3F3F"/>
    <w:rsid w:val="00DD5572"/>
    <w:rsid w:val="00DE3130"/>
    <w:rsid w:val="00DE4D38"/>
    <w:rsid w:val="00DE5D80"/>
    <w:rsid w:val="00DE73AE"/>
    <w:rsid w:val="00DF0C7B"/>
    <w:rsid w:val="00DF0EE9"/>
    <w:rsid w:val="00DF1828"/>
    <w:rsid w:val="00DF2D3E"/>
    <w:rsid w:val="00DF58CD"/>
    <w:rsid w:val="00DF65DE"/>
    <w:rsid w:val="00E0071D"/>
    <w:rsid w:val="00E019A5"/>
    <w:rsid w:val="00E0222C"/>
    <w:rsid w:val="00E028B7"/>
    <w:rsid w:val="00E02EC8"/>
    <w:rsid w:val="00E037F5"/>
    <w:rsid w:val="00E03E47"/>
    <w:rsid w:val="00E03E58"/>
    <w:rsid w:val="00E043CE"/>
    <w:rsid w:val="00E04ECB"/>
    <w:rsid w:val="00E04F34"/>
    <w:rsid w:val="00E05633"/>
    <w:rsid w:val="00E05A09"/>
    <w:rsid w:val="00E06CA1"/>
    <w:rsid w:val="00E139D9"/>
    <w:rsid w:val="00E14BB9"/>
    <w:rsid w:val="00E15CFC"/>
    <w:rsid w:val="00E16C4A"/>
    <w:rsid w:val="00E172B8"/>
    <w:rsid w:val="00E17A71"/>
    <w:rsid w:val="00E17FB4"/>
    <w:rsid w:val="00E20B75"/>
    <w:rsid w:val="00E21279"/>
    <w:rsid w:val="00E214F2"/>
    <w:rsid w:val="00E235CF"/>
    <w:rsid w:val="00E2371E"/>
    <w:rsid w:val="00E23A63"/>
    <w:rsid w:val="00E24BD7"/>
    <w:rsid w:val="00E26523"/>
    <w:rsid w:val="00E26809"/>
    <w:rsid w:val="00E26FB0"/>
    <w:rsid w:val="00E279D2"/>
    <w:rsid w:val="00E27B67"/>
    <w:rsid w:val="00E3412D"/>
    <w:rsid w:val="00E352EC"/>
    <w:rsid w:val="00E36260"/>
    <w:rsid w:val="00E42641"/>
    <w:rsid w:val="00E434B9"/>
    <w:rsid w:val="00E44AA8"/>
    <w:rsid w:val="00E53919"/>
    <w:rsid w:val="00E56747"/>
    <w:rsid w:val="00E57322"/>
    <w:rsid w:val="00E61BDB"/>
    <w:rsid w:val="00E628CB"/>
    <w:rsid w:val="00E62AD9"/>
    <w:rsid w:val="00E63156"/>
    <w:rsid w:val="00E63382"/>
    <w:rsid w:val="00E638C8"/>
    <w:rsid w:val="00E64037"/>
    <w:rsid w:val="00E6447E"/>
    <w:rsid w:val="00E648FC"/>
    <w:rsid w:val="00E65235"/>
    <w:rsid w:val="00E71831"/>
    <w:rsid w:val="00E7231E"/>
    <w:rsid w:val="00E73672"/>
    <w:rsid w:val="00E74246"/>
    <w:rsid w:val="00E7509B"/>
    <w:rsid w:val="00E75612"/>
    <w:rsid w:val="00E7643B"/>
    <w:rsid w:val="00E76E85"/>
    <w:rsid w:val="00E81B44"/>
    <w:rsid w:val="00E822F0"/>
    <w:rsid w:val="00E839F7"/>
    <w:rsid w:val="00E8402F"/>
    <w:rsid w:val="00E86590"/>
    <w:rsid w:val="00E907FF"/>
    <w:rsid w:val="00E90B3A"/>
    <w:rsid w:val="00E91483"/>
    <w:rsid w:val="00E914E3"/>
    <w:rsid w:val="00E9167D"/>
    <w:rsid w:val="00E97410"/>
    <w:rsid w:val="00EA0612"/>
    <w:rsid w:val="00EA074C"/>
    <w:rsid w:val="00EA1626"/>
    <w:rsid w:val="00EA16E5"/>
    <w:rsid w:val="00EA1CEF"/>
    <w:rsid w:val="00EA283B"/>
    <w:rsid w:val="00EA2BCE"/>
    <w:rsid w:val="00EA37E4"/>
    <w:rsid w:val="00EA42D1"/>
    <w:rsid w:val="00EA42EF"/>
    <w:rsid w:val="00EA4CFF"/>
    <w:rsid w:val="00EA6552"/>
    <w:rsid w:val="00EA7C79"/>
    <w:rsid w:val="00EB0B08"/>
    <w:rsid w:val="00EB13DA"/>
    <w:rsid w:val="00EB1B72"/>
    <w:rsid w:val="00EB2DD1"/>
    <w:rsid w:val="00EB2E59"/>
    <w:rsid w:val="00EB55DC"/>
    <w:rsid w:val="00EB5AE0"/>
    <w:rsid w:val="00EB6B37"/>
    <w:rsid w:val="00EB7A28"/>
    <w:rsid w:val="00EC05C9"/>
    <w:rsid w:val="00EC08E9"/>
    <w:rsid w:val="00EC1DA2"/>
    <w:rsid w:val="00EC29FE"/>
    <w:rsid w:val="00EC2D54"/>
    <w:rsid w:val="00EC3C70"/>
    <w:rsid w:val="00EC5BC4"/>
    <w:rsid w:val="00ED3A3D"/>
    <w:rsid w:val="00ED538A"/>
    <w:rsid w:val="00ED676D"/>
    <w:rsid w:val="00ED6858"/>
    <w:rsid w:val="00ED6FBC"/>
    <w:rsid w:val="00EE2441"/>
    <w:rsid w:val="00EE24E4"/>
    <w:rsid w:val="00EE2F16"/>
    <w:rsid w:val="00EE33BC"/>
    <w:rsid w:val="00EE3670"/>
    <w:rsid w:val="00EE3861"/>
    <w:rsid w:val="00EE69CD"/>
    <w:rsid w:val="00EE6C0C"/>
    <w:rsid w:val="00EF05F4"/>
    <w:rsid w:val="00EF0C1D"/>
    <w:rsid w:val="00EF211C"/>
    <w:rsid w:val="00EF25D2"/>
    <w:rsid w:val="00EF290C"/>
    <w:rsid w:val="00EF2E73"/>
    <w:rsid w:val="00EF3B25"/>
    <w:rsid w:val="00EF4ADF"/>
    <w:rsid w:val="00EF5CFD"/>
    <w:rsid w:val="00EF7683"/>
    <w:rsid w:val="00EF793B"/>
    <w:rsid w:val="00EF7A2D"/>
    <w:rsid w:val="00F00838"/>
    <w:rsid w:val="00F01D6B"/>
    <w:rsid w:val="00F04F8D"/>
    <w:rsid w:val="00F069FB"/>
    <w:rsid w:val="00F06DCE"/>
    <w:rsid w:val="00F07C62"/>
    <w:rsid w:val="00F10AD0"/>
    <w:rsid w:val="00F116CC"/>
    <w:rsid w:val="00F11AA3"/>
    <w:rsid w:val="00F12021"/>
    <w:rsid w:val="00F12BD1"/>
    <w:rsid w:val="00F13870"/>
    <w:rsid w:val="00F152D1"/>
    <w:rsid w:val="00F15327"/>
    <w:rsid w:val="00F1670C"/>
    <w:rsid w:val="00F168CF"/>
    <w:rsid w:val="00F17DEB"/>
    <w:rsid w:val="00F207DE"/>
    <w:rsid w:val="00F213F0"/>
    <w:rsid w:val="00F21B0F"/>
    <w:rsid w:val="00F22041"/>
    <w:rsid w:val="00F22F12"/>
    <w:rsid w:val="00F236DC"/>
    <w:rsid w:val="00F24479"/>
    <w:rsid w:val="00F2555C"/>
    <w:rsid w:val="00F308EC"/>
    <w:rsid w:val="00F31DF3"/>
    <w:rsid w:val="00F32170"/>
    <w:rsid w:val="00F33AE5"/>
    <w:rsid w:val="00F34E0C"/>
    <w:rsid w:val="00F3597D"/>
    <w:rsid w:val="00F374DD"/>
    <w:rsid w:val="00F37833"/>
    <w:rsid w:val="00F409D4"/>
    <w:rsid w:val="00F4376D"/>
    <w:rsid w:val="00F44721"/>
    <w:rsid w:val="00F45399"/>
    <w:rsid w:val="00F45D19"/>
    <w:rsid w:val="00F465EA"/>
    <w:rsid w:val="00F5178D"/>
    <w:rsid w:val="00F5438B"/>
    <w:rsid w:val="00F54E7B"/>
    <w:rsid w:val="00F55A88"/>
    <w:rsid w:val="00F56216"/>
    <w:rsid w:val="00F56DAA"/>
    <w:rsid w:val="00F616A4"/>
    <w:rsid w:val="00F61CC9"/>
    <w:rsid w:val="00F62F89"/>
    <w:rsid w:val="00F64287"/>
    <w:rsid w:val="00F66298"/>
    <w:rsid w:val="00F677D5"/>
    <w:rsid w:val="00F719A4"/>
    <w:rsid w:val="00F72F19"/>
    <w:rsid w:val="00F7314A"/>
    <w:rsid w:val="00F74005"/>
    <w:rsid w:val="00F747F2"/>
    <w:rsid w:val="00F76884"/>
    <w:rsid w:val="00F83D24"/>
    <w:rsid w:val="00F83DD9"/>
    <w:rsid w:val="00F83F40"/>
    <w:rsid w:val="00F84446"/>
    <w:rsid w:val="00F85384"/>
    <w:rsid w:val="00F91B92"/>
    <w:rsid w:val="00F94463"/>
    <w:rsid w:val="00FA117A"/>
    <w:rsid w:val="00FA2F66"/>
    <w:rsid w:val="00FA3C8D"/>
    <w:rsid w:val="00FA52A5"/>
    <w:rsid w:val="00FA7531"/>
    <w:rsid w:val="00FB1A1E"/>
    <w:rsid w:val="00FB284A"/>
    <w:rsid w:val="00FB386A"/>
    <w:rsid w:val="00FB3924"/>
    <w:rsid w:val="00FB459E"/>
    <w:rsid w:val="00FB6343"/>
    <w:rsid w:val="00FB737E"/>
    <w:rsid w:val="00FC063B"/>
    <w:rsid w:val="00FC0786"/>
    <w:rsid w:val="00FC0E2C"/>
    <w:rsid w:val="00FC3660"/>
    <w:rsid w:val="00FC39B3"/>
    <w:rsid w:val="00FC49EF"/>
    <w:rsid w:val="00FC6126"/>
    <w:rsid w:val="00FD0045"/>
    <w:rsid w:val="00FD01FF"/>
    <w:rsid w:val="00FD18D0"/>
    <w:rsid w:val="00FD1B70"/>
    <w:rsid w:val="00FD4573"/>
    <w:rsid w:val="00FD577F"/>
    <w:rsid w:val="00FD6881"/>
    <w:rsid w:val="00FD75F4"/>
    <w:rsid w:val="00FD7D26"/>
    <w:rsid w:val="00FE0149"/>
    <w:rsid w:val="00FE0F7B"/>
    <w:rsid w:val="00FE36E2"/>
    <w:rsid w:val="00FE43B8"/>
    <w:rsid w:val="00FF0391"/>
    <w:rsid w:val="00FF0532"/>
    <w:rsid w:val="00FF10F7"/>
    <w:rsid w:val="00FF11AD"/>
    <w:rsid w:val="00FF1712"/>
    <w:rsid w:val="00FF1858"/>
    <w:rsid w:val="00FF1E55"/>
    <w:rsid w:val="00FF2971"/>
    <w:rsid w:val="00FF2C01"/>
    <w:rsid w:val="00FF2DF1"/>
    <w:rsid w:val="00FF2EFA"/>
    <w:rsid w:val="00FF34D4"/>
    <w:rsid w:val="00FF38F0"/>
    <w:rsid w:val="00FF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41A9A"/>
  <w15:docId w15:val="{2CA99406-BB56-4C37-BD3D-B3B46D67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F56D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CM1">
    <w:name w:val="CM1"/>
    <w:basedOn w:val="Normalny"/>
    <w:next w:val="Normalny"/>
    <w:uiPriority w:val="99"/>
    <w:rsid w:val="008C1C79"/>
    <w:pPr>
      <w:autoSpaceDE w:val="0"/>
      <w:autoSpaceDN w:val="0"/>
      <w:adjustRightInd w:val="0"/>
      <w:spacing w:line="240" w:lineRule="auto"/>
    </w:pPr>
    <w:rPr>
      <w:rFonts w:ascii="EU Albertina" w:hAnsi="EU Albertina"/>
      <w:sz w:val="24"/>
      <w:szCs w:val="24"/>
      <w:lang w:eastAsia="pl-PL"/>
    </w:rPr>
  </w:style>
  <w:style w:type="paragraph" w:customStyle="1" w:styleId="CM3">
    <w:name w:val="CM3"/>
    <w:basedOn w:val="Normalny"/>
    <w:next w:val="Normalny"/>
    <w:uiPriority w:val="99"/>
    <w:rsid w:val="008C1C79"/>
    <w:pPr>
      <w:autoSpaceDE w:val="0"/>
      <w:autoSpaceDN w:val="0"/>
      <w:adjustRightInd w:val="0"/>
      <w:spacing w:line="240" w:lineRule="auto"/>
    </w:pPr>
    <w:rPr>
      <w:rFonts w:ascii="EU Albertina" w:hAnsi="EU Albertina"/>
      <w:sz w:val="24"/>
      <w:szCs w:val="24"/>
      <w:lang w:eastAsia="pl-PL"/>
    </w:rPr>
  </w:style>
  <w:style w:type="paragraph" w:styleId="Poprawka">
    <w:name w:val="Revision"/>
    <w:hidden/>
    <w:uiPriority w:val="99"/>
    <w:semiHidden/>
    <w:rsid w:val="002A631A"/>
    <w:rPr>
      <w:sz w:val="22"/>
      <w:szCs w:val="22"/>
      <w:lang w:eastAsia="en-US"/>
    </w:rPr>
  </w:style>
  <w:style w:type="character" w:customStyle="1" w:styleId="Nagwek2Znak">
    <w:name w:val="Nagłówek 2 Znak"/>
    <w:basedOn w:val="Domylnaczcionkaakapitu"/>
    <w:link w:val="Nagwek2"/>
    <w:semiHidden/>
    <w:rsid w:val="00F56DAA"/>
    <w:rPr>
      <w:rFonts w:asciiTheme="majorHAnsi" w:eastAsiaTheme="majorEastAsia" w:hAnsiTheme="majorHAnsi" w:cstheme="majorBidi"/>
      <w:color w:val="365F91" w:themeColor="accent1" w:themeShade="BF"/>
      <w:sz w:val="26"/>
      <w:szCs w:val="26"/>
      <w:lang w:eastAsia="en-US"/>
    </w:rPr>
  </w:style>
  <w:style w:type="paragraph" w:styleId="Tekstpodstawowy">
    <w:name w:val="Body Text"/>
    <w:basedOn w:val="Normalny"/>
    <w:link w:val="TekstpodstawowyZnak"/>
    <w:unhideWhenUsed/>
    <w:rsid w:val="00082F53"/>
    <w:pPr>
      <w:spacing w:line="280" w:lineRule="atLeast"/>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rsid w:val="00082F53"/>
    <w:rPr>
      <w:rFonts w:ascii="Times New Roman" w:eastAsiaTheme="minorHAnsi" w:hAnsi="Times New Roman"/>
      <w:sz w:val="24"/>
      <w:szCs w:val="24"/>
    </w:rPr>
  </w:style>
  <w:style w:type="paragraph" w:customStyle="1" w:styleId="ZARTzmartartykuempunktem">
    <w:name w:val="Z/ART(§) – zm. art. (§) artykułem (punktem)"/>
    <w:basedOn w:val="Normalny"/>
    <w:uiPriority w:val="30"/>
    <w:qFormat/>
    <w:rsid w:val="00082F53"/>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Kkursywa">
    <w:name w:val="_K_ – kursywa"/>
    <w:basedOn w:val="Domylnaczcionkaakapitu"/>
    <w:qFormat/>
    <w:rsid w:val="003E1ED8"/>
    <w:rPr>
      <w:i/>
    </w:rPr>
  </w:style>
  <w:style w:type="paragraph" w:customStyle="1" w:styleId="Default">
    <w:name w:val="Default"/>
    <w:rsid w:val="00CC49F7"/>
    <w:pPr>
      <w:autoSpaceDE w:val="0"/>
      <w:autoSpaceDN w:val="0"/>
      <w:adjustRightInd w:val="0"/>
    </w:pPr>
    <w:rPr>
      <w:rFonts w:ascii="Times New Roman" w:hAnsi="Times New Roman"/>
      <w:color w:val="000000"/>
      <w:sz w:val="24"/>
      <w:szCs w:val="24"/>
    </w:rPr>
  </w:style>
  <w:style w:type="paragraph" w:customStyle="1" w:styleId="ARTartustawynprozporzdzenia">
    <w:name w:val="ART(§) – art. ustawy (§ np. rozporządzenia)"/>
    <w:uiPriority w:val="11"/>
    <w:qFormat/>
    <w:rsid w:val="00AF7ADE"/>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pogrubienie">
    <w:name w:val="_P_ – pogrubienie"/>
    <w:basedOn w:val="Domylnaczcionkaakapitu"/>
    <w:uiPriority w:val="1"/>
    <w:qFormat/>
    <w:rsid w:val="00AB1DF0"/>
    <w:rPr>
      <w:b/>
      <w:bCs w:val="0"/>
    </w:rPr>
  </w:style>
  <w:style w:type="character" w:customStyle="1" w:styleId="markedcontent">
    <w:name w:val="markedcontent"/>
    <w:basedOn w:val="Domylnaczcionkaakapitu"/>
    <w:rsid w:val="00FD0045"/>
  </w:style>
  <w:style w:type="character" w:customStyle="1" w:styleId="highlight">
    <w:name w:val="highlight"/>
    <w:basedOn w:val="Domylnaczcionkaakapitu"/>
    <w:rsid w:val="00FD0045"/>
  </w:style>
  <w:style w:type="character" w:customStyle="1" w:styleId="ms-rtethemeforecolor-2-0">
    <w:name w:val="ms-rtethemeforecolor-2-0"/>
    <w:basedOn w:val="Domylnaczcionkaakapitu"/>
    <w:rsid w:val="002019F4"/>
  </w:style>
  <w:style w:type="paragraph" w:styleId="Tekstpodstawowy2">
    <w:name w:val="Body Text 2"/>
    <w:basedOn w:val="Normalny"/>
    <w:link w:val="Tekstpodstawowy2Znak"/>
    <w:uiPriority w:val="99"/>
    <w:unhideWhenUsed/>
    <w:rsid w:val="00D3492C"/>
    <w:pPr>
      <w:spacing w:after="120" w:line="480" w:lineRule="auto"/>
    </w:pPr>
  </w:style>
  <w:style w:type="character" w:customStyle="1" w:styleId="Tekstpodstawowy2Znak">
    <w:name w:val="Tekst podstawowy 2 Znak"/>
    <w:basedOn w:val="Domylnaczcionkaakapitu"/>
    <w:link w:val="Tekstpodstawowy2"/>
    <w:uiPriority w:val="99"/>
    <w:rsid w:val="00D3492C"/>
    <w:rPr>
      <w:sz w:val="22"/>
      <w:szCs w:val="22"/>
      <w:lang w:eastAsia="en-US"/>
    </w:rPr>
  </w:style>
  <w:style w:type="character" w:customStyle="1" w:styleId="oj-super">
    <w:name w:val="oj-super"/>
    <w:basedOn w:val="Domylnaczcionkaakapitu"/>
    <w:rsid w:val="002876BD"/>
  </w:style>
  <w:style w:type="character" w:customStyle="1" w:styleId="oj-italic">
    <w:name w:val="oj-italic"/>
    <w:basedOn w:val="Domylnaczcionkaakapitu"/>
    <w:rsid w:val="002876BD"/>
  </w:style>
  <w:style w:type="paragraph" w:customStyle="1" w:styleId="oj-normal">
    <w:name w:val="oj-normal"/>
    <w:basedOn w:val="Normalny"/>
    <w:rsid w:val="00436F8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PKTzmpktartykuempunktem">
    <w:name w:val="Z/PKT – zm. pkt artykułem (punktem)"/>
    <w:basedOn w:val="Normalny"/>
    <w:uiPriority w:val="31"/>
    <w:qFormat/>
    <w:rsid w:val="00FD01FF"/>
    <w:pPr>
      <w:spacing w:line="360" w:lineRule="auto"/>
      <w:ind w:left="1020" w:hanging="510"/>
      <w:jc w:val="both"/>
    </w:pPr>
    <w:rPr>
      <w:rFonts w:ascii="Times" w:eastAsiaTheme="minorEastAsia" w:hAnsi="Times" w:cs="Arial"/>
      <w:bCs/>
      <w:sz w:val="24"/>
      <w:szCs w:val="20"/>
      <w:lang w:eastAsia="pl-PL"/>
    </w:rPr>
  </w:style>
  <w:style w:type="paragraph" w:customStyle="1" w:styleId="ZTIRwLITzmtirwlitartykuempunktem">
    <w:name w:val="Z/TIR_w_LIT – zm. tir. w lit. artykułem (punktem)"/>
    <w:basedOn w:val="Normalny"/>
    <w:uiPriority w:val="33"/>
    <w:qFormat/>
    <w:rsid w:val="00CC3F47"/>
    <w:pPr>
      <w:spacing w:line="360" w:lineRule="auto"/>
      <w:ind w:left="1384" w:hanging="397"/>
      <w:jc w:val="both"/>
    </w:pPr>
    <w:rPr>
      <w:rFonts w:ascii="Times" w:eastAsiaTheme="minorEastAsia" w:hAnsi="Times" w:cs="Arial"/>
      <w:bCs/>
      <w:sz w:val="24"/>
      <w:szCs w:val="20"/>
      <w:lang w:eastAsia="pl-PL"/>
    </w:rPr>
  </w:style>
  <w:style w:type="paragraph" w:customStyle="1" w:styleId="ZLITzmlitartykuempunktem">
    <w:name w:val="Z/LIT – zm. lit. artykułem (punktem)"/>
    <w:basedOn w:val="Normalny"/>
    <w:uiPriority w:val="32"/>
    <w:qFormat/>
    <w:rsid w:val="00CC3F47"/>
    <w:pPr>
      <w:spacing w:line="360" w:lineRule="auto"/>
      <w:ind w:left="986" w:hanging="476"/>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3B01A5"/>
  </w:style>
  <w:style w:type="character" w:customStyle="1" w:styleId="Nierozpoznanawzmianka1">
    <w:name w:val="Nierozpoznana wzmianka1"/>
    <w:basedOn w:val="Domylnaczcionkaakapitu"/>
    <w:uiPriority w:val="99"/>
    <w:semiHidden/>
    <w:unhideWhenUsed/>
    <w:rsid w:val="00B22587"/>
    <w:rPr>
      <w:color w:val="605E5C"/>
      <w:shd w:val="clear" w:color="auto" w:fill="E1DFDD"/>
    </w:rPr>
  </w:style>
  <w:style w:type="character" w:customStyle="1" w:styleId="UnresolvedMention">
    <w:name w:val="Unresolved Mention"/>
    <w:basedOn w:val="Domylnaczcionkaakapitu"/>
    <w:uiPriority w:val="99"/>
    <w:semiHidden/>
    <w:unhideWhenUsed/>
    <w:rsid w:val="00A1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78335138">
      <w:bodyDiv w:val="1"/>
      <w:marLeft w:val="0"/>
      <w:marRight w:val="0"/>
      <w:marTop w:val="0"/>
      <w:marBottom w:val="0"/>
      <w:divBdr>
        <w:top w:val="none" w:sz="0" w:space="0" w:color="auto"/>
        <w:left w:val="none" w:sz="0" w:space="0" w:color="auto"/>
        <w:bottom w:val="none" w:sz="0" w:space="0" w:color="auto"/>
        <w:right w:val="none" w:sz="0" w:space="0" w:color="auto"/>
      </w:divBdr>
    </w:div>
    <w:div w:id="174392984">
      <w:bodyDiv w:val="1"/>
      <w:marLeft w:val="0"/>
      <w:marRight w:val="0"/>
      <w:marTop w:val="0"/>
      <w:marBottom w:val="0"/>
      <w:divBdr>
        <w:top w:val="none" w:sz="0" w:space="0" w:color="auto"/>
        <w:left w:val="none" w:sz="0" w:space="0" w:color="auto"/>
        <w:bottom w:val="none" w:sz="0" w:space="0" w:color="auto"/>
        <w:right w:val="none" w:sz="0" w:space="0" w:color="auto"/>
      </w:divBdr>
    </w:div>
    <w:div w:id="20140518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05945567">
      <w:bodyDiv w:val="1"/>
      <w:marLeft w:val="0"/>
      <w:marRight w:val="0"/>
      <w:marTop w:val="0"/>
      <w:marBottom w:val="0"/>
      <w:divBdr>
        <w:top w:val="none" w:sz="0" w:space="0" w:color="auto"/>
        <w:left w:val="none" w:sz="0" w:space="0" w:color="auto"/>
        <w:bottom w:val="none" w:sz="0" w:space="0" w:color="auto"/>
        <w:right w:val="none" w:sz="0" w:space="0" w:color="auto"/>
      </w:divBdr>
    </w:div>
    <w:div w:id="216164649">
      <w:bodyDiv w:val="1"/>
      <w:marLeft w:val="0"/>
      <w:marRight w:val="0"/>
      <w:marTop w:val="0"/>
      <w:marBottom w:val="0"/>
      <w:divBdr>
        <w:top w:val="none" w:sz="0" w:space="0" w:color="auto"/>
        <w:left w:val="none" w:sz="0" w:space="0" w:color="auto"/>
        <w:bottom w:val="none" w:sz="0" w:space="0" w:color="auto"/>
        <w:right w:val="none" w:sz="0" w:space="0" w:color="auto"/>
      </w:divBdr>
    </w:div>
    <w:div w:id="387537316">
      <w:bodyDiv w:val="1"/>
      <w:marLeft w:val="0"/>
      <w:marRight w:val="0"/>
      <w:marTop w:val="0"/>
      <w:marBottom w:val="0"/>
      <w:divBdr>
        <w:top w:val="none" w:sz="0" w:space="0" w:color="auto"/>
        <w:left w:val="none" w:sz="0" w:space="0" w:color="auto"/>
        <w:bottom w:val="none" w:sz="0" w:space="0" w:color="auto"/>
        <w:right w:val="none" w:sz="0" w:space="0" w:color="auto"/>
      </w:divBdr>
    </w:div>
    <w:div w:id="50845182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0213264">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34813968">
      <w:bodyDiv w:val="1"/>
      <w:marLeft w:val="0"/>
      <w:marRight w:val="0"/>
      <w:marTop w:val="0"/>
      <w:marBottom w:val="0"/>
      <w:divBdr>
        <w:top w:val="none" w:sz="0" w:space="0" w:color="auto"/>
        <w:left w:val="none" w:sz="0" w:space="0" w:color="auto"/>
        <w:bottom w:val="none" w:sz="0" w:space="0" w:color="auto"/>
        <w:right w:val="none" w:sz="0" w:space="0" w:color="auto"/>
      </w:divBdr>
    </w:div>
    <w:div w:id="798766023">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3146981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1663244">
      <w:bodyDiv w:val="1"/>
      <w:marLeft w:val="0"/>
      <w:marRight w:val="0"/>
      <w:marTop w:val="0"/>
      <w:marBottom w:val="0"/>
      <w:divBdr>
        <w:top w:val="none" w:sz="0" w:space="0" w:color="auto"/>
        <w:left w:val="none" w:sz="0" w:space="0" w:color="auto"/>
        <w:bottom w:val="none" w:sz="0" w:space="0" w:color="auto"/>
        <w:right w:val="none" w:sz="0" w:space="0" w:color="auto"/>
      </w:divBdr>
    </w:div>
    <w:div w:id="107763517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62903948">
      <w:bodyDiv w:val="1"/>
      <w:marLeft w:val="0"/>
      <w:marRight w:val="0"/>
      <w:marTop w:val="0"/>
      <w:marBottom w:val="0"/>
      <w:divBdr>
        <w:top w:val="none" w:sz="0" w:space="0" w:color="auto"/>
        <w:left w:val="none" w:sz="0" w:space="0" w:color="auto"/>
        <w:bottom w:val="none" w:sz="0" w:space="0" w:color="auto"/>
        <w:right w:val="none" w:sz="0" w:space="0" w:color="auto"/>
      </w:divBdr>
    </w:div>
    <w:div w:id="1627007637">
      <w:bodyDiv w:val="1"/>
      <w:marLeft w:val="0"/>
      <w:marRight w:val="0"/>
      <w:marTop w:val="0"/>
      <w:marBottom w:val="0"/>
      <w:divBdr>
        <w:top w:val="none" w:sz="0" w:space="0" w:color="auto"/>
        <w:left w:val="none" w:sz="0" w:space="0" w:color="auto"/>
        <w:bottom w:val="none" w:sz="0" w:space="0" w:color="auto"/>
        <w:right w:val="none" w:sz="0" w:space="0" w:color="auto"/>
      </w:divBdr>
    </w:div>
    <w:div w:id="1723283110">
      <w:bodyDiv w:val="1"/>
      <w:marLeft w:val="0"/>
      <w:marRight w:val="0"/>
      <w:marTop w:val="0"/>
      <w:marBottom w:val="0"/>
      <w:divBdr>
        <w:top w:val="none" w:sz="0" w:space="0" w:color="auto"/>
        <w:left w:val="none" w:sz="0" w:space="0" w:color="auto"/>
        <w:bottom w:val="none" w:sz="0" w:space="0" w:color="auto"/>
        <w:right w:val="none" w:sz="0" w:space="0" w:color="auto"/>
      </w:divBdr>
    </w:div>
    <w:div w:id="1774282360">
      <w:bodyDiv w:val="1"/>
      <w:marLeft w:val="0"/>
      <w:marRight w:val="0"/>
      <w:marTop w:val="0"/>
      <w:marBottom w:val="0"/>
      <w:divBdr>
        <w:top w:val="none" w:sz="0" w:space="0" w:color="auto"/>
        <w:left w:val="none" w:sz="0" w:space="0" w:color="auto"/>
        <w:bottom w:val="none" w:sz="0" w:space="0" w:color="auto"/>
        <w:right w:val="none" w:sz="0" w:space="0" w:color="auto"/>
      </w:divBdr>
    </w:div>
    <w:div w:id="1779831252">
      <w:bodyDiv w:val="1"/>
      <w:marLeft w:val="0"/>
      <w:marRight w:val="0"/>
      <w:marTop w:val="0"/>
      <w:marBottom w:val="0"/>
      <w:divBdr>
        <w:top w:val="none" w:sz="0" w:space="0" w:color="auto"/>
        <w:left w:val="none" w:sz="0" w:space="0" w:color="auto"/>
        <w:bottom w:val="none" w:sz="0" w:space="0" w:color="auto"/>
        <w:right w:val="none" w:sz="0" w:space="0" w:color="auto"/>
      </w:divBdr>
      <w:divsChild>
        <w:div w:id="1440565039">
          <w:marLeft w:val="0"/>
          <w:marRight w:val="0"/>
          <w:marTop w:val="0"/>
          <w:marBottom w:val="0"/>
          <w:divBdr>
            <w:top w:val="none" w:sz="0" w:space="0" w:color="auto"/>
            <w:left w:val="none" w:sz="0" w:space="0" w:color="auto"/>
            <w:bottom w:val="none" w:sz="0" w:space="0" w:color="auto"/>
            <w:right w:val="none" w:sz="0" w:space="0" w:color="auto"/>
          </w:divBdr>
          <w:divsChild>
            <w:div w:id="6093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6216138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17338485">
      <w:bodyDiv w:val="1"/>
      <w:marLeft w:val="0"/>
      <w:marRight w:val="0"/>
      <w:marTop w:val="0"/>
      <w:marBottom w:val="0"/>
      <w:divBdr>
        <w:top w:val="none" w:sz="0" w:space="0" w:color="auto"/>
        <w:left w:val="none" w:sz="0" w:space="0" w:color="auto"/>
        <w:bottom w:val="none" w:sz="0" w:space="0" w:color="auto"/>
        <w:right w:val="none" w:sz="0" w:space="0" w:color="auto"/>
      </w:divBdr>
    </w:div>
    <w:div w:id="2046175493">
      <w:bodyDiv w:val="1"/>
      <w:marLeft w:val="0"/>
      <w:marRight w:val="0"/>
      <w:marTop w:val="0"/>
      <w:marBottom w:val="0"/>
      <w:divBdr>
        <w:top w:val="none" w:sz="0" w:space="0" w:color="auto"/>
        <w:left w:val="none" w:sz="0" w:space="0" w:color="auto"/>
        <w:bottom w:val="none" w:sz="0" w:space="0" w:color="auto"/>
        <w:right w:val="none" w:sz="0" w:space="0" w:color="auto"/>
      </w:divBdr>
    </w:div>
    <w:div w:id="20682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janicka@mf.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w.pl/" TargetMode="External"/><Relationship Id="rId5" Type="http://schemas.openxmlformats.org/officeDocument/2006/relationships/webSettings" Target="webSettings.xml"/><Relationship Id="rId10" Type="http://schemas.openxmlformats.org/officeDocument/2006/relationships/hyperlink" Target="http://www.kdpwccp.pl/pl/kdpw_ccp/Strony/O-KDPW_CCP.aspx" TargetMode="External"/><Relationship Id="rId4" Type="http://schemas.openxmlformats.org/officeDocument/2006/relationships/settings" Target="settings.xml"/><Relationship Id="rId9" Type="http://schemas.openxmlformats.org/officeDocument/2006/relationships/hyperlink" Target="http://www.knf.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FF86-119B-496F-B572-5D5B4C1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3817</Words>
  <Characters>22903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Formularz OSR</vt:lpstr>
    </vt:vector>
  </TitlesOfParts>
  <Company>Ministerstwo Finansów</Company>
  <LinksUpToDate>false</LinksUpToDate>
  <CharactersWithSpaces>26667</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Radziszewski Piotr</dc:creator>
  <cp:keywords>ocena skutków regulacji</cp:keywords>
  <cp:lastModifiedBy>KGHM</cp:lastModifiedBy>
  <cp:revision>2</cp:revision>
  <cp:lastPrinted>2023-11-20T13:32:00Z</cp:lastPrinted>
  <dcterms:created xsi:type="dcterms:W3CDTF">2024-04-18T13:44:00Z</dcterms:created>
  <dcterms:modified xsi:type="dcterms:W3CDTF">2024-04-18T13:44:00Z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UxC4dwLulzfINJ8nQH+xvX5LNGipWa4BRSZhPgxsCvkWRliAk/+zglj4SBo8AkCvV4MmYDVZbtP+jqEGISuD8Q==</vt:lpwstr>
  </property>
  <property fmtid="{D5CDD505-2E9C-101B-9397-08002B2CF9AE}" pid="4" name="MFClassificationDate">
    <vt:lpwstr>2022-01-24T14:14:22.5555634+01:00</vt:lpwstr>
  </property>
  <property fmtid="{D5CDD505-2E9C-101B-9397-08002B2CF9AE}" pid="5" name="MFClassifiedBySID">
    <vt:lpwstr>UxC4dwLulzfINJ8nQH+xvX5LNGipWa4BRSZhPgxsCvm42mrIC/DSDv0ggS+FjUN/2v1BBotkLlY5aAiEhoi6uXIrSaAlUDbety+V13W6N6Fpaur+zhmAF2Br2W7Vb97h</vt:lpwstr>
  </property>
  <property fmtid="{D5CDD505-2E9C-101B-9397-08002B2CF9AE}" pid="6" name="MFGRNItemId">
    <vt:lpwstr>GRN-96338481-2970-40a6-ae88-3bc63d12a6c9</vt:lpwstr>
  </property>
  <property fmtid="{D5CDD505-2E9C-101B-9397-08002B2CF9AE}" pid="7" name="MFHash">
    <vt:lpwstr>MVSp91M/LHSfBe8GUDSLLPApt4oVCyEeO1emIHq0Hj0=</vt:lpwstr>
  </property>
  <property fmtid="{D5CDD505-2E9C-101B-9397-08002B2CF9AE}" pid="8" name="MFVisualMarkingsSettings">
    <vt:lpwstr>HeaderAlignment=1;FooterAlignment=1</vt:lpwstr>
  </property>
  <property fmtid="{D5CDD505-2E9C-101B-9397-08002B2CF9AE}" pid="9" name="DLPManualFileClassification">
    <vt:lpwstr>{5fdfc941-3fcf-4a5b-87be-4848800d39d0}</vt:lpwstr>
  </property>
  <property fmtid="{D5CDD505-2E9C-101B-9397-08002B2CF9AE}" pid="10" name="MFRefresh">
    <vt:lpwstr>False</vt:lpwstr>
  </property>
</Properties>
</file>