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70459" w14:textId="2FBB6FE5" w:rsidR="00F3012A" w:rsidRDefault="00F3012A" w:rsidP="004A3DA1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1343F5">
        <w:t>12</w:t>
      </w:r>
      <w:r w:rsidR="00901833">
        <w:t>.04</w:t>
      </w:r>
      <w:r>
        <w:t>.2024 r.</w:t>
      </w:r>
    </w:p>
    <w:p w14:paraId="245ECAD6" w14:textId="77777777" w:rsidR="004A3DA1" w:rsidRDefault="004A3DA1" w:rsidP="004A3DA1">
      <w:pPr>
        <w:pStyle w:val="OZNRODZAKTUtznustawalubrozporzdzenieiorganwydajcy"/>
      </w:pPr>
      <w:r>
        <w:t>Rozporzadzenie</w:t>
      </w:r>
      <w:r>
        <w:br/>
        <w:t>Ministra Infrastruktury</w:t>
      </w:r>
      <w:r w:rsidRPr="004A3DA1">
        <w:rPr>
          <w:rStyle w:val="IGPindeksgrnyipogrubienie"/>
        </w:rPr>
        <w:footnoteReference w:id="1"/>
      </w:r>
      <w:r w:rsidRPr="004A3DA1">
        <w:rPr>
          <w:rStyle w:val="IGPindeksgrnyipogrubienie"/>
        </w:rPr>
        <w:t>)</w:t>
      </w:r>
    </w:p>
    <w:p w14:paraId="63983AEC" w14:textId="77777777" w:rsidR="004A3DA1" w:rsidRDefault="004A3DA1" w:rsidP="004A3DA1">
      <w:pPr>
        <w:pStyle w:val="DATAAKTUdatauchwalenialubwydaniaaktu"/>
      </w:pPr>
      <w:r>
        <w:t>z dnia …………………….. 2024 r.</w:t>
      </w:r>
    </w:p>
    <w:p w14:paraId="62195F00" w14:textId="77777777" w:rsidR="004A3DA1" w:rsidRDefault="004A3DA1" w:rsidP="004A3DA1">
      <w:pPr>
        <w:pStyle w:val="TYTUAKTUprzedmiotregulacjiustawylubrozporzdzenia"/>
      </w:pPr>
      <w:r>
        <w:t xml:space="preserve">zmieniające rozporządzenie </w:t>
      </w:r>
      <w:r w:rsidRPr="004A3DA1">
        <w:t>w sprawie wysokości opłat za wydanie dowodu rejestracyjnego, pozwolenia czasowego i zalegalizowanych tablic (tablicy) rejestracyjnych oraz ich wtórników</w:t>
      </w:r>
    </w:p>
    <w:p w14:paraId="025E7917" w14:textId="77777777" w:rsidR="004A3DA1" w:rsidRDefault="004A3DA1" w:rsidP="004A3DA1">
      <w:pPr>
        <w:pStyle w:val="ARTartustawynprozporzdzenia"/>
      </w:pPr>
      <w:r w:rsidRPr="004A3DA1">
        <w:t>Na podstawie art. 76 ust. 1 pkt 2 ustawy z dnia 20 czerwca 1997 r. – Prawo o ruchu drogowym (Dz. U. z 202</w:t>
      </w:r>
      <w:r>
        <w:t>3</w:t>
      </w:r>
      <w:r w:rsidRPr="004A3DA1">
        <w:t xml:space="preserve"> r. poz. </w:t>
      </w:r>
      <w:r>
        <w:t>1047, z późn. zm.</w:t>
      </w:r>
      <w:r>
        <w:rPr>
          <w:rStyle w:val="Odwoanieprzypisudolnego"/>
        </w:rPr>
        <w:footnoteReference w:id="2"/>
      </w:r>
      <w:r w:rsidRPr="004A3DA1">
        <w:rPr>
          <w:rStyle w:val="IGindeksgrny"/>
        </w:rPr>
        <w:t>)</w:t>
      </w:r>
      <w:r>
        <w:t>)</w:t>
      </w:r>
      <w:r w:rsidRPr="004A3DA1">
        <w:t xml:space="preserve"> zarządza się, co następuje</w:t>
      </w:r>
      <w:r>
        <w:t>:</w:t>
      </w:r>
    </w:p>
    <w:p w14:paraId="7D582505" w14:textId="77777777" w:rsidR="004A3DA1" w:rsidRDefault="004A3DA1" w:rsidP="005B1AF7">
      <w:pPr>
        <w:pStyle w:val="ARTartustawynprozporzdzenia"/>
      </w:pPr>
      <w:r w:rsidRPr="00B17DA8">
        <w:rPr>
          <w:rStyle w:val="Ppogrubienie"/>
        </w:rPr>
        <w:t>§ 1.</w:t>
      </w:r>
      <w:r>
        <w:tab/>
        <w:t xml:space="preserve"> W rozporządzeniu</w:t>
      </w:r>
      <w:r w:rsidR="005B1AF7" w:rsidRPr="005B1AF7">
        <w:t xml:space="preserve"> Ministra Infrastruktury z dnia 4 sierpnia 2022 r w sprawie wysokości opłat za wydanie dowodu rejestracyjnego, pozwolenia czasowego i zalegalizowanych tablic (tablicy) rejestracyjnych oraz ich wtórników</w:t>
      </w:r>
      <w:r w:rsidR="005B1AF7">
        <w:t xml:space="preserve"> </w:t>
      </w:r>
      <w:r w:rsidR="005B1AF7" w:rsidRPr="005B1AF7">
        <w:t>(Dz.</w:t>
      </w:r>
      <w:r w:rsidR="003D48D5">
        <w:t xml:space="preserve"> </w:t>
      </w:r>
      <w:r w:rsidR="005B1AF7" w:rsidRPr="005B1AF7">
        <w:t>U. poz. 1848)</w:t>
      </w:r>
      <w:r w:rsidR="005B1AF7">
        <w:t xml:space="preserve"> wprowadza się następujące zmiany:</w:t>
      </w:r>
    </w:p>
    <w:p w14:paraId="39911D77" w14:textId="77777777" w:rsidR="005B1AF7" w:rsidRDefault="005B1AF7" w:rsidP="008E2B6E">
      <w:pPr>
        <w:pStyle w:val="PKTpunkt"/>
      </w:pPr>
      <w:r>
        <w:t>1)</w:t>
      </w:r>
      <w:r>
        <w:tab/>
        <w:t xml:space="preserve">w § 3 w ust. 1 w pkt 2 wyrazy </w:t>
      </w:r>
      <w:r w:rsidRPr="005B1AF7">
        <w:t>„</w:t>
      </w:r>
      <w:r>
        <w:t>art. 74 ust. 2 pkt 2</w:t>
      </w:r>
      <w:r w:rsidRPr="005B1AF7">
        <w:t>”</w:t>
      </w:r>
      <w:r>
        <w:t xml:space="preserve"> zastępuje się wyrazami </w:t>
      </w:r>
      <w:r w:rsidRPr="005B1AF7">
        <w:t>„art. 74 ust. 2 pkt 2</w:t>
      </w:r>
      <w:r>
        <w:t xml:space="preserve"> albo ust. 2ca</w:t>
      </w:r>
      <w:r w:rsidRPr="005B1AF7">
        <w:t>”</w:t>
      </w:r>
      <w:r>
        <w:t>;</w:t>
      </w:r>
    </w:p>
    <w:p w14:paraId="46D4B8D0" w14:textId="77777777" w:rsidR="008E2B6E" w:rsidRDefault="00C332C9" w:rsidP="008E2B6E">
      <w:pPr>
        <w:pStyle w:val="PKTpunkt"/>
      </w:pPr>
      <w:r>
        <w:t>2</w:t>
      </w:r>
      <w:r w:rsidR="005B1AF7">
        <w:t>)</w:t>
      </w:r>
      <w:r w:rsidR="005B1AF7">
        <w:tab/>
        <w:t>w</w:t>
      </w:r>
      <w:r w:rsidR="005E1A0B">
        <w:t xml:space="preserve"> § 5</w:t>
      </w:r>
      <w:r w:rsidR="008E2B6E">
        <w:t>:</w:t>
      </w:r>
    </w:p>
    <w:p w14:paraId="0F243753" w14:textId="2521B9A2" w:rsidR="005B1AF7" w:rsidRDefault="008E2B6E" w:rsidP="008E2B6E">
      <w:pPr>
        <w:pStyle w:val="LITlitera"/>
      </w:pPr>
      <w:r>
        <w:t>a)</w:t>
      </w:r>
      <w:r>
        <w:tab/>
        <w:t xml:space="preserve">w ust. 1 po pkt 1 </w:t>
      </w:r>
      <w:r w:rsidR="005E1A0B">
        <w:t xml:space="preserve">dodaje się pkt 1a w </w:t>
      </w:r>
      <w:r w:rsidR="00B17DA8">
        <w:t>brzmieniu:</w:t>
      </w:r>
    </w:p>
    <w:p w14:paraId="7B6B1D80" w14:textId="6405D6D0" w:rsidR="00B17DA8" w:rsidRDefault="00B17DA8" w:rsidP="008E2B6E">
      <w:pPr>
        <w:pStyle w:val="ZLITPKTzmpktliter"/>
      </w:pPr>
      <w:bookmarkStart w:id="1" w:name="_Hlk163727221"/>
      <w:r w:rsidRPr="005E1A0B">
        <w:t>„</w:t>
      </w:r>
      <w:bookmarkEnd w:id="1"/>
      <w:r>
        <w:t>1a)</w:t>
      </w:r>
      <w:r>
        <w:tab/>
      </w:r>
      <w:r w:rsidRPr="00B17DA8">
        <w:t>tymczasowych tablic rejestracyjnych samochodowych</w:t>
      </w:r>
      <w:r w:rsidR="00C332C9">
        <w:t xml:space="preserve"> do ozn</w:t>
      </w:r>
      <w:r w:rsidR="00821BDD">
        <w:t>aczania</w:t>
      </w:r>
      <w:r w:rsidR="00C332C9">
        <w:t xml:space="preserve"> s</w:t>
      </w:r>
      <w:r w:rsidR="00C332C9" w:rsidRPr="00C332C9">
        <w:t>amochodów osobowych</w:t>
      </w:r>
      <w:r w:rsidR="00C332C9">
        <w:t xml:space="preserve"> </w:t>
      </w:r>
      <w:r w:rsidR="00C332C9" w:rsidRPr="00C332C9">
        <w:t>przeznaczonych do zawodów sportowych</w:t>
      </w:r>
      <w:r w:rsidRPr="00B17DA8">
        <w:t xml:space="preserve"> albo ich wtórnika </w:t>
      </w:r>
      <w:r w:rsidR="003D48D5" w:rsidRPr="005E1A0B">
        <w:t>–</w:t>
      </w:r>
      <w:r w:rsidRPr="00B17DA8">
        <w:t xml:space="preserve"> </w:t>
      </w:r>
      <w:r w:rsidR="00C332C9">
        <w:t>100</w:t>
      </w:r>
      <w:r w:rsidRPr="00B17DA8">
        <w:t xml:space="preserve"> zł;”</w:t>
      </w:r>
      <w:r w:rsidR="008E2B6E">
        <w:t>;</w:t>
      </w:r>
    </w:p>
    <w:p w14:paraId="0EBE9A89" w14:textId="5C7F5967" w:rsidR="008E2B6E" w:rsidRDefault="008E2B6E" w:rsidP="008E2B6E">
      <w:pPr>
        <w:pStyle w:val="LITlitera"/>
      </w:pPr>
      <w:r>
        <w:t>b)</w:t>
      </w:r>
      <w:r>
        <w:tab/>
        <w:t>po ust. 2 dodaje się ust. 2a w brzmieniu:</w:t>
      </w:r>
    </w:p>
    <w:p w14:paraId="536D63CA" w14:textId="038F21DE" w:rsidR="008E2B6E" w:rsidRDefault="008E2B6E" w:rsidP="00826D9C">
      <w:pPr>
        <w:pStyle w:val="ZLITPKTzmpktliter"/>
      </w:pPr>
      <w:r w:rsidRPr="008E2B6E">
        <w:t>„</w:t>
      </w:r>
      <w:r w:rsidR="005B1AA8">
        <w:t>2a.</w:t>
      </w:r>
      <w:r w:rsidR="005B1AA8">
        <w:tab/>
      </w:r>
      <w:r w:rsidR="005B1AA8" w:rsidRPr="005B1AA8">
        <w:t xml:space="preserve">Za wydanie </w:t>
      </w:r>
      <w:bookmarkStart w:id="2" w:name="_Hlk163805486"/>
      <w:r w:rsidR="005B1AA8" w:rsidRPr="005B1AA8">
        <w:t xml:space="preserve">wtórnika </w:t>
      </w:r>
      <w:r w:rsidR="000B3A09">
        <w:t xml:space="preserve">tymczasowej </w:t>
      </w:r>
      <w:r w:rsidR="005B1AA8" w:rsidRPr="005B1AA8">
        <w:t xml:space="preserve">tablicy </w:t>
      </w:r>
      <w:r w:rsidR="00654F5C" w:rsidRPr="00654F5C">
        <w:t>rejestracyjn</w:t>
      </w:r>
      <w:r w:rsidR="00654F5C">
        <w:t>ej</w:t>
      </w:r>
      <w:r w:rsidR="000B3A09">
        <w:t>, o której mowa w ust. 1 pkt 1a,</w:t>
      </w:r>
      <w:r w:rsidR="00654F5C" w:rsidRPr="00654F5C">
        <w:t xml:space="preserve"> </w:t>
      </w:r>
      <w:r w:rsidR="005B1AA8" w:rsidRPr="005B1AA8">
        <w:t>organ rejestrujący pobiera opłatę w wysokości 50%</w:t>
      </w:r>
      <w:bookmarkEnd w:id="2"/>
      <w:r w:rsidR="005B1AA8" w:rsidRPr="005B1AA8">
        <w:t xml:space="preserve"> opłaty określonej w </w:t>
      </w:r>
      <w:r w:rsidR="000B3A09">
        <w:t>tym przepisie</w:t>
      </w:r>
      <w:r w:rsidR="001343F5">
        <w:t>.</w:t>
      </w:r>
      <w:r w:rsidR="005B1AA8" w:rsidRPr="005B1AA8">
        <w:t>”</w:t>
      </w:r>
      <w:r w:rsidR="00654F5C">
        <w:t>.</w:t>
      </w:r>
    </w:p>
    <w:p w14:paraId="5757BA19" w14:textId="77777777" w:rsidR="005B1AF7" w:rsidRDefault="00B17DA8" w:rsidP="005B1AF7">
      <w:pPr>
        <w:pStyle w:val="ARTartustawynprozporzdzenia"/>
      </w:pPr>
      <w:r w:rsidRPr="00B17DA8">
        <w:rPr>
          <w:rStyle w:val="Ppogrubienie"/>
        </w:rPr>
        <w:t>§ 2.</w:t>
      </w:r>
      <w:r>
        <w:tab/>
      </w:r>
      <w:r w:rsidRPr="00B17DA8">
        <w:t>Rozporządzenie wchodzi w życie z dniem</w:t>
      </w:r>
      <w:r>
        <w:t xml:space="preserve"> </w:t>
      </w:r>
      <w:r w:rsidR="00C332C9">
        <w:t>1 czerwca 2024 r. z wyjątkiem § 1 pkt 2, który wchodzi w życie z dniem 1 października 2024 r</w:t>
      </w:r>
      <w:r>
        <w:t>.</w:t>
      </w:r>
    </w:p>
    <w:p w14:paraId="5B8B41FF" w14:textId="77777777" w:rsidR="00D479B9" w:rsidRDefault="00D479B9" w:rsidP="005B1AF7">
      <w:pPr>
        <w:pStyle w:val="ARTartustawynprozporzdzenia"/>
      </w:pPr>
    </w:p>
    <w:p w14:paraId="325B0E15" w14:textId="77777777" w:rsidR="006E39F8" w:rsidRDefault="00B17DA8" w:rsidP="00D479B9">
      <w:pPr>
        <w:pStyle w:val="NAZORGWYDnazwaorganuwydajcegoprojektowanyakt"/>
      </w:pPr>
      <w:r w:rsidRPr="00B17DA8">
        <w:lastRenderedPageBreak/>
        <w:t>MINISTER INFRASTRUKTURY</w:t>
      </w:r>
    </w:p>
    <w:p w14:paraId="09AD4D5E" w14:textId="77777777" w:rsidR="00173C6C" w:rsidRDefault="00173C6C" w:rsidP="00173C6C">
      <w:r w:rsidRPr="00BD3D5F">
        <w:t xml:space="preserve">Za zgodność pod względem prawnym, </w:t>
      </w:r>
    </w:p>
    <w:p w14:paraId="587DBA75" w14:textId="77777777" w:rsidR="00173C6C" w:rsidRPr="00FC58EA" w:rsidRDefault="00173C6C" w:rsidP="00173C6C">
      <w:r w:rsidRPr="00BD3D5F">
        <w:t>legislacyjnym i redakcyjnym</w:t>
      </w:r>
    </w:p>
    <w:p w14:paraId="6A66F3E4" w14:textId="77777777" w:rsidR="00173C6C" w:rsidRPr="00FC58EA" w:rsidRDefault="00173C6C" w:rsidP="00173C6C">
      <w:r>
        <w:t xml:space="preserve">Tomasz </w:t>
      </w:r>
      <w:r w:rsidRPr="00FC58EA">
        <w:t>Behrendt</w:t>
      </w:r>
    </w:p>
    <w:p w14:paraId="0AA7666C" w14:textId="77777777" w:rsidR="00173C6C" w:rsidRPr="00FC58EA" w:rsidRDefault="00173C6C" w:rsidP="00173C6C">
      <w:r>
        <w:t xml:space="preserve">Zastępca </w:t>
      </w:r>
      <w:r w:rsidRPr="00FC58EA">
        <w:t>Dyrektora Departamentu Prawnego</w:t>
      </w:r>
    </w:p>
    <w:p w14:paraId="086FC994" w14:textId="5310E29F" w:rsidR="00B17DA8" w:rsidRDefault="00173C6C" w:rsidP="00173C6C">
      <w:r>
        <w:t>w</w:t>
      </w:r>
      <w:r w:rsidRPr="00FC58EA">
        <w:t xml:space="preserve"> Ministerstwie Infrastruktury </w:t>
      </w:r>
      <w:r w:rsidR="00B17DA8">
        <w:br w:type="page"/>
      </w:r>
    </w:p>
    <w:p w14:paraId="4394E27F" w14:textId="77777777" w:rsidR="00B17DA8" w:rsidRDefault="00B17DA8" w:rsidP="00B17DA8">
      <w:pPr>
        <w:pStyle w:val="DATAAKTUdatauchwalenialubwydaniaaktu"/>
      </w:pPr>
      <w:r>
        <w:lastRenderedPageBreak/>
        <w:t>U Z A S A D N I E N I E</w:t>
      </w:r>
    </w:p>
    <w:p w14:paraId="41C1F0A9" w14:textId="77777777" w:rsidR="00B17DA8" w:rsidRDefault="00B80BB6" w:rsidP="00B80BB6">
      <w:pPr>
        <w:pStyle w:val="ARTartustawynprozporzdzenia"/>
      </w:pPr>
      <w:r w:rsidRPr="00B80BB6">
        <w:t>Projekt rozporządzenia Ministra Infrastruktury</w:t>
      </w:r>
      <w:r w:rsidR="0014105E">
        <w:t xml:space="preserve"> zmieniającego rozporządzenie</w:t>
      </w:r>
      <w:r w:rsidRPr="00B80BB6">
        <w:t xml:space="preserve"> w sprawie wysokości opłat za wydanie dowodu rejestracyjnego, pozwolenia czasowego i zalegalizowanych tablic (tablicy) rejestracyjnych oraz ich wtórników</w:t>
      </w:r>
      <w:r>
        <w:t xml:space="preserve"> został przygotowany w związku z w</w:t>
      </w:r>
      <w:r w:rsidRPr="00B80BB6">
        <w:t>chodzą</w:t>
      </w:r>
      <w:r w:rsidR="00901833">
        <w:t>cymi</w:t>
      </w:r>
      <w:r w:rsidRPr="00B80BB6">
        <w:t xml:space="preserve"> w życie zmian</w:t>
      </w:r>
      <w:r w:rsidR="00901833">
        <w:t>ami</w:t>
      </w:r>
      <w:r w:rsidRPr="00B80BB6">
        <w:t xml:space="preserve"> do ustawy </w:t>
      </w:r>
      <w:r>
        <w:t xml:space="preserve">z dnia 20 czerwca 1997 r. </w:t>
      </w:r>
      <w:r w:rsidRPr="00B80BB6">
        <w:t>– Prawo o ruchu</w:t>
      </w:r>
      <w:r>
        <w:t xml:space="preserve"> </w:t>
      </w:r>
      <w:r w:rsidRPr="00B80BB6">
        <w:t>drogowym</w:t>
      </w:r>
      <w:r>
        <w:t xml:space="preserve"> (Dz. U. z 2023 r. poz. 1047, z późn. zm.)</w:t>
      </w:r>
      <w:r w:rsidRPr="00B80BB6">
        <w:t xml:space="preserve"> wprowadzon</w:t>
      </w:r>
      <w:r w:rsidR="00901833">
        <w:t>ymi</w:t>
      </w:r>
      <w:r w:rsidRPr="00B80BB6">
        <w:t xml:space="preserve"> ustawą z dnia 16 czerwca 2023 r. o zmianie ustawy o publicznym transporcie zbiorowym oraz niektórych innych ustaw (Dz. U. poz. 1720), umożliwiając</w:t>
      </w:r>
      <w:r>
        <w:t>ymi</w:t>
      </w:r>
      <w:r w:rsidRPr="00B80BB6">
        <w:t xml:space="preserve"> czasowe dopuszczanie do ruchu samochodów osobowych</w:t>
      </w:r>
      <w:r>
        <w:t xml:space="preserve"> </w:t>
      </w:r>
      <w:r w:rsidRPr="00B80BB6">
        <w:t>przeznaczonych do zawodów sportowych.</w:t>
      </w:r>
      <w:r w:rsidR="00E034CE">
        <w:t xml:space="preserve"> Zmiana ta wchodzi w życie z dniem </w:t>
      </w:r>
      <w:r w:rsidR="00901833">
        <w:br/>
      </w:r>
      <w:r w:rsidR="00E034CE">
        <w:t>1 czerwca 2024 r.</w:t>
      </w:r>
    </w:p>
    <w:p w14:paraId="483A6B05" w14:textId="77777777" w:rsidR="00E034CE" w:rsidRDefault="00E034CE" w:rsidP="00E034CE">
      <w:pPr>
        <w:pStyle w:val="ARTartustawynprozporzdzenia"/>
      </w:pPr>
      <w:r w:rsidRPr="00E034CE">
        <w:t>W związku z tą zmianą jednym z warunków dopuszczenia do ruchu samochodu osobowego</w:t>
      </w:r>
      <w:r>
        <w:t xml:space="preserve"> </w:t>
      </w:r>
      <w:r w:rsidRPr="00E034CE">
        <w:t>przeznaczonego do zawodów sportowych będzie jego czasowa rejestracja na podstawie art. 74 ust.</w:t>
      </w:r>
      <w:r>
        <w:t xml:space="preserve"> </w:t>
      </w:r>
      <w:r w:rsidRPr="00E034CE">
        <w:t>2ca ustawy – Prawo o ruchu drogowym. W tym przypadku czasowej rejestracji będzie dokonywał</w:t>
      </w:r>
      <w:r>
        <w:t xml:space="preserve"> </w:t>
      </w:r>
      <w:r w:rsidRPr="00E034CE">
        <w:t>właściwy miejscowo starosta na wniosek właściciela pojazdu. Rejestrując czasowo samochód osobowy</w:t>
      </w:r>
      <w:r>
        <w:t xml:space="preserve"> </w:t>
      </w:r>
      <w:r w:rsidRPr="00E034CE">
        <w:t>prz</w:t>
      </w:r>
      <w:r w:rsidR="00901833">
        <w:t>eznaczony do zawodów sportowych</w:t>
      </w:r>
      <w:r w:rsidRPr="00E034CE">
        <w:t xml:space="preserve"> starosta będzie wydawał pozwolenie czasowe oraz</w:t>
      </w:r>
      <w:r>
        <w:t xml:space="preserve"> </w:t>
      </w:r>
      <w:r w:rsidRPr="00E034CE">
        <w:t xml:space="preserve">tymczasowe tablic rejestracyjnych o wyróżniającej się kolorystyce, określonej w </w:t>
      </w:r>
      <w:r w:rsidRPr="00E034CE">
        <w:rPr>
          <w:rStyle w:val="Kkursywa"/>
        </w:rPr>
        <w:t>prowadzonym projekcie rozporządzania Ministra Infrastruktury w sprawie rejestracji i oznaczania pojazdów, wymagań dla tablic</w:t>
      </w:r>
      <w:r>
        <w:rPr>
          <w:rStyle w:val="Kkursywa"/>
        </w:rPr>
        <w:t xml:space="preserve"> </w:t>
      </w:r>
      <w:r w:rsidRPr="00E034CE">
        <w:rPr>
          <w:rStyle w:val="Kkursywa"/>
        </w:rPr>
        <w:t>rejestracyjnych oraz wzorów innych dokumentów związanych z rejestracją pojazdów (pozycja nr 7 w</w:t>
      </w:r>
      <w:r>
        <w:rPr>
          <w:rStyle w:val="Kkursywa"/>
        </w:rPr>
        <w:t xml:space="preserve"> </w:t>
      </w:r>
      <w:r w:rsidRPr="00E034CE">
        <w:rPr>
          <w:rStyle w:val="Kkursywa"/>
        </w:rPr>
        <w:t>Wykazie Prac Legislacyjnych Ministra Infrastruktury)</w:t>
      </w:r>
      <w:r w:rsidRPr="00E034CE">
        <w:t xml:space="preserve">. </w:t>
      </w:r>
      <w:r>
        <w:t>Z</w:t>
      </w:r>
      <w:r w:rsidRPr="00E034CE">
        <w:t>godnie z art. 75 ust. 2</w:t>
      </w:r>
      <w:r>
        <w:t xml:space="preserve"> </w:t>
      </w:r>
      <w:r w:rsidRPr="00E034CE">
        <w:t>ustawy – Prawo</w:t>
      </w:r>
      <w:r>
        <w:t xml:space="preserve"> </w:t>
      </w:r>
      <w:r w:rsidRPr="00E034CE">
        <w:t>o ruchu drogowym dowód rejestracyjny, pozwolenie czasowe, zalegalizowane tablice (tablica)</w:t>
      </w:r>
      <w:r>
        <w:t xml:space="preserve"> </w:t>
      </w:r>
      <w:r w:rsidRPr="00E034CE">
        <w:t>rejestracyjne oraz ich wtórniki są wydawane za opłatą. Opłatę pobiera organ dokonujący rejestracji</w:t>
      </w:r>
      <w:r>
        <w:t>.</w:t>
      </w:r>
    </w:p>
    <w:p w14:paraId="042880AD" w14:textId="77777777" w:rsidR="00E034CE" w:rsidRDefault="00E034CE" w:rsidP="00E034CE">
      <w:pPr>
        <w:pStyle w:val="ARTartustawynprozporzdzenia"/>
      </w:pPr>
      <w:r>
        <w:t>Uwzględniając powyższe</w:t>
      </w:r>
      <w:r w:rsidRPr="00E034CE">
        <w:t xml:space="preserve">, </w:t>
      </w:r>
      <w:r>
        <w:t xml:space="preserve">w projekcie </w:t>
      </w:r>
      <w:r w:rsidRPr="00E034CE">
        <w:t>określ</w:t>
      </w:r>
      <w:r>
        <w:t>ono</w:t>
      </w:r>
      <w:r w:rsidRPr="00E034CE">
        <w:t xml:space="preserve"> wysokości opłaty za wydanie pozwolenia czasowego w przypadku czasowej</w:t>
      </w:r>
      <w:r>
        <w:t xml:space="preserve"> r</w:t>
      </w:r>
      <w:r w:rsidRPr="00E034CE">
        <w:t>ejestracji samochodu osobowego przeznaczonego do zawodów sportowych poprzez dodanie</w:t>
      </w:r>
      <w:r>
        <w:t xml:space="preserve"> </w:t>
      </w:r>
      <w:r w:rsidRPr="00E034CE">
        <w:t xml:space="preserve">odwołania do art. 74 ust. 2ca ustawy – Prawo o ruchu drogowym w § 3 ust. 1 pkt 2 </w:t>
      </w:r>
      <w:r>
        <w:t xml:space="preserve">nowelizowanego </w:t>
      </w:r>
      <w:r w:rsidRPr="00E034CE">
        <w:t>rozporządzenia odnoszącego się do wysokości opłaty za wydanie pozwolenia czasowego na wniosek</w:t>
      </w:r>
      <w:r>
        <w:t xml:space="preserve"> </w:t>
      </w:r>
      <w:r w:rsidRPr="00E034CE">
        <w:t>właściciela pojazdu (w celu wywozu pojazdu za granicę, przejazdu pojazdu z miejsca jego zakupu lub</w:t>
      </w:r>
      <w:r>
        <w:t xml:space="preserve"> </w:t>
      </w:r>
      <w:r w:rsidRPr="00E034CE">
        <w:t>odbioru na terytorium Rzeczypospolitej Polskiej, przejazdu pojazdu związanego z koniecznością</w:t>
      </w:r>
      <w:r>
        <w:t xml:space="preserve"> </w:t>
      </w:r>
      <w:r w:rsidRPr="00E034CE">
        <w:t>dokonania jego badania technicznego lub naprawy)</w:t>
      </w:r>
      <w:r>
        <w:t>. Zatem wysokość opłaty wynosić będzie</w:t>
      </w:r>
      <w:r w:rsidRPr="00E034CE">
        <w:t xml:space="preserve"> 18,50 zł.</w:t>
      </w:r>
    </w:p>
    <w:p w14:paraId="23C6D072" w14:textId="77777777" w:rsidR="00BF79D5" w:rsidRDefault="000A52BA" w:rsidP="00873DB4">
      <w:pPr>
        <w:pStyle w:val="ARTartustawynprozporzdzenia"/>
      </w:pPr>
      <w:r>
        <w:lastRenderedPageBreak/>
        <w:t>W projekcie określono również wysokość o</w:t>
      </w:r>
      <w:r w:rsidR="00A57110" w:rsidRPr="00A57110">
        <w:t>płat</w:t>
      </w:r>
      <w:r>
        <w:t xml:space="preserve">y </w:t>
      </w:r>
      <w:r w:rsidR="00A57110" w:rsidRPr="00A57110">
        <w:t xml:space="preserve">za </w:t>
      </w:r>
      <w:r>
        <w:t xml:space="preserve">wydanie </w:t>
      </w:r>
      <w:r w:rsidRPr="000A52BA">
        <w:t>tymczasowych tablic rejestracyjnych samochodowych do ozna</w:t>
      </w:r>
      <w:r w:rsidR="008C2E88">
        <w:t>czania</w:t>
      </w:r>
      <w:r w:rsidRPr="000A52BA">
        <w:t xml:space="preserve"> samochodów osobowych przeznaczonych do zawodów sportowych, albo ich wtórnika</w:t>
      </w:r>
      <w:r>
        <w:t>,</w:t>
      </w:r>
      <w:r w:rsidRPr="000A52BA">
        <w:t xml:space="preserve"> </w:t>
      </w:r>
      <w:r>
        <w:t xml:space="preserve">na kwotę </w:t>
      </w:r>
      <w:r w:rsidR="00A57110" w:rsidRPr="00A57110">
        <w:t>100 zł</w:t>
      </w:r>
      <w:r>
        <w:t>.</w:t>
      </w:r>
      <w:r w:rsidR="00A57110" w:rsidRPr="00A57110">
        <w:t xml:space="preserve"> </w:t>
      </w:r>
      <w:r w:rsidR="000849A0">
        <w:t xml:space="preserve">Określając tę wysokość opłaty uwzględniono </w:t>
      </w:r>
      <w:r w:rsidR="000849A0" w:rsidRPr="000849A0">
        <w:rPr>
          <w:bCs/>
        </w:rPr>
        <w:t>wyróżniającą się kolorystykę tymczasowych tablic rejestracyjnych wydawanych dla samochodów osobowych przeznaczonych do zawodów sportowych</w:t>
      </w:r>
      <w:r w:rsidR="000849A0">
        <w:rPr>
          <w:bCs/>
        </w:rPr>
        <w:t xml:space="preserve"> </w:t>
      </w:r>
      <w:r w:rsidR="000849A0">
        <w:t xml:space="preserve">zaproponowaną w </w:t>
      </w:r>
      <w:r w:rsidR="000849A0" w:rsidRPr="000A52BA">
        <w:rPr>
          <w:rStyle w:val="Kkursywa"/>
        </w:rPr>
        <w:t>projekcie rozporządzania Ministra Infrastruktury w sprawie rejestracji i oznaczania pojazdów, wymagań dla tablic rejestracyjnych oraz wzorów innych dokumentów związanych z rejestracją pojazdów</w:t>
      </w:r>
      <w:r w:rsidR="000849A0">
        <w:rPr>
          <w:rStyle w:val="Kkursywa"/>
        </w:rPr>
        <w:t xml:space="preserve"> </w:t>
      </w:r>
      <w:r w:rsidR="000849A0">
        <w:rPr>
          <w:bCs/>
        </w:rPr>
        <w:t xml:space="preserve">tj. </w:t>
      </w:r>
      <w:r w:rsidR="000849A0" w:rsidRPr="000849A0">
        <w:rPr>
          <w:bCs/>
        </w:rPr>
        <w:t xml:space="preserve">znaki numeru rejestracyjnego </w:t>
      </w:r>
      <w:r w:rsidR="00123988">
        <w:rPr>
          <w:bCs/>
        </w:rPr>
        <w:t>barwy czerwonej</w:t>
      </w:r>
      <w:r w:rsidR="000849A0" w:rsidRPr="000849A0">
        <w:rPr>
          <w:bCs/>
        </w:rPr>
        <w:t xml:space="preserve"> umieszczane na żółtym tle tablicy</w:t>
      </w:r>
      <w:r w:rsidR="000849A0">
        <w:rPr>
          <w:bCs/>
        </w:rPr>
        <w:t xml:space="preserve">. Przy produkcji tych tablic </w:t>
      </w:r>
      <w:r>
        <w:t>wykorzystywana będzie</w:t>
      </w:r>
      <w:r w:rsidR="000849A0">
        <w:t xml:space="preserve"> </w:t>
      </w:r>
      <w:r w:rsidR="00EE6FD0" w:rsidRPr="00EE6FD0">
        <w:t>żółta folia odblaskowa</w:t>
      </w:r>
      <w:r w:rsidR="000849A0">
        <w:t>,</w:t>
      </w:r>
      <w:r w:rsidR="00EE6FD0" w:rsidRPr="00EE6FD0">
        <w:t xml:space="preserve"> </w:t>
      </w:r>
      <w:r w:rsidR="000849A0" w:rsidRPr="00EE6FD0">
        <w:t>któr</w:t>
      </w:r>
      <w:r w:rsidR="000849A0">
        <w:t>a</w:t>
      </w:r>
      <w:r w:rsidR="000849A0" w:rsidRPr="00EE6FD0">
        <w:t xml:space="preserve"> </w:t>
      </w:r>
      <w:r w:rsidR="000849A0">
        <w:t xml:space="preserve">stosowana jest na tablicach rejestracyjnych </w:t>
      </w:r>
      <w:r w:rsidR="000849A0" w:rsidRPr="00EE6FD0">
        <w:t xml:space="preserve">zabytkowych </w:t>
      </w:r>
      <w:r w:rsidR="000849A0">
        <w:t>i czerwona folia</w:t>
      </w:r>
      <w:r w:rsidR="00EE6FD0" w:rsidRPr="00EE6FD0">
        <w:t>,</w:t>
      </w:r>
      <w:r w:rsidR="000849A0">
        <w:t xml:space="preserve"> która stosowana jest na tablicach rejestracyjnych </w:t>
      </w:r>
      <w:r w:rsidR="00EE6FD0" w:rsidRPr="00EE6FD0">
        <w:t>tymczasowych</w:t>
      </w:r>
      <w:r w:rsidR="000849A0">
        <w:t xml:space="preserve"> – a zatem materiały</w:t>
      </w:r>
      <w:r w:rsidR="00EE6FD0">
        <w:t xml:space="preserve"> </w:t>
      </w:r>
      <w:r w:rsidR="00A57110" w:rsidRPr="00A57110">
        <w:t>wymagan</w:t>
      </w:r>
      <w:r w:rsidR="000849A0">
        <w:t>e</w:t>
      </w:r>
      <w:r w:rsidR="00A57110" w:rsidRPr="00A57110">
        <w:t xml:space="preserve"> </w:t>
      </w:r>
      <w:r w:rsidR="00EE6FD0">
        <w:t xml:space="preserve">dotychczas </w:t>
      </w:r>
      <w:r w:rsidR="00A57110" w:rsidRPr="00A57110">
        <w:t>tylko do tablic zabytkowych i</w:t>
      </w:r>
      <w:r w:rsidR="00EE6FD0">
        <w:t xml:space="preserve"> tymczasowych</w:t>
      </w:r>
      <w:r w:rsidR="000849A0">
        <w:t>. Mając to na uwadze, jak również</w:t>
      </w:r>
      <w:r w:rsidR="00EE6FD0">
        <w:t xml:space="preserve"> </w:t>
      </w:r>
      <w:r w:rsidR="000849A0">
        <w:t xml:space="preserve">bardzo </w:t>
      </w:r>
      <w:r w:rsidR="00A57110" w:rsidRPr="00A57110">
        <w:t>mały wolumen produkcji tych tablic w skali roku</w:t>
      </w:r>
      <w:r w:rsidR="00873DB4">
        <w:t xml:space="preserve"> (szacuje się, że będzie czasowo rejestrowanych około 200 szt. </w:t>
      </w:r>
      <w:r w:rsidR="00F74C4D">
        <w:t>samochodów osobowych przeznaczonych do zawodów sportowych</w:t>
      </w:r>
      <w:r w:rsidR="00873DB4">
        <w:t>)</w:t>
      </w:r>
      <w:r w:rsidR="000849A0">
        <w:t>,</w:t>
      </w:r>
      <w:r w:rsidR="00821BDD">
        <w:t xml:space="preserve"> przez co produkcja tych tablic nie będzie produkcją seryjną,</w:t>
      </w:r>
      <w:r w:rsidR="000849A0">
        <w:t xml:space="preserve"> zaproponowana wysokość opłaty dla przedmiotowych tablic będzie na poziomie opłaty za wydanie tablic rejestracyjnych zabytkowych</w:t>
      </w:r>
      <w:r w:rsidR="00821BDD">
        <w:t xml:space="preserve"> samochodowych</w:t>
      </w:r>
      <w:r w:rsidR="00873DB4">
        <w:t>, tj. 100 zł.</w:t>
      </w:r>
      <w:r w:rsidR="00BF79D5" w:rsidRPr="00BF79D5">
        <w:t xml:space="preserve"> </w:t>
      </w:r>
    </w:p>
    <w:p w14:paraId="20DD28DE" w14:textId="5CD43446" w:rsidR="00A57110" w:rsidRPr="00873DB4" w:rsidRDefault="00BF79D5" w:rsidP="00873DB4">
      <w:pPr>
        <w:pStyle w:val="ARTartustawynprozporzdzenia"/>
        <w:rPr>
          <w:rFonts w:eastAsiaTheme="minorHAnsi" w:cs="Calibri"/>
        </w:rPr>
      </w:pPr>
      <w:r>
        <w:t>Ponadto określono wysokość opłaty za wydanie wtórnika</w:t>
      </w:r>
      <w:r w:rsidRPr="00BF79D5">
        <w:t xml:space="preserve"> jednej tablicy rejestracyjnej samochodowej do oznaczania samochodów osobowych przeznaczonych do zawodów sportowych w wysokości 50%</w:t>
      </w:r>
      <w:r>
        <w:t xml:space="preserve"> opłaty pobieranej za komplet tablic, tj. 50zł.</w:t>
      </w:r>
    </w:p>
    <w:p w14:paraId="5F759314" w14:textId="7CDC4CFE" w:rsidR="005431F5" w:rsidRDefault="00A57110" w:rsidP="00745023">
      <w:pPr>
        <w:pStyle w:val="ARTartustawynprozporzdzenia"/>
      </w:pPr>
      <w:r w:rsidRPr="00A57110">
        <w:t xml:space="preserve">Planuje się wejście w życie rozporządzenia z dniem </w:t>
      </w:r>
      <w:r>
        <w:t>1 czerwca</w:t>
      </w:r>
      <w:r w:rsidRPr="00A57110">
        <w:t xml:space="preserve"> 202</w:t>
      </w:r>
      <w:r>
        <w:t>4</w:t>
      </w:r>
      <w:r w:rsidRPr="00A57110">
        <w:t xml:space="preserve"> r. Ustalenie takiego terminu wejścia w życie przedmiotowego rozporządzenia jest związane z terminem wejścia w życie ustawy z dnia 16 czerwca 2023 r. o zmianie ustawy o publicznym transporcie zbiorowym oraz niektórych innych ustaw. Wyjątek stanowi § </w:t>
      </w:r>
      <w:r>
        <w:t>1</w:t>
      </w:r>
      <w:r w:rsidRPr="00A57110">
        <w:t xml:space="preserve"> pkt </w:t>
      </w:r>
      <w:r>
        <w:t>2</w:t>
      </w:r>
      <w:r w:rsidRPr="00A57110">
        <w:t xml:space="preserve"> projektu rozporządzenia dotyczący wysokości opłaty za wydanie tymczasowych tablic rejestracyjnych samochodowych do ozna</w:t>
      </w:r>
      <w:r w:rsidR="008C2E88">
        <w:t xml:space="preserve">czania </w:t>
      </w:r>
      <w:r w:rsidRPr="00A57110">
        <w:t xml:space="preserve">samochodów osobowych przeznaczonych do zawodów sportowych, albo ich wtórnika, którego wejście w życie zaproponowano dna dzień 1 </w:t>
      </w:r>
      <w:r>
        <w:t>października</w:t>
      </w:r>
      <w:r w:rsidRPr="00A57110">
        <w:t xml:space="preserve"> 202</w:t>
      </w:r>
      <w:r>
        <w:t>4</w:t>
      </w:r>
      <w:r w:rsidRPr="00A57110">
        <w:t xml:space="preserve"> r., </w:t>
      </w:r>
      <w:r w:rsidR="000849A0">
        <w:t>u</w:t>
      </w:r>
      <w:r w:rsidRPr="00A57110">
        <w:t>względniając</w:t>
      </w:r>
      <w:r w:rsidR="00652F7A">
        <w:t>,</w:t>
      </w:r>
      <w:r w:rsidRPr="00A57110">
        <w:t xml:space="preserve"> </w:t>
      </w:r>
      <w:r w:rsidR="00652F7A">
        <w:t xml:space="preserve">iż </w:t>
      </w:r>
      <w:r w:rsidRPr="00A57110">
        <w:t xml:space="preserve">zgodnie z procedowanym równolegle </w:t>
      </w:r>
      <w:r w:rsidRPr="00652F7A">
        <w:rPr>
          <w:rStyle w:val="Kkursywa"/>
        </w:rPr>
        <w:t>projektem</w:t>
      </w:r>
      <w:r w:rsidRPr="00A57110">
        <w:t xml:space="preserve"> </w:t>
      </w:r>
      <w:bookmarkStart w:id="3" w:name="_Hlk162263632"/>
      <w:r w:rsidRPr="00EF7E99">
        <w:rPr>
          <w:rStyle w:val="Kkursywa"/>
        </w:rPr>
        <w:t>rozporządzenia Ministra Infrastruktury w sprawie rejestracji i oznaczania pojazdów, wymagań dla tablic rejestracyjnych oraz wzorów innych dokumentów związanych z rejestracją pojazdów</w:t>
      </w:r>
      <w:bookmarkEnd w:id="3"/>
      <w:r w:rsidR="00745023">
        <w:rPr>
          <w:rStyle w:val="Kkursywa"/>
        </w:rPr>
        <w:t xml:space="preserve">, </w:t>
      </w:r>
      <w:r w:rsidR="00652F7A">
        <w:t xml:space="preserve">w okresie </w:t>
      </w:r>
      <w:r w:rsidR="00652F7A" w:rsidRPr="00652F7A">
        <w:t xml:space="preserve">w okresie od dnia wejścia w życie </w:t>
      </w:r>
      <w:r w:rsidR="0014105E">
        <w:t xml:space="preserve">rozwiązań zaproponowanych w tym projekcie </w:t>
      </w:r>
      <w:r w:rsidR="00652F7A" w:rsidRPr="00652F7A">
        <w:t xml:space="preserve">rozporządzenia do dnia 30 września 2024 r. organ czasowo rejestrując samochód osobowy </w:t>
      </w:r>
      <w:r w:rsidR="00652F7A" w:rsidRPr="00652F7A">
        <w:lastRenderedPageBreak/>
        <w:t xml:space="preserve">przeznaczony do zawodów sportowych będzie wydawał tablice rejestracyjne tymczasowe </w:t>
      </w:r>
      <w:r w:rsidR="00123988">
        <w:t xml:space="preserve">ze </w:t>
      </w:r>
      <w:r w:rsidR="00123988" w:rsidRPr="00123988">
        <w:rPr>
          <w:bCs/>
        </w:rPr>
        <w:t>znak</w:t>
      </w:r>
      <w:r w:rsidR="00123988">
        <w:rPr>
          <w:bCs/>
        </w:rPr>
        <w:t xml:space="preserve">ami </w:t>
      </w:r>
      <w:r w:rsidR="00123988" w:rsidRPr="00123988">
        <w:rPr>
          <w:bCs/>
        </w:rPr>
        <w:t xml:space="preserve">numeru rejestracyjnego </w:t>
      </w:r>
      <w:r w:rsidR="00123988">
        <w:rPr>
          <w:bCs/>
        </w:rPr>
        <w:t>barwy czerwonej</w:t>
      </w:r>
      <w:r w:rsidR="00123988" w:rsidRPr="00123988">
        <w:rPr>
          <w:bCs/>
        </w:rPr>
        <w:t xml:space="preserve"> </w:t>
      </w:r>
      <w:r w:rsidR="00123988">
        <w:rPr>
          <w:bCs/>
        </w:rPr>
        <w:t>umieszczanymi</w:t>
      </w:r>
      <w:r w:rsidR="00123988" w:rsidRPr="00123988">
        <w:rPr>
          <w:bCs/>
        </w:rPr>
        <w:t xml:space="preserve"> na </w:t>
      </w:r>
      <w:r w:rsidR="00123988">
        <w:rPr>
          <w:bCs/>
        </w:rPr>
        <w:t>białym</w:t>
      </w:r>
      <w:r w:rsidR="00123988" w:rsidRPr="00123988">
        <w:rPr>
          <w:bCs/>
        </w:rPr>
        <w:t xml:space="preserve"> tle tablicy.</w:t>
      </w:r>
      <w:r w:rsidR="00123988">
        <w:rPr>
          <w:bCs/>
        </w:rPr>
        <w:t xml:space="preserve"> </w:t>
      </w:r>
      <w:r w:rsidR="00745023">
        <w:t xml:space="preserve">Opłata za </w:t>
      </w:r>
      <w:r w:rsidR="00123988">
        <w:t xml:space="preserve">takie </w:t>
      </w:r>
      <w:r w:rsidR="00745023" w:rsidRPr="00745023">
        <w:t xml:space="preserve">tablice rejestracyjne </w:t>
      </w:r>
      <w:r w:rsidR="00745023">
        <w:t xml:space="preserve">określona jest </w:t>
      </w:r>
      <w:r w:rsidR="0014105E">
        <w:t xml:space="preserve">w </w:t>
      </w:r>
      <w:r w:rsidR="0014105E" w:rsidRPr="0014105E">
        <w:t>§</w:t>
      </w:r>
      <w:r w:rsidR="0014105E">
        <w:t xml:space="preserve"> 5 ust. 1 pkt 1 nowelizowanego rozporządzenia </w:t>
      </w:r>
      <w:r w:rsidR="0014105E" w:rsidRPr="00B80BB6">
        <w:t>w sprawie wysokości opłat za wydanie dowodu rejestracyjnego, pozwolenia czasowego i zalegalizowanych tablic (tablicy) rejestracyjnych oraz ich wtórników</w:t>
      </w:r>
      <w:r w:rsidR="00745023">
        <w:t xml:space="preserve">. Dopiero od dnia 30 września 2024 r. </w:t>
      </w:r>
      <w:r w:rsidR="00C07F57">
        <w:t>wydawane będą tablice rejestracyjne</w:t>
      </w:r>
      <w:r w:rsidR="00123988" w:rsidRPr="00123988">
        <w:t xml:space="preserve"> tymczasowe </w:t>
      </w:r>
      <w:r w:rsidR="00123988">
        <w:rPr>
          <w:bCs/>
        </w:rPr>
        <w:t xml:space="preserve">ze znakami numeru rejestracyjnego </w:t>
      </w:r>
      <w:r w:rsidR="00123988" w:rsidRPr="00123988">
        <w:rPr>
          <w:bCs/>
        </w:rPr>
        <w:t xml:space="preserve">barwy czerwonej </w:t>
      </w:r>
      <w:r w:rsidR="00123988">
        <w:rPr>
          <w:bCs/>
        </w:rPr>
        <w:t>umieszczanymi</w:t>
      </w:r>
      <w:r w:rsidR="00123988" w:rsidRPr="00123988">
        <w:rPr>
          <w:bCs/>
        </w:rPr>
        <w:t xml:space="preserve"> na żółtym tle tablicy. </w:t>
      </w:r>
    </w:p>
    <w:p w14:paraId="3C985C94" w14:textId="24EDD559" w:rsidR="005431F5" w:rsidRPr="005431F5" w:rsidRDefault="005431F5" w:rsidP="005431F5">
      <w:pPr>
        <w:pStyle w:val="ARTartustawynprozporzdzenia"/>
      </w:pPr>
      <w:r w:rsidRPr="005431F5">
        <w:t>W wyniku analizy możliwości osiągnięcia celu projektu za pomocą alternatywnych w stosunku do uchwalenia projektowanego rozporządzenia środków umożliwiających osiągnięcie zamierzonego celu, należy zauważyć, że mając na uwadze zakres zaproponowanej w projekcje regulacji i upoważnienie ministra właściwego do spraw transportu z art. 76 ust. 1 pkt</w:t>
      </w:r>
      <w:r>
        <w:t xml:space="preserve"> 2 ustawy </w:t>
      </w:r>
      <w:r w:rsidR="00BF79D5">
        <w:t>–</w:t>
      </w:r>
      <w:r>
        <w:t xml:space="preserve"> </w:t>
      </w:r>
      <w:r w:rsidRPr="005431F5">
        <w:t>Praw</w:t>
      </w:r>
      <w:r>
        <w:t xml:space="preserve">o </w:t>
      </w:r>
      <w:r w:rsidRPr="005431F5">
        <w:t>o ruchu drogowym do wydania rozporządzenia osiągnięcie powyższego celu projektu nie jest możliwe za pomocą innych środków niż przedmiotowa zmiana legislacyjna.</w:t>
      </w:r>
    </w:p>
    <w:p w14:paraId="3C246C56" w14:textId="77777777" w:rsidR="005431F5" w:rsidRDefault="005431F5" w:rsidP="005431F5">
      <w:pPr>
        <w:pStyle w:val="ARTartustawynprozporzdzenia"/>
      </w:pPr>
      <w:r w:rsidRPr="005431F5">
        <w:t>Projekt rozporządzenia nie będzie miał wpływu na działalność małych, średnich i dużych przedsiębiorstw.</w:t>
      </w:r>
    </w:p>
    <w:p w14:paraId="5C5CFF86" w14:textId="77777777" w:rsidR="00A57110" w:rsidRPr="00A57110" w:rsidRDefault="00A57110" w:rsidP="00A57110">
      <w:pPr>
        <w:pStyle w:val="ARTartustawynprozporzdzenia"/>
      </w:pPr>
      <w:r w:rsidRPr="00A57110">
        <w:t>Projekt rozporządzenia nie zawiera przepisów technicznych i nie będzie podlegać notyfikacji Komisji Europejskiej zgodnie z przepisami rozporządzenia Rady Ministrów z dnia 23 grudnia 2002 r. w sprawie sposobu funkcjonowania krajowego systemu notyfikacji norm i aktów prawnych (Dz. U. poz. 2039 oraz z 2004 r. poz. 597).</w:t>
      </w:r>
    </w:p>
    <w:p w14:paraId="76C3A12D" w14:textId="77777777" w:rsidR="00A57110" w:rsidRPr="00A57110" w:rsidRDefault="00A57110" w:rsidP="00A57110">
      <w:pPr>
        <w:pStyle w:val="ARTartustawynprozporzdzenia"/>
      </w:pPr>
      <w:r w:rsidRPr="00A57110">
        <w:t xml:space="preserve">Projekt rozporządzenia nie podlega przedstawieniu właściwym instytucjom i organom Unii Europejskiej, w tym Europejskiemu Bankowi Centralnemu, w celu uzyskania opinii, dokonania powiadomienia, konsultacji albo uzgodnienia, w myśl uchwały nr 190 Rady Ministrów z dnia 29 października 2013 r. – Regulamin pracy Rady Ministrów (M.P. z 2022 r. poz. 348). </w:t>
      </w:r>
    </w:p>
    <w:p w14:paraId="4A0B31F5" w14:textId="77777777" w:rsidR="00A57110" w:rsidRPr="00A57110" w:rsidRDefault="00A57110" w:rsidP="00A57110">
      <w:pPr>
        <w:pStyle w:val="ARTartustawynprozporzdzenia"/>
      </w:pPr>
      <w:r w:rsidRPr="00A57110">
        <w:t>Stosownie do art. 5 ustawy z dnia 7 lipca 2005 r. o działalności lobbingowej w procesie stanowienia prawa (Dz. U. z 2017 r. poz. 248) projekt rozporządzenia zostanie udostępniony na stronach urzędowego informatora teleinformatycznego – Biuletynu Informacji Publicznej.</w:t>
      </w:r>
    </w:p>
    <w:p w14:paraId="2A887286" w14:textId="77777777" w:rsidR="00A57110" w:rsidRPr="00A57110" w:rsidRDefault="00A57110" w:rsidP="00A57110">
      <w:pPr>
        <w:pStyle w:val="ARTartustawynprozporzdzenia"/>
      </w:pPr>
      <w:r w:rsidRPr="00A57110">
        <w:t xml:space="preserve">Stosownie do § 52 ust. 1 uchwały nr 190 Rady Ministrów z dnia 29 października 2013 r.– Regulamin pracy Rady Ministrów projekt rozporządzenia został udostępniony w Biuletynie </w:t>
      </w:r>
      <w:r w:rsidRPr="00A57110">
        <w:lastRenderedPageBreak/>
        <w:t>Informacji Publicznej na stronie podmiotowej Rządowego Centrum Legislacji, w serwisie Rządowy Proces Legislacyjny z dniem skierowania do uzgodnień i konsultacji publicznych.</w:t>
      </w:r>
    </w:p>
    <w:p w14:paraId="0840DD4B" w14:textId="531E8B2D" w:rsidR="00C07F57" w:rsidRDefault="00A57110" w:rsidP="00BF79D5">
      <w:pPr>
        <w:pStyle w:val="ARTartustawynprozporzdzenia"/>
      </w:pPr>
      <w:r w:rsidRPr="00A57110">
        <w:t>Projekt rozporządzenia jest zgodny z prawem Unii Europejskiej.</w:t>
      </w:r>
      <w:r w:rsidR="00C07F57">
        <w:br w:type="page"/>
      </w:r>
    </w:p>
    <w:tbl>
      <w:tblPr>
        <w:tblW w:w="1094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8C6887" w:rsidRPr="008C6887" w14:paraId="5491266D" w14:textId="77777777" w:rsidTr="008C6887">
        <w:trPr>
          <w:trHeight w:val="1611"/>
        </w:trPr>
        <w:tc>
          <w:tcPr>
            <w:tcW w:w="6631" w:type="dxa"/>
            <w:gridSpan w:val="17"/>
          </w:tcPr>
          <w:p w14:paraId="3B7648C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bookmarkStart w:id="4" w:name="t1"/>
            <w:r w:rsidRPr="008C688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Nazwa projektu</w:t>
            </w:r>
          </w:p>
          <w:p w14:paraId="43D305E2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bookmarkStart w:id="5" w:name="t2"/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Rozporządzenie Ministra Infrastruktury </w:t>
            </w:r>
            <w:r w:rsidR="000B2A45" w:rsidRPr="000B2A4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zmieniające rozporządzenie w sprawie wysokości opłat za wydanie dowodu rejestracyjnego, pozwolenia czasowego i zalegalizowanych tablic (tablicy) rejestracyjnych oraz ich wtórników</w:t>
            </w:r>
            <w:bookmarkEnd w:id="5"/>
          </w:p>
          <w:p w14:paraId="1195982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bookmarkEnd w:id="4"/>
          <w:p w14:paraId="32FADCF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Ministerstwo Infrastruktury </w:t>
            </w:r>
          </w:p>
          <w:p w14:paraId="5CFBF6E6" w14:textId="77777777" w:rsidR="007D5F4E" w:rsidRDefault="007D5F4E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493BC97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b/>
                <w:sz w:val="21"/>
                <w:szCs w:val="24"/>
                <w:lang w:eastAsia="en-US"/>
              </w:rPr>
              <w:t>Osoba odpowiedzialna za projekt w randze Ministra, Sekretarza Stanu lub Podsekretarza Stanu</w:t>
            </w:r>
            <w:r w:rsidRPr="008C6887">
              <w:rPr>
                <w:rFonts w:eastAsia="Calibri" w:cs="Times New Roman"/>
                <w:b/>
                <w:sz w:val="21"/>
                <w:szCs w:val="21"/>
                <w:lang w:eastAsia="en-US"/>
              </w:rPr>
              <w:t xml:space="preserve"> </w:t>
            </w:r>
          </w:p>
          <w:p w14:paraId="15ACDA5C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sz w:val="21"/>
                <w:szCs w:val="21"/>
                <w:lang w:eastAsia="en-US"/>
              </w:rPr>
              <w:t>Paweł Gancarz – Podsekretarz Stanu</w:t>
            </w:r>
          </w:p>
          <w:p w14:paraId="2341C62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2D5A972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ind w:hanging="45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Olga Tworek – Zastępca Dyrektora Departamentu Transportu Drogowego tel. 226301240,</w:t>
            </w:r>
          </w:p>
          <w:p w14:paraId="0764E792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  <w:t xml:space="preserve">e-mail: </w:t>
            </w:r>
            <w:hyperlink r:id="rId9" w:history="1">
              <w:r w:rsidRPr="008C6887">
                <w:rPr>
                  <w:color w:val="0000FF" w:themeColor="hyperlink"/>
                  <w:u w:val="single"/>
                  <w:lang w:val="en-US"/>
                </w:rPr>
                <w:t>Olga.Tworek@mi.gov.pl</w:t>
              </w:r>
            </w:hyperlink>
            <w:r w:rsidRPr="008C6887">
              <w:rPr>
                <w:lang w:val="en-US"/>
              </w:rPr>
              <w:t xml:space="preserve"> </w:t>
            </w:r>
          </w:p>
          <w:p w14:paraId="451474F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Łukasz Mucha – Naczelnik Wydziału w Departamencie Transportu Drogowego, tel. 226301286, </w:t>
            </w:r>
          </w:p>
          <w:p w14:paraId="3CD76EDC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  <w:t xml:space="preserve">e-mail: </w:t>
            </w:r>
            <w:hyperlink r:id="rId10" w:history="1">
              <w:r w:rsidRPr="008C6887">
                <w:rPr>
                  <w:rFonts w:eastAsia="Calibri" w:cs="Times New Roman"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Lukasz.Mucha@mi.gov.pl</w:t>
              </w:r>
            </w:hyperlink>
            <w:r w:rsidRPr="008C6887"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2FC4CCEF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Magdalena Kałużna-Maciołek – Główny Specjalista </w:t>
            </w:r>
          </w:p>
          <w:p w14:paraId="2BF6AC9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w Departamencie Transportu Drogowego, tel. 226301214, </w:t>
            </w:r>
          </w:p>
          <w:p w14:paraId="3147E670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  <w:t xml:space="preserve">e-mail: </w:t>
            </w:r>
            <w:hyperlink r:id="rId11" w:history="1">
              <w:r w:rsidRPr="008C6887">
                <w:rPr>
                  <w:color w:val="0000FF" w:themeColor="hyperlink"/>
                  <w:u w:val="single"/>
                  <w:lang w:val="en-US"/>
                </w:rPr>
                <w:t>Magdalena.Kaluzna-Maciolek@mi.gov.pl</w:t>
              </w:r>
            </w:hyperlink>
          </w:p>
        </w:tc>
        <w:tc>
          <w:tcPr>
            <w:tcW w:w="4316" w:type="dxa"/>
            <w:gridSpan w:val="13"/>
            <w:shd w:val="clear" w:color="auto" w:fill="FFFFFF"/>
          </w:tcPr>
          <w:p w14:paraId="2E60186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b/>
                <w:sz w:val="21"/>
                <w:szCs w:val="21"/>
                <w:lang w:eastAsia="en-US"/>
              </w:rPr>
              <w:t>Data sporządzenia</w:t>
            </w:r>
          </w:p>
          <w:p w14:paraId="3794E65C" w14:textId="25130157" w:rsidR="008C6887" w:rsidRPr="008C6887" w:rsidRDefault="001343F5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1"/>
                <w:szCs w:val="21"/>
                <w:lang w:eastAsia="en-US"/>
              </w:rPr>
              <w:t>12</w:t>
            </w:r>
            <w:r w:rsidR="008C6887" w:rsidRPr="008C6887">
              <w:rPr>
                <w:rFonts w:eastAsia="Calibri" w:cs="Times New Roman"/>
                <w:sz w:val="21"/>
                <w:szCs w:val="21"/>
                <w:lang w:eastAsia="en-US"/>
              </w:rPr>
              <w:t>.0</w:t>
            </w:r>
            <w:r w:rsidR="00123988">
              <w:rPr>
                <w:rFonts w:eastAsia="Calibri" w:cs="Times New Roman"/>
                <w:sz w:val="21"/>
                <w:szCs w:val="21"/>
                <w:lang w:eastAsia="en-US"/>
              </w:rPr>
              <w:t>4</w:t>
            </w:r>
            <w:r w:rsidR="008C6887" w:rsidRPr="008C6887">
              <w:rPr>
                <w:rFonts w:eastAsia="Calibri" w:cs="Times New Roman"/>
                <w:sz w:val="21"/>
                <w:szCs w:val="21"/>
                <w:lang w:eastAsia="en-US"/>
              </w:rPr>
              <w:t>.2024</w:t>
            </w:r>
          </w:p>
          <w:p w14:paraId="6656211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14:paraId="113FC4F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Źródło: </w:t>
            </w:r>
            <w:bookmarkStart w:id="6" w:name="Lista1"/>
          </w:p>
          <w:bookmarkEnd w:id="6"/>
          <w:p w14:paraId="5673591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sz w:val="22"/>
                <w:szCs w:val="22"/>
                <w:lang w:eastAsia="en-US"/>
              </w:rPr>
              <w:t>Upoważnienie ustawowe</w:t>
            </w:r>
          </w:p>
          <w:p w14:paraId="222DDE1D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art. 76 ust. 1 pkt </w:t>
            </w:r>
            <w:r w:rsidR="007D5F4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2</w:t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ustawy z dnia 20 czerwca 1997 r. – Prawo o ruchu drogowym (Dz. U. z 2023 r. poz. 1047, z późn. zm.)</w:t>
            </w:r>
          </w:p>
          <w:p w14:paraId="54AEC3B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before="120" w:line="240" w:lineRule="auto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Nr w wykazie prac legislacyjnych </w:t>
            </w:r>
            <w:r w:rsidRPr="008C688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br/>
              <w:t xml:space="preserve">Ministra Infrastruktury </w:t>
            </w:r>
            <w:r w:rsidR="00D95A59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36</w:t>
            </w:r>
          </w:p>
          <w:p w14:paraId="4F96503D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C6887" w:rsidRPr="008C6887" w14:paraId="32B9633B" w14:textId="77777777" w:rsidTr="008C6887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5F7BFD8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ind w:left="57"/>
              <w:jc w:val="center"/>
              <w:rPr>
                <w:rFonts w:eastAsia="Calibri" w:cs="Times New Roman"/>
                <w:b/>
                <w:color w:val="FFFFFF"/>
                <w:sz w:val="32"/>
                <w:szCs w:val="32"/>
                <w:lang w:eastAsia="en-US"/>
              </w:rPr>
            </w:pPr>
            <w:r w:rsidRPr="008C6887">
              <w:rPr>
                <w:rFonts w:eastAsia="Calibri" w:cs="Times New Roman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8C6887" w:rsidRPr="008C6887" w14:paraId="3834FEFE" w14:textId="77777777" w:rsidTr="008C6887">
        <w:trPr>
          <w:trHeight w:val="333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0D20A3B5" w14:textId="77777777" w:rsidR="008C6887" w:rsidRPr="008C6887" w:rsidRDefault="008C6887" w:rsidP="00C85B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b/>
                <w:sz w:val="22"/>
                <w:szCs w:val="22"/>
                <w:lang w:eastAsia="en-US"/>
              </w:rPr>
              <w:t>Jaki problem jest rozwiązywany?</w:t>
            </w:r>
          </w:p>
        </w:tc>
      </w:tr>
      <w:tr w:rsidR="008C6887" w:rsidRPr="008C6887" w14:paraId="231E8857" w14:textId="77777777" w:rsidTr="008C6887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14:paraId="64271E81" w14:textId="77777777" w:rsidR="009A4634" w:rsidRPr="009A4634" w:rsidRDefault="009A4634" w:rsidP="009A4634">
            <w:pPr>
              <w:widowControl/>
              <w:autoSpaceDE/>
              <w:autoSpaceDN/>
              <w:adjustRightInd/>
              <w:spacing w:before="120" w:line="240" w:lineRule="auto"/>
              <w:contextualSpacing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Konieczność nowelizacji rozporządzenia Ministra Infrastruktury z dnia 4 sierpnia 2022 r. w sprawie wysokości opłat za wydanie dowodu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rejestracyjnego, pozwolenia czasowego i zalegalizowanych tablic (tablicy) rejestracyjnych oraz ich wtórników (Dz. U. poz. 1848)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związana jest </w:t>
            </w:r>
            <w:r w:rsidR="0012398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z </w:t>
            </w:r>
            <w:r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art. 4 ustawy z dnia 16 czerwca 2023 r. o zmianie ustawy o publicznym transporcie zbiorowym oraz niektórych innych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ustaw (Dz. U. poz. 1720), który wchodzi w życie 1 czerwca 2024 r. W związku z powyższą zmianą ustawową jednym z warunków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dopuszczenia do ruchu samochodu osobowego przeznaczonego do zawodów sportowych będzie jego czasowa rejestracja na podstawie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art. 74 ust. 2ca ustawy z dnia 20 czerwca 1997 r. – Prawo o ruchu drogowym (Dz. U. z 2023 r. poz. 1047, z późn. zm.). Podczas czasowej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rejestracji starosta będzie wydawał pozwolenie czasowe oraz tymczasowe tablic rejestracyjnych o wyróżniającej się kolorystyce,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określonej w prowadzonym projekcie rozporządzania Ministra Infrastruktury w sprawie rejestracji i oznaczania pojazdów, wymagań</w:t>
            </w:r>
          </w:p>
          <w:p w14:paraId="4BCA1899" w14:textId="77777777" w:rsidR="009A4634" w:rsidRPr="008C6887" w:rsidRDefault="009A4634" w:rsidP="009A4634">
            <w:pPr>
              <w:widowControl/>
              <w:autoSpaceDE/>
              <w:autoSpaceDN/>
              <w:adjustRightInd/>
              <w:spacing w:before="120" w:line="240" w:lineRule="auto"/>
              <w:contextualSpacing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dla tablic rejestracyjnych oraz wzorów innych dokumentów związanych z rejestracją pojazdów.</w:t>
            </w:r>
          </w:p>
        </w:tc>
      </w:tr>
      <w:tr w:rsidR="008C6887" w:rsidRPr="008C6887" w14:paraId="5D288DA8" w14:textId="77777777" w:rsidTr="008C6887">
        <w:trPr>
          <w:trHeight w:val="142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65613484" w14:textId="77777777" w:rsidR="008C6887" w:rsidRPr="008C6887" w:rsidRDefault="008C6887" w:rsidP="00C85B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8C6887" w:rsidRPr="008C6887" w14:paraId="67992B0B" w14:textId="77777777" w:rsidTr="008C6887">
        <w:trPr>
          <w:trHeight w:val="142"/>
        </w:trPr>
        <w:tc>
          <w:tcPr>
            <w:tcW w:w="10947" w:type="dxa"/>
            <w:gridSpan w:val="30"/>
            <w:shd w:val="clear" w:color="auto" w:fill="auto"/>
          </w:tcPr>
          <w:p w14:paraId="14D4C3D0" w14:textId="77777777" w:rsidR="00873DB4" w:rsidRDefault="009A4634" w:rsidP="009A4634">
            <w:pPr>
              <w:widowControl/>
              <w:autoSpaceDE/>
              <w:autoSpaceDN/>
              <w:adjustRightInd/>
              <w:spacing w:before="120" w:line="240" w:lineRule="auto"/>
              <w:contextualSpacing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Mając na uwadze, że stosownie do art. 75 ust. 2 ustawy – Prawo o ruchu drogowym dowód rejestracyjny, pozwolenie czasowe,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zalegalizowane tablice (tablica) rejestracyjne oraz ich wtórniki są wydawane za opłatą, należy określić przede wszystkim wysokości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opłaty za wydanie pozwolenia czasowego w przypadku czasowej rejestracji samochodu osobowego przeznaczonego do zawodów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sportowych. W tym celu w § 3 ust. 1 pkt 2 obowiązującego rozporządzenia odnoszącego się do wysokości opłaty za wydanie pozwolenia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czasowego na wniosek właściciela pojazdu (w celu wywozu pojazdu za granicę, przejazdu pojazdu z miejsca jego zakupu lub odbioru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na terytorium Rzeczypospolitej Polskiej, przejazdu pojazdu związanego z koniecznością dokonania jego badania technicznego lub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naprawy) proponowane jest dodanie odwołania do art. 74 ust. 2ca ustawy – Prawo o ruchu drogowym. </w:t>
            </w:r>
          </w:p>
          <w:p w14:paraId="71380069" w14:textId="5E4C0E2F" w:rsidR="00B92302" w:rsidRDefault="00555CE2" w:rsidP="008C6887">
            <w:pPr>
              <w:widowControl/>
              <w:autoSpaceDE/>
              <w:autoSpaceDN/>
              <w:adjustRightInd/>
              <w:spacing w:before="120" w:line="240" w:lineRule="auto"/>
              <w:contextualSpacing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Określając wysokość opłaty za wydanie </w:t>
            </w:r>
            <w:r w:rsidR="009A4634"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tymczasowych</w:t>
            </w:r>
            <w:r w:rsid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A4634"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tablic rejestracyjnych dla samochodów 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osobowych</w:t>
            </w:r>
            <w:r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A4634"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przeznaczonych do zawodów 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sportowych uwzględniono</w:t>
            </w:r>
            <w:r w:rsidR="00C730C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A4634"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zaproponowan</w:t>
            </w:r>
            <w:r w:rsidR="00C730C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ą</w:t>
            </w:r>
            <w:r w:rsidR="009A4634" w:rsidRPr="009A46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w </w:t>
            </w:r>
            <w:r w:rsidR="009A4634" w:rsidRPr="00873DB4"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  <w:t>projekcie rozporządzania Ministra Infrastruktury w sprawie rejestracji i oznaczania pojazdów, wymagań dla tablic rejestracyjnych oraz wzorów innych dokumentów związanych z rejestracją pojazdów</w:t>
            </w:r>
            <w:r w:rsidR="00C730C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92302" w:rsidRPr="00B9230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wyróżniającą się kolorystykę tymczasowych tablic rejestracyjnych</w:t>
            </w:r>
            <w:r w:rsidR="0016275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dla takich pojazdów</w:t>
            </w:r>
            <w:r w:rsidR="00162754">
              <w:t xml:space="preserve">, </w:t>
            </w:r>
            <w:r w:rsidR="00873DB4">
              <w:t xml:space="preserve">tj. </w:t>
            </w:r>
            <w:r w:rsidR="00B92302" w:rsidRPr="00B9230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znaki numeru rejestracyjnego</w:t>
            </w:r>
            <w:r w:rsidR="00B9230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92302" w:rsidRPr="00B9230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barwy czerwonej umieszczane na żółtym tle tablicy</w:t>
            </w:r>
            <w:r w:rsidR="00B9230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B92302" w:rsidRPr="00B9230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Przy produkcji tych tablic wykorzystywana będzie żółta folia odblaskowa, która stosowana jest na tablicach rejestracyjnych zabytkowych i czerwona folia, która stosowana jest na tablicach rejestracyjnych tymczasowych – a zatem materiały wymagane dotychczas tylko do tablic zabytkowych i tymczasowych. </w:t>
            </w:r>
            <w:r w:rsidR="00873DB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Uwzględniając powyższe</w:t>
            </w:r>
            <w:r w:rsidR="00B92302" w:rsidRPr="00B9230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, jak również bardzo mały wolumen produkcji tych </w:t>
            </w:r>
            <w:r w:rsidR="00B92302" w:rsidRPr="00B9230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lastRenderedPageBreak/>
              <w:t>tablic w skali roku</w:t>
            </w:r>
            <w:r w:rsidR="00873DB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873DB4" w:rsidRPr="00873DB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szacuje się, że będzie czasowo rejestrowanych około 200 szt. pojazdów</w:t>
            </w:r>
            <w:r w:rsidR="00873DB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)</w:t>
            </w:r>
            <w:r w:rsidR="00B92302" w:rsidRPr="00B9230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, przez co produkcja tych tablic nie będzie produkcją seryjną, zaproponowana wysokość opłaty dla przedmiotowych tablic na poziomie opłaty za wydanie tablic rejestracyjnych zabytkowych samochodowych.</w:t>
            </w:r>
          </w:p>
          <w:p w14:paraId="751C560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Informacje o wynikach analiz możliwości osiągnięcia celu projektu za pomocą innych środków.</w:t>
            </w:r>
          </w:p>
          <w:p w14:paraId="5B1C4BEA" w14:textId="5FD4ED2B" w:rsidR="00162754" w:rsidRPr="008C6887" w:rsidRDefault="008C6887" w:rsidP="00BF79D5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Mając na uwadze zakres zaproponowanej w projekcje regulacji i delegację ministra właściwego do spraw transportu z art. 76 ust. 1 pkt </w:t>
            </w:r>
            <w:r w:rsidR="009A463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Prawa o ruchu drogowym do wydania rozporządzenia osiągnięcie powyższego celu projektu nie jest możliwe za pomocą innych środków niż przedmiotowa zmiana legislacyjna.</w:t>
            </w:r>
          </w:p>
        </w:tc>
      </w:tr>
      <w:tr w:rsidR="008C6887" w:rsidRPr="008C6887" w14:paraId="1B493B82" w14:textId="77777777" w:rsidTr="008C6887">
        <w:trPr>
          <w:trHeight w:val="307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7A15396E" w14:textId="77777777" w:rsidR="008C6887" w:rsidRPr="008C6887" w:rsidRDefault="008C6887" w:rsidP="00C85B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lastRenderedPageBreak/>
              <w:t>Jak problem został rozwiązany w innych krajach, w szczególności krajach członkowskich OECD/UE</w:t>
            </w:r>
            <w:r w:rsidRPr="008C688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8C6887"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C6887" w:rsidRPr="008C6887" w14:paraId="3DE61DA2" w14:textId="77777777" w:rsidTr="008C688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37C9828" w14:textId="77777777" w:rsidR="008C6887" w:rsidRPr="008C6887" w:rsidRDefault="007D5F4E" w:rsidP="008C6887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7D5F4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</w:t>
            </w:r>
            <w:r w:rsidR="0012398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szczególne państwa członkowskie</w:t>
            </w:r>
            <w:r w:rsidRPr="007D5F4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posiadają własne, krajowe systemy rejestracji pojazdów i związane z tym wysokości opłat za wydanie dokumentów rejestracyjnych, tablic rejestracyjnych i stosowanych przez państwa oznaczeń. Jest to zakres wymagań niezharmonizowany przepisami UE.</w:t>
            </w:r>
          </w:p>
        </w:tc>
      </w:tr>
      <w:tr w:rsidR="008C6887" w:rsidRPr="008C6887" w14:paraId="1A1DC11D" w14:textId="77777777" w:rsidTr="008C6887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00BA74B" w14:textId="77777777" w:rsidR="008C6887" w:rsidRPr="008C6887" w:rsidRDefault="008C6887" w:rsidP="00C85B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8C6887" w:rsidRPr="008C6887" w14:paraId="3CA5DDF6" w14:textId="77777777" w:rsidTr="008C688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2863959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252CD9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DA5236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8C6887" w:rsidDel="00260F3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34BC3DD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8C6887" w:rsidRPr="008C6887" w14:paraId="77741A2B" w14:textId="77777777" w:rsidTr="008C688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240F6C4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noProof/>
                <w:color w:val="000000"/>
                <w:sz w:val="22"/>
                <w:szCs w:val="22"/>
                <w:lang w:eastAsia="en-US"/>
              </w:rPr>
              <w:t>Samorządowe organy rejestujące pojazdy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147933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380</w:t>
            </w:r>
          </w:p>
          <w:p w14:paraId="41E7B944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71BB2B1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3470CC7A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66123EF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Powiaty w podziale administracyjnym kraju</w:t>
            </w:r>
          </w:p>
          <w:p w14:paraId="37AC69D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6C64DA5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Wojewoda Mazowiecki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418D36E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Stosowanie przepisów rozporządzenia w procesie rejestracji pojazdów</w:t>
            </w:r>
          </w:p>
        </w:tc>
      </w:tr>
      <w:tr w:rsidR="008C6887" w:rsidRPr="008C6887" w14:paraId="476729DB" w14:textId="77777777" w:rsidTr="008C688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C1CE38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Producenci tablic rejestracyjnych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B5167EB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D0C6CDA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Na podstawie danych </w:t>
            </w:r>
          </w:p>
          <w:p w14:paraId="20B8AFCE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 jednostki certyfikującej </w:t>
            </w:r>
          </w:p>
          <w:p w14:paraId="683D25AF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– Instytutu Transportu Samochodowego </w:t>
            </w:r>
          </w:p>
          <w:p w14:paraId="0CDB9F1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 Warszawie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072FA2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Zapewnienie produkcji tablic rejestracyjnych zgodnie </w:t>
            </w:r>
          </w:p>
          <w:p w14:paraId="35F3072D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 wymaganiami rozporządzenia</w:t>
            </w:r>
          </w:p>
        </w:tc>
      </w:tr>
      <w:tr w:rsidR="008C6887" w:rsidRPr="008C6887" w14:paraId="7BDC0B1D" w14:textId="77777777" w:rsidTr="008C688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BBD8E99" w14:textId="77777777" w:rsidR="008C6887" w:rsidRPr="008C6887" w:rsidRDefault="00C730CB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Właściciele samochodów osobowych przeznaczonych do zawodów sportowych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2146DD5" w14:textId="77777777" w:rsidR="008C6887" w:rsidRPr="008C6887" w:rsidRDefault="00C730CB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ok 200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4C64D96" w14:textId="59A60815" w:rsidR="008C6887" w:rsidRPr="008C6887" w:rsidRDefault="00B92302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Szacowana ilość </w:t>
            </w:r>
            <w:r w:rsidR="00F74C4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czasowych </w:t>
            </w:r>
            <w:r w:rsidR="00873DB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rejestracji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69B38BA" w14:textId="77777777" w:rsidR="008C6887" w:rsidRPr="008C6887" w:rsidRDefault="00C730CB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C730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Wnoszenie opłat za wydanie dokumentów i oznaczeń rejestrowanych pojazdów oraz ich wtórników</w:t>
            </w:r>
          </w:p>
        </w:tc>
      </w:tr>
      <w:tr w:rsidR="008C6887" w:rsidRPr="008C6887" w14:paraId="69B4FEA6" w14:textId="77777777" w:rsidTr="008C6887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A345AE" w14:textId="77777777" w:rsidR="008C6887" w:rsidRPr="008C6887" w:rsidRDefault="008C6887" w:rsidP="00C85B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8C6887" w:rsidRPr="008C6887" w14:paraId="6E9A4BF4" w14:textId="77777777" w:rsidTr="008C688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F9A095C" w14:textId="77777777" w:rsidR="007D5F4E" w:rsidRPr="007D5F4E" w:rsidRDefault="007D5F4E" w:rsidP="007D5F4E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7D5F4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zosta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</w:t>
            </w:r>
            <w:r w:rsidRPr="007D5F4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przesłany do konsultacji środowisk reprezentujących organy samorządowe dokonujące rejestracji pojazdów, tj.:</w:t>
            </w:r>
          </w:p>
          <w:p w14:paraId="3365ED35" w14:textId="77777777" w:rsidR="007D5F4E" w:rsidRPr="007D5F4E" w:rsidRDefault="007D5F4E" w:rsidP="007D5F4E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7D5F4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– Związku Powiatów Polskich,</w:t>
            </w:r>
          </w:p>
          <w:p w14:paraId="6849DB79" w14:textId="77777777" w:rsidR="007D5F4E" w:rsidRPr="007D5F4E" w:rsidRDefault="007D5F4E" w:rsidP="007D5F4E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7D5F4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– Unii Metropolii Polskich,</w:t>
            </w:r>
          </w:p>
          <w:p w14:paraId="7475AD43" w14:textId="77777777" w:rsidR="007D5F4E" w:rsidRPr="007D5F4E" w:rsidRDefault="007D5F4E" w:rsidP="007D5F4E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7D5F4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– Związku Miast Polskich,</w:t>
            </w:r>
          </w:p>
          <w:p w14:paraId="6184CA4A" w14:textId="77777777" w:rsidR="007D5F4E" w:rsidRPr="007D5F4E" w:rsidRDefault="007D5F4E" w:rsidP="007D5F4E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7D5F4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 także do Ogólnopolskiego Stowarzyszenia Szefów Wydziałów Komunikacji.</w:t>
            </w:r>
          </w:p>
          <w:p w14:paraId="3E5168E7" w14:textId="77777777" w:rsidR="007D5F4E" w:rsidRPr="007D5F4E" w:rsidRDefault="007D5F4E" w:rsidP="007D5F4E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7D5F4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Czas trwania konsultacji z ww. podmiotami –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7D5F4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dni.</w:t>
            </w:r>
          </w:p>
          <w:p w14:paraId="54322E99" w14:textId="77777777" w:rsidR="007D5F4E" w:rsidRPr="007D5F4E" w:rsidRDefault="007D5F4E" w:rsidP="007D5F4E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7D5F4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rozporządzenia zosta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</w:t>
            </w:r>
            <w:r w:rsidRPr="007D5F4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udostępniony w Biuletynie Informacji Publicznej na stronie internetowej Rządowego Centrum Legislacji. </w:t>
            </w:r>
          </w:p>
          <w:p w14:paraId="243284C4" w14:textId="77777777" w:rsidR="007D5F4E" w:rsidRPr="007D5F4E" w:rsidRDefault="007D5F4E" w:rsidP="007D5F4E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7D5F4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będzie również przedmiotem opiniowania przez Komisję Wspólną Rządu i Samorządu Terytorialnego stosownie do ustawy z dnia 6 maja 2005 r. o Komisji Wspólnej Rządu i Samorządu Terytorialnego oraz o przedstawicielach Rzeczypospolitej Polskiej w Komitecie Regionów Unii Europejskiej (Dz. U. poz. 759).</w:t>
            </w:r>
          </w:p>
          <w:p w14:paraId="411C1D3C" w14:textId="77777777" w:rsidR="008C6887" w:rsidRPr="008C6887" w:rsidRDefault="007D5F4E" w:rsidP="007D5F4E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7D5F4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Wyniki konsultacji opisane zostaną w raporcie z konsultacji.</w:t>
            </w:r>
          </w:p>
        </w:tc>
      </w:tr>
      <w:tr w:rsidR="008C6887" w:rsidRPr="008C6887" w14:paraId="0B159A2F" w14:textId="77777777" w:rsidTr="008C6887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060C295" w14:textId="77777777" w:rsidR="008C6887" w:rsidRPr="008C6887" w:rsidRDefault="008C6887" w:rsidP="00C85B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Wpływ na sektor finansów publicznych</w:t>
            </w:r>
          </w:p>
        </w:tc>
      </w:tr>
      <w:tr w:rsidR="008C6887" w:rsidRPr="008C6887" w14:paraId="2B619E23" w14:textId="77777777" w:rsidTr="008C688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6C8BE8F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before="40" w:after="40" w:line="276" w:lineRule="auto"/>
              <w:rPr>
                <w:rFonts w:eastAsia="Calibri" w:cs="Times New Roman"/>
                <w:i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6E436AB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8C6887" w:rsidRPr="008C6887" w14:paraId="2973549A" w14:textId="77777777" w:rsidTr="008C688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AFC6C4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before="40" w:after="40" w:line="240" w:lineRule="auto"/>
              <w:rPr>
                <w:rFonts w:eastAsia="Calibri" w:cs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0D27ED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57D30B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4832E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D57C9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19A14C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D4D9E6D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5C38FD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71250F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A78C0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B3279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B02467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1155F3B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8C6887" w:rsidRPr="008C6887" w14:paraId="3A8A6685" w14:textId="77777777" w:rsidTr="008C688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881565C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DAED0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C3E4B4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29D250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27629E4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320012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B39902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5AF07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DC7109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D36BA2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D5015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3A13822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F3157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8C6887" w:rsidRPr="008C6887" w14:paraId="1ECEB8BE" w14:textId="77777777" w:rsidTr="008C688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A8BC75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lastRenderedPageBreak/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6A67D0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1D53EF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29A23D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841AA4B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2EE6EF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45E420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F17F34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DC40AE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AA504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D6209C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1ADEDB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884842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8C6887" w:rsidRPr="008C6887" w14:paraId="55EC980C" w14:textId="77777777" w:rsidTr="008C688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B920C10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CE5C71D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145C69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29D67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E14DD5C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7CD54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D0E1FB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1E3880C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E702AA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5DE01E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6BA6C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9E926D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083A8BA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8C6887" w:rsidRPr="008C6887" w14:paraId="0849E727" w14:textId="77777777" w:rsidTr="008C688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91F234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05A52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9CE71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5A19BF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E9A9DAA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9F3E1A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41E3FE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785DC8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569103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9FCF2B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DB7FA9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2BD447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1F893C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8C6887" w:rsidRPr="008C6887" w14:paraId="22630F7E" w14:textId="77777777" w:rsidTr="008C688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357CF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D06DEC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9C443E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F2C5DB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09D396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AFEBE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9F9BB5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C94918F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AA0E11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E7BD1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4D183A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1A76E39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F3C2BA4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8C6887" w:rsidRPr="008C6887" w14:paraId="2035EBF7" w14:textId="77777777" w:rsidTr="008C688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D56113D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E0416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39EA0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D2FD4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44A9F1A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C65EEB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E34393C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48480CC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4DEF5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E2F522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E2D2D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BBEA85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C4CFA9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8C6887" w:rsidRPr="008C6887" w14:paraId="7183BED9" w14:textId="77777777" w:rsidTr="008C688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AA214C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CC2DC9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05554E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A670A4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73C4594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461E4C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3053A2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A94BD6A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7335DC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A18612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A10DCD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89B19DC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13BE31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8C6887" w:rsidRPr="008C6887" w14:paraId="4F494C68" w14:textId="77777777" w:rsidTr="008C688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63D6E5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BEC70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E59BE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9AB04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A69790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549DDE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8391A7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1B88E9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042DE0B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4D25D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B1546B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0003FE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4A028C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8C6887" w:rsidRPr="008C6887" w14:paraId="7FBFE119" w14:textId="77777777" w:rsidTr="008C688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A05241F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479A2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F151F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E22002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F2DE2B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41F1C2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4E48D0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F02E81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8E63CB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972774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D17CA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6A7377B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8084159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8C6887" w:rsidRPr="008C6887" w14:paraId="46FBA55A" w14:textId="77777777" w:rsidTr="008C688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2B804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E4275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5F37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1A2BA4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0925BE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F9CAD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BE71AEE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C00F639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F2D9C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995E7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C8E2E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1B5873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C10438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8C6887" w:rsidRPr="008C6887" w14:paraId="617E3848" w14:textId="77777777" w:rsidTr="008C688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F034BBB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7D1D32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D6065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BD34B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9BD114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B0D77D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347AD7A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FD6FDB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5CFE12B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FE155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85D24C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0E174DD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44D388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8C6887" w:rsidRPr="008C6887" w14:paraId="1D864F21" w14:textId="77777777" w:rsidTr="008C688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242068F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028512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B7FDAC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8B8C5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29301A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B331AA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1854A5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81773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C77F1A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63E78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B61324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109118A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3F29D3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8C6887" w:rsidRPr="008C6887" w14:paraId="105CCB35" w14:textId="77777777" w:rsidTr="008C688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4966580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8C0C86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  <w:p w14:paraId="76D4D64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  <w:p w14:paraId="5E2D7134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8C6887" w:rsidRPr="008C6887" w14:paraId="35525132" w14:textId="77777777" w:rsidTr="008C6887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52EC78A2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54DCCA86" w14:textId="77777777" w:rsidR="00DA094B" w:rsidRPr="008C6887" w:rsidRDefault="00DA094B" w:rsidP="00DA094B">
            <w:pPr>
              <w:widowControl/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C730CB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Projekt ma na celu dostosowanie przepisów rozporządzenia do przepisów ustawy </w:t>
            </w:r>
            <w:r w:rsidRPr="00DA094B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z dnia 16 czerwca 2023 r. o zmianie ustawy o publicznym transporcie zbiorowym oraz niektórych innych ustaw (Dz. U. poz. 1720)</w:t>
            </w:r>
            <w:r w:rsidRPr="00C730CB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, wchodzących</w:t>
            </w: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C730CB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w życie z dniem </w:t>
            </w: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 czerwca</w:t>
            </w:r>
            <w:r w:rsidRPr="00C730CB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202</w:t>
            </w: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4</w:t>
            </w:r>
            <w:r w:rsidRPr="00C730CB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r.</w:t>
            </w:r>
          </w:p>
        </w:tc>
      </w:tr>
      <w:tr w:rsidR="008C6887" w:rsidRPr="008C6887" w14:paraId="059CAF52" w14:textId="77777777" w:rsidTr="008C6887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201AED3" w14:textId="77777777" w:rsidR="008C6887" w:rsidRPr="008C6887" w:rsidRDefault="008C6887" w:rsidP="00C85B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Wpływ na </w:t>
            </w:r>
            <w:r w:rsidRPr="008C688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konkurencyjność gospodarki i przedsiębiorczość, w tym funkcjonowanie przedsiębiorców oraz na rodzinę, obywateli i gospodarstwa domowe, osoby niepełnosprawne i osoby starsze.</w:t>
            </w:r>
          </w:p>
        </w:tc>
      </w:tr>
      <w:tr w:rsidR="008C6887" w:rsidRPr="008C6887" w14:paraId="4DB5209A" w14:textId="77777777" w:rsidTr="008C688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6FE880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8C6887" w:rsidRPr="008C6887" w14:paraId="2A4CC40E" w14:textId="77777777" w:rsidTr="008C6887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8B0864B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71CB69F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396E7A0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F40B43F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04FCDE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09AB172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996216D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3F8D499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</w:t>
            </w:r>
            <w:r w:rsidRPr="008C6887" w:rsidDel="0073273A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8C6887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(0-10)</w:t>
            </w:r>
          </w:p>
        </w:tc>
      </w:tr>
      <w:tr w:rsidR="008C6887" w:rsidRPr="008C6887" w14:paraId="1E9A52D3" w14:textId="77777777" w:rsidTr="008C688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E0A084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14:paraId="41EC78AA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 xml:space="preserve">(w mln zł, </w:t>
            </w:r>
          </w:p>
          <w:p w14:paraId="27DDE8AD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734034D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16F5B44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80D25AE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B6B664C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2401C2B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0857E0D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C41B02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shd w:val="clear" w:color="auto" w:fill="FFFFFF"/>
          </w:tcPr>
          <w:p w14:paraId="7F0FDCE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8C6887" w:rsidRPr="008C6887" w14:paraId="6EFF6BDC" w14:textId="77777777" w:rsidTr="008C688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1683874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64A7EC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2EE5A74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D10FCE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FC28E1F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5D30644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BA431BA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51469F0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shd w:val="clear" w:color="auto" w:fill="FFFFFF"/>
          </w:tcPr>
          <w:p w14:paraId="0B30ECF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8C6887" w:rsidRPr="008C6887" w14:paraId="2694C7FA" w14:textId="77777777" w:rsidTr="008C688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7D9D699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B0A993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0A42FC4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5C93DCE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454EC3D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8F7C94A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4F1C94B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AC3F89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shd w:val="clear" w:color="auto" w:fill="FFFFFF"/>
          </w:tcPr>
          <w:p w14:paraId="7B23C6F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8C6887" w:rsidRPr="008C6887" w14:paraId="73D192E6" w14:textId="77777777" w:rsidTr="008C688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4C877FF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9B031A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76CA59C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E1A2D6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D4BEF0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51DC4FF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21B423B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AC891DF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shd w:val="clear" w:color="auto" w:fill="FFFFFF"/>
          </w:tcPr>
          <w:p w14:paraId="2B90F9F2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8C6887" w:rsidRPr="008C6887" w14:paraId="5E5A7400" w14:textId="77777777" w:rsidTr="008C688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9FD878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E45173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B9781C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Projektowane rozporządzenie nie będzie miało wpływu na konkurencyjność gospodarki i przedsiębiorczość, w tym na funkcjonowanie dużych przedsiębiorstw.</w:t>
            </w:r>
          </w:p>
        </w:tc>
      </w:tr>
      <w:tr w:rsidR="008C6887" w:rsidRPr="008C6887" w14:paraId="2D7DB366" w14:textId="77777777" w:rsidTr="008C688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F21137E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2F5AD6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60A201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 xml:space="preserve">Projektowane rozporządzenie nie będzie miało wpływu na konkurencyjność gospodarki i przedsiębiorczość, w tym funkcjonowanie przedsiębiorców, </w:t>
            </w:r>
            <w:r w:rsidRPr="008C6887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br/>
              <w:t>a zwłaszcza mikroprzedsiębiorców, małych i średnich przedsiębiorców.</w:t>
            </w:r>
          </w:p>
        </w:tc>
      </w:tr>
      <w:tr w:rsidR="008C6887" w:rsidRPr="008C6887" w14:paraId="1D2C8FD2" w14:textId="77777777" w:rsidTr="008C6887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4A582DDD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3E46103" w14:textId="77777777" w:rsidR="008C6887" w:rsidRPr="008C6887" w:rsidRDefault="008C6887" w:rsidP="008C6887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</w:t>
            </w: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B6A6EE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 xml:space="preserve">Projekt rozporządzenia nie będzie miał wpływu na sytuację ekonomiczną </w:t>
            </w:r>
            <w:r w:rsidRPr="008C6887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br/>
              <w:t>i społeczną rodziny, gospodarstw domowych, a także osób niepełnosprawnych oraz osób starszych.</w:t>
            </w:r>
          </w:p>
        </w:tc>
      </w:tr>
      <w:tr w:rsidR="008C6887" w:rsidRPr="008C6887" w14:paraId="51D8151D" w14:textId="77777777" w:rsidTr="008C6887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51963C3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B90C40E" w14:textId="77777777" w:rsidR="008C6887" w:rsidRPr="008C6887" w:rsidRDefault="008C6887" w:rsidP="008C6887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76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BBDF7CB" w14:textId="77777777" w:rsidR="008C6887" w:rsidRPr="008C6887" w:rsidRDefault="008C6887" w:rsidP="008C6887">
            <w:pPr>
              <w:widowControl/>
              <w:tabs>
                <w:tab w:val="left" w:pos="3000"/>
              </w:tabs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8C6887" w:rsidRPr="008C6887" w14:paraId="5FCFA669" w14:textId="77777777" w:rsidTr="008C688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9AEE8BA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62316B0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B2A461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8C6887" w:rsidRPr="008C6887" w14:paraId="2637561B" w14:textId="77777777" w:rsidTr="008C688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C3003FA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9157500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736390B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8C6887" w:rsidRPr="008C6887" w14:paraId="03458DD0" w14:textId="77777777" w:rsidTr="008C6887">
        <w:trPr>
          <w:gridAfter w:val="1"/>
          <w:wAfter w:w="10" w:type="dxa"/>
          <w:trHeight w:val="1125"/>
        </w:trPr>
        <w:tc>
          <w:tcPr>
            <w:tcW w:w="2243" w:type="dxa"/>
            <w:gridSpan w:val="2"/>
            <w:shd w:val="clear" w:color="auto" w:fill="FFFFFF"/>
          </w:tcPr>
          <w:p w14:paraId="33EF0DFF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4F8AE59" w14:textId="77777777" w:rsidR="008C6887" w:rsidRPr="008C6887" w:rsidRDefault="00C730CB" w:rsidP="00DA094B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C730CB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Projekt ma na celu dostosowanie przepisów rozporządzenia do przepisów ustawy </w:t>
            </w:r>
            <w:r w:rsidR="00DA094B" w:rsidRPr="00DA094B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z dnia 16 czerwca 2023 r. o zmianie ustawy o publicznym transporcie zbiorowym oraz niektórych innych ustaw (Dz. U. poz. 1720)</w:t>
            </w:r>
            <w:r w:rsidRPr="00C730CB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, wchodzących</w:t>
            </w:r>
            <w:r w:rsidR="00DA094B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C730CB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w życie z dniem </w:t>
            </w:r>
            <w:r w:rsidR="00DA094B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 czerwca</w:t>
            </w:r>
            <w:r w:rsidRPr="00C730CB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202</w:t>
            </w:r>
            <w:r w:rsidR="00DA094B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4</w:t>
            </w:r>
            <w:r w:rsidRPr="00C730CB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r.</w:t>
            </w:r>
          </w:p>
        </w:tc>
      </w:tr>
      <w:tr w:rsidR="008C6887" w:rsidRPr="008C6887" w14:paraId="1A151196" w14:textId="77777777" w:rsidTr="008C688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E5E133F" w14:textId="77777777" w:rsidR="008C6887" w:rsidRPr="008C6887" w:rsidRDefault="008C6887" w:rsidP="00C85B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Zmiana obciążeń regulacyjnych (w tym obowiązków informacyjnych) wynikających z projektu</w:t>
            </w:r>
          </w:p>
        </w:tc>
      </w:tr>
      <w:tr w:rsidR="008C6887" w:rsidRPr="008C6887" w14:paraId="6967EF1D" w14:textId="77777777" w:rsidTr="008C6887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35506CBA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8C6887" w:rsidRPr="008C6887" w14:paraId="7FA34F11" w14:textId="77777777" w:rsidTr="008C6887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34D19AE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FDF0280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396FBD9F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0ECA3D6E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8C6887" w:rsidRPr="008C6887" w14:paraId="010EDD8D" w14:textId="77777777" w:rsidTr="008C6887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71D428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14:paraId="788DF88D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79852C4F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0501D2E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C6887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C6887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C6887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C6887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204B9AA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7A538F1D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72A63C00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6E58BE90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C6887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C6887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C6887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C6887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5D93902C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C6887" w:rsidRPr="008C6887" w14:paraId="389FA636" w14:textId="77777777" w:rsidTr="008C6887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2561D7A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CB58E1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4C18D33F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6F6CF3A2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  <w:p w14:paraId="41CB8AFB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C6887" w:rsidRPr="008C6887" w14:paraId="5385B78A" w14:textId="77777777" w:rsidTr="008C6887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5FB8361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Komentarz:</w:t>
            </w:r>
          </w:p>
          <w:p w14:paraId="38FFED5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4D410C67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C6887" w:rsidRPr="008C6887" w14:paraId="461FF504" w14:textId="77777777" w:rsidTr="008C688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BDF0718" w14:textId="77777777" w:rsidR="008C6887" w:rsidRPr="008C6887" w:rsidRDefault="008C6887" w:rsidP="00C85B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8C6887" w:rsidRPr="008C6887" w14:paraId="607B0D9D" w14:textId="77777777" w:rsidTr="008C688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307775D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Proponowane zmiany nie będą miały wpływu na rynek pracy.</w:t>
            </w:r>
          </w:p>
        </w:tc>
      </w:tr>
      <w:tr w:rsidR="008C6887" w:rsidRPr="008C6887" w14:paraId="2D36F161" w14:textId="77777777" w:rsidTr="008C688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BC63046" w14:textId="77777777" w:rsidR="008C6887" w:rsidRPr="008C6887" w:rsidRDefault="008C6887" w:rsidP="00C85B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8C6887" w:rsidRPr="008C6887" w14:paraId="516D9510" w14:textId="77777777" w:rsidTr="008C688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2FD6EB22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63074979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14:paraId="299A83CB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sytuacja i rozwój regionalny</w:t>
            </w:r>
          </w:p>
          <w:p w14:paraId="27BEDE9C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C6887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06ED4AC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16E1A7B3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demografia</w:t>
            </w:r>
          </w:p>
          <w:p w14:paraId="69EB300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mienie państwowe</w:t>
            </w:r>
          </w:p>
          <w:p w14:paraId="7E9D761E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inne: </w:t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C6887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C6887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C6887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C6887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9C9625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3DCEB724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informatyzacja</w:t>
            </w:r>
          </w:p>
          <w:p w14:paraId="3E54AC9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70463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C6887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8C6887" w:rsidRPr="008C6887" w14:paraId="3957E506" w14:textId="77777777" w:rsidTr="008C6887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3FC64D8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4B5B119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Projektowane rozporządzenie nie będzie miało wpływu na ww. obszary.</w:t>
            </w:r>
          </w:p>
        </w:tc>
      </w:tr>
      <w:tr w:rsidR="008C6887" w:rsidRPr="008C6887" w14:paraId="3C5E587C" w14:textId="77777777" w:rsidTr="008C688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BF9E1F4" w14:textId="77777777" w:rsidR="008C6887" w:rsidRPr="008C6887" w:rsidRDefault="008C6887" w:rsidP="00C85B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Planowane wykonanie przepisów aktu prawnego</w:t>
            </w:r>
          </w:p>
        </w:tc>
      </w:tr>
      <w:tr w:rsidR="008C6887" w:rsidRPr="008C6887" w14:paraId="3C786781" w14:textId="77777777" w:rsidTr="008C688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A7556DB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Planowane wykonanie przepisów – czerwiec 2024 r.</w:t>
            </w:r>
          </w:p>
          <w:p w14:paraId="5291BFD0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</w:p>
        </w:tc>
      </w:tr>
      <w:tr w:rsidR="008C6887" w:rsidRPr="008C6887" w14:paraId="71FE9A0E" w14:textId="77777777" w:rsidTr="008C688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2278AA4" w14:textId="77777777" w:rsidR="008C6887" w:rsidRPr="008C6887" w:rsidRDefault="008C6887" w:rsidP="00C85B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C6887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8C6887" w:rsidRPr="008C6887" w14:paraId="6C00673E" w14:textId="77777777" w:rsidTr="008C688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F68FB41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przewiduje się przeprowadzenia ewaluacji efektów projektu.</w:t>
            </w:r>
          </w:p>
          <w:p w14:paraId="097BC34F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8C6887" w:rsidRPr="008C6887" w14:paraId="2FB9936D" w14:textId="77777777" w:rsidTr="008C688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685A28B" w14:textId="77777777" w:rsidR="008C6887" w:rsidRPr="008C6887" w:rsidRDefault="008C6887" w:rsidP="00C85B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8C6887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8C6887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8C6887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8C6887" w:rsidRPr="008C6887" w14:paraId="0650735E" w14:textId="77777777" w:rsidTr="008C688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5989C5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i/>
                <w:color w:val="000000"/>
                <w:spacing w:val="-2"/>
                <w:sz w:val="18"/>
                <w:szCs w:val="18"/>
                <w:lang w:eastAsia="en-US"/>
              </w:rPr>
            </w:pPr>
          </w:p>
          <w:p w14:paraId="6F074E36" w14:textId="77777777" w:rsidR="008C6887" w:rsidRPr="008C6887" w:rsidRDefault="008C6887" w:rsidP="008C688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</w:tbl>
    <w:p w14:paraId="57669977" w14:textId="77777777" w:rsidR="00A57110" w:rsidRPr="00B17DA8" w:rsidRDefault="00A57110" w:rsidP="00A57110">
      <w:pPr>
        <w:pStyle w:val="ARTartustawynprozporzdzenia"/>
      </w:pPr>
    </w:p>
    <w:sectPr w:rsidR="00A57110" w:rsidRPr="00B17DA8" w:rsidSect="001A7F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2B72D" w14:textId="77777777" w:rsidR="00704638" w:rsidRDefault="00704638">
      <w:r>
        <w:separator/>
      </w:r>
    </w:p>
  </w:endnote>
  <w:endnote w:type="continuationSeparator" w:id="0">
    <w:p w14:paraId="67FE2303" w14:textId="77777777" w:rsidR="00704638" w:rsidRDefault="0070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A457F" w14:textId="77777777" w:rsidR="002A0C02" w:rsidRDefault="002A0C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58C5" w14:textId="77777777" w:rsidR="002A0C02" w:rsidRDefault="002A0C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32224" w14:textId="77777777" w:rsidR="002A0C02" w:rsidRDefault="002A0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CF0C2" w14:textId="77777777" w:rsidR="00704638" w:rsidRDefault="00704638">
      <w:r>
        <w:separator/>
      </w:r>
    </w:p>
  </w:footnote>
  <w:footnote w:type="continuationSeparator" w:id="0">
    <w:p w14:paraId="2A5AF04E" w14:textId="77777777" w:rsidR="00704638" w:rsidRDefault="00704638">
      <w:r>
        <w:continuationSeparator/>
      </w:r>
    </w:p>
  </w:footnote>
  <w:footnote w:id="1">
    <w:p w14:paraId="1D7CE79D" w14:textId="77777777" w:rsidR="000B2A45" w:rsidRPr="00B17DA8" w:rsidRDefault="000B2A45" w:rsidP="00B17DA8">
      <w:pPr>
        <w:pStyle w:val="ODNONIKtreodnonika"/>
      </w:pPr>
      <w:r>
        <w:rPr>
          <w:rStyle w:val="Odwoanieprzypisudolnego"/>
        </w:rPr>
        <w:footnoteRef/>
      </w:r>
      <w:r w:rsidRPr="00D31607">
        <w:rPr>
          <w:rStyle w:val="IGindeksgrny"/>
        </w:rPr>
        <w:t>)</w:t>
      </w:r>
      <w:r>
        <w:tab/>
      </w:r>
      <w:r w:rsidRPr="00B17DA8">
        <w:rPr>
          <w:rStyle w:val="IGindeksgrny"/>
          <w:vertAlign w:val="baseline"/>
        </w:rPr>
        <w:t>Minister Infrastruktury kieruje działem administracji rządowej – transport, na podstawie § 1 ust. 2 pkt 3 rozporządzenia Prezesa Rady Ministrów z dnia 18 grudnia 2023 r. w sprawie szczegółowego zakresu działania Ministra Infrastruktury (Dz. U. poz. 2725).</w:t>
      </w:r>
    </w:p>
  </w:footnote>
  <w:footnote w:id="2">
    <w:p w14:paraId="5BCE4342" w14:textId="77777777" w:rsidR="000B2A45" w:rsidRDefault="000B2A45" w:rsidP="00B17DA8">
      <w:pPr>
        <w:pStyle w:val="ODNONIKtreodnonika"/>
      </w:pPr>
      <w:r>
        <w:rPr>
          <w:rStyle w:val="Odwoanieprzypisudolnego"/>
        </w:rPr>
        <w:footnoteRef/>
      </w:r>
      <w:r w:rsidRPr="00D31607">
        <w:rPr>
          <w:rStyle w:val="IGindeksgrny"/>
        </w:rPr>
        <w:t>)</w:t>
      </w:r>
      <w:r>
        <w:rPr>
          <w:rStyle w:val="IGindeksgrny"/>
        </w:rPr>
        <w:tab/>
      </w:r>
      <w:r w:rsidRPr="00B17DA8">
        <w:rPr>
          <w:rStyle w:val="IGindeksgrny"/>
          <w:vertAlign w:val="baseline"/>
        </w:rPr>
        <w:t>Zmiany tekstu jednolitego wymienionej ustawy zostały ogłoszone w Dz. U. z 2023 r. poz. 919, 1053, 1088, 1123, 1193, 1234, 1394, 1720, 1723 i 2029.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6EE33" w14:textId="77777777" w:rsidR="002A0C02" w:rsidRDefault="002A0C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96AF6" w14:textId="11B8FB0D" w:rsidR="000B2A45" w:rsidRPr="00B371CC" w:rsidRDefault="000B2A4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A0C02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E8E76" w14:textId="77777777" w:rsidR="002A0C02" w:rsidRDefault="002A0C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39"/>
    <w:rsid w:val="000012DA"/>
    <w:rsid w:val="0000246E"/>
    <w:rsid w:val="00003862"/>
    <w:rsid w:val="00012A35"/>
    <w:rsid w:val="00016099"/>
    <w:rsid w:val="00017DC2"/>
    <w:rsid w:val="00020EA5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9A0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52BA"/>
    <w:rsid w:val="000B298D"/>
    <w:rsid w:val="000B2A45"/>
    <w:rsid w:val="000B3A09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6B50"/>
    <w:rsid w:val="001209EC"/>
    <w:rsid w:val="00120A9E"/>
    <w:rsid w:val="00123988"/>
    <w:rsid w:val="00125A9C"/>
    <w:rsid w:val="001270A2"/>
    <w:rsid w:val="00131237"/>
    <w:rsid w:val="001329AC"/>
    <w:rsid w:val="001343F5"/>
    <w:rsid w:val="00134CA0"/>
    <w:rsid w:val="0014026F"/>
    <w:rsid w:val="0014105E"/>
    <w:rsid w:val="00147A47"/>
    <w:rsid w:val="00147AA1"/>
    <w:rsid w:val="001520CF"/>
    <w:rsid w:val="00153FFB"/>
    <w:rsid w:val="0015667C"/>
    <w:rsid w:val="00157110"/>
    <w:rsid w:val="0015742A"/>
    <w:rsid w:val="00157DA1"/>
    <w:rsid w:val="00162754"/>
    <w:rsid w:val="00163147"/>
    <w:rsid w:val="00164C57"/>
    <w:rsid w:val="00164C9D"/>
    <w:rsid w:val="00172F7A"/>
    <w:rsid w:val="00173150"/>
    <w:rsid w:val="00173390"/>
    <w:rsid w:val="001736F0"/>
    <w:rsid w:val="00173BB3"/>
    <w:rsid w:val="00173C6C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D6DE3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6E2"/>
    <w:rsid w:val="00273FE4"/>
    <w:rsid w:val="002765B4"/>
    <w:rsid w:val="00276A94"/>
    <w:rsid w:val="0029405D"/>
    <w:rsid w:val="00294FA6"/>
    <w:rsid w:val="00295A6F"/>
    <w:rsid w:val="002A0C02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48D5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11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3DA1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148F"/>
    <w:rsid w:val="004D2DEE"/>
    <w:rsid w:val="004D2E1F"/>
    <w:rsid w:val="004D7B2D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845"/>
    <w:rsid w:val="00526DFC"/>
    <w:rsid w:val="00526F43"/>
    <w:rsid w:val="00527651"/>
    <w:rsid w:val="00530CDB"/>
    <w:rsid w:val="005363AB"/>
    <w:rsid w:val="005431F5"/>
    <w:rsid w:val="00544EF4"/>
    <w:rsid w:val="00545E53"/>
    <w:rsid w:val="005479D9"/>
    <w:rsid w:val="00555CE2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2E0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1AA8"/>
    <w:rsid w:val="005B1AF7"/>
    <w:rsid w:val="005B713E"/>
    <w:rsid w:val="005C03B6"/>
    <w:rsid w:val="005C348E"/>
    <w:rsid w:val="005C68E1"/>
    <w:rsid w:val="005D3763"/>
    <w:rsid w:val="005D55E1"/>
    <w:rsid w:val="005E19F7"/>
    <w:rsid w:val="005E1A0B"/>
    <w:rsid w:val="005E4F04"/>
    <w:rsid w:val="005E53F2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2F7A"/>
    <w:rsid w:val="00653B22"/>
    <w:rsid w:val="00654F5C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3284"/>
    <w:rsid w:val="006E39F8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4638"/>
    <w:rsid w:val="007069FC"/>
    <w:rsid w:val="00711221"/>
    <w:rsid w:val="00712675"/>
    <w:rsid w:val="00713808"/>
    <w:rsid w:val="007151B6"/>
    <w:rsid w:val="0071520D"/>
    <w:rsid w:val="00715A8B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023"/>
    <w:rsid w:val="007457F6"/>
    <w:rsid w:val="00745ABB"/>
    <w:rsid w:val="00746E38"/>
    <w:rsid w:val="00747CD5"/>
    <w:rsid w:val="00753B51"/>
    <w:rsid w:val="00756629"/>
    <w:rsid w:val="0075751B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5F4E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BDD"/>
    <w:rsid w:val="00821E35"/>
    <w:rsid w:val="00824591"/>
    <w:rsid w:val="00824AED"/>
    <w:rsid w:val="00826D9C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3DB4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A62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2E88"/>
    <w:rsid w:val="008C3524"/>
    <w:rsid w:val="008C4061"/>
    <w:rsid w:val="008C4229"/>
    <w:rsid w:val="008C5BE0"/>
    <w:rsid w:val="008C6887"/>
    <w:rsid w:val="008C7233"/>
    <w:rsid w:val="008D2434"/>
    <w:rsid w:val="008E171D"/>
    <w:rsid w:val="008E2785"/>
    <w:rsid w:val="008E2B6E"/>
    <w:rsid w:val="008E78A3"/>
    <w:rsid w:val="008F0654"/>
    <w:rsid w:val="008F06CB"/>
    <w:rsid w:val="008F2E83"/>
    <w:rsid w:val="008F612A"/>
    <w:rsid w:val="00901833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1AD9"/>
    <w:rsid w:val="009332A2"/>
    <w:rsid w:val="00936BDE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A3E"/>
    <w:rsid w:val="00984E03"/>
    <w:rsid w:val="00987E85"/>
    <w:rsid w:val="009A0D12"/>
    <w:rsid w:val="009A1987"/>
    <w:rsid w:val="009A2BEE"/>
    <w:rsid w:val="009A4634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48FF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4DC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110"/>
    <w:rsid w:val="00A5762C"/>
    <w:rsid w:val="00A600FC"/>
    <w:rsid w:val="00A60BCA"/>
    <w:rsid w:val="00A638DA"/>
    <w:rsid w:val="00A65B41"/>
    <w:rsid w:val="00A65E00"/>
    <w:rsid w:val="00A66A78"/>
    <w:rsid w:val="00A712EB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A17"/>
    <w:rsid w:val="00AB22C6"/>
    <w:rsid w:val="00AB2AD0"/>
    <w:rsid w:val="00AB67FC"/>
    <w:rsid w:val="00AC00F2"/>
    <w:rsid w:val="00AC1213"/>
    <w:rsid w:val="00AC31B5"/>
    <w:rsid w:val="00AC4EA1"/>
    <w:rsid w:val="00AC5381"/>
    <w:rsid w:val="00AC5920"/>
    <w:rsid w:val="00AC744B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5371"/>
    <w:rsid w:val="00B07700"/>
    <w:rsid w:val="00B13921"/>
    <w:rsid w:val="00B1528C"/>
    <w:rsid w:val="00B16ACD"/>
    <w:rsid w:val="00B17DA8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0BB6"/>
    <w:rsid w:val="00B80C8C"/>
    <w:rsid w:val="00B81DCF"/>
    <w:rsid w:val="00B830B7"/>
    <w:rsid w:val="00B848EA"/>
    <w:rsid w:val="00B84B2B"/>
    <w:rsid w:val="00B90500"/>
    <w:rsid w:val="00B9176C"/>
    <w:rsid w:val="00B92302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7E1E"/>
    <w:rsid w:val="00BF3DDE"/>
    <w:rsid w:val="00BF6589"/>
    <w:rsid w:val="00BF6F7F"/>
    <w:rsid w:val="00BF79D5"/>
    <w:rsid w:val="00C00647"/>
    <w:rsid w:val="00C02764"/>
    <w:rsid w:val="00C04CEF"/>
    <w:rsid w:val="00C0662F"/>
    <w:rsid w:val="00C07F57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32C9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30CB"/>
    <w:rsid w:val="00C76417"/>
    <w:rsid w:val="00C7726F"/>
    <w:rsid w:val="00C823DA"/>
    <w:rsid w:val="00C8259F"/>
    <w:rsid w:val="00C82746"/>
    <w:rsid w:val="00C8312F"/>
    <w:rsid w:val="00C84C47"/>
    <w:rsid w:val="00C858A4"/>
    <w:rsid w:val="00C85BE3"/>
    <w:rsid w:val="00C869AC"/>
    <w:rsid w:val="00C86AFA"/>
    <w:rsid w:val="00CA1FA3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1607"/>
    <w:rsid w:val="00D32721"/>
    <w:rsid w:val="00D328DC"/>
    <w:rsid w:val="00D33387"/>
    <w:rsid w:val="00D402FB"/>
    <w:rsid w:val="00D479B9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547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5A59"/>
    <w:rsid w:val="00D96884"/>
    <w:rsid w:val="00DA094B"/>
    <w:rsid w:val="00DA3FDD"/>
    <w:rsid w:val="00DA4B69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6858"/>
    <w:rsid w:val="00DE7DC1"/>
    <w:rsid w:val="00DF3F7E"/>
    <w:rsid w:val="00DF7648"/>
    <w:rsid w:val="00E00E29"/>
    <w:rsid w:val="00E02BAB"/>
    <w:rsid w:val="00E034CE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971C1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6FD0"/>
    <w:rsid w:val="00EF0B96"/>
    <w:rsid w:val="00EF3486"/>
    <w:rsid w:val="00EF47AF"/>
    <w:rsid w:val="00EF53B6"/>
    <w:rsid w:val="00EF7E99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12A"/>
    <w:rsid w:val="00F33F8B"/>
    <w:rsid w:val="00F340B2"/>
    <w:rsid w:val="00F36839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4D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85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BD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BD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dalena.Kaluzna-Maciolek@mi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Lukasz.Mucha@mi.gov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Olga.Tworek@mi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50A350-4908-482C-B01D-FC0288A6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2916</Words>
  <Characters>17497</Characters>
  <Application>Microsoft Office Word</Application>
  <DocSecurity>0</DocSecurity>
  <Lines>145</Lines>
  <Paragraphs>40</Paragraphs>
  <ScaleCrop>false</ScaleCrop>
  <Manager/>
  <Company/>
  <LinksUpToDate>false</LinksUpToDate>
  <CharactersWithSpaces>20373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2024-04-23T10:21:00Z</dcterms:created>
  <dcterms:modified xsi:type="dcterms:W3CDTF">2024-04-23T10:21:00Z</dcterms:modified>
  <cp:category/>
</cp:coreProperties>
</file>