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"/>
        <w:gridCol w:w="143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B94BC0" w:rsidRPr="00B94BC0" w14:paraId="3B9D4C47" w14:textId="77777777" w:rsidTr="00032EF2">
        <w:trPr>
          <w:gridAfter w:val="1"/>
          <w:wAfter w:w="10" w:type="dxa"/>
          <w:trHeight w:val="1611"/>
        </w:trPr>
        <w:tc>
          <w:tcPr>
            <w:tcW w:w="6559" w:type="dxa"/>
            <w:gridSpan w:val="17"/>
          </w:tcPr>
          <w:p w14:paraId="3D8078C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bookmarkStart w:id="1" w:name="_Hlk54611406"/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04A6458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 rozporządzenia Ministra Klimatu i Środowiska w sprawie wzoru sprawozdań dotyczących realizacji planu łańcucha dostaw materiałów i usług</w:t>
            </w:r>
          </w:p>
          <w:p w14:paraId="79C73B9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6B45017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Klimatu i Środowiska</w:t>
            </w:r>
          </w:p>
          <w:p w14:paraId="5157141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b/>
                <w:sz w:val="21"/>
                <w:szCs w:val="24"/>
                <w:lang w:eastAsia="en-US"/>
              </w:rPr>
              <w:t>Osoba odpowiedzialna za projekt w randze Ministra, Sekretarza Stanu lub Podsekretarza Stanu</w:t>
            </w:r>
            <w:r w:rsidRPr="00B94BC0">
              <w:rPr>
                <w:rFonts w:eastAsia="Calibri"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  <w:p w14:paraId="14AB988B" w14:textId="79BCC0A9" w:rsidR="00B94BC0" w:rsidRPr="00B94BC0" w:rsidRDefault="003604BE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sz w:val="21"/>
                <w:szCs w:val="21"/>
                <w:lang w:eastAsia="en-US"/>
              </w:rPr>
              <w:t>Miłosz Motyka</w:t>
            </w:r>
          </w:p>
          <w:p w14:paraId="1607D79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20426ADF" w14:textId="03968D3A" w:rsidR="00B94BC0" w:rsidRDefault="00E95A88" w:rsidP="00B94BC0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3604B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3604BE" w:rsidRPr="003604B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dam Za</w:t>
            </w:r>
            <w:r w:rsidR="003604B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mojski</w:t>
            </w:r>
            <w:r w:rsidRPr="003604B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e- mail: </w:t>
            </w:r>
            <w:hyperlink r:id="rId9" w:history="1">
              <w:r w:rsidR="0067371C" w:rsidRPr="00B14FC4">
                <w:rPr>
                  <w:rStyle w:val="Hipercze"/>
                  <w:rFonts w:eastAsia="Calibri" w:cs="Times New Roman"/>
                  <w:sz w:val="22"/>
                  <w:szCs w:val="22"/>
                  <w:lang w:eastAsia="en-US"/>
                </w:rPr>
                <w:t>adam.zamojski@klimat.gov.pl</w:t>
              </w:r>
            </w:hyperlink>
          </w:p>
          <w:p w14:paraId="231067F0" w14:textId="6C4FA090" w:rsidR="0067371C" w:rsidRPr="003604BE" w:rsidRDefault="0067371C" w:rsidP="00B94BC0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Agata Święcka, e-mail: </w:t>
            </w:r>
            <w:hyperlink r:id="rId10" w:history="1">
              <w:r w:rsidRPr="00B14FC4">
                <w:rPr>
                  <w:rStyle w:val="Hipercze"/>
                  <w:rFonts w:eastAsia="Calibri" w:cs="Times New Roman"/>
                  <w:sz w:val="22"/>
                  <w:szCs w:val="22"/>
                  <w:lang w:eastAsia="en-US"/>
                </w:rPr>
                <w:t>agata.swiecka@klimat.gov.pl</w:t>
              </w:r>
            </w:hyperlink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78" w:type="dxa"/>
            <w:gridSpan w:val="12"/>
            <w:shd w:val="clear" w:color="auto" w:fill="FFFFFF"/>
          </w:tcPr>
          <w:p w14:paraId="47703356" w14:textId="41771010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B94BC0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r w:rsidR="00485DD8">
              <w:rPr>
                <w:rFonts w:eastAsia="Calibri" w:cs="Times New Roman"/>
                <w:sz w:val="21"/>
                <w:szCs w:val="21"/>
                <w:lang w:eastAsia="en-US"/>
              </w:rPr>
              <w:t>1</w:t>
            </w:r>
            <w:r w:rsidR="00B61C54">
              <w:rPr>
                <w:rFonts w:eastAsia="Calibri" w:cs="Times New Roman"/>
                <w:sz w:val="21"/>
                <w:szCs w:val="21"/>
                <w:lang w:eastAsia="en-US"/>
              </w:rPr>
              <w:t>6</w:t>
            </w:r>
            <w:r w:rsidR="00035E7E">
              <w:rPr>
                <w:rFonts w:eastAsia="Calibri" w:cs="Times New Roman"/>
                <w:sz w:val="21"/>
                <w:szCs w:val="21"/>
                <w:lang w:eastAsia="en-US"/>
              </w:rPr>
              <w:t>.0</w:t>
            </w:r>
            <w:r w:rsidR="0022686C">
              <w:rPr>
                <w:rFonts w:eastAsia="Calibri" w:cs="Times New Roman"/>
                <w:sz w:val="21"/>
                <w:szCs w:val="21"/>
                <w:lang w:eastAsia="en-US"/>
              </w:rPr>
              <w:t>4</w:t>
            </w:r>
            <w:r w:rsidR="00035E7E">
              <w:rPr>
                <w:rFonts w:eastAsia="Calibri" w:cs="Times New Roman"/>
                <w:sz w:val="21"/>
                <w:szCs w:val="21"/>
                <w:lang w:eastAsia="en-US"/>
              </w:rPr>
              <w:t>.202</w:t>
            </w:r>
            <w:r w:rsidR="003604BE">
              <w:rPr>
                <w:rFonts w:eastAsia="Calibri" w:cs="Times New Roman"/>
                <w:sz w:val="21"/>
                <w:szCs w:val="21"/>
                <w:lang w:eastAsia="en-US"/>
              </w:rPr>
              <w:t>4</w:t>
            </w:r>
            <w:r w:rsidRPr="00B94BC0">
              <w:rPr>
                <w:rFonts w:eastAsia="Calibri" w:cs="Times New Roman"/>
                <w:sz w:val="21"/>
                <w:szCs w:val="21"/>
                <w:lang w:eastAsia="en-US"/>
              </w:rPr>
              <w:t xml:space="preserve"> r.</w:t>
            </w:r>
          </w:p>
          <w:p w14:paraId="366E393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3D95DE0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</w:p>
          <w:bookmarkEnd w:id="2"/>
          <w:p w14:paraId="39748837" w14:textId="479AE0BE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sz w:val="22"/>
                <w:szCs w:val="22"/>
                <w:lang w:eastAsia="en-US"/>
              </w:rPr>
              <w:t xml:space="preserve">Art. 43 ust. 4 ustawy z dnia 17 grudnia 2020 r. </w:t>
            </w:r>
            <w:r w:rsidRPr="00B94BC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 xml:space="preserve">o promowaniu wytwarzania energii elektrycznej w morskich farmach wiatrowych </w:t>
            </w:r>
          </w:p>
          <w:p w14:paraId="469A8A9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31C45A5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Nr w wykazie prac legislacyjnych Ministra Klimatu i Środowiska:</w:t>
            </w:r>
          </w:p>
          <w:p w14:paraId="7810E7E6" w14:textId="321C6290" w:rsidR="00B94BC0" w:rsidRPr="00B94BC0" w:rsidRDefault="00C23096" w:rsidP="00A463D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1107</w:t>
            </w:r>
          </w:p>
        </w:tc>
      </w:tr>
      <w:tr w:rsidR="00B94BC0" w:rsidRPr="00B94BC0" w14:paraId="148D19DE" w14:textId="77777777" w:rsidTr="00B94BC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84250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B94BC0" w:rsidRPr="00B94BC0" w14:paraId="469DEA96" w14:textId="77777777" w:rsidTr="00B94BC0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262674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B94BC0" w:rsidRPr="00B94BC0" w14:paraId="39CE710A" w14:textId="77777777" w:rsidTr="00B94BC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673AEC" w14:textId="104A12AC" w:rsidR="00C23096" w:rsidRPr="00C23096" w:rsidRDefault="00C23096" w:rsidP="00C2309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Obowiązujące obecnie rozporządzenie Ministra Klimatu i Środowiska w sprawie wzoru sprawozdań dotyczących realizacji planu łańcucha dostaw materiałów i usług (Dz. U. z 2021 r. poz. 2385), wydane na podstawie art. 43 ust. 4 ustawy z dnia 17 grudnia 2020 r. </w:t>
            </w:r>
            <w:r w:rsidRPr="00C23096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>o promowaniu wytwarzania energii elektrycznej w morskich farmach wiatrowych</w:t>
            </w: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(Dz. U. z 202</w:t>
            </w:r>
            <w:r w:rsidR="000E4AD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4</w:t>
            </w: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r. poz. </w:t>
            </w:r>
            <w:r w:rsidR="000E4AD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182</w:t>
            </w: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), dalej: „ustawa offshore”, zgodnie z art. 78 ust. 1</w:t>
            </w:r>
            <w:r w:rsidR="008933B3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</w:t>
            </w: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 związku z art. 53 pkt 10 ustawy z dnia 15 grudnia 2022 r. </w:t>
            </w:r>
            <w:r w:rsidRPr="00C23096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>o</w:t>
            </w:r>
            <w:r w:rsidR="00DC289B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  <w:r w:rsidRPr="00C23096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szczególnej ochronie niektórych odbiorców paliw gazowych w 2023 r. </w:t>
            </w:r>
            <w:r w:rsidR="008933B3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oraz 2024 r. </w:t>
            </w:r>
            <w:r w:rsidRPr="00C23096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>w związku z sytuacją na rynku gazu</w:t>
            </w: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dalej: „ustawa gazowa”, utraci moc po upływie 36 miesięcy od dnia wejścia w życie ustawy gazowej. W związku z tym, aby zapewnić ciągłość obowiązywania przepisów rozporządzenia, a tym samym jednolitość formy przekazywanych sprawozdań, konieczne jest wydanie nowego rozporządzenia.</w:t>
            </w:r>
          </w:p>
          <w:p w14:paraId="154C5185" w14:textId="1939FC03" w:rsidR="00C23096" w:rsidRPr="00C23096" w:rsidRDefault="00C23096" w:rsidP="00C2309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Rozporządzenie określa wzór sprawozdania, który umożliwia wykazanie stopnia zaawansowania wykonania założeń, określonych w planie łańcucha dostaw materiałów i usług, o którym mowa w art. 42 ust. 1 ustawy offshore, dalej: „plan”, w czasie objętym tym sprawozdaniem. Przedłożenie przedmiotowych danych pozwoli administracji w sposób bardziej efektywny monitować działania wytwórców, a następnie odpowiednio programować polityki mające na celu zwiększanie udziału polskich przedsiębiorstw w zamówieniach na usługi i dostawy dla morskiej energetyki wiatrowej. Sprawozdania z</w:t>
            </w:r>
            <w:r w:rsidR="00DC289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 </w:t>
            </w: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realizacji planu stanowią kontynuację działań zmierzających do zwiększenia tzw. local content. Przedkładanie Prezesowi Urzędu Regulacji Energetyki,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dalej „Prezes URE”, sprawozdań z realizacji planu ma na celu weryfikację, czy wytwórcy energii elektrycznej w morskich farmach wiatrowych są zaangażowani w krajowy rynek przez cały okres realizacji inwestycji.</w:t>
            </w:r>
          </w:p>
          <w:p w14:paraId="513A0494" w14:textId="420F4201" w:rsidR="00B94BC0" w:rsidRPr="00B94BC0" w:rsidRDefault="00C23096" w:rsidP="00D801C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C2309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Należy zauważyć, że </w:t>
            </w:r>
            <w:r w:rsidR="000E4AD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obecnie obowiązujące rozporządzenie w niewystarczający sposób precyzowało niektóre obszary wymagane w ramach sprawozdawczości</w:t>
            </w:r>
            <w:r w:rsidR="003B517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np. kwestie przewalutowania czy liczenia miejsc pracy</w:t>
            </w:r>
            <w:r w:rsidR="000E4AD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dlatego aby </w:t>
            </w:r>
            <w:r w:rsidR="003B517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ułatwić wytwórcom prawidłowe sprawozdanie z realizacji planu konieczna jest dokonanie zmian we wzorze sprawozdania. </w:t>
            </w:r>
          </w:p>
        </w:tc>
      </w:tr>
      <w:tr w:rsidR="00B94BC0" w:rsidRPr="00B94BC0" w14:paraId="2D11B5FE" w14:textId="77777777" w:rsidTr="00B94BC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D36D37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B94BC0" w:rsidRPr="00B94BC0" w14:paraId="0567596B" w14:textId="77777777" w:rsidTr="00B94BC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FD11D6E" w14:textId="77777777" w:rsidR="00C23096" w:rsidRPr="007D7613" w:rsidRDefault="00C23096" w:rsidP="00C2309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Rekomendowanym rozwiązaniem jest wydanie rozporządzenia Ministra Klimatu i Środowiska, z uwzględnieniem zmian wprowadzonych w art. 43 ustawy offshore.</w:t>
            </w:r>
          </w:p>
          <w:p w14:paraId="484849F1" w14:textId="77777777" w:rsidR="00C1770C" w:rsidRPr="007D7613" w:rsidRDefault="00C23096" w:rsidP="00C1770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celu ułatwienia wypełniania oraz późniejszej weryfikacji sprawozdań, zdecydowano się na zawarcie w kolejnych punktach dokumentu, stosownych uzupełnień. </w:t>
            </w:r>
          </w:p>
          <w:p w14:paraId="1D88B069" w14:textId="27D9EE8B" w:rsidR="00C1770C" w:rsidRPr="007D7613" w:rsidRDefault="00C1770C" w:rsidP="00C1770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pierwszej kolejności, w sprawozdaniu dotyczącym realizacji planu łańcucha dostaw materiałów i usług za podstawę do przewalutowania płatności realizowanych w walutach obcych należy przyjąć średni kurs waluty publikowany przez N</w:t>
            </w:r>
            <w:r w:rsidR="00893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arodowy </w:t>
            </w: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</w:t>
            </w:r>
            <w:r w:rsidR="00893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ank </w:t>
            </w: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</w:t>
            </w:r>
            <w:r w:rsidR="00893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olski</w:t>
            </w: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 roku poprzedzającego rok złożenia sprawozdania - </w:t>
            </w:r>
            <w:hyperlink r:id="rId11" w:history="1">
              <w:r w:rsidRPr="007D7613">
                <w:rPr>
                  <w:rStyle w:val="Hipercze"/>
                  <w:rFonts w:eastAsia="Calibri" w:cs="Times New Roman"/>
                  <w:spacing w:val="-2"/>
                  <w:sz w:val="22"/>
                  <w:szCs w:val="22"/>
                  <w:lang w:eastAsia="en-US"/>
                </w:rPr>
                <w:t>https://nbp.pl/statystyka-i-sprawozdawczosc/kursy/archiwum-tabela-a-csv-xls/</w:t>
              </w:r>
            </w:hyperlink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).</w:t>
            </w:r>
          </w:p>
          <w:p w14:paraId="42D1E34F" w14:textId="05620211" w:rsidR="00C1770C" w:rsidRPr="007D7613" w:rsidRDefault="005D6F3E" w:rsidP="00C1770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Dookreślono</w:t>
            </w:r>
            <w:r w:rsidR="00907CF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także </w:t>
            </w:r>
            <w:r w:rsidR="00C1770C"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początek okresu objętego sprawozdaniem</w:t>
            </w:r>
            <w:r w:rsidR="00907CF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tj. </w:t>
            </w:r>
            <w:r w:rsidR="00C1770C"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datę </w:t>
            </w:r>
            <w:r w:rsidR="0022686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uprawomocnienia</w:t>
            </w:r>
            <w:r w:rsidR="00A224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D801C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się </w:t>
            </w:r>
            <w:r w:rsidR="00C1770C"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pozwolenia na wznoszenie lub wykorzystywanie sztucznych wysp, konstrukcji i urządzeń w polskich obszarach morskich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oraz </w:t>
            </w: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koniec okresu objętego sprawozdaniem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tj. </w:t>
            </w: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ostatni dzień okresu </w:t>
            </w:r>
            <w:r w:rsidR="003E244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sprawozdawczego</w:t>
            </w: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="00DE675C" w:rsidRPr="00DE675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rozumieniu art. 3 ust. 1 pkt 8 ustawy z dnia 29 września 1994 r. o rachunkowości, jednak nie wcześniej niż na 3 pełne okresy sprawozdawcze długości miesiąca przed datą złożenia sprawozdania</w:t>
            </w: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C1770C"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 przypadku kolejnych sprawozdań okres sprawozdania powinien rozpoczynać się po ostatnim dniu poprzedniego okresu </w:t>
            </w:r>
            <w:r w:rsidR="00DE675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objętego sprawozdaniem</w:t>
            </w:r>
            <w:r w:rsidR="00C1770C"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</w:p>
          <w:p w14:paraId="54C3E53B" w14:textId="666E5EC7" w:rsidR="00C1770C" w:rsidRPr="00DB4A83" w:rsidRDefault="005D6F3E" w:rsidP="00C1770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związku z brakiem katalogu kluczowych postępowań na wybór dostawców materiałów i usług</w:t>
            </w:r>
            <w:r w:rsidR="00893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w projekcie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zdecydowano się doprecyzować jakie postępowania są niezbędne</w:t>
            </w:r>
            <w:r w:rsidR="00893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do wykazania w pkt</w:t>
            </w:r>
            <w:r w:rsidR="00A224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5.1</w:t>
            </w:r>
            <w:r w:rsidR="00D801C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A224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sprawozdania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C1770C"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szczególności</w:t>
            </w:r>
            <w:r w:rsidR="00893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skupiono się na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postępowaniach dotyczących</w:t>
            </w: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morskich turbin wiatrowych, podwodnych konstrukcji wsporczych oraz fundamentów, wewnętrznych sieci elektroenergetycznych, stacji transformatorowych oraz urządzeń służących do wyprowadzenia mocy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</w:p>
          <w:p w14:paraId="217AB773" w14:textId="195A5EAB" w:rsidR="006E14E4" w:rsidRPr="00CE4F3D" w:rsidRDefault="003E244D" w:rsidP="006E14E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</w:t>
            </w:r>
            <w:r w:rsid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celu </w:t>
            </w:r>
            <w:r w:rsidR="008933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zapewnienia </w:t>
            </w:r>
            <w:r w:rsid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prawidłowej i jednolitej sprawozdawczości udziału nakładów inwestycyjnych rekomenduje się wskazanie</w:t>
            </w:r>
            <w:r w:rsidR="00C1770C"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jakie podmioty należy rozumieć przez</w:t>
            </w:r>
            <w:r w:rsidR="005D6F3E"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podmioty posiadające siedzibę lub oddział na terytorium Rzeczypospolitej Polskiej</w:t>
            </w:r>
            <w:r w:rsid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tj. </w:t>
            </w: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podmioty posiadające siedzibę lub oddział na terytorium Rzeczypospolitej Polskiej </w:t>
            </w:r>
            <w:r w:rsidR="005D6F3E"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prowadzące działalność produkcyjną lub usługową na terenie Rzeczypospolitej Polskiej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lub</w:t>
            </w:r>
            <w:r w:rsidR="005D6F3E"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CA728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na </w:t>
            </w:r>
            <w:r w:rsidR="005D6F3E"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obszarach morskich Rzeczpospolitej Polskiej</w:t>
            </w:r>
            <w:r w:rsid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oraz ograniczenie się </w:t>
            </w:r>
            <w:r w:rsidR="006E14E4" w:rsidRPr="006E14E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informacj</w:t>
            </w:r>
            <w:r w:rsidR="006E14E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</w:t>
            </w:r>
            <w:r w:rsidR="006E14E4" w:rsidRPr="006E14E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na temat wszystkich </w:t>
            </w:r>
            <w:r w:rsidR="006E14E4" w:rsidRPr="00CE4F3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umów i kontraktów o wartości nie mniejszej niż 10 000 000 PLN zawarte bezpośrednio między:</w:t>
            </w:r>
          </w:p>
          <w:p w14:paraId="7BDC82AD" w14:textId="77777777" w:rsidR="006E14E4" w:rsidRPr="00CE4F3D" w:rsidRDefault="006E14E4" w:rsidP="006E14E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CE4F3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a) dostawcą towarów lub usług i wytwórcą,</w:t>
            </w:r>
          </w:p>
          <w:p w14:paraId="558E2720" w14:textId="77777777" w:rsidR="006E14E4" w:rsidRPr="00CE4F3D" w:rsidRDefault="006E14E4" w:rsidP="006E14E4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CE4F3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b) dostawcą towarów lub usług i dostawcą, o którym mowa w lit. a,</w:t>
            </w:r>
          </w:p>
          <w:p w14:paraId="59BC0A14" w14:textId="3DDB81CA" w:rsidR="005D6F3E" w:rsidRDefault="006E14E4" w:rsidP="005D6F3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CE4F3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c) dostawcą towarów lub usług i dostawcą, o którym mowa w lit. b</w:t>
            </w:r>
            <w:r w:rsidR="00250C6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162C9723" w14:textId="38557CEA" w:rsidR="005D6F3E" w:rsidRPr="005D6F3E" w:rsidRDefault="005D6F3E" w:rsidP="005D6F3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odniesieniu do raportowania utworzonych miejsc pracy należy doprecyzować, że należy w nich uwzględnić</w:t>
            </w: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nie tylko nowopowstałe miejsca pracy, ale także utrzymane w związku z realizacją inwestycji w zakresie morskiej farmy wiatrowej wraz z zespołem urządzeń służących do wyprowadzenia mocy. Należy przy tym uwzględniać nie tylko zatrudnienie na podstawie umowy o pracę, ale również i na podstawie umów cywilnoprawnych (np. zlecenie, dzieło, agencyjna). Uwzględnione powinny być również umowy zawierane z przedsiębiorcami prowadzącymi jednoosobową działalność gospodarczą (tzw. samozatrudnienie).</w:t>
            </w:r>
            <w:r w:rsidR="009F5D6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Przy obliczaniu miejsc pracy należy skorzystać z przeliczenia</w:t>
            </w:r>
            <w:r w:rsidR="00DE675C" w:rsidRPr="00DE675C">
              <w:rPr>
                <w:rFonts w:eastAsia="Times New Roman" w:cs="Times New Roman"/>
                <w:szCs w:val="24"/>
              </w:rPr>
              <w:t xml:space="preserve"> </w:t>
            </w:r>
            <w:r w:rsidR="00DE675C" w:rsidRPr="00DE675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szacowanej liczby miejsc pracy</w:t>
            </w: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na ekwiwalent pełnego czasu pracy rozumian</w:t>
            </w:r>
            <w:r w:rsidR="009F5D6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y</w:t>
            </w: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jako proporcja godzin pracy rzeczywiście przepracowanych w ciągu roku sprawozdawczego przy realizacji inwestycji do całkowitej liczby godzin formalnie przepracowanych w tym samym okresie przez osobę lub grupę. </w:t>
            </w:r>
          </w:p>
          <w:p w14:paraId="07E546BE" w14:textId="7400ADB5" w:rsidR="009F5D67" w:rsidRDefault="005D6F3E" w:rsidP="005D6F3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Dodatkowo</w:t>
            </w:r>
            <w:r w:rsidR="006924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raportowane miejsca pracy powinny być powiązane z nakładami inwestycyjnymi na budowę lub eksploatację morskiej farmy wiatrowej wraz z zespołem urządzeń służących do wyprowadzenia mocy poniesionymi przez wytwórcę lub przedsiębiorców należących do grupy kapitałowej, do której należy wytwórca, których wartość jest równa lub większa niż 1</w:t>
            </w:r>
            <w:r w:rsidR="00CE4F3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5D6F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000 000 PLN.</w:t>
            </w:r>
          </w:p>
          <w:p w14:paraId="5C10A3C3" w14:textId="0490514F" w:rsidR="00B94BC0" w:rsidRPr="00B94BC0" w:rsidRDefault="00C23096" w:rsidP="00C2309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ocenie Ministerstwa Klimatu i Środowiska, nie jest możliwe osiągnięcie celu w postaci określenia wzoru sprawozdań, o</w:t>
            </w:r>
            <w:r w:rsidR="00DC289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7D761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których mowa w art. 43 ust. 1 pkt 2 i 3 ustawy offshore za pomocą innych środków niż działania legislacyjne polegające na wydaniu rozporządzenia.</w:t>
            </w:r>
          </w:p>
        </w:tc>
      </w:tr>
      <w:tr w:rsidR="00B94BC0" w:rsidRPr="00B94BC0" w14:paraId="29E7B988" w14:textId="77777777" w:rsidTr="00B94BC0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DE0EB9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lastRenderedPageBreak/>
              <w:t>Jak problem został rozwiązany w innych krajach, w szczególności krajach członkowskich OECD/UE</w:t>
            </w: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B94BC0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4BC0" w:rsidRPr="00B94BC0" w14:paraId="3A945A8C" w14:textId="77777777" w:rsidTr="00B94BC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9C5669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Wielka Brytania w listopadzie 2016 r. zdecydowała się na wydanie przewodnika dla wytwórców dotyczącego planu (ang. </w:t>
            </w:r>
            <w:r w:rsidRPr="00B94BC0"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val="en-GB" w:eastAsia="en-US"/>
              </w:rPr>
              <w:t>Supply Chain Plan Final Guidance for projects of 300MW or more applying for a Contract for Difference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).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Wytyczne te mają na celu zapewnienie wytwórcom pomocy w sformułowaniu dokumentu jakim jest plan. </w:t>
            </w:r>
          </w:p>
          <w:p w14:paraId="64FD233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Celem procesu oceny planu jest zachęcanie do rozwoju niskoemisyjnych, otwartych i konkurencyjnych łańcuchów dostaw oraz promowanie innowacji i umiejętności. Aby zakwalifikować się do udziału w tzw. rundzie alokacyjnej CfD (ang. </w:t>
            </w:r>
            <w:r w:rsidRPr="00B94BC0"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contract for difference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) konieczne jest posiadanie oświadczenia Sekretarza Stanu zatwierdzającego plan. </w:t>
            </w:r>
          </w:p>
          <w:p w14:paraId="5E3DD571" w14:textId="10668CDC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ww. przewodniku określono kryteria oceny planu. Oceniany jest zakres, w jakim plany wspierają rozwój konkurencji w</w:t>
            </w:r>
            <w:r w:rsidR="00E95A8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łańcuchach dostaw (kryterium „konkurencja”), wspierają innowacje w łańcuchach dostaw (kryterium „innowacja”) oraz wspierają rozwój umiejętności w łańcuchu dostaw (kryterium „umiejętność”). Wytwórcy powinni też przedstawić projekt i</w:t>
            </w:r>
            <w:r w:rsidR="00E95A8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strategię zamówień, aby umożliwić ocenę etapu projektu podczas oceny planu łańcucha dostaw.</w:t>
            </w:r>
          </w:p>
          <w:p w14:paraId="05323AAD" w14:textId="4A51789C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Każdy plan jest oceniany za pomocą systemu punktacji dla trzech kluczowych kryteriów (innowacyjność, konkurencja i</w:t>
            </w:r>
            <w:r w:rsidR="00E95A8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umiejętności). Każde kryterium może być ocenione na maksymalnie 100 punktów. Suma punktów przedstawiana jest jako procent ogólnej puli punktów do zdobycia. Wszystkie plany, które uzyskają 50% lub wyższy wynik końcowy są zaakceptowane, czyli mogą w ten sposób przystąpić do ubiegana się o pomoc publiczną.</w:t>
            </w:r>
          </w:p>
          <w:p w14:paraId="7301C48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Plany w późniejszych etapach są monitorowane. Z poszczególnymi deweloperami uzgadniany jest proces i wskazanie dowodów, dotyczących realizacji kamieni milowych projektów, w tym kluczowych punktów decyzyjnych dotyczących zamówień oraz zobowiązań i działań określonych w planie w celu zachęcania do otwartych i konkurencyjnych łańcuchów dostaw oraz promowania innowacji i umiejętności. </w:t>
            </w:r>
          </w:p>
          <w:p w14:paraId="25DD6C6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 zakończeniu budowy morskiej farmy wiatrowej konieczna jest</w:t>
            </w:r>
            <w:r w:rsidRPr="00B94BC0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publikacja raportu określającego stopień wdrożenia zobowiązań i działań określonych w planie oraz przyczyny wszelkich odstępstw od przedłożonego wcześniej planu.</w:t>
            </w:r>
          </w:p>
        </w:tc>
      </w:tr>
      <w:tr w:rsidR="00B94BC0" w:rsidRPr="00B94BC0" w14:paraId="28492205" w14:textId="77777777" w:rsidTr="00B94BC0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62905D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B94BC0" w:rsidRPr="00B94BC0" w14:paraId="0F5773A7" w14:textId="77777777" w:rsidTr="00B94BC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8AAD25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C531F4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BE2D26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B94BC0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7AFD3A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B94BC0" w:rsidRPr="00B94BC0" w14:paraId="036B7E06" w14:textId="77777777" w:rsidTr="00B94BC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8FC9A2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Wytwórcy, którzy uzyskali prawo do pokrycia ujemnego salda zgodnie z art. 16 ust. 1 ustawy z dnia 17 grudnia 2020 r. </w:t>
            </w:r>
            <w:r w:rsidRPr="00B94BC0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>o promowaniu wytwarzania energii elektrycznej w morskich farmach wiatrowyc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DB34EE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2E76B6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Publiczna informacja przekazywana przez Prezesa URE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3104D1F" w14:textId="46AFC759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Wykonywanie ustawowego obowiązku składania sprawozdań w oparciu o wskazany wzór</w:t>
            </w:r>
            <w:r w:rsidR="00250C6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B94BC0" w:rsidRPr="00B94BC0" w14:paraId="0747F9B1" w14:textId="77777777" w:rsidTr="00B94BC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DCE64E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Wytwórcy, którzy uzyskają prawo do pokrycia ujemnego salda zgodnie z art. 26 ust. 1 ustawy z dnia 17 grudnia 2020 r. </w:t>
            </w:r>
            <w:r w:rsidRPr="00B94BC0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>o promowaniu wytwarzania energii elektrycznej w morskich farmach wiatrowyc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201B8A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kilkanaście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715A42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Ocena skutków regulacji ustawy z dnia 17 grudnia 2020 r. </w:t>
            </w:r>
            <w:r w:rsidRPr="00B94BC0"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o promowaniu wytwarzania energii elektrycznej w morskich farmach wiatrowych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4464814" w14:textId="0E3948F0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Wykonywanie ustawowego obowiązku składania sprawozdań w oparciu o wskazany wzór</w:t>
            </w:r>
            <w:r w:rsidR="00250C6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9F5D67" w:rsidRPr="00B94BC0" w14:paraId="2E753417" w14:textId="77777777" w:rsidTr="00113CCC">
        <w:trPr>
          <w:gridAfter w:val="1"/>
          <w:wAfter w:w="10" w:type="dxa"/>
          <w:trHeight w:val="1499"/>
        </w:trPr>
        <w:tc>
          <w:tcPr>
            <w:tcW w:w="2668" w:type="dxa"/>
            <w:gridSpan w:val="3"/>
            <w:shd w:val="clear" w:color="auto" w:fill="auto"/>
          </w:tcPr>
          <w:p w14:paraId="01FF5194" w14:textId="0B54F6B2" w:rsidR="009F5D67" w:rsidRPr="00B94BC0" w:rsidRDefault="009F5D67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Podmioty uczestniczące w łańcuchu dostaw materiałów i usług dla morskiej energetyki wiatrowej </w:t>
            </w:r>
            <w:r w:rsidR="00113CC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– dostawcy i poddostawcy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AE9446E" w14:textId="37A143E3" w:rsidR="009F5D67" w:rsidRPr="00B94BC0" w:rsidRDefault="009F5D67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kilkaset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F2FA23" w14:textId="7CEEB71D" w:rsidR="009F5D67" w:rsidRPr="00B94BC0" w:rsidRDefault="009F5D67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Szacunki własne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172DC2C" w14:textId="3CA482C3" w:rsidR="009F5D67" w:rsidRPr="00B94BC0" w:rsidRDefault="009F5D67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Przekazywanie wytwórcom informacji wymaganych do prawidłowego wypełnienia wzoru sprawozdania określonego w projekcie</w:t>
            </w:r>
            <w:r w:rsidR="00250C6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B94BC0" w:rsidRPr="00B94BC0" w14:paraId="7432A2EA" w14:textId="77777777" w:rsidTr="00B94BC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F42A74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Prezes URE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B1866E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2305535" w14:textId="04A08F24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Ustawa z dnia 10 kwietnia 1997 r. – Prawo energetyczne (</w:t>
            </w:r>
            <w:r w:rsidR="00DC289B" w:rsidRPr="00DC289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Dz.U. z 2024 r. poz. 266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3418907" w14:textId="290EECF0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Wykonanie ustawowego obowiązku publikacji sprawozdań oraz przekazywanie ich ministrowi właściwemu do spraw klimatu i ministrowi właściwemu do spraw aktywów państwowych</w:t>
            </w:r>
            <w:r w:rsidR="00250C6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B94BC0" w:rsidRPr="00B94BC0" w14:paraId="12E55E82" w14:textId="77777777" w:rsidTr="00B94BC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5A0CEE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 właściwy do spraw klimatu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2DB94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6289D7A" w14:textId="05CF14D0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Rozporządzenie Prezesa Rady Ministrów z dnia </w:t>
            </w:r>
            <w:r w:rsidR="00D801CD" w:rsidRPr="00D801CD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19 grudnia 2023 r. </w:t>
            </w:r>
            <w:r w:rsidRPr="00B94BC0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w sprawie szczegółowego zakresu działania Ministra Klimatu i Środowiska (</w:t>
            </w:r>
            <w:r w:rsidR="00D801CD" w:rsidRPr="00D801CD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Dz.U. z 2023 r. poz. 2726</w:t>
            </w:r>
            <w:r w:rsidRPr="00B94BC0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F2E00E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Otrzymanie sprawozdania sporządzonego wg wzoru określonego w projekcie.</w:t>
            </w:r>
          </w:p>
        </w:tc>
      </w:tr>
      <w:tr w:rsidR="00B94BC0" w:rsidRPr="00B94BC0" w14:paraId="38FC3849" w14:textId="77777777" w:rsidTr="00B94BC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4676AB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 właściwy do spraw aktywów państwowych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E76690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FA88E0E" w14:textId="6F7E2E24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Rozporządzenie Prezesa Rady Ministrów z dnia </w:t>
            </w:r>
            <w:r w:rsidR="00D801CD" w:rsidRPr="00D801CD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18 grudnia 2023 r.</w:t>
            </w:r>
            <w:r w:rsidRPr="00B94BC0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w sprawie szczegółowego zakresu działania Ministra Aktywów Państwowych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(</w:t>
            </w:r>
            <w:r w:rsidR="00D801CD" w:rsidRPr="00D801C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Dz.U. z 2023 r. poz. 2724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5E9EB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Otrzymanie sprawozdania sporządzonego wg wzoru określonego w projekcie.</w:t>
            </w:r>
          </w:p>
        </w:tc>
      </w:tr>
      <w:tr w:rsidR="00B94BC0" w:rsidRPr="00B94BC0" w14:paraId="36A20F04" w14:textId="77777777" w:rsidTr="00B94BC0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0825E1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B94BC0" w:rsidRPr="00B94BC0" w14:paraId="2BCB5F42" w14:textId="77777777" w:rsidTr="00B94BC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90480EE" w14:textId="1BF868E8" w:rsid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Projekt, zgodnie z art. 5 ustawy z dnia 7 lipca 2005 r. </w:t>
            </w:r>
            <w:r w:rsidRPr="00B94BC0">
              <w:rPr>
                <w:rFonts w:eastAsia="Times New Roman" w:cs="Times New Roman"/>
                <w:i/>
                <w:color w:val="000000"/>
                <w:sz w:val="22"/>
                <w:szCs w:val="22"/>
              </w:rPr>
              <w:t>o działalności lobbingowej w procesie stanowienia prawa</w:t>
            </w: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(Dz. U. z</w:t>
            </w:r>
            <w:r w:rsidR="00E95A8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2017 r. poz. 248) i § 52 uchwały nr 190 Rady Ministrów z dnia 29 października 2013 r. – </w:t>
            </w:r>
            <w:r w:rsidRPr="00B94BC0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 xml:space="preserve">Regulamin pracy Rady Ministrów </w:t>
            </w:r>
            <w:r w:rsidRPr="00B94BC0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(</w:t>
            </w:r>
            <w:r w:rsidR="00DC289B" w:rsidRPr="00DC289B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M.P. z 2022 r. poz. 348</w:t>
            </w:r>
            <w:r w:rsidRPr="00B94BC0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)</w:t>
            </w: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został udostępniony w Biuletynie Informacji Publicznej, na stronie podmiotowej Rządowego Centrum Legislacji, w serwisie Rządowy Proces Legislacyjny. </w:t>
            </w:r>
          </w:p>
          <w:p w14:paraId="2CD2EA27" w14:textId="235B8284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</w:pP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Projekt </w:t>
            </w:r>
            <w:r w:rsidR="00A463D2"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>zosta</w:t>
            </w:r>
            <w:r w:rsidR="00A463D2">
              <w:rPr>
                <w:rFonts w:eastAsia="Times New Roman" w:cs="Times New Roman"/>
                <w:color w:val="000000"/>
                <w:sz w:val="22"/>
                <w:szCs w:val="22"/>
              </w:rPr>
              <w:t>nie</w:t>
            </w:r>
            <w:r w:rsidR="00A463D2"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przekazany do konsultacji (14 dni) do następujących podmiotów: </w:t>
            </w:r>
          </w:p>
          <w:p w14:paraId="326DB3C9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Agencja Rozwoju Przemysłu;</w:t>
            </w:r>
          </w:p>
          <w:p w14:paraId="3596E2CA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Baltic Power;</w:t>
            </w:r>
          </w:p>
          <w:p w14:paraId="78871EC5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lastRenderedPageBreak/>
              <w:t>Baltic Trade and Invest;</w:t>
            </w:r>
          </w:p>
          <w:p w14:paraId="72B45F07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Enea;</w:t>
            </w:r>
          </w:p>
          <w:p w14:paraId="0CAE8C4D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Equinor;</w:t>
            </w:r>
          </w:p>
          <w:p w14:paraId="1F492A16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Iberdrola;</w:t>
            </w:r>
          </w:p>
          <w:p w14:paraId="54E045BD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Izba Energetyki Przemysłowej i Odbiorców Energii;</w:t>
            </w:r>
          </w:p>
          <w:p w14:paraId="3AE042E5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Izba Gospodarcza Energetyki i Ochrony Środowiska;</w:t>
            </w:r>
          </w:p>
          <w:p w14:paraId="48731FDC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Krajowa Izba Gospodarcza;</w:t>
            </w:r>
          </w:p>
          <w:p w14:paraId="039A1E81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Krajowa Izba Gospodarki Morskiej;</w:t>
            </w:r>
          </w:p>
          <w:p w14:paraId="4A90FDB3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Northland Power;</w:t>
            </w:r>
          </w:p>
          <w:p w14:paraId="376196C4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Ocean Winds;</w:t>
            </w:r>
          </w:p>
          <w:p w14:paraId="35E1B5C5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Ørsted;</w:t>
            </w:r>
          </w:p>
          <w:p w14:paraId="2F0714DE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Times New Roman" w:cs="Times New Roman"/>
                <w:color w:val="000000"/>
                <w:spacing w:val="-2"/>
                <w:sz w:val="22"/>
                <w:szCs w:val="22"/>
                <w:lang w:eastAsia="en-US"/>
              </w:rPr>
              <w:t>PGE Baltica;</w:t>
            </w:r>
          </w:p>
          <w:p w14:paraId="3DB85B5F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PGE;</w:t>
            </w:r>
          </w:p>
          <w:p w14:paraId="6496135E" w14:textId="56BD174F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ORLEN;</w:t>
            </w:r>
          </w:p>
          <w:p w14:paraId="6C71DE67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Polenergia;</w:t>
            </w:r>
          </w:p>
          <w:p w14:paraId="676E0CC7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Izba Gospodarcza Energii Odnawialnej i Rozproszonej;</w:t>
            </w:r>
          </w:p>
          <w:p w14:paraId="03ED15C6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 Komitet Energii Elektrycznej;</w:t>
            </w:r>
          </w:p>
          <w:p w14:paraId="3968FA7D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Sieci Elektroenergetyczne;</w:t>
            </w:r>
          </w:p>
          <w:p w14:paraId="0B5E51AC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Stowarzyszenie Energetyki Wiatrowej;</w:t>
            </w:r>
          </w:p>
          <w:p w14:paraId="3C6FF92B" w14:textId="3D8EC50D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</w:t>
            </w:r>
            <w:r w:rsidR="006737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 Izba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Morskiej Energetyki Wiatrowej;</w:t>
            </w:r>
          </w:p>
          <w:p w14:paraId="2EB6BD9D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RWE;</w:t>
            </w:r>
          </w:p>
          <w:p w14:paraId="33950574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Sea Wind;</w:t>
            </w:r>
          </w:p>
          <w:p w14:paraId="76FF0FAD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Branży Elektroenergetycznej;</w:t>
            </w:r>
          </w:p>
          <w:p w14:paraId="32094633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Stowarzyszenie Energii Odnawialnej;</w:t>
            </w:r>
          </w:p>
          <w:p w14:paraId="28D6F12A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Synthos Green Energy;</w:t>
            </w:r>
          </w:p>
          <w:p w14:paraId="58EE9B8B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Tauron;</w:t>
            </w:r>
          </w:p>
          <w:p w14:paraId="54D201AE" w14:textId="77777777" w:rsidR="00B94BC0" w:rsidRPr="00B94BC0" w:rsidRDefault="00B94BC0" w:rsidP="00E95A8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Towarzystwo Gospodarcze Polskie Elektrownie;</w:t>
            </w:r>
          </w:p>
          <w:p w14:paraId="78EAB48D" w14:textId="77777777" w:rsidR="00DC289B" w:rsidRDefault="00B94BC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Vattenfall Poland</w:t>
            </w:r>
          </w:p>
          <w:p w14:paraId="1797566A" w14:textId="4189B053" w:rsidR="00B94BC0" w:rsidRDefault="00DC289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C289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Polskich Pracodawców Handlu i Usług</w:t>
            </w:r>
            <w:r w:rsidR="00E95A8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205943DD" w14:textId="77777777" w:rsidR="00E95A88" w:rsidRPr="00B94BC0" w:rsidRDefault="00E95A88" w:rsidP="00E95A88">
            <w:pPr>
              <w:widowControl/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23DAF10F" w14:textId="1B044BD9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</w:t>
            </w:r>
            <w:r w:rsidR="00A463D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przekazany do zaopiniowania (14 dni) następującym podmiotom:</w:t>
            </w:r>
          </w:p>
          <w:p w14:paraId="215E8A0B" w14:textId="77777777" w:rsidR="00B94BC0" w:rsidRPr="00B94BC0" w:rsidRDefault="00B94BC0" w:rsidP="00E95A8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202" w:hanging="202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Prezes Prokuratorii Generalnej Rzeczypospolitej Polskiej;</w:t>
            </w:r>
          </w:p>
          <w:p w14:paraId="42E28750" w14:textId="77777777" w:rsidR="00B94BC0" w:rsidRPr="00B94BC0" w:rsidRDefault="00B94BC0" w:rsidP="00E95A8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202" w:hanging="202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Prezes Urzędu Ochrony Konkurencji i Konsumentów;</w:t>
            </w:r>
          </w:p>
          <w:p w14:paraId="076DCE33" w14:textId="358F10CF" w:rsidR="00B94BC0" w:rsidRDefault="00B94BC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202" w:hanging="202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Prezes Urzędu Regulacji Energetyki.</w:t>
            </w:r>
          </w:p>
          <w:p w14:paraId="4C849989" w14:textId="77777777" w:rsidR="00E95A88" w:rsidRPr="00B94BC0" w:rsidRDefault="00E95A88" w:rsidP="00E95A88">
            <w:pPr>
              <w:widowControl/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5E755A06" w14:textId="10566C07" w:rsidR="00E95A88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Z uwagi na zakres projektu, który nie dotyczy zadań związków zawodowych ani praw i interesów związków pracodawców, projekt nie podlega opiniowaniu przez reprezentatywne związki zawodowe ani przez reprezentatywne organizacje pracodawców. </w:t>
            </w:r>
          </w:p>
          <w:p w14:paraId="5530DC9D" w14:textId="5E7AFD11" w:rsidR="00E95A88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Projekt nie podlega opiniowaniu przez Komisję Wspólną Rządu i Samorządu Terytorialnego, gdyż nie dotyczy spraw związanych z samorządem terytorialnym, o których mowa w ustawie z dnia 6 maja 2005 r. </w:t>
            </w:r>
            <w:r w:rsidRPr="00B94BC0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o Komisji Wspólnej Rządu i Samorządu Terytorialnego oraz o przedstawicielach Rzeczypospolitej Polskiej w Komitecie Regionów Unii Europejskiej</w:t>
            </w: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(Dz. U. z 2005 r. poz. 759). </w:t>
            </w:r>
          </w:p>
          <w:p w14:paraId="6DB2E0FE" w14:textId="2F4B5BAE" w:rsidR="00E95A88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>Projekt nie dotyczy spraw, o których mowa w art. 1 ustawy z dnia 24 lipca 2015 r</w:t>
            </w:r>
            <w:r w:rsidRPr="00B94BC0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. o Radzie Dialogu Społecznego i innych instytucji dialogu społecznego</w:t>
            </w: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(Dz. U. z 2018 r. poz. 2232, z późn. zm.), wobec czego nie wymaga zaopiniowania przez RDS.</w:t>
            </w:r>
            <w:r w:rsidRPr="00B94BC0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4A2AF405" w14:textId="7908E844" w:rsidR="00E95A88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B94BC0">
              <w:rPr>
                <w:rFonts w:eastAsia="Times New Roman" w:cs="Times New Roman"/>
                <w:color w:val="000000"/>
                <w:sz w:val="22"/>
                <w:szCs w:val="22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  <w:r w:rsidRPr="00B94BC0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40EEFF77" w14:textId="5983E3AD" w:rsidR="00B94BC0" w:rsidRPr="00B94BC0" w:rsidRDefault="00B61C54" w:rsidP="00A463D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61C54">
              <w:rPr>
                <w:rFonts w:eastAsia="Times New Roman" w:cs="Times New Roman"/>
                <w:color w:val="000000"/>
                <w:sz w:val="22"/>
                <w:szCs w:val="22"/>
              </w:rPr>
              <w:t>Wyniki opiniowania i konsultacji publicznych zostaną omówione w raporcie z konsultacji, zawierającym zestawienie przedstawionych stanowisk lub opinii i odniesienie się do nich przez organ wnioskujący, udostępnionym na stronie Rządowego Centrum Legislacji, w zakładce Rządowy Proces Legislacyjny, najpóźniej z dniem przekazania projektu na kolejny etap prac legislacyjnych.</w:t>
            </w:r>
          </w:p>
        </w:tc>
      </w:tr>
      <w:tr w:rsidR="00B94BC0" w:rsidRPr="00B94BC0" w14:paraId="39E613C4" w14:textId="77777777" w:rsidTr="00B94BC0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123773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B94BC0" w:rsidRPr="00B94BC0" w14:paraId="59662733" w14:textId="77777777" w:rsidTr="00B94BC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A9109A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lastRenderedPageBreak/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392B9E5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B94BC0" w:rsidRPr="00B94BC0" w14:paraId="3FB14DBC" w14:textId="77777777" w:rsidTr="00B94BC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EFAC73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5B8595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488E2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82AB2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EC3B7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B18D8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88F83A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BB8BE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F38AD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1429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04DD2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7A4AE0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3B6323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B94BC0" w:rsidRPr="00B94BC0" w14:paraId="207B1B27" w14:textId="77777777" w:rsidTr="00B94BC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FFF26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03095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8B64F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AC4CD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0BAA8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9A6E4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86C86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C3135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CA27F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6BA7C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0FC1C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18AA6C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F2CB07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442ECE14" w14:textId="77777777" w:rsidTr="00B94BC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CD712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7996D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9BA09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6DE5A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10151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0673C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E94009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E696E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F38597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CDD90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0B48A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6EF964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064C03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62F09651" w14:textId="77777777" w:rsidTr="00B94BC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A4B5C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DE44F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08C85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FAA12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06009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5127A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6BDFA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6EFDC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0A906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2F32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7AF8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25D85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EA273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2F810605" w14:textId="77777777" w:rsidTr="00B94BC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C399F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F73C5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D3206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90370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9D3AA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DFEA6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B30C4D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8FD42C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F6B23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20BCF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FEB57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984464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2883C6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521877CB" w14:textId="77777777" w:rsidTr="00B94BC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D0AAD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359B7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9B17E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EFC3D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801C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A98CB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87CBE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DA72A9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191D5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86BD6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1D513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EC09BC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25902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3C2FF5F4" w14:textId="77777777" w:rsidTr="00B94BC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B88D1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09D69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79546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A7406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5E21C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42CD6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DCE908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8A858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31254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70904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5AD79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0CBA3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9513A2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4DC81922" w14:textId="77777777" w:rsidTr="00B94BC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FB761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EF4CF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697BE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C3E9C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ED018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5FE69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21E0D3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ECDE9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239C1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27433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4B802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480682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D298B0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38650C9E" w14:textId="77777777" w:rsidTr="00B94BC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791C0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34D08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305CF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6ABFE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51C54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0A415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E7A36F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9BAC2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270DE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4D65A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41C44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314E23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33737D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036D915B" w14:textId="77777777" w:rsidTr="00B94BC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A1CC0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1C54E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F2C6A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BC34E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47921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BD1B8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2D6F93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22A82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9930A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ECBD7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CE0D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4BB29F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B45E4F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73746E37" w14:textId="77777777" w:rsidTr="00B94BC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6DF75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B5E58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30C4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6A443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C82F6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CF3D1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267577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92A45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B7044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2C08D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5CBD6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1DC192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3BEA2B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0F3968CC" w14:textId="77777777" w:rsidTr="00B94BC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B525F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7D996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2816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DBDBE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8F4A2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1CF7A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55F66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DA5F0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7C5D5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4DB1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60C6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AB769D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65534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13804E0E" w14:textId="77777777" w:rsidTr="00B94BC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7619F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CE4FD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D9359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EA60F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97900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7DD07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5B2157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EDE8E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0C71D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77CDA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1927E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01CC2F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A70C69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04EC9A6A" w14:textId="77777777" w:rsidTr="00E95A8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C3F1A7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BE74DF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53A653B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  <w:p w14:paraId="2EE7928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B94BC0" w:rsidRPr="00B94BC0" w14:paraId="742B7F85" w14:textId="77777777" w:rsidTr="00E95A88">
        <w:trPr>
          <w:gridAfter w:val="1"/>
          <w:wAfter w:w="10" w:type="dxa"/>
          <w:trHeight w:val="1309"/>
        </w:trPr>
        <w:tc>
          <w:tcPr>
            <w:tcW w:w="2243" w:type="dxa"/>
            <w:gridSpan w:val="2"/>
            <w:shd w:val="clear" w:color="auto" w:fill="FFFFFF"/>
          </w:tcPr>
          <w:p w14:paraId="03EC7A6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22157A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Przedmiotowa regulacja nie powoduje zwiększenia wydatków lub zmniejszenia dochodów jednostek sektora finansów publicznych, w tym budżetu państwa i budżetów jednostek samorządu terytorialnego, ponieważ jedynie określa wzór sprawozdania, którego obowiązek złożenia znajduje się w ustawie z dnia 17 grudnia 2020 r. </w:t>
            </w:r>
            <w:r w:rsidRPr="00B94BC0">
              <w:rPr>
                <w:rFonts w:eastAsia="Calibri" w:cs="Times New Roman"/>
                <w:i/>
                <w:iCs/>
                <w:color w:val="000000"/>
                <w:sz w:val="21"/>
                <w:szCs w:val="21"/>
                <w:lang w:eastAsia="en-US"/>
              </w:rPr>
              <w:t>o promowaniu wytwarzania energii elektrycznej w morskich farmach wiatrowych</w:t>
            </w: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.</w:t>
            </w:r>
          </w:p>
        </w:tc>
      </w:tr>
      <w:tr w:rsidR="00B94BC0" w:rsidRPr="00B94BC0" w14:paraId="6CED71B7" w14:textId="77777777" w:rsidTr="00E95A88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3C80ED2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94BC0" w:rsidRPr="00B94BC0" w14:paraId="1AEF9DF1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C307B1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B94BC0" w:rsidRPr="00B94BC0" w14:paraId="20622DB2" w14:textId="77777777" w:rsidTr="00E95A8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58AE60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A6FB8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D0C160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3B5D5F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1DF6E1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38FCCD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EB11A9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B55A9D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B94BC0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B94BC0" w:rsidRPr="00B94BC0" w14:paraId="2748CED9" w14:textId="77777777" w:rsidTr="00E95A8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17FD84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509A35F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471490C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B040D6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82BE5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CE24E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66A2B9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18691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83D08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E4721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AFA818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5A10E9BA" w14:textId="77777777" w:rsidTr="00E95A8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F341F6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DA520E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EB6AF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C73A97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38763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D1B38B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5B116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B694D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F7A18A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06D220F8" w14:textId="77777777" w:rsidTr="00E95A8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5E378B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9AA66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1EF61F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78D12D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17EBF1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2C3345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BD06B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B76B0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A91CF7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B94BC0" w:rsidRPr="00B94BC0" w14:paraId="690E9FD6" w14:textId="77777777" w:rsidTr="00E95A8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64777C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ECBC5A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6B14ED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W kontekście działalności dużych przedsiębiorstw zajmujących się wytwarzaniem energii elektrycznej w morskich farmach wiatrowych, przedmiotowy projekt rozporządzenia będzie miał wpływ w ujęciu niepieniężnym, bowiem określony w rozporządzeniu wzór sprawozdań będzie powodował konieczność dokonywania sprawozdawczości na jego podstawie.</w:t>
            </w:r>
          </w:p>
        </w:tc>
      </w:tr>
      <w:tr w:rsidR="00B94BC0" w:rsidRPr="00B94BC0" w14:paraId="44D9652D" w14:textId="77777777" w:rsidTr="00E95A8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116C97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3C4D6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E711FB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Projekt rozporządzenia nie będzie miał wpływu na sektor mikro-, małych i średnich przedsiębiorstw.</w:t>
            </w:r>
          </w:p>
        </w:tc>
      </w:tr>
      <w:tr w:rsidR="00B94BC0" w:rsidRPr="00B94BC0" w14:paraId="538E3CEE" w14:textId="77777777" w:rsidTr="00E95A8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30B38B3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8B2490" w14:textId="77777777" w:rsidR="00B94BC0" w:rsidRPr="00B94BC0" w:rsidRDefault="00B94BC0" w:rsidP="00B94BC0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506739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Projekt rozporządzenia nie będzie miał wpływu na rodzinę, obywateli oraz gospodarstwa domowe.</w:t>
            </w:r>
          </w:p>
        </w:tc>
      </w:tr>
      <w:tr w:rsidR="00B94BC0" w:rsidRPr="00B94BC0" w14:paraId="3BFA6343" w14:textId="77777777" w:rsidTr="00E95A8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2C449B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4C7707" w14:textId="77777777" w:rsidR="00B94BC0" w:rsidRPr="00B94BC0" w:rsidRDefault="00B94BC0" w:rsidP="00B94BC0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sz w:val="21"/>
                <w:szCs w:val="21"/>
                <w:lang w:eastAsia="en-US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37F0BF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Projekt rozporządzenia nie będzie miał wpływu na osoby niepełnosprawne oraz osoby starsze.</w:t>
            </w:r>
          </w:p>
        </w:tc>
      </w:tr>
      <w:tr w:rsidR="00B94BC0" w:rsidRPr="00B94BC0" w14:paraId="471C622C" w14:textId="77777777" w:rsidTr="00E95A88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FBED01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641D88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Projektowane rozporządzenie nie będzie miało wpływu na indywidualną sytuacje obywateli, konkurencyjność gospodarki i przedsiębiorczość, w tym funkcjonowanie przedsiębiorstw, jak również na rodziny, obywateli oraz gospodarstwa domowe, w szczególności na sytuację ekonomiczną i społeczną rodziny, a także osób niepełnosprawnych oraz osób starszych, ponieważ określa ono jedynie wzory sprawozdań, których obowiązek złożenia znajduje się w ustawie z dnia 17 grudnia 2020 r. </w:t>
            </w:r>
            <w:r w:rsidRPr="00B94BC0">
              <w:rPr>
                <w:rFonts w:eastAsia="Calibri" w:cs="Times New Roman"/>
                <w:i/>
                <w:iCs/>
                <w:color w:val="000000"/>
                <w:sz w:val="21"/>
                <w:szCs w:val="21"/>
                <w:lang w:eastAsia="en-US"/>
              </w:rPr>
              <w:t>o promowaniu wytwarzania energii elektrycznej w morskich farmach wiatrowych</w:t>
            </w:r>
            <w:r w:rsidRPr="00B94BC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.</w:t>
            </w:r>
          </w:p>
        </w:tc>
      </w:tr>
      <w:tr w:rsidR="00B94BC0" w:rsidRPr="00B94BC0" w14:paraId="3D183EA4" w14:textId="77777777" w:rsidTr="00E95A8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EF157E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B94BC0" w:rsidRPr="00B94BC0" w14:paraId="2672B8E1" w14:textId="77777777" w:rsidTr="00E95A88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627F86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B94BC0" w:rsidRPr="00B94BC0" w14:paraId="0C86080C" w14:textId="77777777" w:rsidTr="00E95A88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1A2B619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D4A924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00DA73C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79865C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B94BC0" w:rsidRPr="00B94BC0" w14:paraId="01626555" w14:textId="77777777" w:rsidTr="00E95A88">
        <w:trPr>
          <w:gridAfter w:val="1"/>
          <w:wAfter w:w="10" w:type="dxa"/>
          <w:trHeight w:val="1041"/>
        </w:trPr>
        <w:tc>
          <w:tcPr>
            <w:tcW w:w="5111" w:type="dxa"/>
            <w:gridSpan w:val="12"/>
            <w:shd w:val="clear" w:color="auto" w:fill="FFFFFF"/>
          </w:tcPr>
          <w:p w14:paraId="0CEF778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59C8136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6B9C850B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6EA8ED28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19F029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2C33BD8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57FA363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34FDA2F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94BC0" w:rsidRPr="00B94BC0" w14:paraId="7D4B7C79" w14:textId="77777777" w:rsidTr="00E95A88">
        <w:trPr>
          <w:gridAfter w:val="1"/>
          <w:wAfter w:w="10" w:type="dxa"/>
          <w:trHeight w:val="780"/>
        </w:trPr>
        <w:tc>
          <w:tcPr>
            <w:tcW w:w="5111" w:type="dxa"/>
            <w:gridSpan w:val="12"/>
            <w:shd w:val="clear" w:color="auto" w:fill="FFFFFF"/>
          </w:tcPr>
          <w:p w14:paraId="36D621C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FDBB0F4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3A207322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09EDA7D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B94BC0" w:rsidRPr="00B94BC0" w14:paraId="32BA7297" w14:textId="77777777" w:rsidTr="00E95A88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3F32AB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Komentarz: Projekt rozporządzenia nie wprowadza zmian w obciążeń regulacyjnych, gdyż w obecnym porządku prawnym obowiązują już przepisy dotyczące składania sprawozdań na gruncie ustawy z dnia 17 grudnia 2020 r. </w:t>
            </w:r>
            <w:r w:rsidRPr="00B94BC0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>o promowaniu wytwarzania energii elektrycznej w morskich farmach wiatrowych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94BC0" w:rsidRPr="00B94BC0" w14:paraId="44582AF7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CAE8F7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B94BC0" w:rsidRPr="00B94BC0" w14:paraId="78829EA2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5751A6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Regulacja ma charakter wtórny wobec ustawy z dnia 17 grudnia 2020 r. </w:t>
            </w:r>
            <w:r w:rsidRPr="00B94BC0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>o promowaniu wytwarzania energii elektrycznej w morskich farmach wiatrowych.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Wpływ wprowadzenia proponowanych rozwiązań na rynek pracy został opisany w ocenie skutków regulacji do przedmiotowej ustawy.</w:t>
            </w:r>
          </w:p>
        </w:tc>
      </w:tr>
      <w:tr w:rsidR="00B94BC0" w:rsidRPr="00B94BC0" w14:paraId="6BE54B75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60C960D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B94BC0" w:rsidRPr="00B94BC0" w14:paraId="0D6389BA" w14:textId="77777777" w:rsidTr="00E95A88">
        <w:trPr>
          <w:gridAfter w:val="1"/>
          <w:wAfter w:w="10" w:type="dxa"/>
          <w:trHeight w:val="824"/>
        </w:trPr>
        <w:tc>
          <w:tcPr>
            <w:tcW w:w="3547" w:type="dxa"/>
            <w:gridSpan w:val="5"/>
            <w:shd w:val="clear" w:color="auto" w:fill="FFFFFF"/>
          </w:tcPr>
          <w:p w14:paraId="568CC66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71A55EC5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7031B29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D9D0A9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4CAD3F6A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2D66B48E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829666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474A6DCF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94BC0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B94BC0" w:rsidRPr="00B94BC0" w14:paraId="265BDFF2" w14:textId="77777777" w:rsidTr="00E95A88">
        <w:trPr>
          <w:gridAfter w:val="1"/>
          <w:wAfter w:w="10" w:type="dxa"/>
          <w:trHeight w:val="28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EA74AC9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2ECCCEC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nie wpływa na pozostałe obszary.</w:t>
            </w:r>
          </w:p>
          <w:p w14:paraId="417E53A6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B94BC0" w:rsidRPr="00B94BC0" w14:paraId="186505AD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AB1C2F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B94BC0" w:rsidRPr="00B94BC0" w14:paraId="3F8461D5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6978613" w14:textId="201CBEF6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Planuje się, że wzór sprawozdań dotyczących realizacji planu inwestycji morskich farm wiatrowych będzie obowiązywał do fazy likwidacji inwestycji morskich farmach wiatrowych, czyli do ok. </w:t>
            </w:r>
            <w:r w:rsidR="009F5D67" w:rsidRPr="00B94BC0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20</w:t>
            </w:r>
            <w:r w:rsidR="009F5D6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68</w:t>
            </w:r>
            <w:r w:rsidR="009F5D67" w:rsidRPr="00B94BC0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roku tj. do przewidywanego zakończenia czasu życia instalacji, które zostaną oddane do użytkowania w wyniku rozstrzygnięcia aukcji z </w:t>
            </w:r>
            <w:r w:rsidR="009F5D67" w:rsidRPr="00B94BC0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20</w:t>
            </w:r>
            <w:r w:rsidR="009F5D6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31</w:t>
            </w:r>
            <w:r w:rsidR="009F5D67" w:rsidRPr="00B94BC0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 </w:t>
            </w:r>
            <w:r w:rsidRPr="00B94BC0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r. </w:t>
            </w:r>
          </w:p>
          <w:p w14:paraId="2DFF8B01" w14:textId="7266B5BE" w:rsidR="00B94BC0" w:rsidRPr="00B94BC0" w:rsidRDefault="00B94BC0" w:rsidP="00A463D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Przedmiotowe rozporządzenie wejdzie w życie po upływie 14 dni od dnia ogłoszenia. </w:t>
            </w:r>
          </w:p>
        </w:tc>
      </w:tr>
      <w:tr w:rsidR="00B94BC0" w:rsidRPr="00B94BC0" w14:paraId="16BFAB91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4A9F242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94BC0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B94BC0" w:rsidRPr="00B94BC0" w14:paraId="453174D2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4E44B82" w14:textId="028D30D5" w:rsidR="00B94BC0" w:rsidRPr="0077445A" w:rsidRDefault="002170A7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34A5E">
              <w:rPr>
                <w:color w:val="000000"/>
                <w:spacing w:val="-2"/>
                <w:sz w:val="22"/>
                <w:szCs w:val="22"/>
              </w:rPr>
              <w:t>Nie zakłada się ewaluacji efektów projektu.</w:t>
            </w:r>
          </w:p>
        </w:tc>
      </w:tr>
      <w:tr w:rsidR="00B94BC0" w:rsidRPr="00B94BC0" w14:paraId="710EDED0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5B77C8" w14:textId="77777777" w:rsidR="00B94BC0" w:rsidRPr="00B94BC0" w:rsidRDefault="00B94BC0" w:rsidP="00E95A8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B94BC0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B94BC0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94BC0" w:rsidRPr="00B94BC0" w14:paraId="5AFC68A0" w14:textId="77777777" w:rsidTr="00E95A8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86C360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94B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</w:t>
            </w:r>
          </w:p>
          <w:p w14:paraId="670236C7" w14:textId="77777777" w:rsidR="00B94BC0" w:rsidRPr="00B94BC0" w:rsidRDefault="00B94BC0" w:rsidP="00B94BC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bookmarkEnd w:id="1"/>
    </w:tbl>
    <w:p w14:paraId="5E2E2138" w14:textId="3A7B0920" w:rsidR="00261A16" w:rsidRPr="00737F6A" w:rsidRDefault="00261A16" w:rsidP="00737F6A"/>
    <w:sectPr w:rsidR="00261A16" w:rsidRPr="00737F6A" w:rsidSect="00E7031C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EDC9" w14:textId="77777777" w:rsidR="00E7031C" w:rsidRDefault="00E7031C">
      <w:r>
        <w:separator/>
      </w:r>
    </w:p>
  </w:endnote>
  <w:endnote w:type="continuationSeparator" w:id="0">
    <w:p w14:paraId="4CACFCFD" w14:textId="77777777" w:rsidR="00E7031C" w:rsidRDefault="00E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F642" w14:textId="77777777" w:rsidR="00E7031C" w:rsidRDefault="00E7031C">
      <w:r>
        <w:separator/>
      </w:r>
    </w:p>
  </w:footnote>
  <w:footnote w:type="continuationSeparator" w:id="0">
    <w:p w14:paraId="2AAFB4B5" w14:textId="77777777" w:rsidR="00E7031C" w:rsidRDefault="00E7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7CF3" w14:textId="77777777" w:rsidR="00B94BC0" w:rsidRPr="00B371CC" w:rsidRDefault="00B94BC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14F1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165"/>
    <w:multiLevelType w:val="hybridMultilevel"/>
    <w:tmpl w:val="C64AA7D4"/>
    <w:lvl w:ilvl="0" w:tplc="DF963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436"/>
    <w:multiLevelType w:val="hybridMultilevel"/>
    <w:tmpl w:val="05A848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D46637"/>
    <w:multiLevelType w:val="hybridMultilevel"/>
    <w:tmpl w:val="C4360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34AD"/>
    <w:multiLevelType w:val="hybridMultilevel"/>
    <w:tmpl w:val="06880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1777E"/>
    <w:multiLevelType w:val="hybridMultilevel"/>
    <w:tmpl w:val="DBF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0979"/>
    <w:multiLevelType w:val="multilevel"/>
    <w:tmpl w:val="0AD4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266343E"/>
    <w:multiLevelType w:val="hybridMultilevel"/>
    <w:tmpl w:val="E728A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717432">
    <w:abstractNumId w:val="4"/>
  </w:num>
  <w:num w:numId="2" w16cid:durableId="1852454512">
    <w:abstractNumId w:val="2"/>
  </w:num>
  <w:num w:numId="3" w16cid:durableId="1098409625">
    <w:abstractNumId w:val="0"/>
  </w:num>
  <w:num w:numId="4" w16cid:durableId="186337107">
    <w:abstractNumId w:val="1"/>
  </w:num>
  <w:num w:numId="5" w16cid:durableId="191496773">
    <w:abstractNumId w:val="3"/>
  </w:num>
  <w:num w:numId="6" w16cid:durableId="900598389">
    <w:abstractNumId w:val="7"/>
  </w:num>
  <w:num w:numId="7" w16cid:durableId="1381593732">
    <w:abstractNumId w:val="8"/>
  </w:num>
  <w:num w:numId="8" w16cid:durableId="1253514276">
    <w:abstractNumId w:val="6"/>
  </w:num>
  <w:num w:numId="9" w16cid:durableId="1953105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3105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1074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456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339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751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7132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A"/>
    <w:rsid w:val="0000059D"/>
    <w:rsid w:val="000012DA"/>
    <w:rsid w:val="0000246E"/>
    <w:rsid w:val="00003862"/>
    <w:rsid w:val="00011335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EF2"/>
    <w:rsid w:val="000330FA"/>
    <w:rsid w:val="0003362F"/>
    <w:rsid w:val="00035E7E"/>
    <w:rsid w:val="00036B63"/>
    <w:rsid w:val="00037E1A"/>
    <w:rsid w:val="00043495"/>
    <w:rsid w:val="000458E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A18"/>
    <w:rsid w:val="00064425"/>
    <w:rsid w:val="00064E4C"/>
    <w:rsid w:val="00066901"/>
    <w:rsid w:val="00071BEE"/>
    <w:rsid w:val="00071D87"/>
    <w:rsid w:val="000736CD"/>
    <w:rsid w:val="0007533B"/>
    <w:rsid w:val="0007545D"/>
    <w:rsid w:val="000760BF"/>
    <w:rsid w:val="0007613E"/>
    <w:rsid w:val="00076BFC"/>
    <w:rsid w:val="000814A7"/>
    <w:rsid w:val="00083F48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2B7"/>
    <w:rsid w:val="000D1B0D"/>
    <w:rsid w:val="000D22EC"/>
    <w:rsid w:val="000D2468"/>
    <w:rsid w:val="000D318A"/>
    <w:rsid w:val="000D6173"/>
    <w:rsid w:val="000D6F83"/>
    <w:rsid w:val="000E25CC"/>
    <w:rsid w:val="000E3694"/>
    <w:rsid w:val="000E4897"/>
    <w:rsid w:val="000E490F"/>
    <w:rsid w:val="000E4AD5"/>
    <w:rsid w:val="000E6241"/>
    <w:rsid w:val="000F2BE3"/>
    <w:rsid w:val="000F3D0D"/>
    <w:rsid w:val="000F6ED4"/>
    <w:rsid w:val="000F7A6E"/>
    <w:rsid w:val="001013F5"/>
    <w:rsid w:val="001042BA"/>
    <w:rsid w:val="00106D03"/>
    <w:rsid w:val="00110465"/>
    <w:rsid w:val="00110628"/>
    <w:rsid w:val="0011245A"/>
    <w:rsid w:val="00113CCC"/>
    <w:rsid w:val="0011493E"/>
    <w:rsid w:val="00115B72"/>
    <w:rsid w:val="001209EC"/>
    <w:rsid w:val="00120A9E"/>
    <w:rsid w:val="00125A9C"/>
    <w:rsid w:val="001270A2"/>
    <w:rsid w:val="00130A00"/>
    <w:rsid w:val="00131237"/>
    <w:rsid w:val="001329AC"/>
    <w:rsid w:val="00134CA0"/>
    <w:rsid w:val="0014026F"/>
    <w:rsid w:val="001473A0"/>
    <w:rsid w:val="0014744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AAF"/>
    <w:rsid w:val="00184B91"/>
    <w:rsid w:val="00184D4A"/>
    <w:rsid w:val="00186442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5BC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4F4F"/>
    <w:rsid w:val="002114EF"/>
    <w:rsid w:val="002166AD"/>
    <w:rsid w:val="002170A7"/>
    <w:rsid w:val="00217871"/>
    <w:rsid w:val="00220623"/>
    <w:rsid w:val="00221ED8"/>
    <w:rsid w:val="002231EA"/>
    <w:rsid w:val="00223FDF"/>
    <w:rsid w:val="0022686C"/>
    <w:rsid w:val="002279C0"/>
    <w:rsid w:val="0023727E"/>
    <w:rsid w:val="00242081"/>
    <w:rsid w:val="00243777"/>
    <w:rsid w:val="002441CD"/>
    <w:rsid w:val="002501A3"/>
    <w:rsid w:val="00250C64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E87"/>
    <w:rsid w:val="002928D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5B5"/>
    <w:rsid w:val="002F669F"/>
    <w:rsid w:val="00301C97"/>
    <w:rsid w:val="003026E3"/>
    <w:rsid w:val="0031004C"/>
    <w:rsid w:val="003105F6"/>
    <w:rsid w:val="00311297"/>
    <w:rsid w:val="003113BE"/>
    <w:rsid w:val="003122CA"/>
    <w:rsid w:val="003148FD"/>
    <w:rsid w:val="00317D3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215C"/>
    <w:rsid w:val="00345B9C"/>
    <w:rsid w:val="0034606E"/>
    <w:rsid w:val="003510E4"/>
    <w:rsid w:val="00352DAE"/>
    <w:rsid w:val="00354EB9"/>
    <w:rsid w:val="003602AE"/>
    <w:rsid w:val="003604BE"/>
    <w:rsid w:val="00360929"/>
    <w:rsid w:val="003647D5"/>
    <w:rsid w:val="003674B0"/>
    <w:rsid w:val="0037727C"/>
    <w:rsid w:val="00377E70"/>
    <w:rsid w:val="003808AA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61F"/>
    <w:rsid w:val="003B4A57"/>
    <w:rsid w:val="003B517A"/>
    <w:rsid w:val="003C0AD9"/>
    <w:rsid w:val="003C0ED0"/>
    <w:rsid w:val="003C1D49"/>
    <w:rsid w:val="003C35C4"/>
    <w:rsid w:val="003D12C2"/>
    <w:rsid w:val="003D2C6E"/>
    <w:rsid w:val="003D31B9"/>
    <w:rsid w:val="003D3867"/>
    <w:rsid w:val="003E0D1A"/>
    <w:rsid w:val="003E244D"/>
    <w:rsid w:val="003E2DA3"/>
    <w:rsid w:val="003E7B21"/>
    <w:rsid w:val="003F020D"/>
    <w:rsid w:val="003F03D9"/>
    <w:rsid w:val="003F2FBE"/>
    <w:rsid w:val="003F318D"/>
    <w:rsid w:val="003F5BAE"/>
    <w:rsid w:val="003F6ED7"/>
    <w:rsid w:val="003F7E20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90C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53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DD8"/>
    <w:rsid w:val="00485FAD"/>
    <w:rsid w:val="00487AED"/>
    <w:rsid w:val="00491EDF"/>
    <w:rsid w:val="00492A3F"/>
    <w:rsid w:val="00494F62"/>
    <w:rsid w:val="004A2001"/>
    <w:rsid w:val="004A3590"/>
    <w:rsid w:val="004A5975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1C3"/>
    <w:rsid w:val="004D62E1"/>
    <w:rsid w:val="004D7FD9"/>
    <w:rsid w:val="004E1324"/>
    <w:rsid w:val="004E19A5"/>
    <w:rsid w:val="004E37E5"/>
    <w:rsid w:val="004E3FDB"/>
    <w:rsid w:val="004F1F4A"/>
    <w:rsid w:val="004F296D"/>
    <w:rsid w:val="004F316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470"/>
    <w:rsid w:val="00526DFC"/>
    <w:rsid w:val="00526F43"/>
    <w:rsid w:val="00527651"/>
    <w:rsid w:val="005363AB"/>
    <w:rsid w:val="00544EF4"/>
    <w:rsid w:val="00545E53"/>
    <w:rsid w:val="005479D9"/>
    <w:rsid w:val="005504BE"/>
    <w:rsid w:val="005572BD"/>
    <w:rsid w:val="00557A12"/>
    <w:rsid w:val="00560AC7"/>
    <w:rsid w:val="00561AFB"/>
    <w:rsid w:val="00561FA8"/>
    <w:rsid w:val="005635ED"/>
    <w:rsid w:val="00565253"/>
    <w:rsid w:val="00565E06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C0E"/>
    <w:rsid w:val="005940DE"/>
    <w:rsid w:val="00597024"/>
    <w:rsid w:val="005A0274"/>
    <w:rsid w:val="005A095C"/>
    <w:rsid w:val="005A669D"/>
    <w:rsid w:val="005A75D8"/>
    <w:rsid w:val="005B2BEA"/>
    <w:rsid w:val="005B713E"/>
    <w:rsid w:val="005C03B6"/>
    <w:rsid w:val="005C348E"/>
    <w:rsid w:val="005C5BBB"/>
    <w:rsid w:val="005C68E1"/>
    <w:rsid w:val="005D3763"/>
    <w:rsid w:val="005D55E1"/>
    <w:rsid w:val="005D6554"/>
    <w:rsid w:val="005D6F3E"/>
    <w:rsid w:val="005E19F7"/>
    <w:rsid w:val="005E42EE"/>
    <w:rsid w:val="005E4F04"/>
    <w:rsid w:val="005E62C2"/>
    <w:rsid w:val="005E6C71"/>
    <w:rsid w:val="005E768B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4C85"/>
    <w:rsid w:val="00635134"/>
    <w:rsid w:val="006356E2"/>
    <w:rsid w:val="006414F6"/>
    <w:rsid w:val="00642A65"/>
    <w:rsid w:val="00645DCE"/>
    <w:rsid w:val="006465AC"/>
    <w:rsid w:val="006465BF"/>
    <w:rsid w:val="00653B22"/>
    <w:rsid w:val="00657BF4"/>
    <w:rsid w:val="00657EEB"/>
    <w:rsid w:val="006603FB"/>
    <w:rsid w:val="006608DF"/>
    <w:rsid w:val="006623AC"/>
    <w:rsid w:val="00664E1B"/>
    <w:rsid w:val="006678AF"/>
    <w:rsid w:val="006701EF"/>
    <w:rsid w:val="0067371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4AE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4E4"/>
    <w:rsid w:val="006E1E96"/>
    <w:rsid w:val="006E5E21"/>
    <w:rsid w:val="006F2648"/>
    <w:rsid w:val="006F2F10"/>
    <w:rsid w:val="006F482B"/>
    <w:rsid w:val="006F48E1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26C"/>
    <w:rsid w:val="007151B6"/>
    <w:rsid w:val="007151FA"/>
    <w:rsid w:val="0071520D"/>
    <w:rsid w:val="00715EDB"/>
    <w:rsid w:val="007160C8"/>
    <w:rsid w:val="007160D5"/>
    <w:rsid w:val="007163E9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863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6A20"/>
    <w:rsid w:val="007575D2"/>
    <w:rsid w:val="00757B4F"/>
    <w:rsid w:val="00757B6A"/>
    <w:rsid w:val="007610E0"/>
    <w:rsid w:val="00761E0C"/>
    <w:rsid w:val="007621AA"/>
    <w:rsid w:val="0076260A"/>
    <w:rsid w:val="00764A67"/>
    <w:rsid w:val="00770C30"/>
    <w:rsid w:val="00770F6B"/>
    <w:rsid w:val="00771883"/>
    <w:rsid w:val="0077445A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35CD"/>
    <w:rsid w:val="007A5150"/>
    <w:rsid w:val="007A5373"/>
    <w:rsid w:val="007A789F"/>
    <w:rsid w:val="007B314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613"/>
    <w:rsid w:val="007E2CFE"/>
    <w:rsid w:val="007E59C9"/>
    <w:rsid w:val="007F0072"/>
    <w:rsid w:val="007F2EB6"/>
    <w:rsid w:val="007F54C3"/>
    <w:rsid w:val="00802949"/>
    <w:rsid w:val="0080301E"/>
    <w:rsid w:val="0080365F"/>
    <w:rsid w:val="00810332"/>
    <w:rsid w:val="00810BDB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350"/>
    <w:rsid w:val="008352D4"/>
    <w:rsid w:val="00836DB9"/>
    <w:rsid w:val="0083727F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8BE"/>
    <w:rsid w:val="008920FF"/>
    <w:rsid w:val="008926E8"/>
    <w:rsid w:val="008933B3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AE2"/>
    <w:rsid w:val="008B7712"/>
    <w:rsid w:val="008B7B26"/>
    <w:rsid w:val="008C3524"/>
    <w:rsid w:val="008C4061"/>
    <w:rsid w:val="008C4229"/>
    <w:rsid w:val="008C5BE0"/>
    <w:rsid w:val="008C7233"/>
    <w:rsid w:val="008C7B3A"/>
    <w:rsid w:val="008D2434"/>
    <w:rsid w:val="008E171D"/>
    <w:rsid w:val="008E2785"/>
    <w:rsid w:val="008E78A3"/>
    <w:rsid w:val="008F0343"/>
    <w:rsid w:val="008F0654"/>
    <w:rsid w:val="008F06CB"/>
    <w:rsid w:val="008F2E83"/>
    <w:rsid w:val="008F3FB6"/>
    <w:rsid w:val="008F612A"/>
    <w:rsid w:val="0090293D"/>
    <w:rsid w:val="009034DE"/>
    <w:rsid w:val="00905396"/>
    <w:rsid w:val="0090605D"/>
    <w:rsid w:val="00906419"/>
    <w:rsid w:val="00907CF2"/>
    <w:rsid w:val="009108E7"/>
    <w:rsid w:val="00912889"/>
    <w:rsid w:val="00913A42"/>
    <w:rsid w:val="00914167"/>
    <w:rsid w:val="009143DB"/>
    <w:rsid w:val="00915065"/>
    <w:rsid w:val="00917CE5"/>
    <w:rsid w:val="009217C0"/>
    <w:rsid w:val="00925241"/>
    <w:rsid w:val="0092595C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D4B"/>
    <w:rsid w:val="00956812"/>
    <w:rsid w:val="0095719A"/>
    <w:rsid w:val="009623E9"/>
    <w:rsid w:val="00963EEB"/>
    <w:rsid w:val="009648BC"/>
    <w:rsid w:val="00964C2F"/>
    <w:rsid w:val="00965F88"/>
    <w:rsid w:val="009744C3"/>
    <w:rsid w:val="0098378A"/>
    <w:rsid w:val="009840AF"/>
    <w:rsid w:val="00984E03"/>
    <w:rsid w:val="00987E85"/>
    <w:rsid w:val="00994103"/>
    <w:rsid w:val="009A0D12"/>
    <w:rsid w:val="009A1987"/>
    <w:rsid w:val="009A23C6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1AE"/>
    <w:rsid w:val="009B739C"/>
    <w:rsid w:val="009C04EC"/>
    <w:rsid w:val="009C328C"/>
    <w:rsid w:val="009C4444"/>
    <w:rsid w:val="009C69E2"/>
    <w:rsid w:val="009C79AD"/>
    <w:rsid w:val="009C7CA6"/>
    <w:rsid w:val="009D3316"/>
    <w:rsid w:val="009D55AA"/>
    <w:rsid w:val="009E3E77"/>
    <w:rsid w:val="009E3FAB"/>
    <w:rsid w:val="009E5B3F"/>
    <w:rsid w:val="009E60FC"/>
    <w:rsid w:val="009E7D90"/>
    <w:rsid w:val="009F1AB0"/>
    <w:rsid w:val="009F501D"/>
    <w:rsid w:val="009F5D67"/>
    <w:rsid w:val="009F708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403"/>
    <w:rsid w:val="00A24FCC"/>
    <w:rsid w:val="00A26A90"/>
    <w:rsid w:val="00A26B27"/>
    <w:rsid w:val="00A30E4F"/>
    <w:rsid w:val="00A32253"/>
    <w:rsid w:val="00A3310E"/>
    <w:rsid w:val="00A333A0"/>
    <w:rsid w:val="00A34A5E"/>
    <w:rsid w:val="00A37E70"/>
    <w:rsid w:val="00A437E1"/>
    <w:rsid w:val="00A463D2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E8D"/>
    <w:rsid w:val="00A71317"/>
    <w:rsid w:val="00A7436E"/>
    <w:rsid w:val="00A74E96"/>
    <w:rsid w:val="00A75A8E"/>
    <w:rsid w:val="00A82214"/>
    <w:rsid w:val="00A824DD"/>
    <w:rsid w:val="00A83676"/>
    <w:rsid w:val="00A83B7B"/>
    <w:rsid w:val="00A84274"/>
    <w:rsid w:val="00A850F3"/>
    <w:rsid w:val="00A8546F"/>
    <w:rsid w:val="00A864E3"/>
    <w:rsid w:val="00A94574"/>
    <w:rsid w:val="00A95936"/>
    <w:rsid w:val="00A96265"/>
    <w:rsid w:val="00A96881"/>
    <w:rsid w:val="00A97084"/>
    <w:rsid w:val="00AA1C2C"/>
    <w:rsid w:val="00AA35F6"/>
    <w:rsid w:val="00AA3787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65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4F1"/>
    <w:rsid w:val="00B232D1"/>
    <w:rsid w:val="00B24DB5"/>
    <w:rsid w:val="00B31F9E"/>
    <w:rsid w:val="00B3268F"/>
    <w:rsid w:val="00B32C2C"/>
    <w:rsid w:val="00B335CB"/>
    <w:rsid w:val="00B33A1A"/>
    <w:rsid w:val="00B33A1E"/>
    <w:rsid w:val="00B33E6C"/>
    <w:rsid w:val="00B371CC"/>
    <w:rsid w:val="00B41CD9"/>
    <w:rsid w:val="00B427E6"/>
    <w:rsid w:val="00B428A6"/>
    <w:rsid w:val="00B43E1F"/>
    <w:rsid w:val="00B45FBC"/>
    <w:rsid w:val="00B46B3B"/>
    <w:rsid w:val="00B51A7D"/>
    <w:rsid w:val="00B535C2"/>
    <w:rsid w:val="00B55544"/>
    <w:rsid w:val="00B61C54"/>
    <w:rsid w:val="00B642FC"/>
    <w:rsid w:val="00B64D26"/>
    <w:rsid w:val="00B64FBB"/>
    <w:rsid w:val="00B70E22"/>
    <w:rsid w:val="00B71C56"/>
    <w:rsid w:val="00B774CB"/>
    <w:rsid w:val="00B80402"/>
    <w:rsid w:val="00B80B9A"/>
    <w:rsid w:val="00B830B7"/>
    <w:rsid w:val="00B84562"/>
    <w:rsid w:val="00B848EA"/>
    <w:rsid w:val="00B84B2B"/>
    <w:rsid w:val="00B8586B"/>
    <w:rsid w:val="00B90500"/>
    <w:rsid w:val="00B9176C"/>
    <w:rsid w:val="00B92D90"/>
    <w:rsid w:val="00B935A4"/>
    <w:rsid w:val="00B94BC0"/>
    <w:rsid w:val="00B962A3"/>
    <w:rsid w:val="00B96D1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05E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6FC"/>
    <w:rsid w:val="00C1770C"/>
    <w:rsid w:val="00C2041C"/>
    <w:rsid w:val="00C23096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D18"/>
    <w:rsid w:val="00C667BE"/>
    <w:rsid w:val="00C6766B"/>
    <w:rsid w:val="00C72223"/>
    <w:rsid w:val="00C7484A"/>
    <w:rsid w:val="00C76417"/>
    <w:rsid w:val="00C7726F"/>
    <w:rsid w:val="00C816EE"/>
    <w:rsid w:val="00C823DA"/>
    <w:rsid w:val="00C8259F"/>
    <w:rsid w:val="00C82746"/>
    <w:rsid w:val="00C8312F"/>
    <w:rsid w:val="00C84C47"/>
    <w:rsid w:val="00C858A4"/>
    <w:rsid w:val="00C86AFA"/>
    <w:rsid w:val="00CA728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F3D"/>
    <w:rsid w:val="00CF09AA"/>
    <w:rsid w:val="00CF4813"/>
    <w:rsid w:val="00CF5233"/>
    <w:rsid w:val="00CF5A84"/>
    <w:rsid w:val="00D029B8"/>
    <w:rsid w:val="00D02F60"/>
    <w:rsid w:val="00D0464E"/>
    <w:rsid w:val="00D04A96"/>
    <w:rsid w:val="00D057AE"/>
    <w:rsid w:val="00D07A7B"/>
    <w:rsid w:val="00D10E06"/>
    <w:rsid w:val="00D1335A"/>
    <w:rsid w:val="00D15197"/>
    <w:rsid w:val="00D16820"/>
    <w:rsid w:val="00D169C8"/>
    <w:rsid w:val="00D1793F"/>
    <w:rsid w:val="00D22AF5"/>
    <w:rsid w:val="00D235EA"/>
    <w:rsid w:val="00D247A9"/>
    <w:rsid w:val="00D3264A"/>
    <w:rsid w:val="00D32721"/>
    <w:rsid w:val="00D328DC"/>
    <w:rsid w:val="00D33387"/>
    <w:rsid w:val="00D402FB"/>
    <w:rsid w:val="00D406F0"/>
    <w:rsid w:val="00D47D7A"/>
    <w:rsid w:val="00D50ABD"/>
    <w:rsid w:val="00D50B61"/>
    <w:rsid w:val="00D55290"/>
    <w:rsid w:val="00D57791"/>
    <w:rsid w:val="00D57D6D"/>
    <w:rsid w:val="00D6046A"/>
    <w:rsid w:val="00D619B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1CD"/>
    <w:rsid w:val="00D80E7D"/>
    <w:rsid w:val="00D81397"/>
    <w:rsid w:val="00D848B9"/>
    <w:rsid w:val="00D90E69"/>
    <w:rsid w:val="00D91368"/>
    <w:rsid w:val="00D93106"/>
    <w:rsid w:val="00D933E9"/>
    <w:rsid w:val="00D947ED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A83"/>
    <w:rsid w:val="00DB5206"/>
    <w:rsid w:val="00DB6276"/>
    <w:rsid w:val="00DB63F5"/>
    <w:rsid w:val="00DC1C6B"/>
    <w:rsid w:val="00DC289B"/>
    <w:rsid w:val="00DC2C2E"/>
    <w:rsid w:val="00DC4AF0"/>
    <w:rsid w:val="00DC551A"/>
    <w:rsid w:val="00DC7886"/>
    <w:rsid w:val="00DD0CF2"/>
    <w:rsid w:val="00DE05AB"/>
    <w:rsid w:val="00DE1554"/>
    <w:rsid w:val="00DE2901"/>
    <w:rsid w:val="00DE590F"/>
    <w:rsid w:val="00DE675C"/>
    <w:rsid w:val="00DE7DC1"/>
    <w:rsid w:val="00DF3F7E"/>
    <w:rsid w:val="00DF7648"/>
    <w:rsid w:val="00E00E29"/>
    <w:rsid w:val="00E02BAB"/>
    <w:rsid w:val="00E04CEB"/>
    <w:rsid w:val="00E060BC"/>
    <w:rsid w:val="00E06DA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05C"/>
    <w:rsid w:val="00E46308"/>
    <w:rsid w:val="00E4788A"/>
    <w:rsid w:val="00E51E17"/>
    <w:rsid w:val="00E52DAB"/>
    <w:rsid w:val="00E534AE"/>
    <w:rsid w:val="00E539B0"/>
    <w:rsid w:val="00E55557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31C"/>
    <w:rsid w:val="00E71208"/>
    <w:rsid w:val="00E71444"/>
    <w:rsid w:val="00E71C91"/>
    <w:rsid w:val="00E720A1"/>
    <w:rsid w:val="00E75DDA"/>
    <w:rsid w:val="00E773E8"/>
    <w:rsid w:val="00E80D9B"/>
    <w:rsid w:val="00E822BA"/>
    <w:rsid w:val="00E83ADD"/>
    <w:rsid w:val="00E84F38"/>
    <w:rsid w:val="00E85623"/>
    <w:rsid w:val="00E87441"/>
    <w:rsid w:val="00E91FAE"/>
    <w:rsid w:val="00E95A88"/>
    <w:rsid w:val="00E96E3F"/>
    <w:rsid w:val="00EA270C"/>
    <w:rsid w:val="00EA4974"/>
    <w:rsid w:val="00EA532E"/>
    <w:rsid w:val="00EA6359"/>
    <w:rsid w:val="00EB06D9"/>
    <w:rsid w:val="00EB192B"/>
    <w:rsid w:val="00EB19ED"/>
    <w:rsid w:val="00EB1CAB"/>
    <w:rsid w:val="00EB535F"/>
    <w:rsid w:val="00EB656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AE4"/>
    <w:rsid w:val="00F00B73"/>
    <w:rsid w:val="00F02814"/>
    <w:rsid w:val="00F115CA"/>
    <w:rsid w:val="00F14817"/>
    <w:rsid w:val="00F14EBA"/>
    <w:rsid w:val="00F1510F"/>
    <w:rsid w:val="00F1533A"/>
    <w:rsid w:val="00F15E5A"/>
    <w:rsid w:val="00F17F0A"/>
    <w:rsid w:val="00F261EB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129"/>
    <w:rsid w:val="00F546F6"/>
    <w:rsid w:val="00F55BA8"/>
    <w:rsid w:val="00F55DB1"/>
    <w:rsid w:val="00F56ACA"/>
    <w:rsid w:val="00F57C39"/>
    <w:rsid w:val="00F600FE"/>
    <w:rsid w:val="00F62E4D"/>
    <w:rsid w:val="00F66B34"/>
    <w:rsid w:val="00F675B9"/>
    <w:rsid w:val="00F711C9"/>
    <w:rsid w:val="00F74C59"/>
    <w:rsid w:val="00F75C3A"/>
    <w:rsid w:val="00F75DBE"/>
    <w:rsid w:val="00F82E30"/>
    <w:rsid w:val="00F831CB"/>
    <w:rsid w:val="00F848A3"/>
    <w:rsid w:val="00F84ACF"/>
    <w:rsid w:val="00F85742"/>
    <w:rsid w:val="00F85BF8"/>
    <w:rsid w:val="00F871CE"/>
    <w:rsid w:val="00F87802"/>
    <w:rsid w:val="00F92BF4"/>
    <w:rsid w:val="00F92C0A"/>
    <w:rsid w:val="00F9415B"/>
    <w:rsid w:val="00FA0D01"/>
    <w:rsid w:val="00FA13C2"/>
    <w:rsid w:val="00FA7F91"/>
    <w:rsid w:val="00FB121C"/>
    <w:rsid w:val="00FB1CDD"/>
    <w:rsid w:val="00FB1FBF"/>
    <w:rsid w:val="00FB22A7"/>
    <w:rsid w:val="00FB2C2F"/>
    <w:rsid w:val="00FB305C"/>
    <w:rsid w:val="00FC2E3D"/>
    <w:rsid w:val="00FC3BDE"/>
    <w:rsid w:val="00FC58F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55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32BF8"/>
  <w15:docId w15:val="{507DDB17-AEA3-4E0D-BFFA-339E58A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4BC0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94BC0"/>
    <w:pPr>
      <w:keepNext/>
      <w:widowControl/>
      <w:autoSpaceDE/>
      <w:autoSpaceDN/>
      <w:adjustRightInd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AA3787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B94BC0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B94BC0"/>
    <w:rPr>
      <w:rFonts w:ascii="Arial" w:hAnsi="Arial" w:cs="Arial"/>
      <w:b/>
      <w:bCs/>
      <w:sz w:val="26"/>
      <w:szCs w:val="26"/>
    </w:rPr>
  </w:style>
  <w:style w:type="table" w:customStyle="1" w:styleId="Tabela-Siatka2">
    <w:name w:val="Tabela - Siatka2"/>
    <w:basedOn w:val="Standardowy"/>
    <w:next w:val="Tabela-Siatka"/>
    <w:uiPriority w:val="99"/>
    <w:rsid w:val="00B94BC0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BC0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BC0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B94BC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94BC0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B94B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4BC0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94BC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94BC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94BC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B94BC0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5A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bp.pl/statystyka-i-sprawozdawczosc/kursy/archiwum-tabela-a-csv-xl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gata.swiecka@klimat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dam.zamojski@klimat.gov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cka\AppData\Local\Temp\7zOC7DD7809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52ED1-7DAE-4839-8314-678F799C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31</TotalTime>
  <Pages>6</Pages>
  <Words>2864</Words>
  <Characters>17187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MKiŚ</dc:creator>
  <cp:lastModifiedBy>Machaj Maciej</cp:lastModifiedBy>
  <cp:revision>9</cp:revision>
  <cp:lastPrinted>2012-04-23T06:39:00Z</cp:lastPrinted>
  <dcterms:created xsi:type="dcterms:W3CDTF">2024-04-09T16:05:00Z</dcterms:created>
  <dcterms:modified xsi:type="dcterms:W3CDTF">2024-04-16T11:28:00Z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