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9"/>
        <w:gridCol w:w="397"/>
        <w:gridCol w:w="463"/>
        <w:gridCol w:w="242"/>
        <w:gridCol w:w="708"/>
        <w:gridCol w:w="461"/>
        <w:gridCol w:w="247"/>
        <w:gridCol w:w="323"/>
        <w:gridCol w:w="385"/>
        <w:gridCol w:w="708"/>
        <w:gridCol w:w="176"/>
        <w:gridCol w:w="183"/>
        <w:gridCol w:w="291"/>
        <w:gridCol w:w="57"/>
        <w:gridCol w:w="81"/>
        <w:gridCol w:w="629"/>
        <w:gridCol w:w="51"/>
        <w:gridCol w:w="510"/>
        <w:gridCol w:w="115"/>
        <w:gridCol w:w="32"/>
        <w:gridCol w:w="495"/>
        <w:gridCol w:w="100"/>
        <w:gridCol w:w="113"/>
        <w:gridCol w:w="582"/>
        <w:gridCol w:w="125"/>
        <w:gridCol w:w="708"/>
        <w:gridCol w:w="865"/>
      </w:tblGrid>
      <w:tr w:rsidR="00B22E18" w:rsidRPr="00B22E18" w14:paraId="009DE540" w14:textId="77777777" w:rsidTr="00A84ADB">
        <w:trPr>
          <w:trHeight w:val="1611"/>
          <w:jc w:val="center"/>
        </w:trPr>
        <w:tc>
          <w:tcPr>
            <w:tcW w:w="3261" w:type="pct"/>
            <w:gridSpan w:val="16"/>
          </w:tcPr>
          <w:p w14:paraId="687EA294" w14:textId="77777777" w:rsidR="00B22E18" w:rsidRPr="00BF6C9E"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Nazwa projektu</w:t>
            </w:r>
          </w:p>
          <w:p w14:paraId="5D2FEA12" w14:textId="77777777" w:rsidR="00B22E18" w:rsidRPr="00BF6C9E"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Rozporządzenie Prezesa Rady Ministrów zmieniające rozporządzenie w</w:t>
            </w:r>
            <w:r w:rsidR="0062680E">
              <w:rPr>
                <w:rFonts w:ascii="Times New Roman" w:eastAsia="Times New Roman" w:hAnsi="Times New Roman" w:cs="Times New Roman"/>
                <w:lang w:eastAsia="pl-PL"/>
              </w:rPr>
              <w:t> </w:t>
            </w:r>
            <w:r w:rsidRPr="00BF6C9E">
              <w:rPr>
                <w:rFonts w:ascii="Times New Roman" w:eastAsia="Times New Roman" w:hAnsi="Times New Roman" w:cs="Times New Roman"/>
                <w:lang w:eastAsia="pl-PL"/>
              </w:rPr>
              <w:t xml:space="preserve">sprawie </w:t>
            </w:r>
            <w:r w:rsidR="00257C83">
              <w:rPr>
                <w:rFonts w:ascii="Times New Roman" w:eastAsia="Times New Roman" w:hAnsi="Times New Roman" w:cs="Times New Roman"/>
                <w:lang w:eastAsia="pl-PL"/>
              </w:rPr>
              <w:t>aplikacji legislacyjnej</w:t>
            </w:r>
          </w:p>
          <w:p w14:paraId="12339A5F" w14:textId="77777777" w:rsidR="00B22E18" w:rsidRPr="00BF6C9E"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Ministerstwo wiodące i ministerstwa współpracujące</w:t>
            </w:r>
          </w:p>
          <w:p w14:paraId="60B5DC37" w14:textId="77777777" w:rsidR="00B22E18" w:rsidRPr="00BF6C9E" w:rsidRDefault="00257C83" w:rsidP="00BF6C9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Rządowe Centrum Legislacji</w:t>
            </w:r>
          </w:p>
          <w:p w14:paraId="3BCE228A" w14:textId="77777777" w:rsidR="00B22E18"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 xml:space="preserve">Osoba odpowiedzialna za projekt w randze Ministra, Sekretarza Stanu lub Podsekretarza Stanu </w:t>
            </w:r>
          </w:p>
          <w:p w14:paraId="6E0FEBEF" w14:textId="77777777" w:rsidR="00257C83" w:rsidRPr="00257C83" w:rsidRDefault="00257C83" w:rsidP="00BF6C9E">
            <w:pPr>
              <w:widowControl w:val="0"/>
              <w:autoSpaceDE w:val="0"/>
              <w:autoSpaceDN w:val="0"/>
              <w:adjustRightInd w:val="0"/>
              <w:spacing w:before="60" w:after="60" w:line="240" w:lineRule="auto"/>
              <w:jc w:val="both"/>
              <w:rPr>
                <w:rFonts w:ascii="Times New Roman" w:eastAsia="Times New Roman" w:hAnsi="Times New Roman" w:cs="Times New Roman"/>
                <w:bCs/>
                <w:lang w:eastAsia="pl-PL"/>
              </w:rPr>
            </w:pPr>
            <w:r w:rsidRPr="00257C83">
              <w:rPr>
                <w:rFonts w:ascii="Times New Roman" w:eastAsia="Times New Roman" w:hAnsi="Times New Roman" w:cs="Times New Roman"/>
                <w:bCs/>
                <w:lang w:eastAsia="pl-PL"/>
              </w:rPr>
              <w:t>Rober</w:t>
            </w:r>
            <w:r>
              <w:rPr>
                <w:rFonts w:ascii="Times New Roman" w:eastAsia="Times New Roman" w:hAnsi="Times New Roman" w:cs="Times New Roman"/>
                <w:bCs/>
                <w:lang w:eastAsia="pl-PL"/>
              </w:rPr>
              <w:t>t</w:t>
            </w:r>
            <w:r w:rsidRPr="00257C83">
              <w:rPr>
                <w:rFonts w:ascii="Times New Roman" w:eastAsia="Times New Roman" w:hAnsi="Times New Roman" w:cs="Times New Roman"/>
                <w:bCs/>
                <w:lang w:eastAsia="pl-PL"/>
              </w:rPr>
              <w:t xml:space="preserve"> Brochocki – Wiceprezes Rządowego Centrum Legislacji</w:t>
            </w:r>
          </w:p>
          <w:p w14:paraId="73DB2DED" w14:textId="77777777" w:rsidR="00B22E18" w:rsidRPr="001D67AB"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b/>
                <w:bCs/>
                <w:lang w:eastAsia="pl-PL"/>
              </w:rPr>
            </w:pPr>
            <w:r w:rsidRPr="001D67AB">
              <w:rPr>
                <w:rFonts w:ascii="Times New Roman" w:eastAsia="Times New Roman" w:hAnsi="Times New Roman" w:cs="Times New Roman"/>
                <w:b/>
                <w:bCs/>
                <w:lang w:eastAsia="pl-PL"/>
              </w:rPr>
              <w:t>Kontakt do opiekuna merytorycznego projektu</w:t>
            </w:r>
          </w:p>
          <w:p w14:paraId="3A7DD1E9" w14:textId="77777777" w:rsidR="00B22E18" w:rsidRPr="00BF6C9E" w:rsidRDefault="00A4249F" w:rsidP="000A6F3C">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Barbara Trojanowska</w:t>
            </w:r>
            <w:r w:rsidR="00921C27" w:rsidRPr="00921C27">
              <w:rPr>
                <w:rFonts w:ascii="Times New Roman" w:eastAsia="Calibri" w:hAnsi="Times New Roman" w:cs="Times New Roman"/>
                <w:color w:val="000000"/>
                <w:spacing w:val="-2"/>
              </w:rPr>
              <w:t xml:space="preserve"> </w:t>
            </w:r>
            <w:r>
              <w:rPr>
                <w:rFonts w:ascii="Times New Roman" w:eastAsia="Calibri" w:hAnsi="Times New Roman" w:cs="Times New Roman"/>
                <w:color w:val="000000"/>
                <w:spacing w:val="-2"/>
              </w:rPr>
              <w:t>Wiced</w:t>
            </w:r>
            <w:r w:rsidR="00921C27" w:rsidRPr="00921C27">
              <w:rPr>
                <w:rFonts w:ascii="Times New Roman" w:eastAsia="Times New Roman" w:hAnsi="Times New Roman" w:cs="Times New Roman"/>
                <w:lang w:eastAsia="pl-PL"/>
              </w:rPr>
              <w:t>yrektor Departamentu Prawnego i Kształcenia w Rządowym Centrum Legislacji</w:t>
            </w:r>
            <w:r w:rsidR="00921C27">
              <w:rPr>
                <w:rFonts w:ascii="Times New Roman" w:eastAsia="Times New Roman" w:hAnsi="Times New Roman" w:cs="Times New Roman"/>
                <w:lang w:eastAsia="pl-PL"/>
              </w:rPr>
              <w:t xml:space="preserve">, </w:t>
            </w:r>
            <w:r w:rsidR="00921C27" w:rsidRPr="00921C27">
              <w:rPr>
                <w:rFonts w:ascii="Times New Roman" w:eastAsia="Times New Roman" w:hAnsi="Times New Roman" w:cs="Times New Roman"/>
                <w:lang w:eastAsia="pl-PL"/>
              </w:rPr>
              <w:t xml:space="preserve">tel. 22 694 </w:t>
            </w:r>
            <w:r>
              <w:rPr>
                <w:rFonts w:ascii="Times New Roman" w:eastAsia="Times New Roman" w:hAnsi="Times New Roman" w:cs="Times New Roman"/>
                <w:lang w:eastAsia="pl-PL"/>
              </w:rPr>
              <w:t>76</w:t>
            </w:r>
            <w:r w:rsidR="00921C27" w:rsidRPr="00921C2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40</w:t>
            </w:r>
          </w:p>
        </w:tc>
        <w:tc>
          <w:tcPr>
            <w:tcW w:w="1739" w:type="pct"/>
            <w:gridSpan w:val="11"/>
            <w:shd w:val="clear" w:color="auto" w:fill="FFFFFF"/>
          </w:tcPr>
          <w:p w14:paraId="07EAB861" w14:textId="77777777" w:rsidR="00B22E18" w:rsidRPr="00BF6C9E"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Data sporządzenia</w:t>
            </w:r>
          </w:p>
          <w:p w14:paraId="52B027D2" w14:textId="76012E65" w:rsidR="00B22E18" w:rsidRPr="00BF6C9E" w:rsidRDefault="000C50CC" w:rsidP="00BF6C9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29 </w:t>
            </w:r>
            <w:r w:rsidR="00257C83">
              <w:rPr>
                <w:rFonts w:ascii="Times New Roman" w:eastAsia="Times New Roman" w:hAnsi="Times New Roman" w:cs="Times New Roman"/>
                <w:lang w:eastAsia="pl-PL"/>
              </w:rPr>
              <w:t>kwietnia</w:t>
            </w:r>
            <w:r w:rsidR="00B22E18" w:rsidRPr="00BF6C9E">
              <w:rPr>
                <w:rFonts w:ascii="Times New Roman" w:eastAsia="Times New Roman" w:hAnsi="Times New Roman" w:cs="Times New Roman"/>
                <w:lang w:eastAsia="pl-PL"/>
              </w:rPr>
              <w:t xml:space="preserve"> 2024 r.</w:t>
            </w:r>
          </w:p>
          <w:p w14:paraId="4AF4812D" w14:textId="77777777" w:rsidR="00B22E18" w:rsidRPr="00BF6C9E"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 xml:space="preserve">Źródło: </w:t>
            </w:r>
          </w:p>
          <w:p w14:paraId="210C65AE" w14:textId="77777777" w:rsidR="00257C83" w:rsidRDefault="00257C83" w:rsidP="00BF6C9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257C83">
              <w:rPr>
                <w:rFonts w:ascii="Times New Roman" w:eastAsia="Times New Roman" w:hAnsi="Times New Roman" w:cs="Times New Roman"/>
                <w:lang w:eastAsia="pl-PL"/>
              </w:rPr>
              <w:t>art. 110 ust. 3 ustawy z dnia 21 listopada 2008 r. o służbie cywilnej (Dz. U. z 2024 r. poz. 409)</w:t>
            </w:r>
          </w:p>
          <w:p w14:paraId="73A57EE1" w14:textId="77777777" w:rsidR="00B22E18" w:rsidRPr="00BF6C9E"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BF6C9E">
              <w:rPr>
                <w:rFonts w:ascii="Times New Roman" w:eastAsia="Times New Roman" w:hAnsi="Times New Roman" w:cs="Times New Roman"/>
                <w:b/>
                <w:lang w:eastAsia="pl-PL"/>
              </w:rPr>
              <w:t>Nr w Wykazie prac legislacyjnych Prezesa Rady Ministrów</w:t>
            </w:r>
            <w:r w:rsidRPr="00BF6C9E">
              <w:rPr>
                <w:rFonts w:ascii="Times New Roman" w:eastAsia="Times New Roman" w:hAnsi="Times New Roman" w:cs="Times New Roman"/>
                <w:lang w:eastAsia="pl-PL"/>
              </w:rPr>
              <w:t xml:space="preserve">: </w:t>
            </w:r>
          </w:p>
          <w:p w14:paraId="2F016032" w14:textId="77777777" w:rsidR="00B22E18" w:rsidRPr="00BF6C9E"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p>
          <w:p w14:paraId="62D42BB7" w14:textId="77777777" w:rsidR="00B22E18" w:rsidRPr="00BF6C9E"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p>
        </w:tc>
      </w:tr>
      <w:tr w:rsidR="00B22E18" w:rsidRPr="00B22E18" w14:paraId="2802BA5E" w14:textId="77777777" w:rsidTr="00A84ADB">
        <w:trPr>
          <w:trHeight w:val="142"/>
          <w:jc w:val="center"/>
        </w:trPr>
        <w:tc>
          <w:tcPr>
            <w:tcW w:w="5000" w:type="pct"/>
            <w:gridSpan w:val="27"/>
            <w:shd w:val="clear" w:color="auto" w:fill="99CCFF"/>
          </w:tcPr>
          <w:p w14:paraId="44706C97" w14:textId="77777777" w:rsidR="00B22E18" w:rsidRPr="00BF6C9E" w:rsidRDefault="00B22E18" w:rsidP="00BF6C9E">
            <w:pPr>
              <w:keepNext/>
              <w:spacing w:before="60" w:after="60" w:line="240" w:lineRule="auto"/>
              <w:jc w:val="center"/>
              <w:rPr>
                <w:rFonts w:ascii="Times New Roman" w:eastAsia="Times New Roman" w:hAnsi="Times New Roman" w:cs="Times New Roman"/>
                <w:b/>
                <w:bCs/>
                <w:caps/>
                <w:kern w:val="24"/>
                <w:sz w:val="32"/>
                <w:szCs w:val="32"/>
                <w:lang w:eastAsia="pl-PL"/>
              </w:rPr>
            </w:pPr>
            <w:r w:rsidRPr="00BF6C9E">
              <w:rPr>
                <w:rFonts w:ascii="Times New Roman" w:eastAsia="Times New Roman" w:hAnsi="Times New Roman" w:cs="Times New Roman"/>
                <w:b/>
                <w:bCs/>
                <w:caps/>
                <w:color w:val="FFFFFF" w:themeColor="background1"/>
                <w:kern w:val="24"/>
                <w:sz w:val="32"/>
                <w:szCs w:val="32"/>
                <w:lang w:eastAsia="pl-PL"/>
              </w:rPr>
              <w:t>OCENA SKUTKÓW REGULACJI</w:t>
            </w:r>
          </w:p>
        </w:tc>
      </w:tr>
      <w:tr w:rsidR="00B22E18" w:rsidRPr="00B22E18" w14:paraId="26D7797D" w14:textId="77777777" w:rsidTr="00A84ADB">
        <w:trPr>
          <w:trHeight w:val="333"/>
          <w:jc w:val="center"/>
        </w:trPr>
        <w:tc>
          <w:tcPr>
            <w:tcW w:w="5000" w:type="pct"/>
            <w:gridSpan w:val="27"/>
            <w:shd w:val="clear" w:color="auto" w:fill="99CCFF"/>
            <w:vAlign w:val="center"/>
          </w:tcPr>
          <w:p w14:paraId="0BB48177" w14:textId="77777777" w:rsidR="00B22E18" w:rsidRPr="00BF6C9E" w:rsidRDefault="00B22E18" w:rsidP="00BF6C9E">
            <w:pPr>
              <w:tabs>
                <w:tab w:val="num" w:pos="360"/>
              </w:tabs>
              <w:spacing w:before="60" w:after="60" w:line="240" w:lineRule="auto"/>
              <w:ind w:left="318" w:hanging="284"/>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1.</w:t>
            </w:r>
            <w:r>
              <w:rPr>
                <w:rFonts w:ascii="Times New Roman" w:eastAsia="Times New Roman" w:hAnsi="Times New Roman" w:cs="Times New Roman"/>
                <w:b/>
                <w:lang w:eastAsia="pl-PL"/>
              </w:rPr>
              <w:tab/>
            </w:r>
            <w:r w:rsidRPr="00BF6C9E">
              <w:rPr>
                <w:rFonts w:ascii="Times New Roman" w:eastAsia="Calibri" w:hAnsi="Times New Roman" w:cs="Times New Roman"/>
                <w:b/>
              </w:rPr>
              <w:t>Jaki</w:t>
            </w:r>
            <w:r w:rsidRPr="00BF6C9E">
              <w:rPr>
                <w:rFonts w:ascii="Times New Roman" w:eastAsia="Times New Roman" w:hAnsi="Times New Roman" w:cs="Times New Roman"/>
                <w:b/>
                <w:lang w:eastAsia="pl-PL"/>
              </w:rPr>
              <w:t xml:space="preserve"> problem jest rozwiązywany?</w:t>
            </w:r>
          </w:p>
        </w:tc>
      </w:tr>
      <w:tr w:rsidR="00B22E18" w:rsidRPr="00B22E18" w14:paraId="7EB23C1E" w14:textId="77777777" w:rsidTr="00A84ADB">
        <w:trPr>
          <w:trHeight w:val="142"/>
          <w:jc w:val="center"/>
        </w:trPr>
        <w:tc>
          <w:tcPr>
            <w:tcW w:w="5000" w:type="pct"/>
            <w:gridSpan w:val="27"/>
            <w:shd w:val="clear" w:color="auto" w:fill="FFFFFF"/>
          </w:tcPr>
          <w:p w14:paraId="335C8049" w14:textId="77777777" w:rsidR="00B22E18" w:rsidRPr="00BF6C9E" w:rsidRDefault="00B22E18" w:rsidP="00A777E6">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 xml:space="preserve">Rozporządzenie stanowi zmianę rozporządzenia </w:t>
            </w:r>
            <w:r w:rsidR="00257C83" w:rsidRPr="00257C83">
              <w:rPr>
                <w:rFonts w:ascii="Times New Roman" w:eastAsia="Times New Roman" w:hAnsi="Times New Roman" w:cs="Times New Roman"/>
                <w:lang w:eastAsia="pl-PL"/>
              </w:rPr>
              <w:t>Prezesa Rady Ministrów</w:t>
            </w:r>
            <w:r w:rsidR="00257C83">
              <w:rPr>
                <w:rFonts w:ascii="Times New Roman" w:eastAsia="Times New Roman" w:hAnsi="Times New Roman" w:cs="Times New Roman"/>
                <w:lang w:eastAsia="pl-PL"/>
              </w:rPr>
              <w:t xml:space="preserve"> </w:t>
            </w:r>
            <w:r w:rsidR="00257C83" w:rsidRPr="00257C83">
              <w:rPr>
                <w:rFonts w:ascii="Times New Roman" w:eastAsia="Times New Roman" w:hAnsi="Times New Roman" w:cs="Times New Roman"/>
                <w:lang w:eastAsia="pl-PL"/>
              </w:rPr>
              <w:t>z dnia 28 kwietnia 2015 r. w sprawie aplikacji legislacyjnej (Dz. U. z 2021 r. poz. 1229), które reguluje szczegółowe zasady i tryb organizowania i odbywania aplikacji legislacyjnej prowadzonej przez Rządowe Centrum Legislacji.</w:t>
            </w:r>
          </w:p>
        </w:tc>
      </w:tr>
      <w:tr w:rsidR="00B22E18" w:rsidRPr="00B22E18" w14:paraId="5F1843E1" w14:textId="77777777" w:rsidTr="00A84ADB">
        <w:trPr>
          <w:trHeight w:val="142"/>
          <w:jc w:val="center"/>
        </w:trPr>
        <w:tc>
          <w:tcPr>
            <w:tcW w:w="5000" w:type="pct"/>
            <w:gridSpan w:val="27"/>
            <w:shd w:val="clear" w:color="auto" w:fill="99CCFF"/>
            <w:vAlign w:val="center"/>
          </w:tcPr>
          <w:p w14:paraId="16B955AB" w14:textId="77777777" w:rsidR="00B22E18" w:rsidRPr="00BF6C9E" w:rsidRDefault="00B22E18" w:rsidP="00BF6C9E">
            <w:pPr>
              <w:tabs>
                <w:tab w:val="num" w:pos="360"/>
              </w:tabs>
              <w:spacing w:before="60" w:after="60" w:line="240" w:lineRule="auto"/>
              <w:ind w:left="318" w:hanging="284"/>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2.</w:t>
            </w:r>
            <w:r>
              <w:rPr>
                <w:rFonts w:ascii="Times New Roman" w:eastAsia="Times New Roman" w:hAnsi="Times New Roman" w:cs="Times New Roman"/>
                <w:b/>
                <w:lang w:eastAsia="pl-PL"/>
              </w:rPr>
              <w:tab/>
            </w:r>
            <w:r w:rsidRPr="00BF6C9E">
              <w:rPr>
                <w:rFonts w:ascii="Times New Roman" w:eastAsia="Calibri" w:hAnsi="Times New Roman" w:cs="Times New Roman"/>
                <w:b/>
              </w:rPr>
              <w:t>Rekomendowane</w:t>
            </w:r>
            <w:r w:rsidRPr="00BF6C9E">
              <w:rPr>
                <w:rFonts w:ascii="Times New Roman" w:eastAsia="Times New Roman" w:hAnsi="Times New Roman" w:cs="Times New Roman"/>
                <w:b/>
                <w:lang w:eastAsia="pl-PL"/>
              </w:rPr>
              <w:t xml:space="preserve"> rozwiązanie, w tym planowane narzędzia interwencji, i oczekiwany efekt</w:t>
            </w:r>
          </w:p>
        </w:tc>
      </w:tr>
      <w:tr w:rsidR="00B22E18" w:rsidRPr="00B22E18" w14:paraId="77E0538F" w14:textId="77777777" w:rsidTr="00A84ADB">
        <w:trPr>
          <w:trHeight w:val="142"/>
          <w:jc w:val="center"/>
        </w:trPr>
        <w:tc>
          <w:tcPr>
            <w:tcW w:w="5000" w:type="pct"/>
            <w:gridSpan w:val="27"/>
            <w:shd w:val="clear" w:color="auto" w:fill="auto"/>
          </w:tcPr>
          <w:p w14:paraId="40F108DF" w14:textId="09E171EC" w:rsidR="00C9597E" w:rsidRPr="00C9597E" w:rsidRDefault="00C9597E" w:rsidP="00C9597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C9597E">
              <w:rPr>
                <w:rFonts w:ascii="Times New Roman" w:eastAsia="Times New Roman" w:hAnsi="Times New Roman" w:cs="Times New Roman"/>
                <w:lang w:eastAsia="pl-PL"/>
              </w:rPr>
              <w:t>W projekcie zdecydowano się na przywrócenie przedmiotu wykładów dotyczących wybranych problemów z zakresu prawa międzynarodowego, w tym wpływ</w:t>
            </w:r>
            <w:r w:rsidR="000A6F3C">
              <w:rPr>
                <w:rFonts w:ascii="Times New Roman" w:eastAsia="Times New Roman" w:hAnsi="Times New Roman" w:cs="Times New Roman"/>
                <w:lang w:eastAsia="pl-PL"/>
              </w:rPr>
              <w:t>u</w:t>
            </w:r>
            <w:r w:rsidRPr="00C9597E">
              <w:rPr>
                <w:rFonts w:ascii="Times New Roman" w:eastAsia="Times New Roman" w:hAnsi="Times New Roman" w:cs="Times New Roman"/>
                <w:lang w:eastAsia="pl-PL"/>
              </w:rPr>
              <w:t xml:space="preserve"> prawnomiędzynarodowych zobowiązań Rzeczypospolitej Polskiej w dziedzinie praw człowieka na proces tworzenia prawa. Ponadto projekt zakłada w § 4 w ust. 1 </w:t>
            </w:r>
            <w:r w:rsidR="00656B80" w:rsidRPr="00C9597E">
              <w:rPr>
                <w:rFonts w:ascii="Times New Roman" w:eastAsia="Times New Roman" w:hAnsi="Times New Roman" w:cs="Times New Roman"/>
                <w:lang w:eastAsia="pl-PL"/>
              </w:rPr>
              <w:t xml:space="preserve">nowelizowanego </w:t>
            </w:r>
            <w:r w:rsidRPr="00C9597E">
              <w:rPr>
                <w:rFonts w:ascii="Times New Roman" w:eastAsia="Times New Roman" w:hAnsi="Times New Roman" w:cs="Times New Roman"/>
                <w:lang w:eastAsia="pl-PL"/>
              </w:rPr>
              <w:t xml:space="preserve">rozporządzenia wprowadzenie otwartego katalogu przedmiotu wykładów. </w:t>
            </w:r>
          </w:p>
          <w:p w14:paraId="79EE2FB2" w14:textId="0EC421F5" w:rsidR="00257C83" w:rsidRPr="00257C83" w:rsidRDefault="00257C83" w:rsidP="00257C83">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257C83">
              <w:rPr>
                <w:rFonts w:ascii="Times New Roman" w:eastAsia="Times New Roman" w:hAnsi="Times New Roman" w:cs="Times New Roman"/>
                <w:lang w:eastAsia="pl-PL"/>
              </w:rPr>
              <w:t>Proponuje się również powołanie nowego organu</w:t>
            </w:r>
            <w:r w:rsidR="00483EE5">
              <w:rPr>
                <w:rFonts w:ascii="Times New Roman" w:eastAsia="Times New Roman" w:hAnsi="Times New Roman" w:cs="Times New Roman"/>
                <w:lang w:eastAsia="pl-PL"/>
              </w:rPr>
              <w:t>,</w:t>
            </w:r>
            <w:r w:rsidRPr="00257C83">
              <w:rPr>
                <w:rFonts w:ascii="Times New Roman" w:eastAsia="Times New Roman" w:hAnsi="Times New Roman" w:cs="Times New Roman"/>
                <w:lang w:eastAsia="pl-PL"/>
              </w:rPr>
              <w:t xml:space="preserve"> jakim będzie Rada Programowa. Zgodnie z § 1 pkt 2 projekt</w:t>
            </w:r>
            <w:r w:rsidR="00BB5534">
              <w:rPr>
                <w:rFonts w:ascii="Times New Roman" w:eastAsia="Times New Roman" w:hAnsi="Times New Roman" w:cs="Times New Roman"/>
                <w:lang w:eastAsia="pl-PL"/>
              </w:rPr>
              <w:t>u</w:t>
            </w:r>
            <w:r w:rsidRPr="00257C83">
              <w:rPr>
                <w:rFonts w:ascii="Times New Roman" w:eastAsia="Times New Roman" w:hAnsi="Times New Roman" w:cs="Times New Roman"/>
                <w:lang w:eastAsia="pl-PL"/>
              </w:rPr>
              <w:t xml:space="preserve"> rozporządzenia Rada Programowa będzie powoływana i odwoływana przez Prezesa Rządowego Centrum Legislacji. W ramach zadań</w:t>
            </w:r>
            <w:r w:rsidR="00483EE5">
              <w:rPr>
                <w:rFonts w:ascii="Times New Roman" w:eastAsia="Times New Roman" w:hAnsi="Times New Roman" w:cs="Times New Roman"/>
                <w:lang w:eastAsia="pl-PL"/>
              </w:rPr>
              <w:t>,</w:t>
            </w:r>
            <w:r w:rsidRPr="00257C83">
              <w:rPr>
                <w:rFonts w:ascii="Times New Roman" w:eastAsia="Times New Roman" w:hAnsi="Times New Roman" w:cs="Times New Roman"/>
                <w:lang w:eastAsia="pl-PL"/>
              </w:rPr>
              <w:t xml:space="preserve"> jakie przewidziano w projekcie rozporządzenia</w:t>
            </w:r>
            <w:r w:rsidR="00441AD5">
              <w:rPr>
                <w:rFonts w:ascii="Times New Roman" w:eastAsia="Times New Roman" w:hAnsi="Times New Roman" w:cs="Times New Roman"/>
                <w:lang w:eastAsia="pl-PL"/>
              </w:rPr>
              <w:t xml:space="preserve"> dla nowego organu, </w:t>
            </w:r>
            <w:r w:rsidRPr="00257C83">
              <w:rPr>
                <w:rFonts w:ascii="Times New Roman" w:eastAsia="Times New Roman" w:hAnsi="Times New Roman" w:cs="Times New Roman"/>
                <w:lang w:eastAsia="pl-PL"/>
              </w:rPr>
              <w:t xml:space="preserve">Rada Programowa będzie przygotowywać projekt programu aplikacji, zapewniać należyty poziom merytoryczny prowadzonych zajęć oraz </w:t>
            </w:r>
            <w:r w:rsidR="00441AD5">
              <w:rPr>
                <w:rFonts w:ascii="Times New Roman" w:eastAsia="Times New Roman" w:hAnsi="Times New Roman" w:cs="Times New Roman"/>
                <w:lang w:eastAsia="pl-PL"/>
              </w:rPr>
              <w:t>akceptować</w:t>
            </w:r>
            <w:r w:rsidRPr="00257C83">
              <w:rPr>
                <w:rFonts w:ascii="Times New Roman" w:eastAsia="Times New Roman" w:hAnsi="Times New Roman" w:cs="Times New Roman"/>
                <w:lang w:eastAsia="pl-PL"/>
              </w:rPr>
              <w:t xml:space="preserve"> listy osób prowadzących wykłady lub ćwiczenia</w:t>
            </w:r>
            <w:r w:rsidR="00656B80">
              <w:rPr>
                <w:rFonts w:ascii="Times New Roman" w:eastAsia="Times New Roman" w:hAnsi="Times New Roman" w:cs="Times New Roman"/>
                <w:lang w:eastAsia="pl-PL"/>
              </w:rPr>
              <w:t>, a także</w:t>
            </w:r>
            <w:r w:rsidR="0002533A">
              <w:rPr>
                <w:rFonts w:ascii="Times New Roman" w:eastAsia="Times New Roman" w:hAnsi="Times New Roman" w:cs="Times New Roman"/>
                <w:lang w:eastAsia="pl-PL"/>
              </w:rPr>
              <w:t xml:space="preserve"> </w:t>
            </w:r>
            <w:r w:rsidRPr="00257C83">
              <w:rPr>
                <w:rFonts w:ascii="Times New Roman" w:eastAsia="Times New Roman" w:hAnsi="Times New Roman" w:cs="Times New Roman"/>
                <w:lang w:eastAsia="pl-PL"/>
              </w:rPr>
              <w:t>listy patronów.</w:t>
            </w:r>
          </w:p>
          <w:p w14:paraId="12756CAD" w14:textId="65EC9222" w:rsidR="0002533A" w:rsidRPr="0002533A" w:rsidRDefault="0002533A" w:rsidP="0002533A">
            <w:pPr>
              <w:widowControl w:val="0"/>
              <w:autoSpaceDE w:val="0"/>
              <w:autoSpaceDN w:val="0"/>
              <w:adjustRightInd w:val="0"/>
              <w:spacing w:before="60" w:after="60" w:line="240" w:lineRule="auto"/>
              <w:jc w:val="both"/>
              <w:rPr>
                <w:rFonts w:ascii="Times New Roman" w:hAnsi="Times New Roman"/>
              </w:rPr>
            </w:pPr>
            <w:r w:rsidRPr="0002533A">
              <w:rPr>
                <w:rFonts w:ascii="Times New Roman" w:hAnsi="Times New Roman"/>
              </w:rPr>
              <w:t>W celu zoptymalizowania rozwiązań organizacyjnych związanych z prowadzeniem aplikacji legislacyjnej wprowadza się zmianę w zakresie limitu aplikantów</w:t>
            </w:r>
            <w:r w:rsidR="00483EE5">
              <w:rPr>
                <w:rFonts w:ascii="Times New Roman" w:hAnsi="Times New Roman"/>
              </w:rPr>
              <w:t>,</w:t>
            </w:r>
            <w:r w:rsidRPr="0002533A">
              <w:rPr>
                <w:rFonts w:ascii="Times New Roman" w:hAnsi="Times New Roman"/>
              </w:rPr>
              <w:t xml:space="preserve"> nad którymi opiekę sprawuje patron. Projektowana regulacja zakłada, że patron będzie mógł sprawować opiekę nad nie więcej niż dwoma aplikantami (§ 10 ust. 2). Ponadto proponuje się zmiany dotyczące składu komisji egzaminacyjnej. Projekt zakłada zmniejszenie liczby powoływanych członków komisji egzaminacyjnej z 6 członków do 4 członków (§ 13 ust. 2 pkt 2). W konsekwencji wprowadzenia ww. zmian w § 17 nowelizowanego rozporządzenia przewidziano zmianę ust. 3 i </w:t>
            </w:r>
            <w:r w:rsidR="00483EE5">
              <w:rPr>
                <w:rFonts w:ascii="Times New Roman" w:hAnsi="Times New Roman"/>
              </w:rPr>
              <w:t>6</w:t>
            </w:r>
            <w:r w:rsidRPr="0002533A">
              <w:rPr>
                <w:rFonts w:ascii="Times New Roman" w:hAnsi="Times New Roman"/>
              </w:rPr>
              <w:t xml:space="preserve"> polegającą na zmniejszeniu obligatoryjnej liczby członków komisji obecnych na egzaminie do co najmniej trzech członków. </w:t>
            </w:r>
          </w:p>
          <w:p w14:paraId="000C6DE3" w14:textId="7B80965A" w:rsidR="00B22E18" w:rsidRPr="00BF6C9E" w:rsidRDefault="00EA3010" w:rsidP="000A6F3C">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257C83" w:rsidRPr="00257C83">
              <w:rPr>
                <w:rFonts w:ascii="Times New Roman" w:eastAsia="Times New Roman" w:hAnsi="Times New Roman" w:cs="Times New Roman"/>
                <w:lang w:eastAsia="pl-PL"/>
              </w:rPr>
              <w:t xml:space="preserve"> projekcie przewidziano zmniejszenie opłaty za uczestnictwo w aplikacji legislacyjnej. Na podstawie obecnie obowiązującego rozporządzenia </w:t>
            </w:r>
            <w:r>
              <w:rPr>
                <w:rFonts w:ascii="Times New Roman" w:eastAsia="Times New Roman" w:hAnsi="Times New Roman" w:cs="Times New Roman"/>
                <w:lang w:eastAsia="pl-PL"/>
              </w:rPr>
              <w:t>o</w:t>
            </w:r>
            <w:r w:rsidR="00257C83" w:rsidRPr="00257C83">
              <w:rPr>
                <w:rFonts w:ascii="Times New Roman" w:eastAsia="Times New Roman" w:hAnsi="Times New Roman" w:cs="Times New Roman"/>
                <w:lang w:eastAsia="pl-PL"/>
              </w:rPr>
              <w:t xml:space="preserve">płata za uczestnictwo w aplikacji wynosi 5-krotność przeciętnego wynagrodzenia </w:t>
            </w:r>
            <w:r w:rsidR="00257C83" w:rsidRPr="00EA3010">
              <w:rPr>
                <w:rFonts w:ascii="Times New Roman" w:eastAsia="Times New Roman" w:hAnsi="Times New Roman" w:cs="Times New Roman"/>
                <w:lang w:eastAsia="pl-PL"/>
              </w:rPr>
              <w:t>w</w:t>
            </w:r>
            <w:r w:rsidR="0076794D">
              <w:rPr>
                <w:rFonts w:ascii="Times New Roman" w:eastAsia="Times New Roman" w:hAnsi="Times New Roman" w:cs="Times New Roman"/>
                <w:lang w:eastAsia="pl-PL"/>
              </w:rPr>
              <w:t> </w:t>
            </w:r>
            <w:r w:rsidR="00257C83" w:rsidRPr="00257C83">
              <w:rPr>
                <w:rFonts w:ascii="Times New Roman" w:eastAsia="Times New Roman" w:hAnsi="Times New Roman" w:cs="Times New Roman"/>
                <w:lang w:eastAsia="pl-PL"/>
              </w:rPr>
              <w:t>gospodarce narodowej ogłaszanego przez Prezesa Głównego Urzędu Statystycznego</w:t>
            </w:r>
            <w:r>
              <w:rPr>
                <w:rFonts w:ascii="Times New Roman" w:eastAsia="Times New Roman" w:hAnsi="Times New Roman" w:cs="Times New Roman"/>
                <w:lang w:eastAsia="pl-PL"/>
              </w:rPr>
              <w:t>. Natomiast zgodnie z</w:t>
            </w:r>
            <w:r w:rsidR="0076794D">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zaproponowaną regulacją </w:t>
            </w:r>
            <w:r w:rsidR="00257C83" w:rsidRPr="00257C83">
              <w:rPr>
                <w:rFonts w:ascii="Times New Roman" w:eastAsia="Times New Roman" w:hAnsi="Times New Roman" w:cs="Times New Roman"/>
                <w:bCs/>
                <w:lang w:eastAsia="pl-PL"/>
              </w:rPr>
              <w:t>przewiduje</w:t>
            </w:r>
            <w:r>
              <w:rPr>
                <w:rFonts w:ascii="Times New Roman" w:eastAsia="Times New Roman" w:hAnsi="Times New Roman" w:cs="Times New Roman"/>
                <w:bCs/>
                <w:lang w:eastAsia="pl-PL"/>
              </w:rPr>
              <w:t xml:space="preserve"> się</w:t>
            </w:r>
            <w:r w:rsidR="00257C83" w:rsidRPr="00257C83">
              <w:rPr>
                <w:rFonts w:ascii="Times New Roman" w:eastAsia="Times New Roman" w:hAnsi="Times New Roman" w:cs="Times New Roman"/>
                <w:bCs/>
                <w:lang w:eastAsia="pl-PL"/>
              </w:rPr>
              <w:t xml:space="preserve"> obniżenie wysokości opłaty za uczestnictwo w aplikacji do</w:t>
            </w:r>
            <w:r w:rsidR="00257C83" w:rsidRPr="00257C83">
              <w:rPr>
                <w:rFonts w:ascii="Times New Roman" w:eastAsia="Times New Roman" w:hAnsi="Times New Roman" w:cs="Times New Roman"/>
                <w:b/>
                <w:bCs/>
                <w:lang w:eastAsia="pl-PL"/>
              </w:rPr>
              <w:t xml:space="preserve"> </w:t>
            </w:r>
            <w:r w:rsidR="00257C83" w:rsidRPr="00257C83">
              <w:rPr>
                <w:rFonts w:ascii="Times New Roman" w:eastAsia="Times New Roman" w:hAnsi="Times New Roman" w:cs="Times New Roman"/>
                <w:bCs/>
                <w:lang w:eastAsia="pl-PL"/>
              </w:rPr>
              <w:t xml:space="preserve">wysokości </w:t>
            </w:r>
            <w:r w:rsidR="0076794D">
              <w:rPr>
                <w:rFonts w:ascii="Times New Roman" w:eastAsia="Times New Roman" w:hAnsi="Times New Roman" w:cs="Times New Roman"/>
                <w:bCs/>
                <w:lang w:eastAsia="pl-PL"/>
              </w:rPr>
              <w:br/>
            </w:r>
            <w:r w:rsidR="00257C83" w:rsidRPr="00257C83">
              <w:rPr>
                <w:rFonts w:ascii="Times New Roman" w:eastAsia="Times New Roman" w:hAnsi="Times New Roman" w:cs="Times New Roman"/>
                <w:bCs/>
                <w:lang w:eastAsia="pl-PL"/>
              </w:rPr>
              <w:t xml:space="preserve">4-krotności przeciętnego wynagrodzenia. </w:t>
            </w:r>
          </w:p>
        </w:tc>
      </w:tr>
      <w:tr w:rsidR="00B22E18" w:rsidRPr="00B22E18" w14:paraId="3D258EFB" w14:textId="77777777" w:rsidTr="00A84ADB">
        <w:trPr>
          <w:trHeight w:val="307"/>
          <w:jc w:val="center"/>
        </w:trPr>
        <w:tc>
          <w:tcPr>
            <w:tcW w:w="5000" w:type="pct"/>
            <w:gridSpan w:val="27"/>
            <w:shd w:val="clear" w:color="auto" w:fill="99CCFF"/>
            <w:vAlign w:val="center"/>
          </w:tcPr>
          <w:p w14:paraId="73F29AB2" w14:textId="77777777" w:rsidR="00B22E18" w:rsidRPr="00BF6C9E" w:rsidRDefault="00B22E18" w:rsidP="00BF6C9E">
            <w:pPr>
              <w:tabs>
                <w:tab w:val="num" w:pos="360"/>
              </w:tabs>
              <w:spacing w:before="60" w:after="60" w:line="240" w:lineRule="auto"/>
              <w:ind w:left="318" w:hanging="284"/>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3.</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 xml:space="preserve">Jak problem został rozwiązany w innych krajach, w szczególności krajach członkowskich OECD/UE? </w:t>
            </w:r>
          </w:p>
        </w:tc>
      </w:tr>
      <w:tr w:rsidR="00B22E18" w:rsidRPr="00B22E18" w14:paraId="29FD5E3B" w14:textId="77777777" w:rsidTr="00A84ADB">
        <w:trPr>
          <w:trHeight w:val="142"/>
          <w:jc w:val="center"/>
        </w:trPr>
        <w:tc>
          <w:tcPr>
            <w:tcW w:w="5000" w:type="pct"/>
            <w:gridSpan w:val="27"/>
            <w:shd w:val="clear" w:color="auto" w:fill="auto"/>
          </w:tcPr>
          <w:p w14:paraId="64EB17CF" w14:textId="77777777" w:rsidR="00B22E18" w:rsidRPr="00BF6C9E" w:rsidRDefault="00B22E18" w:rsidP="00BF6C9E">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Nie dotyczy.</w:t>
            </w:r>
          </w:p>
        </w:tc>
      </w:tr>
      <w:tr w:rsidR="00B22E18" w:rsidRPr="00B22E18" w14:paraId="4FD049EA" w14:textId="77777777" w:rsidTr="00A84ADB">
        <w:trPr>
          <w:trHeight w:val="359"/>
          <w:jc w:val="center"/>
        </w:trPr>
        <w:tc>
          <w:tcPr>
            <w:tcW w:w="5000" w:type="pct"/>
            <w:gridSpan w:val="27"/>
            <w:shd w:val="clear" w:color="auto" w:fill="99CCFF"/>
            <w:vAlign w:val="center"/>
          </w:tcPr>
          <w:p w14:paraId="7814C4D6" w14:textId="77777777" w:rsidR="00B22E18" w:rsidRPr="00BF6C9E" w:rsidRDefault="00B22E18" w:rsidP="00BF6C9E">
            <w:pPr>
              <w:tabs>
                <w:tab w:val="num" w:pos="360"/>
              </w:tabs>
              <w:spacing w:before="60" w:after="60" w:line="240" w:lineRule="auto"/>
              <w:ind w:left="318" w:hanging="284"/>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4.</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Podmioty, na które oddziałuje projekt</w:t>
            </w:r>
          </w:p>
        </w:tc>
      </w:tr>
      <w:tr w:rsidR="00B22E18" w:rsidRPr="00B22E18" w14:paraId="2E325F17" w14:textId="77777777" w:rsidTr="00A84ADB">
        <w:trPr>
          <w:trHeight w:val="142"/>
          <w:jc w:val="center"/>
        </w:trPr>
        <w:tc>
          <w:tcPr>
            <w:tcW w:w="1148" w:type="pct"/>
            <w:gridSpan w:val="3"/>
            <w:shd w:val="clear" w:color="auto" w:fill="auto"/>
          </w:tcPr>
          <w:p w14:paraId="04B07FBC"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Grupa</w:t>
            </w:r>
          </w:p>
        </w:tc>
        <w:tc>
          <w:tcPr>
            <w:tcW w:w="1752" w:type="pct"/>
            <w:gridSpan w:val="10"/>
            <w:shd w:val="clear" w:color="auto" w:fill="auto"/>
          </w:tcPr>
          <w:p w14:paraId="02210E17"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Wielkość</w:t>
            </w:r>
          </w:p>
        </w:tc>
        <w:tc>
          <w:tcPr>
            <w:tcW w:w="927" w:type="pct"/>
            <w:gridSpan w:val="8"/>
            <w:shd w:val="clear" w:color="auto" w:fill="auto"/>
          </w:tcPr>
          <w:p w14:paraId="49264413"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Źródło danych</w:t>
            </w:r>
          </w:p>
        </w:tc>
        <w:tc>
          <w:tcPr>
            <w:tcW w:w="1173" w:type="pct"/>
            <w:gridSpan w:val="6"/>
            <w:shd w:val="clear" w:color="auto" w:fill="auto"/>
          </w:tcPr>
          <w:p w14:paraId="5C0E5DD3"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Oddziaływanie</w:t>
            </w:r>
          </w:p>
        </w:tc>
      </w:tr>
      <w:tr w:rsidR="00B22E18" w:rsidRPr="00B22E18" w14:paraId="41685AD9" w14:textId="77777777" w:rsidTr="00A84ADB">
        <w:trPr>
          <w:trHeight w:val="142"/>
          <w:jc w:val="center"/>
        </w:trPr>
        <w:tc>
          <w:tcPr>
            <w:tcW w:w="1148" w:type="pct"/>
            <w:gridSpan w:val="3"/>
            <w:shd w:val="clear" w:color="auto" w:fill="auto"/>
            <w:vAlign w:val="center"/>
          </w:tcPr>
          <w:p w14:paraId="5D76BD5C" w14:textId="77777777" w:rsidR="00B22E18" w:rsidRPr="00BF6C9E" w:rsidRDefault="00257C83" w:rsidP="009E4005">
            <w:pPr>
              <w:widowControl w:val="0"/>
              <w:autoSpaceDE w:val="0"/>
              <w:autoSpaceDN w:val="0"/>
              <w:adjustRightInd w:val="0"/>
              <w:spacing w:before="60" w:after="6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Przyszli uczestnicy aplikacji legislacyjnej</w:t>
            </w:r>
          </w:p>
        </w:tc>
        <w:tc>
          <w:tcPr>
            <w:tcW w:w="1752" w:type="pct"/>
            <w:gridSpan w:val="10"/>
            <w:shd w:val="clear" w:color="auto" w:fill="auto"/>
            <w:vAlign w:val="center"/>
          </w:tcPr>
          <w:p w14:paraId="2F4B619E" w14:textId="77777777" w:rsidR="00B22E18" w:rsidRPr="00BF6C9E" w:rsidRDefault="00257C83"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p>
        </w:tc>
        <w:tc>
          <w:tcPr>
            <w:tcW w:w="927" w:type="pct"/>
            <w:gridSpan w:val="8"/>
            <w:shd w:val="clear" w:color="auto" w:fill="auto"/>
            <w:vAlign w:val="center"/>
          </w:tcPr>
          <w:p w14:paraId="79ECB327" w14:textId="77777777" w:rsidR="00B22E18" w:rsidRPr="00BF6C9E" w:rsidRDefault="00E532F6" w:rsidP="00BF6C9E">
            <w:pPr>
              <w:widowControl w:val="0"/>
              <w:autoSpaceDE w:val="0"/>
              <w:autoSpaceDN w:val="0"/>
              <w:adjustRightInd w:val="0"/>
              <w:spacing w:before="60" w:after="6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Własne</w:t>
            </w:r>
          </w:p>
        </w:tc>
        <w:tc>
          <w:tcPr>
            <w:tcW w:w="1173" w:type="pct"/>
            <w:gridSpan w:val="6"/>
            <w:shd w:val="clear" w:color="auto" w:fill="auto"/>
            <w:vAlign w:val="center"/>
          </w:tcPr>
          <w:p w14:paraId="08A1C752" w14:textId="77777777" w:rsidR="00B22E18" w:rsidRPr="00BF6C9E" w:rsidRDefault="00257C83" w:rsidP="00BF6C9E">
            <w:pPr>
              <w:widowControl w:val="0"/>
              <w:autoSpaceDE w:val="0"/>
              <w:autoSpaceDN w:val="0"/>
              <w:adjustRightInd w:val="0"/>
              <w:spacing w:before="60" w:after="6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Bezpośrednie</w:t>
            </w:r>
          </w:p>
        </w:tc>
      </w:tr>
      <w:tr w:rsidR="00257C83" w:rsidRPr="00B22E18" w14:paraId="05419CC2" w14:textId="77777777" w:rsidTr="00A84ADB">
        <w:trPr>
          <w:trHeight w:val="142"/>
          <w:jc w:val="center"/>
        </w:trPr>
        <w:tc>
          <w:tcPr>
            <w:tcW w:w="1148" w:type="pct"/>
            <w:gridSpan w:val="3"/>
            <w:shd w:val="clear" w:color="auto" w:fill="auto"/>
            <w:vAlign w:val="center"/>
          </w:tcPr>
          <w:p w14:paraId="5B720A4D" w14:textId="77777777" w:rsidR="00257C83" w:rsidRDefault="00257C83" w:rsidP="009E4005">
            <w:pPr>
              <w:widowControl w:val="0"/>
              <w:autoSpaceDE w:val="0"/>
              <w:autoSpaceDN w:val="0"/>
              <w:adjustRightInd w:val="0"/>
              <w:spacing w:before="60" w:after="6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Rządowe Centrum Legislacji</w:t>
            </w:r>
          </w:p>
        </w:tc>
        <w:tc>
          <w:tcPr>
            <w:tcW w:w="1752" w:type="pct"/>
            <w:gridSpan w:val="10"/>
            <w:shd w:val="clear" w:color="auto" w:fill="auto"/>
            <w:vAlign w:val="center"/>
          </w:tcPr>
          <w:p w14:paraId="41021326" w14:textId="77777777" w:rsidR="00257C83" w:rsidRPr="00BF6C9E" w:rsidRDefault="00257C83"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p>
        </w:tc>
        <w:tc>
          <w:tcPr>
            <w:tcW w:w="927" w:type="pct"/>
            <w:gridSpan w:val="8"/>
            <w:shd w:val="clear" w:color="auto" w:fill="auto"/>
            <w:vAlign w:val="center"/>
          </w:tcPr>
          <w:p w14:paraId="07A57738" w14:textId="77777777" w:rsidR="00257C83" w:rsidRDefault="00257C83" w:rsidP="00BF6C9E">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257C83">
              <w:rPr>
                <w:rFonts w:ascii="Times New Roman" w:eastAsia="Times New Roman" w:hAnsi="Times New Roman" w:cs="Times New Roman"/>
                <w:lang w:eastAsia="pl-PL"/>
              </w:rPr>
              <w:t>Własne</w:t>
            </w:r>
          </w:p>
        </w:tc>
        <w:tc>
          <w:tcPr>
            <w:tcW w:w="1173" w:type="pct"/>
            <w:gridSpan w:val="6"/>
            <w:shd w:val="clear" w:color="auto" w:fill="auto"/>
            <w:vAlign w:val="center"/>
          </w:tcPr>
          <w:p w14:paraId="71DB4DB9" w14:textId="77777777" w:rsidR="00257C83" w:rsidRDefault="00257C83" w:rsidP="00BF6C9E">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257C83">
              <w:rPr>
                <w:rFonts w:ascii="Times New Roman" w:eastAsia="Times New Roman" w:hAnsi="Times New Roman" w:cs="Times New Roman"/>
                <w:lang w:eastAsia="pl-PL"/>
              </w:rPr>
              <w:t>Bezpośrednie</w:t>
            </w:r>
          </w:p>
        </w:tc>
      </w:tr>
      <w:tr w:rsidR="00B22E18" w:rsidRPr="00B22E18" w14:paraId="23005BA8" w14:textId="77777777" w:rsidTr="00A84ADB">
        <w:trPr>
          <w:trHeight w:val="302"/>
          <w:jc w:val="center"/>
        </w:trPr>
        <w:tc>
          <w:tcPr>
            <w:tcW w:w="5000" w:type="pct"/>
            <w:gridSpan w:val="27"/>
            <w:shd w:val="clear" w:color="auto" w:fill="99CCFF"/>
            <w:vAlign w:val="center"/>
          </w:tcPr>
          <w:p w14:paraId="41277D57" w14:textId="77777777" w:rsidR="00B22E18" w:rsidRPr="00BF6C9E" w:rsidRDefault="00B22E18" w:rsidP="00BF6C9E">
            <w:pPr>
              <w:tabs>
                <w:tab w:val="num" w:pos="360"/>
              </w:tabs>
              <w:spacing w:before="60" w:after="60" w:line="240" w:lineRule="auto"/>
              <w:ind w:left="318" w:hanging="284"/>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5.</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Informacje na temat zakresu, czasu trwania i podsumowanie wyników konsultacji</w:t>
            </w:r>
          </w:p>
        </w:tc>
      </w:tr>
      <w:tr w:rsidR="00B22E18" w:rsidRPr="00B22E18" w14:paraId="386162FD" w14:textId="77777777" w:rsidTr="00A84ADB">
        <w:trPr>
          <w:trHeight w:val="342"/>
          <w:jc w:val="center"/>
        </w:trPr>
        <w:tc>
          <w:tcPr>
            <w:tcW w:w="5000" w:type="pct"/>
            <w:gridSpan w:val="27"/>
            <w:shd w:val="clear" w:color="auto" w:fill="FFFFFF"/>
          </w:tcPr>
          <w:p w14:paraId="5FC908D5" w14:textId="77777777" w:rsidR="0075121A"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Ze względu na zakres regulacji rozporządzenia projekt nie został przekazany instytucjom i organizac</w:t>
            </w:r>
            <w:r w:rsidR="00D75367">
              <w:rPr>
                <w:rFonts w:ascii="Times New Roman" w:eastAsia="Times New Roman" w:hAnsi="Times New Roman" w:cs="Times New Roman"/>
                <w:lang w:eastAsia="pl-PL"/>
              </w:rPr>
              <w:t>jom do konsultacji publicznych</w:t>
            </w:r>
            <w:r w:rsidRPr="00BF6C9E">
              <w:rPr>
                <w:rFonts w:ascii="Times New Roman" w:eastAsia="Times New Roman" w:hAnsi="Times New Roman" w:cs="Times New Roman"/>
                <w:lang w:eastAsia="pl-PL"/>
              </w:rPr>
              <w:t xml:space="preserve">. </w:t>
            </w:r>
          </w:p>
          <w:p w14:paraId="3E64B430" w14:textId="77777777" w:rsidR="00B22E18" w:rsidRPr="00BF6C9E" w:rsidRDefault="00B22E18" w:rsidP="00BF6C9E">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Projekt rozporządzenia zgodnie z art. 5 ustawy z dnia 7 lipca 2005 r. o działalności lobbingowej w procesie stanowienia prawa (Dz. U. z 2017 r. poz. 248) zosta</w:t>
            </w:r>
            <w:r w:rsidR="00B84E8D">
              <w:rPr>
                <w:rFonts w:ascii="Times New Roman" w:eastAsia="Times New Roman" w:hAnsi="Times New Roman" w:cs="Times New Roman"/>
                <w:lang w:eastAsia="pl-PL"/>
              </w:rPr>
              <w:t>nie</w:t>
            </w:r>
            <w:r w:rsidR="00E532F6">
              <w:rPr>
                <w:rFonts w:ascii="Times New Roman" w:eastAsia="Times New Roman" w:hAnsi="Times New Roman" w:cs="Times New Roman"/>
                <w:lang w:eastAsia="pl-PL"/>
              </w:rPr>
              <w:t xml:space="preserve"> </w:t>
            </w:r>
            <w:r w:rsidRPr="00BF6C9E">
              <w:rPr>
                <w:rFonts w:ascii="Times New Roman" w:eastAsia="Times New Roman" w:hAnsi="Times New Roman" w:cs="Times New Roman"/>
                <w:lang w:eastAsia="pl-PL"/>
              </w:rPr>
              <w:t xml:space="preserve">udostępniony w Biuletynie Informacji Publicznej na stronie podmiotowej </w:t>
            </w:r>
            <w:r w:rsidRPr="00BF6C9E">
              <w:rPr>
                <w:rFonts w:ascii="Times New Roman" w:eastAsia="Times New Roman" w:hAnsi="Times New Roman" w:cs="Times New Roman"/>
                <w:lang w:eastAsia="pl-PL"/>
              </w:rPr>
              <w:lastRenderedPageBreak/>
              <w:t>Rządowego Centrum Legislacji w serwisie Rządowy Proces Legislacyjny.</w:t>
            </w:r>
            <w:r w:rsidR="002652E5">
              <w:rPr>
                <w:rFonts w:ascii="Times New Roman" w:eastAsia="Times New Roman" w:hAnsi="Times New Roman" w:cs="Times New Roman"/>
                <w:lang w:eastAsia="pl-PL"/>
              </w:rPr>
              <w:t xml:space="preserve"> </w:t>
            </w:r>
          </w:p>
        </w:tc>
      </w:tr>
      <w:tr w:rsidR="00B22E18" w:rsidRPr="00B22E18" w14:paraId="4D59808D" w14:textId="77777777" w:rsidTr="00A84ADB">
        <w:trPr>
          <w:trHeight w:val="363"/>
          <w:jc w:val="center"/>
        </w:trPr>
        <w:tc>
          <w:tcPr>
            <w:tcW w:w="5000" w:type="pct"/>
            <w:gridSpan w:val="27"/>
            <w:shd w:val="clear" w:color="auto" w:fill="99CCFF"/>
            <w:vAlign w:val="center"/>
          </w:tcPr>
          <w:p w14:paraId="0B1F5DAE" w14:textId="77777777" w:rsidR="00B22E18" w:rsidRPr="00BF6C9E" w:rsidRDefault="00B22E18" w:rsidP="00BF6C9E">
            <w:pPr>
              <w:tabs>
                <w:tab w:val="num" w:pos="360"/>
              </w:tabs>
              <w:spacing w:before="60" w:after="60" w:line="240" w:lineRule="auto"/>
              <w:ind w:left="318" w:hanging="284"/>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lastRenderedPageBreak/>
              <w:t>6.</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 xml:space="preserve"> Wpływ na sektor finansów publicznych</w:t>
            </w:r>
          </w:p>
        </w:tc>
      </w:tr>
      <w:tr w:rsidR="00B22E18" w:rsidRPr="00B22E18" w14:paraId="65074127" w14:textId="77777777" w:rsidTr="00A84ADB">
        <w:trPr>
          <w:trHeight w:val="142"/>
          <w:jc w:val="center"/>
        </w:trPr>
        <w:tc>
          <w:tcPr>
            <w:tcW w:w="930" w:type="pct"/>
            <w:gridSpan w:val="2"/>
            <w:vMerge w:val="restart"/>
            <w:shd w:val="clear" w:color="auto" w:fill="FFFFFF"/>
          </w:tcPr>
          <w:p w14:paraId="7DA57EBB" w14:textId="77777777" w:rsidR="00B22E18" w:rsidRPr="00BF6C9E" w:rsidRDefault="00B22E18" w:rsidP="00BF6C9E">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 xml:space="preserve">(ceny stałe z </w:t>
            </w:r>
            <w:r w:rsidR="001D41B7" w:rsidRPr="001C2F10">
              <w:rPr>
                <w:rFonts w:ascii="Times New Roman" w:eastAsia="Times New Roman" w:hAnsi="Times New Roman" w:cs="Times New Roman"/>
                <w:b/>
                <w:bCs/>
                <w:lang w:eastAsia="pl-PL"/>
              </w:rPr>
              <w:t xml:space="preserve">2023  </w:t>
            </w:r>
            <w:r w:rsidRPr="001C2F10">
              <w:rPr>
                <w:rFonts w:ascii="Times New Roman" w:eastAsia="Times New Roman" w:hAnsi="Times New Roman" w:cs="Times New Roman"/>
                <w:b/>
                <w:bCs/>
                <w:lang w:eastAsia="pl-PL"/>
              </w:rPr>
              <w:t>r.</w:t>
            </w:r>
            <w:r w:rsidRPr="00BF6C9E">
              <w:rPr>
                <w:rFonts w:ascii="Times New Roman" w:eastAsia="Times New Roman" w:hAnsi="Times New Roman" w:cs="Times New Roman"/>
                <w:lang w:eastAsia="pl-PL"/>
              </w:rPr>
              <w:t>)</w:t>
            </w:r>
          </w:p>
        </w:tc>
        <w:tc>
          <w:tcPr>
            <w:tcW w:w="4070" w:type="pct"/>
            <w:gridSpan w:val="25"/>
            <w:shd w:val="clear" w:color="auto" w:fill="FFFFFF"/>
          </w:tcPr>
          <w:p w14:paraId="50FBC026"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Skutki w okresie 10 lat od wejścia w życie zmian [mln zł]</w:t>
            </w:r>
          </w:p>
        </w:tc>
      </w:tr>
      <w:tr w:rsidR="00A84ADB" w:rsidRPr="00B22E18" w14:paraId="58C9A1AA" w14:textId="77777777" w:rsidTr="00DD2AAE">
        <w:trPr>
          <w:trHeight w:val="142"/>
          <w:jc w:val="center"/>
        </w:trPr>
        <w:tc>
          <w:tcPr>
            <w:tcW w:w="930" w:type="pct"/>
            <w:gridSpan w:val="2"/>
            <w:vMerge/>
            <w:shd w:val="clear" w:color="auto" w:fill="FFFFFF"/>
          </w:tcPr>
          <w:p w14:paraId="625B5CB8" w14:textId="77777777" w:rsidR="00B22E18" w:rsidRPr="00BF6C9E" w:rsidRDefault="00B22E18" w:rsidP="00BF6C9E">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2" w:type="pct"/>
            <w:gridSpan w:val="2"/>
            <w:shd w:val="clear" w:color="auto" w:fill="FFFFFF"/>
            <w:vAlign w:val="center"/>
          </w:tcPr>
          <w:p w14:paraId="6600D9BB"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0</w:t>
            </w:r>
          </w:p>
        </w:tc>
        <w:tc>
          <w:tcPr>
            <w:tcW w:w="333" w:type="pct"/>
            <w:shd w:val="clear" w:color="auto" w:fill="FFFFFF"/>
            <w:vAlign w:val="center"/>
          </w:tcPr>
          <w:p w14:paraId="49ADC16F"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1</w:t>
            </w:r>
          </w:p>
        </w:tc>
        <w:tc>
          <w:tcPr>
            <w:tcW w:w="333" w:type="pct"/>
            <w:gridSpan w:val="2"/>
            <w:shd w:val="clear" w:color="auto" w:fill="FFFFFF"/>
            <w:vAlign w:val="center"/>
          </w:tcPr>
          <w:p w14:paraId="29E2ABBF"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2</w:t>
            </w:r>
          </w:p>
        </w:tc>
        <w:tc>
          <w:tcPr>
            <w:tcW w:w="333" w:type="pct"/>
            <w:gridSpan w:val="2"/>
            <w:shd w:val="clear" w:color="auto" w:fill="FFFFFF"/>
            <w:vAlign w:val="center"/>
          </w:tcPr>
          <w:p w14:paraId="77E391DB"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3</w:t>
            </w:r>
          </w:p>
        </w:tc>
        <w:tc>
          <w:tcPr>
            <w:tcW w:w="333" w:type="pct"/>
            <w:shd w:val="clear" w:color="auto" w:fill="FFFFFF"/>
            <w:vAlign w:val="center"/>
          </w:tcPr>
          <w:p w14:paraId="705F65BB"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4</w:t>
            </w:r>
          </w:p>
        </w:tc>
        <w:tc>
          <w:tcPr>
            <w:tcW w:w="333" w:type="pct"/>
            <w:gridSpan w:val="4"/>
            <w:shd w:val="clear" w:color="auto" w:fill="FFFFFF"/>
            <w:vAlign w:val="center"/>
          </w:tcPr>
          <w:p w14:paraId="16CEBBC9"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5</w:t>
            </w:r>
          </w:p>
        </w:tc>
        <w:tc>
          <w:tcPr>
            <w:tcW w:w="334" w:type="pct"/>
            <w:gridSpan w:val="2"/>
            <w:shd w:val="clear" w:color="auto" w:fill="FFFFFF"/>
            <w:vAlign w:val="center"/>
          </w:tcPr>
          <w:p w14:paraId="1406C372"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6</w:t>
            </w:r>
          </w:p>
        </w:tc>
        <w:tc>
          <w:tcPr>
            <w:tcW w:w="333" w:type="pct"/>
            <w:gridSpan w:val="4"/>
            <w:shd w:val="clear" w:color="auto" w:fill="FFFFFF"/>
            <w:vAlign w:val="center"/>
          </w:tcPr>
          <w:p w14:paraId="6284B372"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7</w:t>
            </w:r>
          </w:p>
        </w:tc>
        <w:tc>
          <w:tcPr>
            <w:tcW w:w="333" w:type="pct"/>
            <w:gridSpan w:val="3"/>
            <w:shd w:val="clear" w:color="auto" w:fill="FFFFFF"/>
            <w:vAlign w:val="center"/>
          </w:tcPr>
          <w:p w14:paraId="17E4FDC0"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8</w:t>
            </w:r>
          </w:p>
        </w:tc>
        <w:tc>
          <w:tcPr>
            <w:tcW w:w="333" w:type="pct"/>
            <w:gridSpan w:val="2"/>
            <w:shd w:val="clear" w:color="auto" w:fill="FFFFFF"/>
            <w:vAlign w:val="center"/>
          </w:tcPr>
          <w:p w14:paraId="46E7605A"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9</w:t>
            </w:r>
          </w:p>
        </w:tc>
        <w:tc>
          <w:tcPr>
            <w:tcW w:w="333" w:type="pct"/>
            <w:shd w:val="clear" w:color="auto" w:fill="FFFFFF"/>
            <w:vAlign w:val="center"/>
          </w:tcPr>
          <w:p w14:paraId="35683FFA" w14:textId="77777777" w:rsidR="00B22E18" w:rsidRPr="00BF6C9E"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10</w:t>
            </w:r>
          </w:p>
        </w:tc>
        <w:tc>
          <w:tcPr>
            <w:tcW w:w="407" w:type="pct"/>
            <w:shd w:val="clear" w:color="auto" w:fill="FFFFFF"/>
            <w:vAlign w:val="center"/>
          </w:tcPr>
          <w:p w14:paraId="7B6B2725" w14:textId="77777777" w:rsidR="00B22E18" w:rsidRPr="007D21F4" w:rsidRDefault="00B22E18" w:rsidP="00BF6C9E">
            <w:pPr>
              <w:widowControl w:val="0"/>
              <w:autoSpaceDE w:val="0"/>
              <w:autoSpaceDN w:val="0"/>
              <w:adjustRightInd w:val="0"/>
              <w:spacing w:before="60" w:after="60" w:line="240" w:lineRule="auto"/>
              <w:jc w:val="center"/>
              <w:rPr>
                <w:rFonts w:ascii="Times New Roman" w:eastAsia="Times New Roman" w:hAnsi="Times New Roman" w:cs="Times New Roman"/>
                <w:sz w:val="20"/>
                <w:szCs w:val="20"/>
                <w:lang w:eastAsia="pl-PL"/>
              </w:rPr>
            </w:pPr>
            <w:r w:rsidRPr="007D21F4">
              <w:rPr>
                <w:rFonts w:ascii="Times New Roman" w:eastAsia="Times New Roman" w:hAnsi="Times New Roman" w:cs="Times New Roman"/>
                <w:sz w:val="20"/>
                <w:szCs w:val="20"/>
                <w:lang w:eastAsia="pl-PL"/>
              </w:rPr>
              <w:t>Łącznie (0–10)</w:t>
            </w:r>
          </w:p>
        </w:tc>
      </w:tr>
      <w:tr w:rsidR="001D41B7" w:rsidRPr="00B22E18" w14:paraId="0F671514" w14:textId="77777777" w:rsidTr="00DD2AAE">
        <w:trPr>
          <w:trHeight w:val="321"/>
          <w:jc w:val="center"/>
        </w:trPr>
        <w:tc>
          <w:tcPr>
            <w:tcW w:w="930" w:type="pct"/>
            <w:gridSpan w:val="2"/>
            <w:shd w:val="clear" w:color="auto" w:fill="FFFFFF"/>
            <w:vAlign w:val="center"/>
          </w:tcPr>
          <w:p w14:paraId="4A4BCDE6"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Dochody ogółem</w:t>
            </w:r>
          </w:p>
        </w:tc>
        <w:tc>
          <w:tcPr>
            <w:tcW w:w="332" w:type="pct"/>
            <w:gridSpan w:val="2"/>
            <w:shd w:val="clear" w:color="auto" w:fill="FFFFFF"/>
            <w:vAlign w:val="center"/>
          </w:tcPr>
          <w:p w14:paraId="5926D3E9"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w:t>
            </w:r>
            <w:r w:rsidR="001C2F10" w:rsidRPr="001C2F10">
              <w:rPr>
                <w:rFonts w:ascii="Times New Roman" w:eastAsia="Times New Roman" w:hAnsi="Times New Roman" w:cs="Times New Roman"/>
                <w:sz w:val="20"/>
                <w:szCs w:val="20"/>
                <w:lang w:eastAsia="pl-PL"/>
              </w:rPr>
              <w:t>0</w:t>
            </w:r>
            <w:r w:rsidRPr="001C2F10">
              <w:rPr>
                <w:rFonts w:ascii="Times New Roman" w:eastAsia="Times New Roman" w:hAnsi="Times New Roman" w:cs="Times New Roman"/>
                <w:sz w:val="20"/>
                <w:szCs w:val="20"/>
                <w:lang w:eastAsia="pl-PL"/>
              </w:rPr>
              <w:t>,68</w:t>
            </w:r>
          </w:p>
        </w:tc>
        <w:tc>
          <w:tcPr>
            <w:tcW w:w="333" w:type="pct"/>
            <w:shd w:val="clear" w:color="auto" w:fill="FFFFFF"/>
            <w:vAlign w:val="center"/>
          </w:tcPr>
          <w:p w14:paraId="419C65F0"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27FF8F4A"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1228E154"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shd w:val="clear" w:color="auto" w:fill="FFFFFF"/>
            <w:vAlign w:val="center"/>
          </w:tcPr>
          <w:p w14:paraId="45590604"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4"/>
            <w:shd w:val="clear" w:color="auto" w:fill="FFFFFF"/>
            <w:vAlign w:val="center"/>
          </w:tcPr>
          <w:p w14:paraId="0348B1A1"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4" w:type="pct"/>
            <w:gridSpan w:val="2"/>
            <w:shd w:val="clear" w:color="auto" w:fill="FFFFFF"/>
            <w:vAlign w:val="center"/>
          </w:tcPr>
          <w:p w14:paraId="16D32FBA"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4"/>
            <w:shd w:val="clear" w:color="auto" w:fill="FFFFFF"/>
            <w:vAlign w:val="center"/>
          </w:tcPr>
          <w:p w14:paraId="3EDABBEE"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3"/>
            <w:shd w:val="clear" w:color="auto" w:fill="FFFFFF"/>
            <w:vAlign w:val="center"/>
          </w:tcPr>
          <w:p w14:paraId="68685D45"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06CF08AC"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shd w:val="clear" w:color="auto" w:fill="FFFFFF"/>
            <w:vAlign w:val="center"/>
          </w:tcPr>
          <w:p w14:paraId="4F8C517A"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407" w:type="pct"/>
            <w:shd w:val="clear" w:color="auto" w:fill="FFFFFF"/>
            <w:vAlign w:val="center"/>
          </w:tcPr>
          <w:p w14:paraId="551E887D"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1C2F10">
              <w:rPr>
                <w:rFonts w:ascii="Times New Roman" w:eastAsia="Times New Roman" w:hAnsi="Times New Roman" w:cs="Times New Roman"/>
                <w:sz w:val="20"/>
                <w:szCs w:val="20"/>
                <w:lang w:eastAsia="pl-PL"/>
              </w:rPr>
              <w:t>-</w:t>
            </w:r>
            <w:r w:rsidR="001C2F10" w:rsidRPr="001C2F10">
              <w:rPr>
                <w:rFonts w:ascii="Times New Roman" w:eastAsia="Times New Roman" w:hAnsi="Times New Roman" w:cs="Times New Roman"/>
                <w:sz w:val="20"/>
                <w:szCs w:val="20"/>
                <w:lang w:eastAsia="pl-PL"/>
              </w:rPr>
              <w:t xml:space="preserve"> </w:t>
            </w:r>
            <w:r w:rsidRPr="001C2F10">
              <w:rPr>
                <w:rFonts w:ascii="Times New Roman" w:eastAsia="Times New Roman" w:hAnsi="Times New Roman" w:cs="Times New Roman"/>
                <w:sz w:val="20"/>
                <w:szCs w:val="20"/>
                <w:lang w:eastAsia="pl-PL"/>
              </w:rPr>
              <w:t>1,82</w:t>
            </w:r>
          </w:p>
        </w:tc>
      </w:tr>
      <w:tr w:rsidR="001D41B7" w:rsidRPr="00B22E18" w14:paraId="444E6BDC" w14:textId="77777777" w:rsidTr="00DD2AAE">
        <w:trPr>
          <w:trHeight w:val="321"/>
          <w:jc w:val="center"/>
        </w:trPr>
        <w:tc>
          <w:tcPr>
            <w:tcW w:w="930" w:type="pct"/>
            <w:gridSpan w:val="2"/>
            <w:shd w:val="clear" w:color="auto" w:fill="FFFFFF"/>
            <w:vAlign w:val="center"/>
          </w:tcPr>
          <w:p w14:paraId="00A068CD"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budżet państwa</w:t>
            </w:r>
          </w:p>
        </w:tc>
        <w:tc>
          <w:tcPr>
            <w:tcW w:w="332" w:type="pct"/>
            <w:gridSpan w:val="2"/>
            <w:shd w:val="clear" w:color="auto" w:fill="FFFFFF"/>
            <w:vAlign w:val="center"/>
          </w:tcPr>
          <w:p w14:paraId="24E12D5B"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w:t>
            </w:r>
            <w:r w:rsidR="001C2F10">
              <w:rPr>
                <w:rFonts w:ascii="Times New Roman" w:eastAsia="Times New Roman" w:hAnsi="Times New Roman" w:cs="Times New Roman"/>
                <w:sz w:val="20"/>
                <w:szCs w:val="20"/>
                <w:lang w:eastAsia="pl-PL"/>
              </w:rPr>
              <w:t>0</w:t>
            </w:r>
            <w:r w:rsidRPr="001C2F10">
              <w:rPr>
                <w:rFonts w:ascii="Times New Roman" w:eastAsia="Times New Roman" w:hAnsi="Times New Roman" w:cs="Times New Roman"/>
                <w:sz w:val="20"/>
                <w:szCs w:val="20"/>
                <w:lang w:eastAsia="pl-PL"/>
              </w:rPr>
              <w:t>,68</w:t>
            </w:r>
          </w:p>
        </w:tc>
        <w:tc>
          <w:tcPr>
            <w:tcW w:w="333" w:type="pct"/>
            <w:shd w:val="clear" w:color="auto" w:fill="FFFFFF"/>
            <w:vAlign w:val="center"/>
          </w:tcPr>
          <w:p w14:paraId="6D95CE54"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271962CB"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13EFC1C4"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shd w:val="clear" w:color="auto" w:fill="FFFFFF"/>
            <w:vAlign w:val="center"/>
          </w:tcPr>
          <w:p w14:paraId="6FE942A2"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4"/>
            <w:shd w:val="clear" w:color="auto" w:fill="FFFFFF"/>
            <w:vAlign w:val="center"/>
          </w:tcPr>
          <w:p w14:paraId="62AE3729"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4" w:type="pct"/>
            <w:gridSpan w:val="2"/>
            <w:shd w:val="clear" w:color="auto" w:fill="FFFFFF"/>
            <w:vAlign w:val="center"/>
          </w:tcPr>
          <w:p w14:paraId="508718E7"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4"/>
            <w:shd w:val="clear" w:color="auto" w:fill="FFFFFF"/>
            <w:vAlign w:val="center"/>
          </w:tcPr>
          <w:p w14:paraId="69D33D2B"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3"/>
            <w:shd w:val="clear" w:color="auto" w:fill="FFFFFF"/>
            <w:vAlign w:val="center"/>
          </w:tcPr>
          <w:p w14:paraId="67DE7FFF"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5DE1509F"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shd w:val="clear" w:color="auto" w:fill="FFFFFF"/>
            <w:vAlign w:val="center"/>
          </w:tcPr>
          <w:p w14:paraId="27DECEB0"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407" w:type="pct"/>
            <w:shd w:val="clear" w:color="auto" w:fill="FFFFFF"/>
            <w:vAlign w:val="center"/>
          </w:tcPr>
          <w:p w14:paraId="29ABF122" w14:textId="77777777" w:rsidR="001D41B7" w:rsidRPr="00BF6C9E" w:rsidRDefault="001C2F10"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1C2F10">
              <w:rPr>
                <w:rFonts w:ascii="Times New Roman" w:eastAsia="Times New Roman" w:hAnsi="Times New Roman" w:cs="Times New Roman"/>
                <w:sz w:val="20"/>
                <w:szCs w:val="20"/>
                <w:lang w:eastAsia="pl-PL"/>
              </w:rPr>
              <w:t>- 1,82</w:t>
            </w:r>
          </w:p>
        </w:tc>
      </w:tr>
      <w:tr w:rsidR="001D41B7" w:rsidRPr="00B22E18" w14:paraId="5AACB2C6" w14:textId="77777777" w:rsidTr="00DD2AAE">
        <w:trPr>
          <w:trHeight w:val="344"/>
          <w:jc w:val="center"/>
        </w:trPr>
        <w:tc>
          <w:tcPr>
            <w:tcW w:w="930" w:type="pct"/>
            <w:gridSpan w:val="2"/>
            <w:shd w:val="clear" w:color="auto" w:fill="FFFFFF"/>
            <w:vAlign w:val="center"/>
          </w:tcPr>
          <w:p w14:paraId="0F8CADD8"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JST</w:t>
            </w:r>
          </w:p>
        </w:tc>
        <w:tc>
          <w:tcPr>
            <w:tcW w:w="332" w:type="pct"/>
            <w:gridSpan w:val="2"/>
            <w:shd w:val="clear" w:color="auto" w:fill="FFFFFF"/>
            <w:vAlign w:val="center"/>
          </w:tcPr>
          <w:p w14:paraId="22F5DF8F"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vAlign w:val="center"/>
          </w:tcPr>
          <w:p w14:paraId="4D8E2B3E"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vAlign w:val="center"/>
          </w:tcPr>
          <w:p w14:paraId="621DCF80"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vAlign w:val="center"/>
          </w:tcPr>
          <w:p w14:paraId="2CAE4382"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vAlign w:val="center"/>
          </w:tcPr>
          <w:p w14:paraId="34609C2F"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vAlign w:val="center"/>
          </w:tcPr>
          <w:p w14:paraId="79547543"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4" w:type="pct"/>
            <w:gridSpan w:val="2"/>
            <w:shd w:val="clear" w:color="auto" w:fill="FFFFFF"/>
            <w:vAlign w:val="center"/>
          </w:tcPr>
          <w:p w14:paraId="38238267"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vAlign w:val="center"/>
          </w:tcPr>
          <w:p w14:paraId="454E7505"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3"/>
            <w:shd w:val="clear" w:color="auto" w:fill="FFFFFF"/>
            <w:vAlign w:val="center"/>
          </w:tcPr>
          <w:p w14:paraId="6DEC2538"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vAlign w:val="center"/>
          </w:tcPr>
          <w:p w14:paraId="175CBE79"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vAlign w:val="center"/>
          </w:tcPr>
          <w:p w14:paraId="5C03D570"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407" w:type="pct"/>
            <w:shd w:val="clear" w:color="auto" w:fill="FFFFFF"/>
            <w:vAlign w:val="center"/>
          </w:tcPr>
          <w:p w14:paraId="1A200D58"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D41B7" w:rsidRPr="00B22E18" w14:paraId="1C630F04" w14:textId="77777777" w:rsidTr="00DD2AAE">
        <w:trPr>
          <w:trHeight w:val="344"/>
          <w:jc w:val="center"/>
        </w:trPr>
        <w:tc>
          <w:tcPr>
            <w:tcW w:w="930" w:type="pct"/>
            <w:gridSpan w:val="2"/>
            <w:shd w:val="clear" w:color="auto" w:fill="FFFFFF"/>
            <w:vAlign w:val="center"/>
          </w:tcPr>
          <w:p w14:paraId="2E532C8C"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pozostałe jednostki (oddzielnie)</w:t>
            </w:r>
          </w:p>
        </w:tc>
        <w:tc>
          <w:tcPr>
            <w:tcW w:w="332" w:type="pct"/>
            <w:gridSpan w:val="2"/>
            <w:shd w:val="clear" w:color="auto" w:fill="FFFFFF"/>
            <w:vAlign w:val="center"/>
          </w:tcPr>
          <w:p w14:paraId="47E0CFCD"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vAlign w:val="center"/>
          </w:tcPr>
          <w:p w14:paraId="1690B641"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vAlign w:val="center"/>
          </w:tcPr>
          <w:p w14:paraId="48AC99BB"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vAlign w:val="center"/>
          </w:tcPr>
          <w:p w14:paraId="209264AA"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vAlign w:val="center"/>
          </w:tcPr>
          <w:p w14:paraId="2B2C9D68"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vAlign w:val="center"/>
          </w:tcPr>
          <w:p w14:paraId="699F7BD7"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4" w:type="pct"/>
            <w:gridSpan w:val="2"/>
            <w:shd w:val="clear" w:color="auto" w:fill="FFFFFF"/>
            <w:vAlign w:val="center"/>
          </w:tcPr>
          <w:p w14:paraId="265ED7E0"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vAlign w:val="center"/>
          </w:tcPr>
          <w:p w14:paraId="1F8C6E04"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3"/>
            <w:shd w:val="clear" w:color="auto" w:fill="FFFFFF"/>
            <w:vAlign w:val="center"/>
          </w:tcPr>
          <w:p w14:paraId="6965476C"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vAlign w:val="center"/>
          </w:tcPr>
          <w:p w14:paraId="6D71EE5F"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vAlign w:val="center"/>
          </w:tcPr>
          <w:p w14:paraId="46D2A12E"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407" w:type="pct"/>
            <w:shd w:val="clear" w:color="auto" w:fill="FFFFFF"/>
            <w:vAlign w:val="center"/>
          </w:tcPr>
          <w:p w14:paraId="197E467E"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D41B7" w:rsidRPr="00B22E18" w14:paraId="5393F002" w14:textId="77777777" w:rsidTr="00DD2AAE">
        <w:trPr>
          <w:trHeight w:val="330"/>
          <w:jc w:val="center"/>
        </w:trPr>
        <w:tc>
          <w:tcPr>
            <w:tcW w:w="930" w:type="pct"/>
            <w:gridSpan w:val="2"/>
            <w:shd w:val="clear" w:color="auto" w:fill="FFFFFF"/>
            <w:vAlign w:val="center"/>
          </w:tcPr>
          <w:p w14:paraId="1F43CB9F"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Wydatki ogółem</w:t>
            </w:r>
          </w:p>
        </w:tc>
        <w:tc>
          <w:tcPr>
            <w:tcW w:w="332" w:type="pct"/>
            <w:gridSpan w:val="2"/>
            <w:shd w:val="clear" w:color="auto" w:fill="FFFFFF"/>
            <w:vAlign w:val="center"/>
          </w:tcPr>
          <w:p w14:paraId="06E74AF6"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w:t>
            </w:r>
            <w:r w:rsidR="001C2F10">
              <w:rPr>
                <w:rFonts w:ascii="Times New Roman" w:eastAsia="Times New Roman" w:hAnsi="Times New Roman" w:cs="Times New Roman"/>
                <w:sz w:val="20"/>
                <w:szCs w:val="20"/>
                <w:lang w:eastAsia="pl-PL"/>
              </w:rPr>
              <w:t>0</w:t>
            </w:r>
            <w:r w:rsidRPr="001C2F10">
              <w:rPr>
                <w:rFonts w:ascii="Times New Roman" w:eastAsia="Times New Roman" w:hAnsi="Times New Roman" w:cs="Times New Roman"/>
                <w:sz w:val="20"/>
                <w:szCs w:val="20"/>
                <w:lang w:eastAsia="pl-PL"/>
              </w:rPr>
              <w:t>,68</w:t>
            </w:r>
          </w:p>
        </w:tc>
        <w:tc>
          <w:tcPr>
            <w:tcW w:w="333" w:type="pct"/>
            <w:shd w:val="clear" w:color="auto" w:fill="FFFFFF"/>
            <w:vAlign w:val="center"/>
          </w:tcPr>
          <w:p w14:paraId="72337BAF"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3C1CCAE1"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379FFF91"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shd w:val="clear" w:color="auto" w:fill="FFFFFF"/>
            <w:vAlign w:val="center"/>
          </w:tcPr>
          <w:p w14:paraId="101C31C0"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4"/>
            <w:shd w:val="clear" w:color="auto" w:fill="FFFFFF"/>
            <w:vAlign w:val="center"/>
          </w:tcPr>
          <w:p w14:paraId="24AD3E96"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4" w:type="pct"/>
            <w:gridSpan w:val="2"/>
            <w:shd w:val="clear" w:color="auto" w:fill="FFFFFF"/>
            <w:vAlign w:val="center"/>
          </w:tcPr>
          <w:p w14:paraId="2546BDEF"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4"/>
            <w:shd w:val="clear" w:color="auto" w:fill="FFFFFF"/>
            <w:vAlign w:val="center"/>
          </w:tcPr>
          <w:p w14:paraId="25F15191"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3"/>
            <w:shd w:val="clear" w:color="auto" w:fill="FFFFFF"/>
            <w:vAlign w:val="center"/>
          </w:tcPr>
          <w:p w14:paraId="35D2F60D"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79362A69"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shd w:val="clear" w:color="auto" w:fill="FFFFFF"/>
            <w:vAlign w:val="center"/>
          </w:tcPr>
          <w:p w14:paraId="2E05E83F"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407" w:type="pct"/>
            <w:shd w:val="clear" w:color="auto" w:fill="FFFFFF"/>
            <w:vAlign w:val="center"/>
          </w:tcPr>
          <w:p w14:paraId="33AB7428" w14:textId="77777777" w:rsidR="001D41B7" w:rsidRPr="001C2F10" w:rsidRDefault="001C2F10"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- 1,82</w:t>
            </w:r>
          </w:p>
        </w:tc>
      </w:tr>
      <w:tr w:rsidR="001D41B7" w:rsidRPr="00B22E18" w14:paraId="1EE74FA6" w14:textId="77777777" w:rsidTr="00DD2AAE">
        <w:trPr>
          <w:trHeight w:val="330"/>
          <w:jc w:val="center"/>
        </w:trPr>
        <w:tc>
          <w:tcPr>
            <w:tcW w:w="930" w:type="pct"/>
            <w:gridSpan w:val="2"/>
            <w:shd w:val="clear" w:color="auto" w:fill="FFFFFF"/>
            <w:vAlign w:val="center"/>
          </w:tcPr>
          <w:p w14:paraId="6D6B4F85"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budżet państwa</w:t>
            </w:r>
          </w:p>
        </w:tc>
        <w:tc>
          <w:tcPr>
            <w:tcW w:w="332" w:type="pct"/>
            <w:gridSpan w:val="2"/>
            <w:shd w:val="clear" w:color="auto" w:fill="FFFFFF"/>
            <w:vAlign w:val="center"/>
          </w:tcPr>
          <w:p w14:paraId="48D69681"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w:t>
            </w:r>
            <w:r w:rsidR="001C2F10">
              <w:rPr>
                <w:rFonts w:ascii="Times New Roman" w:eastAsia="Times New Roman" w:hAnsi="Times New Roman" w:cs="Times New Roman"/>
                <w:sz w:val="20"/>
                <w:szCs w:val="20"/>
                <w:lang w:eastAsia="pl-PL"/>
              </w:rPr>
              <w:t>0</w:t>
            </w:r>
            <w:r w:rsidRPr="001C2F10">
              <w:rPr>
                <w:rFonts w:ascii="Times New Roman" w:eastAsia="Times New Roman" w:hAnsi="Times New Roman" w:cs="Times New Roman"/>
                <w:sz w:val="20"/>
                <w:szCs w:val="20"/>
                <w:lang w:eastAsia="pl-PL"/>
              </w:rPr>
              <w:t>,68</w:t>
            </w:r>
          </w:p>
        </w:tc>
        <w:tc>
          <w:tcPr>
            <w:tcW w:w="333" w:type="pct"/>
            <w:shd w:val="clear" w:color="auto" w:fill="FFFFFF"/>
            <w:vAlign w:val="center"/>
          </w:tcPr>
          <w:p w14:paraId="6B58AFFF"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4464C15F"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685B3D8A"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shd w:val="clear" w:color="auto" w:fill="FFFFFF"/>
            <w:vAlign w:val="center"/>
          </w:tcPr>
          <w:p w14:paraId="0F54C3C8"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4"/>
            <w:shd w:val="clear" w:color="auto" w:fill="FFFFFF"/>
            <w:vAlign w:val="center"/>
          </w:tcPr>
          <w:p w14:paraId="41E791AB"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4" w:type="pct"/>
            <w:gridSpan w:val="2"/>
            <w:shd w:val="clear" w:color="auto" w:fill="FFFFFF"/>
            <w:vAlign w:val="center"/>
          </w:tcPr>
          <w:p w14:paraId="6BCC27EF"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4"/>
            <w:shd w:val="clear" w:color="auto" w:fill="FFFFFF"/>
            <w:vAlign w:val="center"/>
          </w:tcPr>
          <w:p w14:paraId="1224DB5C"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3"/>
            <w:shd w:val="clear" w:color="auto" w:fill="FFFFFF"/>
            <w:vAlign w:val="center"/>
          </w:tcPr>
          <w:p w14:paraId="2B0022AD"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gridSpan w:val="2"/>
            <w:shd w:val="clear" w:color="auto" w:fill="FFFFFF"/>
            <w:vAlign w:val="center"/>
          </w:tcPr>
          <w:p w14:paraId="3F3F20E9"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333" w:type="pct"/>
            <w:shd w:val="clear" w:color="auto" w:fill="FFFFFF"/>
            <w:vAlign w:val="center"/>
          </w:tcPr>
          <w:p w14:paraId="73DE7138"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- 0,25</w:t>
            </w:r>
          </w:p>
        </w:tc>
        <w:tc>
          <w:tcPr>
            <w:tcW w:w="407" w:type="pct"/>
            <w:shd w:val="clear" w:color="auto" w:fill="FFFFFF"/>
            <w:vAlign w:val="center"/>
          </w:tcPr>
          <w:p w14:paraId="37AA64BC" w14:textId="77777777" w:rsidR="001D41B7" w:rsidRPr="001C2F10" w:rsidRDefault="001C2F10"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- 1,82</w:t>
            </w:r>
          </w:p>
        </w:tc>
      </w:tr>
      <w:tr w:rsidR="001D41B7" w:rsidRPr="00B22E18" w14:paraId="6CFAB83B" w14:textId="77777777" w:rsidTr="00DD2AAE">
        <w:trPr>
          <w:trHeight w:val="351"/>
          <w:jc w:val="center"/>
        </w:trPr>
        <w:tc>
          <w:tcPr>
            <w:tcW w:w="930" w:type="pct"/>
            <w:gridSpan w:val="2"/>
            <w:shd w:val="clear" w:color="auto" w:fill="FFFFFF"/>
            <w:vAlign w:val="center"/>
          </w:tcPr>
          <w:p w14:paraId="2AE7547E"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JST</w:t>
            </w:r>
          </w:p>
        </w:tc>
        <w:tc>
          <w:tcPr>
            <w:tcW w:w="332" w:type="pct"/>
            <w:gridSpan w:val="2"/>
            <w:shd w:val="clear" w:color="auto" w:fill="FFFFFF"/>
          </w:tcPr>
          <w:p w14:paraId="07A140AA"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503A79E5"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6E63329C"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6E998481"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127D3031"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tcPr>
          <w:p w14:paraId="67AE8DDB"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4" w:type="pct"/>
            <w:gridSpan w:val="2"/>
            <w:shd w:val="clear" w:color="auto" w:fill="FFFFFF"/>
          </w:tcPr>
          <w:p w14:paraId="2E850465"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tcPr>
          <w:p w14:paraId="40065781"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3"/>
            <w:shd w:val="clear" w:color="auto" w:fill="FFFFFF"/>
          </w:tcPr>
          <w:p w14:paraId="4E57CE46"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1991282D"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70BF0A88"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407" w:type="pct"/>
            <w:shd w:val="clear" w:color="auto" w:fill="FFFFFF"/>
          </w:tcPr>
          <w:p w14:paraId="6C03E87B" w14:textId="77777777" w:rsidR="001D41B7" w:rsidRPr="001C2F10" w:rsidRDefault="001D41B7" w:rsidP="001D41B7">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p>
        </w:tc>
      </w:tr>
      <w:tr w:rsidR="001D41B7" w:rsidRPr="00B22E18" w14:paraId="1D2442F5" w14:textId="77777777" w:rsidTr="00DD2AAE">
        <w:trPr>
          <w:trHeight w:val="351"/>
          <w:jc w:val="center"/>
        </w:trPr>
        <w:tc>
          <w:tcPr>
            <w:tcW w:w="930" w:type="pct"/>
            <w:gridSpan w:val="2"/>
            <w:shd w:val="clear" w:color="auto" w:fill="FFFFFF"/>
            <w:vAlign w:val="center"/>
          </w:tcPr>
          <w:p w14:paraId="697AB1E2"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pozostałe jednostki (oddzielnie)</w:t>
            </w:r>
          </w:p>
        </w:tc>
        <w:tc>
          <w:tcPr>
            <w:tcW w:w="332" w:type="pct"/>
            <w:gridSpan w:val="2"/>
            <w:shd w:val="clear" w:color="auto" w:fill="FFFFFF"/>
          </w:tcPr>
          <w:p w14:paraId="23070E15"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60B41371"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775AD1C1"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722DD50B"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6352F19E"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tcPr>
          <w:p w14:paraId="000C2686"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4" w:type="pct"/>
            <w:gridSpan w:val="2"/>
            <w:shd w:val="clear" w:color="auto" w:fill="FFFFFF"/>
          </w:tcPr>
          <w:p w14:paraId="6D2E9A46"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tcPr>
          <w:p w14:paraId="2FE16718"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3"/>
            <w:shd w:val="clear" w:color="auto" w:fill="FFFFFF"/>
          </w:tcPr>
          <w:p w14:paraId="753CC7FA"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37D0ADDE"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5BAAF4CA"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407" w:type="pct"/>
            <w:shd w:val="clear" w:color="auto" w:fill="FFFFFF"/>
          </w:tcPr>
          <w:p w14:paraId="487DCCBD" w14:textId="77777777" w:rsidR="001D41B7" w:rsidRPr="00BF6C9E" w:rsidRDefault="001D41B7" w:rsidP="001D41B7">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1297AFA1" w14:textId="77777777" w:rsidTr="003504F8">
        <w:trPr>
          <w:trHeight w:val="360"/>
          <w:jc w:val="center"/>
        </w:trPr>
        <w:tc>
          <w:tcPr>
            <w:tcW w:w="930" w:type="pct"/>
            <w:gridSpan w:val="2"/>
            <w:shd w:val="clear" w:color="auto" w:fill="FFFFFF"/>
            <w:vAlign w:val="center"/>
          </w:tcPr>
          <w:p w14:paraId="132971BF"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Saldo ogółem</w:t>
            </w:r>
          </w:p>
        </w:tc>
        <w:tc>
          <w:tcPr>
            <w:tcW w:w="332" w:type="pct"/>
            <w:gridSpan w:val="2"/>
            <w:shd w:val="clear" w:color="auto" w:fill="FFFFFF"/>
            <w:vAlign w:val="center"/>
          </w:tcPr>
          <w:p w14:paraId="37FD5D77"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3" w:type="pct"/>
            <w:shd w:val="clear" w:color="auto" w:fill="FFFFFF"/>
            <w:vAlign w:val="center"/>
          </w:tcPr>
          <w:p w14:paraId="0DF77719"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3" w:type="pct"/>
            <w:gridSpan w:val="2"/>
            <w:shd w:val="clear" w:color="auto" w:fill="FFFFFF"/>
            <w:vAlign w:val="center"/>
          </w:tcPr>
          <w:p w14:paraId="69A0BDE4"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3" w:type="pct"/>
            <w:gridSpan w:val="2"/>
            <w:shd w:val="clear" w:color="auto" w:fill="FFFFFF"/>
            <w:vAlign w:val="center"/>
          </w:tcPr>
          <w:p w14:paraId="56A1BC6D"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3" w:type="pct"/>
            <w:shd w:val="clear" w:color="auto" w:fill="FFFFFF"/>
            <w:vAlign w:val="center"/>
          </w:tcPr>
          <w:p w14:paraId="15C69152"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3" w:type="pct"/>
            <w:gridSpan w:val="4"/>
            <w:shd w:val="clear" w:color="auto" w:fill="FFFFFF"/>
            <w:vAlign w:val="center"/>
          </w:tcPr>
          <w:p w14:paraId="7DC1A398"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4" w:type="pct"/>
            <w:gridSpan w:val="2"/>
            <w:shd w:val="clear" w:color="auto" w:fill="FFFFFF"/>
            <w:vAlign w:val="center"/>
          </w:tcPr>
          <w:p w14:paraId="08ADEFE4"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3" w:type="pct"/>
            <w:gridSpan w:val="4"/>
            <w:shd w:val="clear" w:color="auto" w:fill="FFFFFF"/>
            <w:vAlign w:val="center"/>
          </w:tcPr>
          <w:p w14:paraId="13D8A013"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3" w:type="pct"/>
            <w:gridSpan w:val="3"/>
            <w:shd w:val="clear" w:color="auto" w:fill="FFFFFF"/>
            <w:vAlign w:val="center"/>
          </w:tcPr>
          <w:p w14:paraId="7881ACC0"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3" w:type="pct"/>
            <w:gridSpan w:val="2"/>
            <w:shd w:val="clear" w:color="auto" w:fill="FFFFFF"/>
            <w:vAlign w:val="center"/>
          </w:tcPr>
          <w:p w14:paraId="21CD3644"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333" w:type="pct"/>
            <w:shd w:val="clear" w:color="auto" w:fill="FFFFFF"/>
            <w:vAlign w:val="center"/>
          </w:tcPr>
          <w:p w14:paraId="58A79390"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c>
          <w:tcPr>
            <w:tcW w:w="407" w:type="pct"/>
            <w:shd w:val="clear" w:color="auto" w:fill="FFFFFF"/>
            <w:vAlign w:val="center"/>
          </w:tcPr>
          <w:p w14:paraId="2FD4D261" w14:textId="77777777" w:rsidR="001C2F10" w:rsidRPr="001C2F10" w:rsidRDefault="001C2F10" w:rsidP="001C2F10">
            <w:pPr>
              <w:widowControl w:val="0"/>
              <w:autoSpaceDE w:val="0"/>
              <w:autoSpaceDN w:val="0"/>
              <w:adjustRightInd w:val="0"/>
              <w:spacing w:before="60" w:after="60" w:line="240" w:lineRule="auto"/>
              <w:rPr>
                <w:rFonts w:ascii="Times New Roman" w:eastAsia="Times New Roman" w:hAnsi="Times New Roman" w:cs="Times New Roman"/>
                <w:sz w:val="20"/>
                <w:szCs w:val="20"/>
                <w:lang w:eastAsia="pl-PL"/>
              </w:rPr>
            </w:pPr>
            <w:r w:rsidRPr="001C2F10">
              <w:rPr>
                <w:rFonts w:ascii="Times New Roman" w:eastAsia="Times New Roman" w:hAnsi="Times New Roman" w:cs="Times New Roman"/>
                <w:sz w:val="20"/>
                <w:szCs w:val="20"/>
                <w:lang w:eastAsia="pl-PL"/>
              </w:rPr>
              <w:t xml:space="preserve">0,00 </w:t>
            </w:r>
          </w:p>
        </w:tc>
      </w:tr>
      <w:tr w:rsidR="001C2F10" w:rsidRPr="00B22E18" w14:paraId="203D9558" w14:textId="77777777" w:rsidTr="00EA3F6E">
        <w:trPr>
          <w:trHeight w:val="360"/>
          <w:jc w:val="center"/>
        </w:trPr>
        <w:tc>
          <w:tcPr>
            <w:tcW w:w="930" w:type="pct"/>
            <w:gridSpan w:val="2"/>
            <w:shd w:val="clear" w:color="auto" w:fill="FFFFFF"/>
            <w:vAlign w:val="center"/>
          </w:tcPr>
          <w:p w14:paraId="6039658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budżet państwa</w:t>
            </w:r>
          </w:p>
        </w:tc>
        <w:tc>
          <w:tcPr>
            <w:tcW w:w="332" w:type="pct"/>
            <w:gridSpan w:val="2"/>
            <w:shd w:val="clear" w:color="auto" w:fill="FFFFFF"/>
            <w:vAlign w:val="center"/>
          </w:tcPr>
          <w:p w14:paraId="14F945DD"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vAlign w:val="center"/>
          </w:tcPr>
          <w:p w14:paraId="39F9E3E3"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vAlign w:val="center"/>
          </w:tcPr>
          <w:p w14:paraId="42A84292"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vAlign w:val="center"/>
          </w:tcPr>
          <w:p w14:paraId="4C0EC357"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vAlign w:val="center"/>
          </w:tcPr>
          <w:p w14:paraId="6D68B473"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vAlign w:val="center"/>
          </w:tcPr>
          <w:p w14:paraId="64DF836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4" w:type="pct"/>
            <w:gridSpan w:val="2"/>
            <w:shd w:val="clear" w:color="auto" w:fill="FFFFFF"/>
            <w:vAlign w:val="center"/>
          </w:tcPr>
          <w:p w14:paraId="6DC20347"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vAlign w:val="center"/>
          </w:tcPr>
          <w:p w14:paraId="47049F5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3"/>
            <w:shd w:val="clear" w:color="auto" w:fill="FFFFFF"/>
            <w:vAlign w:val="center"/>
          </w:tcPr>
          <w:p w14:paraId="1761EA2F"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vAlign w:val="center"/>
          </w:tcPr>
          <w:p w14:paraId="2261C02D"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vAlign w:val="center"/>
          </w:tcPr>
          <w:p w14:paraId="1B16538B"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407" w:type="pct"/>
            <w:shd w:val="clear" w:color="auto" w:fill="FFFFFF"/>
            <w:vAlign w:val="center"/>
          </w:tcPr>
          <w:p w14:paraId="428FC32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3FEA625A" w14:textId="77777777" w:rsidTr="00DD2AAE">
        <w:trPr>
          <w:trHeight w:val="357"/>
          <w:jc w:val="center"/>
        </w:trPr>
        <w:tc>
          <w:tcPr>
            <w:tcW w:w="930" w:type="pct"/>
            <w:gridSpan w:val="2"/>
            <w:shd w:val="clear" w:color="auto" w:fill="FFFFFF"/>
            <w:vAlign w:val="center"/>
          </w:tcPr>
          <w:p w14:paraId="759707F7"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JST</w:t>
            </w:r>
          </w:p>
        </w:tc>
        <w:tc>
          <w:tcPr>
            <w:tcW w:w="332" w:type="pct"/>
            <w:gridSpan w:val="2"/>
            <w:shd w:val="clear" w:color="auto" w:fill="FFFFFF"/>
          </w:tcPr>
          <w:p w14:paraId="3E197502"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71AAA55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3A94FB3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0076C20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66FD635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tcPr>
          <w:p w14:paraId="21D93603"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4" w:type="pct"/>
            <w:gridSpan w:val="2"/>
            <w:shd w:val="clear" w:color="auto" w:fill="FFFFFF"/>
          </w:tcPr>
          <w:p w14:paraId="24F9C684"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tcPr>
          <w:p w14:paraId="1D417CFD"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3"/>
            <w:shd w:val="clear" w:color="auto" w:fill="FFFFFF"/>
          </w:tcPr>
          <w:p w14:paraId="7464B0E0"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55E27FB4"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6D49FFD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407" w:type="pct"/>
            <w:shd w:val="clear" w:color="auto" w:fill="FFFFFF"/>
          </w:tcPr>
          <w:p w14:paraId="4AE7F68D"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7D79B8BC" w14:textId="77777777" w:rsidTr="00DD2AAE">
        <w:trPr>
          <w:trHeight w:val="357"/>
          <w:jc w:val="center"/>
        </w:trPr>
        <w:tc>
          <w:tcPr>
            <w:tcW w:w="930" w:type="pct"/>
            <w:gridSpan w:val="2"/>
            <w:shd w:val="clear" w:color="auto" w:fill="FFFFFF"/>
            <w:vAlign w:val="center"/>
          </w:tcPr>
          <w:p w14:paraId="1DCBFC73"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pozostałe jednostki (oddzielnie)</w:t>
            </w:r>
          </w:p>
        </w:tc>
        <w:tc>
          <w:tcPr>
            <w:tcW w:w="332" w:type="pct"/>
            <w:gridSpan w:val="2"/>
            <w:shd w:val="clear" w:color="auto" w:fill="FFFFFF"/>
          </w:tcPr>
          <w:p w14:paraId="35A094E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6C7C520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7864C683"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4D20914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7572ADE7"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tcPr>
          <w:p w14:paraId="4B8677F2"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4" w:type="pct"/>
            <w:gridSpan w:val="2"/>
            <w:shd w:val="clear" w:color="auto" w:fill="FFFFFF"/>
          </w:tcPr>
          <w:p w14:paraId="00B450A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4"/>
            <w:shd w:val="clear" w:color="auto" w:fill="FFFFFF"/>
          </w:tcPr>
          <w:p w14:paraId="208743C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3"/>
            <w:shd w:val="clear" w:color="auto" w:fill="FFFFFF"/>
          </w:tcPr>
          <w:p w14:paraId="003F0D3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gridSpan w:val="2"/>
            <w:shd w:val="clear" w:color="auto" w:fill="FFFFFF"/>
          </w:tcPr>
          <w:p w14:paraId="0DEAF4F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33" w:type="pct"/>
            <w:shd w:val="clear" w:color="auto" w:fill="FFFFFF"/>
          </w:tcPr>
          <w:p w14:paraId="09C4CB9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407" w:type="pct"/>
            <w:shd w:val="clear" w:color="auto" w:fill="FFFFFF"/>
          </w:tcPr>
          <w:p w14:paraId="5DC22E5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3C8CCDAF" w14:textId="77777777" w:rsidTr="00A84ADB">
        <w:trPr>
          <w:trHeight w:val="532"/>
          <w:jc w:val="center"/>
        </w:trPr>
        <w:tc>
          <w:tcPr>
            <w:tcW w:w="930" w:type="pct"/>
            <w:gridSpan w:val="2"/>
            <w:shd w:val="clear" w:color="auto" w:fill="FFFFFF"/>
            <w:vAlign w:val="center"/>
          </w:tcPr>
          <w:p w14:paraId="41B10433"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 xml:space="preserve">Źródła finansowania </w:t>
            </w:r>
          </w:p>
        </w:tc>
        <w:tc>
          <w:tcPr>
            <w:tcW w:w="4070" w:type="pct"/>
            <w:gridSpan w:val="25"/>
            <w:shd w:val="clear" w:color="auto" w:fill="FFFFFF"/>
            <w:vAlign w:val="center"/>
          </w:tcPr>
          <w:p w14:paraId="3EFAF4C4" w14:textId="77777777" w:rsidR="001C2F10" w:rsidRPr="00903E0A" w:rsidRDefault="001C2F10" w:rsidP="001C2F10">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tc>
      </w:tr>
      <w:tr w:rsidR="001C2F10" w:rsidRPr="00B22E18" w14:paraId="2192EB40" w14:textId="77777777" w:rsidTr="00A84ADB">
        <w:trPr>
          <w:trHeight w:val="1350"/>
          <w:jc w:val="center"/>
        </w:trPr>
        <w:tc>
          <w:tcPr>
            <w:tcW w:w="930" w:type="pct"/>
            <w:gridSpan w:val="2"/>
            <w:shd w:val="clear" w:color="auto" w:fill="FFFFFF"/>
          </w:tcPr>
          <w:p w14:paraId="00BB7B2F"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Dodatkowe informacje, w tym wskazanie źródeł danych i przyjętych do obliczeń założeń</w:t>
            </w:r>
          </w:p>
        </w:tc>
        <w:tc>
          <w:tcPr>
            <w:tcW w:w="4070" w:type="pct"/>
            <w:gridSpan w:val="25"/>
            <w:shd w:val="clear" w:color="auto" w:fill="FFFFFF"/>
          </w:tcPr>
          <w:p w14:paraId="33716DED" w14:textId="28E2E7D3" w:rsidR="001C2F10" w:rsidRPr="001D41B7" w:rsidRDefault="001C2F10" w:rsidP="001C2F10">
            <w:pPr>
              <w:widowControl w:val="0"/>
              <w:autoSpaceDE w:val="0"/>
              <w:autoSpaceDN w:val="0"/>
              <w:adjustRightInd w:val="0"/>
              <w:spacing w:before="60" w:after="60" w:line="240" w:lineRule="auto"/>
              <w:jc w:val="both"/>
              <w:rPr>
                <w:rFonts w:ascii="Times New Roman" w:eastAsia="Times New Roman" w:hAnsi="Times New Roman" w:cs="Times New Roman"/>
                <w:bCs/>
                <w:color w:val="FF0000"/>
                <w:lang w:eastAsia="pl-PL"/>
              </w:rPr>
            </w:pPr>
            <w:r w:rsidRPr="00257C83">
              <w:rPr>
                <w:rFonts w:ascii="Times New Roman" w:eastAsia="Times New Roman" w:hAnsi="Times New Roman" w:cs="Times New Roman"/>
                <w:lang w:eastAsia="pl-PL"/>
              </w:rPr>
              <w:t xml:space="preserve">Mając na uwadze wzrost przeciętnego wynagrodzenia w gospodarce narodowej w 2023 r. (7155,48 zł), </w:t>
            </w:r>
            <w:r w:rsidRPr="00257C83">
              <w:rPr>
                <w:rFonts w:ascii="Times New Roman" w:eastAsia="Times New Roman" w:hAnsi="Times New Roman" w:cs="Times New Roman"/>
                <w:bCs/>
                <w:lang w:eastAsia="pl-PL"/>
              </w:rPr>
              <w:t>ustalonego na podstawie art. 20 pkt 1 lit. a ustawy z dnia 17 grudnia 1998 r. o</w:t>
            </w:r>
            <w:r w:rsidR="0076794D">
              <w:rPr>
                <w:rFonts w:ascii="Times New Roman" w:eastAsia="Times New Roman" w:hAnsi="Times New Roman" w:cs="Times New Roman"/>
                <w:bCs/>
                <w:lang w:eastAsia="pl-PL"/>
              </w:rPr>
              <w:t> </w:t>
            </w:r>
            <w:r w:rsidRPr="00257C83">
              <w:rPr>
                <w:rFonts w:ascii="Times New Roman" w:eastAsia="Times New Roman" w:hAnsi="Times New Roman" w:cs="Times New Roman"/>
                <w:bCs/>
                <w:lang w:eastAsia="pl-PL"/>
              </w:rPr>
              <w:t>emeryturach i rentach z Funduszu Ubezpieczeń Społecznych (Dz. U. z 2023 r. poz. 1251, z</w:t>
            </w:r>
            <w:r w:rsidR="0076794D">
              <w:rPr>
                <w:rFonts w:ascii="Times New Roman" w:eastAsia="Times New Roman" w:hAnsi="Times New Roman" w:cs="Times New Roman"/>
                <w:bCs/>
                <w:lang w:eastAsia="pl-PL"/>
              </w:rPr>
              <w:t> </w:t>
            </w:r>
            <w:r w:rsidRPr="00257C83">
              <w:rPr>
                <w:rFonts w:ascii="Times New Roman" w:eastAsia="Times New Roman" w:hAnsi="Times New Roman" w:cs="Times New Roman"/>
                <w:bCs/>
                <w:lang w:eastAsia="pl-PL"/>
              </w:rPr>
              <w:t>późn. zm.) w stosunku do przeciętnego wynagrodzenia w gospodarce narodowej w 2022 r.</w:t>
            </w:r>
            <w:r w:rsidRPr="00257C83">
              <w:rPr>
                <w:rFonts w:ascii="Times New Roman" w:eastAsia="Times New Roman" w:hAnsi="Times New Roman" w:cs="Times New Roman"/>
                <w:lang w:eastAsia="pl-PL"/>
              </w:rPr>
              <w:t xml:space="preserve"> (</w:t>
            </w:r>
            <w:r w:rsidRPr="00257C83">
              <w:rPr>
                <w:rFonts w:ascii="Times New Roman" w:eastAsia="Times New Roman" w:hAnsi="Times New Roman" w:cs="Times New Roman"/>
                <w:bCs/>
                <w:lang w:eastAsia="pl-PL"/>
              </w:rPr>
              <w:t xml:space="preserve">6346,15 zł) </w:t>
            </w:r>
            <w:r w:rsidRPr="00257C83">
              <w:rPr>
                <w:rFonts w:ascii="Times New Roman" w:eastAsia="Times New Roman" w:hAnsi="Times New Roman" w:cs="Times New Roman"/>
                <w:lang w:eastAsia="pl-PL"/>
              </w:rPr>
              <w:t xml:space="preserve">w projekcie przewidziano zmniejszenie opłaty za uczestnictwo w aplikacji legislacyjnej. Na podstawie obecnie obowiązującego rozporządzenia </w:t>
            </w:r>
            <w:r w:rsidR="0076794D">
              <w:rPr>
                <w:rFonts w:ascii="Times New Roman" w:eastAsia="Times New Roman" w:hAnsi="Times New Roman" w:cs="Times New Roman"/>
                <w:lang w:eastAsia="pl-PL"/>
              </w:rPr>
              <w:t>o</w:t>
            </w:r>
            <w:r w:rsidRPr="00257C83">
              <w:rPr>
                <w:rFonts w:ascii="Times New Roman" w:eastAsia="Times New Roman" w:hAnsi="Times New Roman" w:cs="Times New Roman"/>
                <w:lang w:eastAsia="pl-PL"/>
              </w:rPr>
              <w:t>płata za uczestnictwo w</w:t>
            </w:r>
            <w:r w:rsidR="0076794D">
              <w:rPr>
                <w:rFonts w:ascii="Times New Roman" w:eastAsia="Times New Roman" w:hAnsi="Times New Roman" w:cs="Times New Roman"/>
                <w:lang w:eastAsia="pl-PL"/>
              </w:rPr>
              <w:t> </w:t>
            </w:r>
            <w:r w:rsidRPr="00257C83">
              <w:rPr>
                <w:rFonts w:ascii="Times New Roman" w:eastAsia="Times New Roman" w:hAnsi="Times New Roman" w:cs="Times New Roman"/>
                <w:lang w:eastAsia="pl-PL"/>
              </w:rPr>
              <w:t xml:space="preserve">aplikacji wynosi </w:t>
            </w:r>
            <w:bookmarkStart w:id="0" w:name="_GoBack"/>
            <w:bookmarkEnd w:id="0"/>
            <w:r w:rsidRPr="00257C83">
              <w:rPr>
                <w:rFonts w:ascii="Times New Roman" w:eastAsia="Times New Roman" w:hAnsi="Times New Roman" w:cs="Times New Roman"/>
                <w:lang w:eastAsia="pl-PL"/>
              </w:rPr>
              <w:t xml:space="preserve">5-krotność przeciętnego wynagrodzenia </w:t>
            </w:r>
            <w:r w:rsidRPr="00EA3010">
              <w:rPr>
                <w:rFonts w:ascii="Times New Roman" w:eastAsia="Times New Roman" w:hAnsi="Times New Roman" w:cs="Times New Roman"/>
                <w:lang w:eastAsia="pl-PL"/>
              </w:rPr>
              <w:t>w</w:t>
            </w:r>
            <w:r w:rsidRPr="00257C83">
              <w:rPr>
                <w:rFonts w:ascii="Times New Roman" w:eastAsia="Times New Roman" w:hAnsi="Times New Roman" w:cs="Times New Roman"/>
                <w:lang w:eastAsia="pl-PL"/>
              </w:rPr>
              <w:t xml:space="preserve"> gospodarce narodowej ogłaszanego przez Prezesa Głównego Urzędu Statystycznego, co jest równe kwocie 35 777,4 zł.</w:t>
            </w:r>
            <w:r w:rsidRPr="00257C83">
              <w:rPr>
                <w:rFonts w:ascii="Times New Roman" w:eastAsia="Times New Roman" w:hAnsi="Times New Roman" w:cs="Times New Roman"/>
                <w:bCs/>
                <w:lang w:eastAsia="pl-PL"/>
              </w:rPr>
              <w:t xml:space="preserve"> Projekt rozporządzenia przewiduje obniżenie wysokości opłaty za uczestnictwo w aplikacji do</w:t>
            </w:r>
            <w:r w:rsidRPr="00257C83">
              <w:rPr>
                <w:rFonts w:ascii="Times New Roman" w:eastAsia="Times New Roman" w:hAnsi="Times New Roman" w:cs="Times New Roman"/>
                <w:b/>
                <w:bCs/>
                <w:lang w:eastAsia="pl-PL"/>
              </w:rPr>
              <w:t xml:space="preserve"> </w:t>
            </w:r>
            <w:r w:rsidRPr="00257C83">
              <w:rPr>
                <w:rFonts w:ascii="Times New Roman" w:eastAsia="Times New Roman" w:hAnsi="Times New Roman" w:cs="Times New Roman"/>
                <w:bCs/>
                <w:lang w:eastAsia="pl-PL"/>
              </w:rPr>
              <w:t xml:space="preserve">wysokości 4-krotności przeciętnego wynagrodzenia, co daje kwotę 28 621,92 zł. </w:t>
            </w:r>
            <w:r>
              <w:rPr>
                <w:rFonts w:ascii="Times New Roman" w:eastAsia="Times New Roman" w:hAnsi="Times New Roman" w:cs="Times New Roman"/>
                <w:bCs/>
                <w:lang w:eastAsia="pl-PL"/>
              </w:rPr>
              <w:t xml:space="preserve">Obniżenie opłaty za uczestnictwo w aplikacji legislacyjnej w edycji 2024/2025 umożliwi zaoszczędzenie podmiotowi kierującemu na aplikację pracownika kwotę w wysokości </w:t>
            </w:r>
            <w:r w:rsidRPr="00451848">
              <w:rPr>
                <w:rFonts w:ascii="Times New Roman" w:eastAsia="Times New Roman" w:hAnsi="Times New Roman" w:cs="Times New Roman"/>
                <w:bCs/>
                <w:lang w:eastAsia="pl-PL"/>
              </w:rPr>
              <w:t>7 155,48</w:t>
            </w:r>
            <w:r>
              <w:rPr>
                <w:rFonts w:ascii="Times New Roman" w:eastAsia="Times New Roman" w:hAnsi="Times New Roman" w:cs="Times New Roman"/>
                <w:bCs/>
                <w:lang w:eastAsia="pl-PL"/>
              </w:rPr>
              <w:t xml:space="preserve"> zł. </w:t>
            </w:r>
            <w:r w:rsidRPr="00D16ED5">
              <w:rPr>
                <w:rFonts w:ascii="Times New Roman" w:eastAsia="Times New Roman" w:hAnsi="Times New Roman" w:cs="Times New Roman"/>
                <w:bCs/>
                <w:lang w:eastAsia="pl-PL"/>
              </w:rPr>
              <w:t xml:space="preserve">Skutki przedstawione w okresie 10 lat nie uwzględniają wzrostu przeciętnego wynagrodzenia </w:t>
            </w:r>
            <w:r w:rsidRPr="00D16ED5">
              <w:rPr>
                <w:rFonts w:ascii="Times New Roman" w:eastAsia="Times New Roman" w:hAnsi="Times New Roman" w:cs="Times New Roman"/>
                <w:lang w:eastAsia="pl-PL"/>
              </w:rPr>
              <w:t>w</w:t>
            </w:r>
            <w:r w:rsidR="0076794D">
              <w:rPr>
                <w:rFonts w:ascii="Times New Roman" w:eastAsia="Times New Roman" w:hAnsi="Times New Roman" w:cs="Times New Roman"/>
                <w:lang w:eastAsia="pl-PL"/>
              </w:rPr>
              <w:t> </w:t>
            </w:r>
            <w:r w:rsidRPr="00D16ED5">
              <w:rPr>
                <w:rFonts w:ascii="Times New Roman" w:eastAsia="Times New Roman" w:hAnsi="Times New Roman" w:cs="Times New Roman"/>
                <w:lang w:eastAsia="pl-PL"/>
              </w:rPr>
              <w:t>gospodarce narodowej ogłaszanego przez Prezesa Głównego Urzędu Statystycznego za rok poprzedzający rozpoczęcie aplikacji jak również nie uwzględniają zakwalifikowanej liczby osób do udziału w aplikacji w poszczególnych latach. Brak jest możliwości oszacowania podziału skutków wprowadzanej regulacji pomiędzy jednostkami sektora finansów publicznych ( budżet państwa, JST i pozostałe jednostki). Wprowadzana regulacja nie spowoduje skutków finansowych dla budżetu państwa, z uwagi na fakt, że obniżenie opłaty za aplikację legislacyjną spowoduje zmniejszenie dochodów do budżetu państwa przy jednoczesnym zmniejszeniu wydatków z budżetu państwa na pokrycie opłat z tytułu uczestnictwa w aplikacji legislacyjnej.</w:t>
            </w:r>
          </w:p>
        </w:tc>
      </w:tr>
      <w:tr w:rsidR="001C2F10" w:rsidRPr="00B22E18" w14:paraId="6E685484" w14:textId="77777777" w:rsidTr="00A84ADB">
        <w:trPr>
          <w:trHeight w:val="345"/>
          <w:jc w:val="center"/>
        </w:trPr>
        <w:tc>
          <w:tcPr>
            <w:tcW w:w="5000" w:type="pct"/>
            <w:gridSpan w:val="27"/>
            <w:shd w:val="clear" w:color="auto" w:fill="99CCFF"/>
          </w:tcPr>
          <w:p w14:paraId="1C57C68A" w14:textId="77777777" w:rsidR="001C2F10" w:rsidRPr="00BF6C9E" w:rsidRDefault="001C2F10" w:rsidP="001C2F10">
            <w:pPr>
              <w:tabs>
                <w:tab w:val="num" w:pos="360"/>
              </w:tabs>
              <w:spacing w:before="60" w:after="60" w:line="240" w:lineRule="auto"/>
              <w:ind w:left="318" w:hanging="284"/>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7.</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 xml:space="preserve">Wpływ na konkurencyjność gospodarki i przedsiębiorczość, w tym funkcjonowanie przedsiębiorców, oraz na rodzinę, obywateli i gospodarstwa domowe </w:t>
            </w:r>
          </w:p>
        </w:tc>
      </w:tr>
      <w:tr w:rsidR="001C2F10" w:rsidRPr="00B22E18" w14:paraId="30E9523C" w14:textId="77777777" w:rsidTr="00A84ADB">
        <w:trPr>
          <w:trHeight w:val="142"/>
          <w:jc w:val="center"/>
        </w:trPr>
        <w:tc>
          <w:tcPr>
            <w:tcW w:w="5000" w:type="pct"/>
            <w:gridSpan w:val="27"/>
            <w:shd w:val="clear" w:color="auto" w:fill="FFFFFF"/>
          </w:tcPr>
          <w:p w14:paraId="337F2CE0" w14:textId="77777777" w:rsidR="001C2F10" w:rsidRPr="00BF6C9E" w:rsidRDefault="001C2F10" w:rsidP="001C2F10">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Skutki</w:t>
            </w:r>
          </w:p>
        </w:tc>
      </w:tr>
      <w:tr w:rsidR="001C2F10" w:rsidRPr="00B22E18" w14:paraId="29E3F7EF" w14:textId="77777777" w:rsidTr="00DD2AAE">
        <w:trPr>
          <w:trHeight w:val="142"/>
          <w:jc w:val="center"/>
        </w:trPr>
        <w:tc>
          <w:tcPr>
            <w:tcW w:w="2080" w:type="pct"/>
            <w:gridSpan w:val="8"/>
            <w:shd w:val="clear" w:color="auto" w:fill="FFFFFF"/>
          </w:tcPr>
          <w:p w14:paraId="02049ED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Czas w latach od wejścia w życie zmian</w:t>
            </w:r>
          </w:p>
        </w:tc>
        <w:tc>
          <w:tcPr>
            <w:tcW w:w="597" w:type="pct"/>
            <w:gridSpan w:val="3"/>
            <w:shd w:val="clear" w:color="auto" w:fill="FFFFFF"/>
          </w:tcPr>
          <w:p w14:paraId="064F60AD" w14:textId="77777777" w:rsidR="001C2F10" w:rsidRPr="00BF6C9E" w:rsidRDefault="001C2F10" w:rsidP="001C2F10">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0</w:t>
            </w:r>
          </w:p>
        </w:tc>
        <w:tc>
          <w:tcPr>
            <w:tcW w:w="288" w:type="pct"/>
            <w:gridSpan w:val="4"/>
            <w:shd w:val="clear" w:color="auto" w:fill="FFFFFF"/>
          </w:tcPr>
          <w:p w14:paraId="2E3C7EE7" w14:textId="77777777" w:rsidR="001C2F10" w:rsidRPr="00BF6C9E" w:rsidRDefault="001C2F10" w:rsidP="001C2F10">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1</w:t>
            </w:r>
          </w:p>
        </w:tc>
        <w:tc>
          <w:tcPr>
            <w:tcW w:w="320" w:type="pct"/>
            <w:gridSpan w:val="2"/>
            <w:shd w:val="clear" w:color="auto" w:fill="FFFFFF"/>
          </w:tcPr>
          <w:p w14:paraId="61DD3B46" w14:textId="77777777" w:rsidR="001C2F10" w:rsidRPr="00BF6C9E" w:rsidRDefault="001C2F10" w:rsidP="001C2F10">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2</w:t>
            </w:r>
          </w:p>
        </w:tc>
        <w:tc>
          <w:tcPr>
            <w:tcW w:w="294" w:type="pct"/>
            <w:gridSpan w:val="2"/>
            <w:shd w:val="clear" w:color="auto" w:fill="FFFFFF"/>
          </w:tcPr>
          <w:p w14:paraId="7F37D570" w14:textId="77777777" w:rsidR="001C2F10" w:rsidRPr="00BF6C9E" w:rsidRDefault="001C2F10" w:rsidP="001C2F10">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3</w:t>
            </w:r>
          </w:p>
        </w:tc>
        <w:tc>
          <w:tcPr>
            <w:tcW w:w="295" w:type="pct"/>
            <w:gridSpan w:val="3"/>
            <w:shd w:val="clear" w:color="auto" w:fill="FFFFFF"/>
          </w:tcPr>
          <w:p w14:paraId="1C042C84" w14:textId="77777777" w:rsidR="001C2F10" w:rsidRPr="00BF6C9E" w:rsidRDefault="001C2F10" w:rsidP="001C2F10">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5</w:t>
            </w:r>
          </w:p>
        </w:tc>
        <w:tc>
          <w:tcPr>
            <w:tcW w:w="327" w:type="pct"/>
            <w:gridSpan w:val="2"/>
            <w:shd w:val="clear" w:color="auto" w:fill="FFFFFF"/>
          </w:tcPr>
          <w:p w14:paraId="672C7D1F" w14:textId="77777777" w:rsidR="001C2F10" w:rsidRPr="00BF6C9E" w:rsidRDefault="001C2F10" w:rsidP="001C2F10">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10</w:t>
            </w:r>
          </w:p>
        </w:tc>
        <w:tc>
          <w:tcPr>
            <w:tcW w:w="799" w:type="pct"/>
            <w:gridSpan w:val="3"/>
            <w:shd w:val="clear" w:color="auto" w:fill="FFFFFF"/>
          </w:tcPr>
          <w:p w14:paraId="30C8FECE" w14:textId="77777777" w:rsidR="001C2F10" w:rsidRPr="00BF6C9E" w:rsidRDefault="001C2F10" w:rsidP="001C2F10">
            <w:pPr>
              <w:widowControl w:val="0"/>
              <w:autoSpaceDE w:val="0"/>
              <w:autoSpaceDN w:val="0"/>
              <w:adjustRightInd w:val="0"/>
              <w:spacing w:before="60" w:after="60" w:line="240" w:lineRule="auto"/>
              <w:jc w:val="center"/>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Łącznie</w:t>
            </w:r>
            <w:r w:rsidRPr="00BF6C9E" w:rsidDel="0073273A">
              <w:rPr>
                <w:rFonts w:ascii="Times New Roman" w:eastAsia="Times New Roman" w:hAnsi="Times New Roman" w:cs="Times New Roman"/>
                <w:lang w:eastAsia="pl-PL"/>
              </w:rPr>
              <w:t xml:space="preserve"> </w:t>
            </w:r>
            <w:r w:rsidRPr="00BF6C9E">
              <w:rPr>
                <w:rFonts w:ascii="Times New Roman" w:eastAsia="Times New Roman" w:hAnsi="Times New Roman" w:cs="Times New Roman"/>
                <w:lang w:eastAsia="pl-PL"/>
              </w:rPr>
              <w:t>(0–10)</w:t>
            </w:r>
          </w:p>
        </w:tc>
      </w:tr>
      <w:tr w:rsidR="001C2F10" w:rsidRPr="00B22E18" w14:paraId="573F98DD" w14:textId="77777777" w:rsidTr="00A84ADB">
        <w:trPr>
          <w:trHeight w:val="142"/>
          <w:jc w:val="center"/>
        </w:trPr>
        <w:tc>
          <w:tcPr>
            <w:tcW w:w="743" w:type="pct"/>
            <w:vMerge w:val="restart"/>
            <w:shd w:val="clear" w:color="auto" w:fill="FFFFFF"/>
          </w:tcPr>
          <w:p w14:paraId="29AB502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 xml:space="preserve">W ujęciu </w:t>
            </w:r>
            <w:r w:rsidRPr="00BF6C9E">
              <w:rPr>
                <w:rFonts w:ascii="Times New Roman" w:eastAsia="Times New Roman" w:hAnsi="Times New Roman" w:cs="Times New Roman"/>
                <w:lang w:eastAsia="pl-PL"/>
              </w:rPr>
              <w:lastRenderedPageBreak/>
              <w:t>pieniężnym</w:t>
            </w:r>
          </w:p>
          <w:p w14:paraId="2C2F018C"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 xml:space="preserve">(w mln zł, </w:t>
            </w:r>
          </w:p>
          <w:p w14:paraId="225B2ABB"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ceny stałe z …… r.)</w:t>
            </w:r>
          </w:p>
        </w:tc>
        <w:tc>
          <w:tcPr>
            <w:tcW w:w="1337" w:type="pct"/>
            <w:gridSpan w:val="7"/>
            <w:shd w:val="clear" w:color="auto" w:fill="FFFFFF"/>
          </w:tcPr>
          <w:p w14:paraId="1E831DBB"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lastRenderedPageBreak/>
              <w:t>duże przedsiębiorstwa</w:t>
            </w:r>
          </w:p>
        </w:tc>
        <w:tc>
          <w:tcPr>
            <w:tcW w:w="597" w:type="pct"/>
            <w:gridSpan w:val="3"/>
            <w:shd w:val="clear" w:color="auto" w:fill="FFFFFF"/>
          </w:tcPr>
          <w:p w14:paraId="27184196"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88" w:type="pct"/>
            <w:gridSpan w:val="4"/>
            <w:shd w:val="clear" w:color="auto" w:fill="FFFFFF"/>
          </w:tcPr>
          <w:p w14:paraId="6898E93D"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20" w:type="pct"/>
            <w:gridSpan w:val="2"/>
            <w:shd w:val="clear" w:color="auto" w:fill="FFFFFF"/>
          </w:tcPr>
          <w:p w14:paraId="4D38A984"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94" w:type="pct"/>
            <w:gridSpan w:val="2"/>
            <w:shd w:val="clear" w:color="auto" w:fill="FFFFFF"/>
          </w:tcPr>
          <w:p w14:paraId="11CC1D6C"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95" w:type="pct"/>
            <w:gridSpan w:val="3"/>
            <w:shd w:val="clear" w:color="auto" w:fill="FFFFFF"/>
          </w:tcPr>
          <w:p w14:paraId="5E91845C"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27" w:type="pct"/>
            <w:gridSpan w:val="2"/>
            <w:shd w:val="clear" w:color="auto" w:fill="FFFFFF"/>
          </w:tcPr>
          <w:p w14:paraId="0F8FAC3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799" w:type="pct"/>
            <w:gridSpan w:val="3"/>
            <w:shd w:val="clear" w:color="auto" w:fill="FFFFFF"/>
          </w:tcPr>
          <w:p w14:paraId="15CF92C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7B60595D" w14:textId="77777777" w:rsidTr="00A84ADB">
        <w:trPr>
          <w:trHeight w:val="142"/>
          <w:jc w:val="center"/>
        </w:trPr>
        <w:tc>
          <w:tcPr>
            <w:tcW w:w="743" w:type="pct"/>
            <w:vMerge/>
            <w:shd w:val="clear" w:color="auto" w:fill="FFFFFF"/>
          </w:tcPr>
          <w:p w14:paraId="3DD840AF"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1337" w:type="pct"/>
            <w:gridSpan w:val="7"/>
            <w:shd w:val="clear" w:color="auto" w:fill="FFFFFF"/>
          </w:tcPr>
          <w:p w14:paraId="2C3650B8"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sektor mikro-, małych i średnich przedsiębiorstw</w:t>
            </w:r>
          </w:p>
        </w:tc>
        <w:tc>
          <w:tcPr>
            <w:tcW w:w="597" w:type="pct"/>
            <w:gridSpan w:val="3"/>
            <w:shd w:val="clear" w:color="auto" w:fill="FFFFFF"/>
          </w:tcPr>
          <w:p w14:paraId="3AC35FD6"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88" w:type="pct"/>
            <w:gridSpan w:val="4"/>
            <w:shd w:val="clear" w:color="auto" w:fill="FFFFFF"/>
          </w:tcPr>
          <w:p w14:paraId="7440690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20" w:type="pct"/>
            <w:gridSpan w:val="2"/>
            <w:shd w:val="clear" w:color="auto" w:fill="FFFFFF"/>
          </w:tcPr>
          <w:p w14:paraId="660A655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94" w:type="pct"/>
            <w:gridSpan w:val="2"/>
            <w:shd w:val="clear" w:color="auto" w:fill="FFFFFF"/>
          </w:tcPr>
          <w:p w14:paraId="37DFC4F4"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95" w:type="pct"/>
            <w:gridSpan w:val="3"/>
            <w:shd w:val="clear" w:color="auto" w:fill="FFFFFF"/>
          </w:tcPr>
          <w:p w14:paraId="1E939D82"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27" w:type="pct"/>
            <w:gridSpan w:val="2"/>
            <w:shd w:val="clear" w:color="auto" w:fill="FFFFFF"/>
          </w:tcPr>
          <w:p w14:paraId="200E480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799" w:type="pct"/>
            <w:gridSpan w:val="3"/>
            <w:shd w:val="clear" w:color="auto" w:fill="FFFFFF"/>
          </w:tcPr>
          <w:p w14:paraId="5EEE69D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2EFE41B3" w14:textId="77777777" w:rsidTr="00A84ADB">
        <w:trPr>
          <w:trHeight w:val="142"/>
          <w:jc w:val="center"/>
        </w:trPr>
        <w:tc>
          <w:tcPr>
            <w:tcW w:w="743" w:type="pct"/>
            <w:vMerge/>
            <w:shd w:val="clear" w:color="auto" w:fill="FFFFFF"/>
          </w:tcPr>
          <w:p w14:paraId="3A513E52"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1337" w:type="pct"/>
            <w:gridSpan w:val="7"/>
            <w:shd w:val="clear" w:color="auto" w:fill="FFFFFF"/>
          </w:tcPr>
          <w:p w14:paraId="59D09B3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rodzina, obywatele oraz gospodarstwa domowe</w:t>
            </w:r>
          </w:p>
        </w:tc>
        <w:tc>
          <w:tcPr>
            <w:tcW w:w="597" w:type="pct"/>
            <w:gridSpan w:val="3"/>
            <w:shd w:val="clear" w:color="auto" w:fill="FFFFFF"/>
          </w:tcPr>
          <w:p w14:paraId="32E06FF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88" w:type="pct"/>
            <w:gridSpan w:val="4"/>
            <w:shd w:val="clear" w:color="auto" w:fill="FFFFFF"/>
          </w:tcPr>
          <w:p w14:paraId="67352E46"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20" w:type="pct"/>
            <w:gridSpan w:val="2"/>
            <w:shd w:val="clear" w:color="auto" w:fill="FFFFFF"/>
          </w:tcPr>
          <w:p w14:paraId="7E3D2CCF"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94" w:type="pct"/>
            <w:gridSpan w:val="2"/>
            <w:shd w:val="clear" w:color="auto" w:fill="FFFFFF"/>
          </w:tcPr>
          <w:p w14:paraId="0BED0B4C"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95" w:type="pct"/>
            <w:gridSpan w:val="3"/>
            <w:shd w:val="clear" w:color="auto" w:fill="FFFFFF"/>
          </w:tcPr>
          <w:p w14:paraId="1FD70D1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327" w:type="pct"/>
            <w:gridSpan w:val="2"/>
            <w:shd w:val="clear" w:color="auto" w:fill="FFFFFF"/>
          </w:tcPr>
          <w:p w14:paraId="181E2B30"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799" w:type="pct"/>
            <w:gridSpan w:val="3"/>
            <w:shd w:val="clear" w:color="auto" w:fill="FFFFFF"/>
          </w:tcPr>
          <w:p w14:paraId="586B7F44"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38127841" w14:textId="77777777" w:rsidTr="00DD2AAE">
        <w:trPr>
          <w:trHeight w:val="142"/>
          <w:jc w:val="center"/>
        </w:trPr>
        <w:tc>
          <w:tcPr>
            <w:tcW w:w="743" w:type="pct"/>
            <w:vMerge w:val="restart"/>
            <w:shd w:val="clear" w:color="auto" w:fill="FFFFFF"/>
          </w:tcPr>
          <w:p w14:paraId="6B2B3C6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W ujęciu niepieniężnym</w:t>
            </w:r>
          </w:p>
        </w:tc>
        <w:tc>
          <w:tcPr>
            <w:tcW w:w="1337" w:type="pct"/>
            <w:gridSpan w:val="7"/>
            <w:shd w:val="clear" w:color="auto" w:fill="FFFFFF"/>
          </w:tcPr>
          <w:p w14:paraId="74B8329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duże przedsiębiorstwa</w:t>
            </w:r>
          </w:p>
        </w:tc>
        <w:tc>
          <w:tcPr>
            <w:tcW w:w="2920" w:type="pct"/>
            <w:gridSpan w:val="19"/>
            <w:shd w:val="clear" w:color="auto" w:fill="FFFFFF"/>
          </w:tcPr>
          <w:p w14:paraId="5979FE02"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4DB085A4" w14:textId="77777777" w:rsidTr="00DD2AAE">
        <w:trPr>
          <w:trHeight w:val="142"/>
          <w:jc w:val="center"/>
        </w:trPr>
        <w:tc>
          <w:tcPr>
            <w:tcW w:w="743" w:type="pct"/>
            <w:vMerge/>
            <w:shd w:val="clear" w:color="auto" w:fill="FFFFFF"/>
          </w:tcPr>
          <w:p w14:paraId="379C342C"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1337" w:type="pct"/>
            <w:gridSpan w:val="7"/>
            <w:shd w:val="clear" w:color="auto" w:fill="FFFFFF"/>
          </w:tcPr>
          <w:p w14:paraId="7E8A5EA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sektor mikro-, małych i średnich przedsiębiorstw</w:t>
            </w:r>
          </w:p>
        </w:tc>
        <w:tc>
          <w:tcPr>
            <w:tcW w:w="2920" w:type="pct"/>
            <w:gridSpan w:val="19"/>
            <w:shd w:val="clear" w:color="auto" w:fill="FFFFFF"/>
          </w:tcPr>
          <w:p w14:paraId="1D5E821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63406C13" w14:textId="77777777" w:rsidTr="00DD2AAE">
        <w:trPr>
          <w:trHeight w:val="596"/>
          <w:jc w:val="center"/>
        </w:trPr>
        <w:tc>
          <w:tcPr>
            <w:tcW w:w="743" w:type="pct"/>
            <w:vMerge/>
            <w:shd w:val="clear" w:color="auto" w:fill="FFFFFF"/>
          </w:tcPr>
          <w:p w14:paraId="0803B8A7"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1337" w:type="pct"/>
            <w:gridSpan w:val="7"/>
            <w:shd w:val="clear" w:color="auto" w:fill="FFFFFF"/>
          </w:tcPr>
          <w:p w14:paraId="11CF8A8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 xml:space="preserve">rodzina, obywatele oraz gospodarstwa domowe </w:t>
            </w:r>
          </w:p>
        </w:tc>
        <w:tc>
          <w:tcPr>
            <w:tcW w:w="2920" w:type="pct"/>
            <w:gridSpan w:val="19"/>
            <w:shd w:val="clear" w:color="auto" w:fill="FFFFFF"/>
          </w:tcPr>
          <w:p w14:paraId="6201344D"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6ECACE1A" w14:textId="77777777" w:rsidTr="00DD2AAE">
        <w:trPr>
          <w:trHeight w:val="142"/>
          <w:jc w:val="center"/>
        </w:trPr>
        <w:tc>
          <w:tcPr>
            <w:tcW w:w="743" w:type="pct"/>
            <w:shd w:val="clear" w:color="auto" w:fill="FFFFFF"/>
          </w:tcPr>
          <w:p w14:paraId="397F09A4"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Niemierzalne</w:t>
            </w:r>
          </w:p>
        </w:tc>
        <w:tc>
          <w:tcPr>
            <w:tcW w:w="1337" w:type="pct"/>
            <w:gridSpan w:val="7"/>
            <w:shd w:val="clear" w:color="auto" w:fill="FFFFFF"/>
          </w:tcPr>
          <w:p w14:paraId="59A1B244"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c>
          <w:tcPr>
            <w:tcW w:w="2920" w:type="pct"/>
            <w:gridSpan w:val="19"/>
            <w:shd w:val="clear" w:color="auto" w:fill="FFFFFF"/>
          </w:tcPr>
          <w:p w14:paraId="2B40C4C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p>
        </w:tc>
      </w:tr>
      <w:tr w:rsidR="001C2F10" w:rsidRPr="00B22E18" w14:paraId="2991980A" w14:textId="77777777" w:rsidTr="00A84ADB">
        <w:trPr>
          <w:trHeight w:val="1123"/>
          <w:jc w:val="center"/>
        </w:trPr>
        <w:tc>
          <w:tcPr>
            <w:tcW w:w="930" w:type="pct"/>
            <w:gridSpan w:val="2"/>
            <w:shd w:val="clear" w:color="auto" w:fill="FFFFFF"/>
            <w:vAlign w:val="center"/>
          </w:tcPr>
          <w:p w14:paraId="7551AF48"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 xml:space="preserve">Dodatkowe informacje, w tym wskazanie źródeł danych i przyjętych do obliczeń założeń </w:t>
            </w:r>
          </w:p>
        </w:tc>
        <w:tc>
          <w:tcPr>
            <w:tcW w:w="4070" w:type="pct"/>
            <w:gridSpan w:val="25"/>
            <w:shd w:val="clear" w:color="auto" w:fill="FFFFFF"/>
            <w:vAlign w:val="center"/>
          </w:tcPr>
          <w:p w14:paraId="59BE5677" w14:textId="77777777" w:rsidR="001C2F10" w:rsidRPr="00BF6C9E" w:rsidRDefault="001C2F10" w:rsidP="001C2F10">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Regulacja nie wpłynie na konkurencyjność gospodarki i przedsiębiorczość, w tym funkcjonowanie przedsiębiorców, oraz na sytuację ekonomiczną i społeczną rodziny, a</w:t>
            </w:r>
            <w:r>
              <w:rPr>
                <w:rFonts w:ascii="Times New Roman" w:eastAsia="Times New Roman" w:hAnsi="Times New Roman" w:cs="Times New Roman"/>
                <w:lang w:eastAsia="pl-PL"/>
              </w:rPr>
              <w:t> </w:t>
            </w:r>
            <w:r w:rsidRPr="00BF6C9E">
              <w:rPr>
                <w:rFonts w:ascii="Times New Roman" w:eastAsia="Times New Roman" w:hAnsi="Times New Roman" w:cs="Times New Roman"/>
                <w:lang w:eastAsia="pl-PL"/>
              </w:rPr>
              <w:t>także osób niepełnosprawnych oraz osób starszych.</w:t>
            </w:r>
          </w:p>
          <w:p w14:paraId="7607F010" w14:textId="77777777" w:rsidR="001C2F10" w:rsidRPr="00BF6C9E" w:rsidRDefault="001C2F10" w:rsidP="001C2F10">
            <w:pPr>
              <w:widowControl w:val="0"/>
              <w:autoSpaceDE w:val="0"/>
              <w:autoSpaceDN w:val="0"/>
              <w:adjustRightInd w:val="0"/>
              <w:spacing w:before="60" w:after="60" w:line="240" w:lineRule="auto"/>
              <w:jc w:val="both"/>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Rozporządzenie nie zawiera przepisów dotyczących zasad podejmowania, wykonywania lub zakończenia działalności gospodarczej, regulacji dotyczących majątkowych praw i</w:t>
            </w:r>
            <w:r>
              <w:rPr>
                <w:rFonts w:ascii="Times New Roman" w:eastAsia="Times New Roman" w:hAnsi="Times New Roman" w:cs="Times New Roman"/>
                <w:lang w:eastAsia="pl-PL"/>
              </w:rPr>
              <w:t> </w:t>
            </w:r>
            <w:r w:rsidRPr="00BF6C9E">
              <w:rPr>
                <w:rFonts w:ascii="Times New Roman" w:eastAsia="Times New Roman" w:hAnsi="Times New Roman" w:cs="Times New Roman"/>
                <w:lang w:eastAsia="pl-PL"/>
              </w:rPr>
              <w:t>obowiązków przedsiębiorców lub praw i obowiązków przedsiębiorców wobec organów administracji publicznej.</w:t>
            </w:r>
          </w:p>
        </w:tc>
      </w:tr>
      <w:tr w:rsidR="001C2F10" w:rsidRPr="00B22E18" w14:paraId="175334CE" w14:textId="77777777" w:rsidTr="00A84ADB">
        <w:trPr>
          <w:trHeight w:val="342"/>
          <w:jc w:val="center"/>
        </w:trPr>
        <w:tc>
          <w:tcPr>
            <w:tcW w:w="5000" w:type="pct"/>
            <w:gridSpan w:val="27"/>
            <w:shd w:val="clear" w:color="auto" w:fill="99CCFF"/>
            <w:vAlign w:val="center"/>
          </w:tcPr>
          <w:p w14:paraId="518285C8" w14:textId="77777777" w:rsidR="001C2F10" w:rsidRPr="00BF6C9E" w:rsidRDefault="001C2F10" w:rsidP="001C2F10">
            <w:pPr>
              <w:keepNext/>
              <w:tabs>
                <w:tab w:val="num" w:pos="360"/>
              </w:tabs>
              <w:spacing w:before="60" w:after="60" w:line="240" w:lineRule="auto"/>
              <w:ind w:left="318" w:hanging="284"/>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8.</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Zmiana obciążeń regulacyjnych (w tym obowiązków informacyjnych) wynikających z projektu</w:t>
            </w:r>
          </w:p>
        </w:tc>
      </w:tr>
      <w:tr w:rsidR="001C2F10" w:rsidRPr="00B22E18" w14:paraId="7F9ABB54" w14:textId="77777777" w:rsidTr="00A84ADB">
        <w:trPr>
          <w:trHeight w:val="151"/>
          <w:jc w:val="center"/>
        </w:trPr>
        <w:tc>
          <w:tcPr>
            <w:tcW w:w="5000" w:type="pct"/>
            <w:gridSpan w:val="27"/>
            <w:shd w:val="clear" w:color="auto" w:fill="FFFFFF"/>
          </w:tcPr>
          <w:p w14:paraId="6E1D92EF"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
                  <w:enabled/>
                  <w:calcOnExit w:val="0"/>
                  <w:checkBox>
                    <w:sizeAuto/>
                    <w:default w:val="1"/>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nie dotyczy</w:t>
            </w:r>
          </w:p>
        </w:tc>
      </w:tr>
      <w:tr w:rsidR="001C2F10" w:rsidRPr="00B22E18" w14:paraId="2EEE0B28" w14:textId="77777777" w:rsidTr="00A84ADB">
        <w:trPr>
          <w:trHeight w:val="946"/>
          <w:jc w:val="center"/>
        </w:trPr>
        <w:tc>
          <w:tcPr>
            <w:tcW w:w="2763" w:type="pct"/>
            <w:gridSpan w:val="12"/>
            <w:shd w:val="clear" w:color="auto" w:fill="FFFFFF"/>
          </w:tcPr>
          <w:p w14:paraId="6E1183EB"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Wprowadzane są obciążenia poza bezwzględnie wymaganymi przez UE (szczegóły w odwróconej tabeli zgodności).</w:t>
            </w:r>
          </w:p>
        </w:tc>
        <w:tc>
          <w:tcPr>
            <w:tcW w:w="2237" w:type="pct"/>
            <w:gridSpan w:val="15"/>
            <w:shd w:val="clear" w:color="auto" w:fill="FFFFFF"/>
          </w:tcPr>
          <w:p w14:paraId="30FEB8B2"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tak</w:t>
            </w:r>
          </w:p>
          <w:p w14:paraId="370054E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nie</w:t>
            </w:r>
          </w:p>
          <w:p w14:paraId="22C65D17"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nie dotyczy</w:t>
            </w:r>
          </w:p>
        </w:tc>
      </w:tr>
      <w:tr w:rsidR="001C2F10" w:rsidRPr="00B22E18" w14:paraId="1BA2168B" w14:textId="77777777" w:rsidTr="00A84ADB">
        <w:trPr>
          <w:trHeight w:val="1245"/>
          <w:jc w:val="center"/>
        </w:trPr>
        <w:tc>
          <w:tcPr>
            <w:tcW w:w="2763" w:type="pct"/>
            <w:gridSpan w:val="12"/>
            <w:shd w:val="clear" w:color="auto" w:fill="FFFFFF"/>
          </w:tcPr>
          <w:p w14:paraId="7D2EC22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zmniejszenie liczby dokumentów </w:t>
            </w:r>
          </w:p>
          <w:p w14:paraId="05DBADC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zmniejszenie liczby procedur</w:t>
            </w:r>
          </w:p>
          <w:p w14:paraId="57A6BA7B"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skrócenie czasu na załatwienie sprawy</w:t>
            </w:r>
          </w:p>
          <w:p w14:paraId="324CDEF2"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inne: </w:t>
            </w:r>
          </w:p>
        </w:tc>
        <w:tc>
          <w:tcPr>
            <w:tcW w:w="2237" w:type="pct"/>
            <w:gridSpan w:val="15"/>
            <w:shd w:val="clear" w:color="auto" w:fill="FFFFFF"/>
          </w:tcPr>
          <w:p w14:paraId="4A11B0B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zwiększenie liczby dokumentów</w:t>
            </w:r>
          </w:p>
          <w:p w14:paraId="23B575A3"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zwiększenie liczby procedur</w:t>
            </w:r>
          </w:p>
          <w:p w14:paraId="036EAC2F"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wydłużenie czasu na załatwienie sprawy</w:t>
            </w:r>
          </w:p>
          <w:p w14:paraId="47D042DE"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inne: </w:t>
            </w:r>
          </w:p>
        </w:tc>
      </w:tr>
      <w:tr w:rsidR="001C2F10" w:rsidRPr="00B22E18" w14:paraId="03FBA12A" w14:textId="77777777" w:rsidTr="00A84ADB">
        <w:trPr>
          <w:trHeight w:val="870"/>
          <w:jc w:val="center"/>
        </w:trPr>
        <w:tc>
          <w:tcPr>
            <w:tcW w:w="2763" w:type="pct"/>
            <w:gridSpan w:val="12"/>
            <w:shd w:val="clear" w:color="auto" w:fill="FFFFFF"/>
          </w:tcPr>
          <w:p w14:paraId="34478872"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 xml:space="preserve">Wprowadzane obciążenia są przystosowane do ich elektronizacji. </w:t>
            </w:r>
          </w:p>
        </w:tc>
        <w:tc>
          <w:tcPr>
            <w:tcW w:w="2237" w:type="pct"/>
            <w:gridSpan w:val="15"/>
            <w:shd w:val="clear" w:color="auto" w:fill="FFFFFF"/>
          </w:tcPr>
          <w:p w14:paraId="374A4EDD"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tak</w:t>
            </w:r>
          </w:p>
          <w:p w14:paraId="38C038C5"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nie</w:t>
            </w:r>
          </w:p>
          <w:p w14:paraId="414EB828"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nie dotyczy</w:t>
            </w:r>
          </w:p>
        </w:tc>
      </w:tr>
      <w:tr w:rsidR="001C2F10" w:rsidRPr="00B22E18" w14:paraId="47B332A9" w14:textId="77777777" w:rsidTr="00A84ADB">
        <w:trPr>
          <w:trHeight w:val="630"/>
          <w:jc w:val="center"/>
        </w:trPr>
        <w:tc>
          <w:tcPr>
            <w:tcW w:w="5000" w:type="pct"/>
            <w:gridSpan w:val="27"/>
            <w:shd w:val="clear" w:color="auto" w:fill="FFFFFF"/>
          </w:tcPr>
          <w:p w14:paraId="6762786F"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Komentarz:</w:t>
            </w:r>
          </w:p>
        </w:tc>
      </w:tr>
      <w:tr w:rsidR="001C2F10" w:rsidRPr="00B22E18" w14:paraId="069ABD5B" w14:textId="77777777" w:rsidTr="00A84ADB">
        <w:trPr>
          <w:trHeight w:val="142"/>
          <w:jc w:val="center"/>
        </w:trPr>
        <w:tc>
          <w:tcPr>
            <w:tcW w:w="5000" w:type="pct"/>
            <w:gridSpan w:val="27"/>
            <w:shd w:val="clear" w:color="auto" w:fill="99CCFF"/>
          </w:tcPr>
          <w:p w14:paraId="40AB4C4B" w14:textId="77777777" w:rsidR="001C2F10" w:rsidRPr="00BF6C9E" w:rsidRDefault="001C2F10" w:rsidP="001C2F10">
            <w:pPr>
              <w:tabs>
                <w:tab w:val="num" w:pos="360"/>
              </w:tabs>
              <w:spacing w:before="60" w:after="60" w:line="240" w:lineRule="auto"/>
              <w:ind w:left="318" w:hanging="284"/>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9.</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 xml:space="preserve">Wpływ na rynek pracy </w:t>
            </w:r>
          </w:p>
        </w:tc>
      </w:tr>
      <w:tr w:rsidR="001C2F10" w:rsidRPr="00B22E18" w14:paraId="4A9B122B" w14:textId="77777777" w:rsidTr="00A84ADB">
        <w:trPr>
          <w:trHeight w:val="142"/>
          <w:jc w:val="center"/>
        </w:trPr>
        <w:tc>
          <w:tcPr>
            <w:tcW w:w="5000" w:type="pct"/>
            <w:gridSpan w:val="27"/>
            <w:shd w:val="clear" w:color="auto" w:fill="auto"/>
          </w:tcPr>
          <w:p w14:paraId="795EF2F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Zaproponowane rozwiązanie nie będzie miało wpływu na rynek pracy.</w:t>
            </w:r>
          </w:p>
        </w:tc>
      </w:tr>
      <w:tr w:rsidR="001C2F10" w:rsidRPr="00B22E18" w14:paraId="4C875EF4" w14:textId="77777777" w:rsidTr="00A84ADB">
        <w:trPr>
          <w:trHeight w:val="142"/>
          <w:jc w:val="center"/>
        </w:trPr>
        <w:tc>
          <w:tcPr>
            <w:tcW w:w="5000" w:type="pct"/>
            <w:gridSpan w:val="27"/>
            <w:shd w:val="clear" w:color="auto" w:fill="99CCFF"/>
          </w:tcPr>
          <w:p w14:paraId="3A14D6F6" w14:textId="77777777" w:rsidR="001C2F10" w:rsidRPr="00BF6C9E" w:rsidRDefault="001C2F10" w:rsidP="001C2F10">
            <w:pPr>
              <w:tabs>
                <w:tab w:val="num" w:pos="360"/>
              </w:tabs>
              <w:spacing w:before="60" w:after="60" w:line="240" w:lineRule="auto"/>
              <w:ind w:left="360" w:hanging="360"/>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10.</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Wpływ na pozostałe obszary</w:t>
            </w:r>
          </w:p>
        </w:tc>
      </w:tr>
      <w:tr w:rsidR="001C2F10" w:rsidRPr="00B22E18" w14:paraId="399A16AC" w14:textId="77777777" w:rsidTr="00A84ADB">
        <w:trPr>
          <w:trHeight w:val="1031"/>
          <w:jc w:val="center"/>
        </w:trPr>
        <w:tc>
          <w:tcPr>
            <w:tcW w:w="1812" w:type="pct"/>
            <w:gridSpan w:val="6"/>
            <w:shd w:val="clear" w:color="auto" w:fill="FFFFFF"/>
          </w:tcPr>
          <w:p w14:paraId="00528A57"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środowisko naturalne</w:t>
            </w:r>
          </w:p>
          <w:p w14:paraId="7991DAF5"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sytuacja i rozwój regionalny</w:t>
            </w:r>
          </w:p>
          <w:p w14:paraId="6B89E16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sądy powszechne, administracyjne lub wojskowe</w:t>
            </w:r>
          </w:p>
        </w:tc>
        <w:tc>
          <w:tcPr>
            <w:tcW w:w="1713" w:type="pct"/>
            <w:gridSpan w:val="12"/>
            <w:shd w:val="clear" w:color="auto" w:fill="FFFFFF"/>
          </w:tcPr>
          <w:p w14:paraId="239983D7"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demografia</w:t>
            </w:r>
          </w:p>
          <w:p w14:paraId="53638AF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mienie państwowe</w:t>
            </w:r>
          </w:p>
          <w:p w14:paraId="2CD7515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inne </w:t>
            </w:r>
          </w:p>
        </w:tc>
        <w:tc>
          <w:tcPr>
            <w:tcW w:w="1475" w:type="pct"/>
            <w:gridSpan w:val="9"/>
            <w:shd w:val="clear" w:color="auto" w:fill="FFFFFF"/>
          </w:tcPr>
          <w:p w14:paraId="5B57689D"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informatyzacja</w:t>
            </w:r>
          </w:p>
          <w:p w14:paraId="43554738"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fldChar w:fldCharType="begin">
                <w:ffData>
                  <w:name w:val="Wybór1"/>
                  <w:enabled/>
                  <w:calcOnExit w:val="0"/>
                  <w:checkBox>
                    <w:sizeAuto/>
                    <w:default w:val="0"/>
                  </w:checkBox>
                </w:ffData>
              </w:fldChar>
            </w:r>
            <w:r w:rsidRPr="00BF6C9E">
              <w:rPr>
                <w:rFonts w:ascii="Times New Roman" w:eastAsia="Times New Roman" w:hAnsi="Times New Roman" w:cs="Times New Roman"/>
                <w:lang w:eastAsia="pl-PL"/>
              </w:rPr>
              <w:instrText xml:space="preserve"> FORMCHECKBOX </w:instrText>
            </w:r>
            <w:r w:rsidR="006E1A3A">
              <w:rPr>
                <w:rFonts w:ascii="Times New Roman" w:eastAsia="Times New Roman" w:hAnsi="Times New Roman" w:cs="Times New Roman"/>
                <w:lang w:eastAsia="pl-PL"/>
              </w:rPr>
            </w:r>
            <w:r w:rsidR="006E1A3A">
              <w:rPr>
                <w:rFonts w:ascii="Times New Roman" w:eastAsia="Times New Roman" w:hAnsi="Times New Roman" w:cs="Times New Roman"/>
                <w:lang w:eastAsia="pl-PL"/>
              </w:rPr>
              <w:fldChar w:fldCharType="separate"/>
            </w:r>
            <w:r w:rsidRPr="00BF6C9E">
              <w:rPr>
                <w:rFonts w:ascii="Times New Roman" w:eastAsia="Times New Roman" w:hAnsi="Times New Roman" w:cs="Times New Roman"/>
                <w:lang w:eastAsia="pl-PL"/>
              </w:rPr>
              <w:fldChar w:fldCharType="end"/>
            </w:r>
            <w:r w:rsidRPr="00BF6C9E">
              <w:rPr>
                <w:rFonts w:ascii="Times New Roman" w:eastAsia="Times New Roman" w:hAnsi="Times New Roman" w:cs="Times New Roman"/>
                <w:lang w:eastAsia="pl-PL"/>
              </w:rPr>
              <w:t xml:space="preserve"> zdrowie</w:t>
            </w:r>
          </w:p>
        </w:tc>
      </w:tr>
      <w:tr w:rsidR="001C2F10" w:rsidRPr="00B22E18" w14:paraId="64C18604" w14:textId="77777777" w:rsidTr="00A84ADB">
        <w:trPr>
          <w:trHeight w:val="712"/>
          <w:jc w:val="center"/>
        </w:trPr>
        <w:tc>
          <w:tcPr>
            <w:tcW w:w="930" w:type="pct"/>
            <w:gridSpan w:val="2"/>
            <w:shd w:val="clear" w:color="auto" w:fill="FFFFFF"/>
            <w:vAlign w:val="center"/>
          </w:tcPr>
          <w:p w14:paraId="67648A77"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Omówienie wpływu</w:t>
            </w:r>
          </w:p>
        </w:tc>
        <w:tc>
          <w:tcPr>
            <w:tcW w:w="4070" w:type="pct"/>
            <w:gridSpan w:val="25"/>
            <w:shd w:val="clear" w:color="auto" w:fill="FFFFFF"/>
            <w:vAlign w:val="center"/>
          </w:tcPr>
          <w:p w14:paraId="1720EA1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Brak wpływu na ww. obszary.</w:t>
            </w:r>
          </w:p>
        </w:tc>
      </w:tr>
      <w:tr w:rsidR="001C2F10" w:rsidRPr="00B22E18" w14:paraId="648E04AC" w14:textId="77777777" w:rsidTr="00A84ADB">
        <w:trPr>
          <w:trHeight w:val="142"/>
          <w:jc w:val="center"/>
        </w:trPr>
        <w:tc>
          <w:tcPr>
            <w:tcW w:w="5000" w:type="pct"/>
            <w:gridSpan w:val="27"/>
            <w:shd w:val="clear" w:color="auto" w:fill="99CCFF"/>
          </w:tcPr>
          <w:p w14:paraId="6F3F257C" w14:textId="77777777" w:rsidR="001C2F10" w:rsidRPr="00BF6C9E" w:rsidRDefault="001C2F10" w:rsidP="001C2F10">
            <w:pPr>
              <w:tabs>
                <w:tab w:val="num" w:pos="360"/>
              </w:tabs>
              <w:spacing w:before="60" w:after="60" w:line="240" w:lineRule="auto"/>
              <w:ind w:left="360" w:hanging="360"/>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11.</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Planowane wykonanie przepisów aktu prawnego</w:t>
            </w:r>
          </w:p>
        </w:tc>
      </w:tr>
      <w:tr w:rsidR="001C2F10" w:rsidRPr="00B22E18" w14:paraId="01F3C52A" w14:textId="77777777" w:rsidTr="00A84ADB">
        <w:trPr>
          <w:trHeight w:val="142"/>
          <w:jc w:val="center"/>
        </w:trPr>
        <w:tc>
          <w:tcPr>
            <w:tcW w:w="5000" w:type="pct"/>
            <w:gridSpan w:val="27"/>
            <w:shd w:val="clear" w:color="auto" w:fill="FFFFFF"/>
          </w:tcPr>
          <w:p w14:paraId="375639CA"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8808E4">
              <w:rPr>
                <w:rFonts w:ascii="Times New Roman" w:eastAsia="Times New Roman" w:hAnsi="Times New Roman" w:cs="Times New Roman"/>
                <w:lang w:eastAsia="pl-PL"/>
              </w:rPr>
              <w:t>Rozporządzenie wejdzie w życie z dniem</w:t>
            </w:r>
            <w:r>
              <w:rPr>
                <w:rFonts w:ascii="Times New Roman" w:eastAsia="Times New Roman" w:hAnsi="Times New Roman" w:cs="Times New Roman"/>
                <w:lang w:eastAsia="pl-PL"/>
              </w:rPr>
              <w:t xml:space="preserve"> następującym po dniu ogłoszenia.</w:t>
            </w:r>
          </w:p>
        </w:tc>
      </w:tr>
      <w:tr w:rsidR="001C2F10" w:rsidRPr="00B22E18" w14:paraId="40321E9B" w14:textId="77777777" w:rsidTr="00A84ADB">
        <w:trPr>
          <w:trHeight w:val="142"/>
          <w:jc w:val="center"/>
        </w:trPr>
        <w:tc>
          <w:tcPr>
            <w:tcW w:w="5000" w:type="pct"/>
            <w:gridSpan w:val="27"/>
            <w:shd w:val="clear" w:color="auto" w:fill="99CCFF"/>
          </w:tcPr>
          <w:p w14:paraId="7FDF9A5F" w14:textId="77777777" w:rsidR="001C2F10" w:rsidRPr="00BF6C9E" w:rsidRDefault="001C2F10" w:rsidP="001C2F10">
            <w:pPr>
              <w:tabs>
                <w:tab w:val="num" w:pos="360"/>
              </w:tabs>
              <w:spacing w:before="60" w:after="60" w:line="240" w:lineRule="auto"/>
              <w:ind w:left="360" w:hanging="360"/>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12.</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W jaki sposób i kiedy nastąpi ewaluacja efektów projektu oraz jakie mierniki zostaną zastosowane?</w:t>
            </w:r>
          </w:p>
        </w:tc>
      </w:tr>
      <w:tr w:rsidR="001C2F10" w:rsidRPr="00B22E18" w14:paraId="1D93BF3C" w14:textId="77777777" w:rsidTr="00A84ADB">
        <w:trPr>
          <w:trHeight w:val="142"/>
          <w:jc w:val="center"/>
        </w:trPr>
        <w:tc>
          <w:tcPr>
            <w:tcW w:w="5000" w:type="pct"/>
            <w:gridSpan w:val="27"/>
            <w:shd w:val="clear" w:color="auto" w:fill="FFFFFF"/>
          </w:tcPr>
          <w:p w14:paraId="5DCD0709"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t>Nie przewiduje się ewaluacji efektów projektu.</w:t>
            </w:r>
          </w:p>
        </w:tc>
      </w:tr>
      <w:tr w:rsidR="001C2F10" w:rsidRPr="00B22E18" w14:paraId="7B33B137" w14:textId="77777777" w:rsidTr="00A84ADB">
        <w:trPr>
          <w:trHeight w:val="142"/>
          <w:jc w:val="center"/>
        </w:trPr>
        <w:tc>
          <w:tcPr>
            <w:tcW w:w="5000" w:type="pct"/>
            <w:gridSpan w:val="27"/>
            <w:shd w:val="clear" w:color="auto" w:fill="99CCFF"/>
          </w:tcPr>
          <w:p w14:paraId="481C27E7" w14:textId="77777777" w:rsidR="001C2F10" w:rsidRPr="00BF6C9E" w:rsidRDefault="001C2F10" w:rsidP="001C2F10">
            <w:pPr>
              <w:tabs>
                <w:tab w:val="num" w:pos="360"/>
              </w:tabs>
              <w:spacing w:before="60" w:after="60" w:line="240" w:lineRule="auto"/>
              <w:ind w:left="360" w:hanging="360"/>
              <w:jc w:val="both"/>
              <w:rPr>
                <w:rFonts w:ascii="Times New Roman" w:eastAsia="Times New Roman" w:hAnsi="Times New Roman" w:cs="Times New Roman"/>
                <w:b/>
                <w:lang w:eastAsia="pl-PL"/>
              </w:rPr>
            </w:pPr>
            <w:r w:rsidRPr="00BF6C9E">
              <w:rPr>
                <w:rFonts w:ascii="Times New Roman" w:eastAsia="Times New Roman" w:hAnsi="Times New Roman" w:cs="Times New Roman"/>
                <w:b/>
                <w:lang w:eastAsia="pl-PL"/>
              </w:rPr>
              <w:t>13.</w:t>
            </w:r>
            <w:r>
              <w:rPr>
                <w:rFonts w:ascii="Times New Roman" w:eastAsia="Times New Roman" w:hAnsi="Times New Roman" w:cs="Times New Roman"/>
                <w:b/>
                <w:lang w:eastAsia="pl-PL"/>
              </w:rPr>
              <w:tab/>
            </w:r>
            <w:r w:rsidRPr="00BF6C9E">
              <w:rPr>
                <w:rFonts w:ascii="Times New Roman" w:eastAsia="Times New Roman" w:hAnsi="Times New Roman" w:cs="Times New Roman"/>
                <w:b/>
                <w:lang w:eastAsia="pl-PL"/>
              </w:rPr>
              <w:t>Załączniki</w:t>
            </w:r>
          </w:p>
        </w:tc>
      </w:tr>
      <w:tr w:rsidR="001C2F10" w:rsidRPr="00B22E18" w14:paraId="0C5C662C" w14:textId="77777777" w:rsidTr="00A84ADB">
        <w:trPr>
          <w:trHeight w:val="142"/>
          <w:jc w:val="center"/>
        </w:trPr>
        <w:tc>
          <w:tcPr>
            <w:tcW w:w="5000" w:type="pct"/>
            <w:gridSpan w:val="27"/>
            <w:shd w:val="clear" w:color="auto" w:fill="FFFFFF"/>
          </w:tcPr>
          <w:p w14:paraId="09228531" w14:textId="77777777" w:rsidR="001C2F10" w:rsidRPr="00BF6C9E" w:rsidRDefault="001C2F10" w:rsidP="001C2F10">
            <w:pPr>
              <w:widowControl w:val="0"/>
              <w:autoSpaceDE w:val="0"/>
              <w:autoSpaceDN w:val="0"/>
              <w:adjustRightInd w:val="0"/>
              <w:spacing w:before="60" w:after="60" w:line="240" w:lineRule="auto"/>
              <w:rPr>
                <w:rFonts w:ascii="Times New Roman" w:eastAsia="Times New Roman" w:hAnsi="Times New Roman" w:cs="Times New Roman"/>
                <w:lang w:eastAsia="pl-PL"/>
              </w:rPr>
            </w:pPr>
            <w:r w:rsidRPr="00BF6C9E">
              <w:rPr>
                <w:rFonts w:ascii="Times New Roman" w:eastAsia="Times New Roman" w:hAnsi="Times New Roman" w:cs="Times New Roman"/>
                <w:lang w:eastAsia="pl-PL"/>
              </w:rPr>
              <w:lastRenderedPageBreak/>
              <w:t>Brak.</w:t>
            </w:r>
          </w:p>
        </w:tc>
      </w:tr>
    </w:tbl>
    <w:p w14:paraId="4FC85065" w14:textId="77777777" w:rsidR="00D35313" w:rsidRDefault="00D35313"/>
    <w:sectPr w:rsidR="00D35313" w:rsidSect="00BF6C9E">
      <w:footerReference w:type="default" r:id="rId8"/>
      <w:pgSz w:w="11906" w:h="16838"/>
      <w:pgMar w:top="567" w:right="709"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6319" w14:textId="77777777" w:rsidR="006E1A3A" w:rsidRDefault="006E1A3A" w:rsidP="00817768">
      <w:pPr>
        <w:spacing w:after="0" w:line="240" w:lineRule="auto"/>
      </w:pPr>
      <w:r>
        <w:separator/>
      </w:r>
    </w:p>
  </w:endnote>
  <w:endnote w:type="continuationSeparator" w:id="0">
    <w:p w14:paraId="573FE540" w14:textId="77777777" w:rsidR="006E1A3A" w:rsidRDefault="006E1A3A" w:rsidP="0081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78000"/>
      <w:docPartObj>
        <w:docPartGallery w:val="Page Numbers (Bottom of Page)"/>
        <w:docPartUnique/>
      </w:docPartObj>
    </w:sdtPr>
    <w:sdtEndPr>
      <w:rPr>
        <w:rFonts w:ascii="Times New Roman" w:hAnsi="Times New Roman" w:cs="Times New Roman"/>
        <w:sz w:val="24"/>
      </w:rPr>
    </w:sdtEndPr>
    <w:sdtContent>
      <w:p w14:paraId="5BBE6DC4" w14:textId="77777777" w:rsidR="00817768" w:rsidRPr="00817768" w:rsidRDefault="00817768" w:rsidP="00817768">
        <w:pPr>
          <w:pStyle w:val="Stopka"/>
          <w:jc w:val="center"/>
          <w:rPr>
            <w:rFonts w:ascii="Times New Roman" w:hAnsi="Times New Roman" w:cs="Times New Roman"/>
            <w:sz w:val="24"/>
          </w:rPr>
        </w:pPr>
        <w:r w:rsidRPr="00817768">
          <w:rPr>
            <w:rFonts w:ascii="Times New Roman" w:hAnsi="Times New Roman" w:cs="Times New Roman"/>
            <w:sz w:val="24"/>
          </w:rPr>
          <w:fldChar w:fldCharType="begin"/>
        </w:r>
        <w:r w:rsidRPr="00817768">
          <w:rPr>
            <w:rFonts w:ascii="Times New Roman" w:hAnsi="Times New Roman" w:cs="Times New Roman"/>
            <w:sz w:val="24"/>
          </w:rPr>
          <w:instrText>PAGE   \* MERGEFORMAT</w:instrText>
        </w:r>
        <w:r w:rsidRPr="00817768">
          <w:rPr>
            <w:rFonts w:ascii="Times New Roman" w:hAnsi="Times New Roman" w:cs="Times New Roman"/>
            <w:sz w:val="24"/>
          </w:rPr>
          <w:fldChar w:fldCharType="separate"/>
        </w:r>
        <w:r w:rsidR="00D75367">
          <w:rPr>
            <w:rFonts w:ascii="Times New Roman" w:hAnsi="Times New Roman" w:cs="Times New Roman"/>
            <w:noProof/>
            <w:sz w:val="24"/>
          </w:rPr>
          <w:t>4</w:t>
        </w:r>
        <w:r w:rsidRPr="00817768">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BBDF" w14:textId="77777777" w:rsidR="006E1A3A" w:rsidRDefault="006E1A3A" w:rsidP="00817768">
      <w:pPr>
        <w:spacing w:after="0" w:line="240" w:lineRule="auto"/>
      </w:pPr>
      <w:r>
        <w:separator/>
      </w:r>
    </w:p>
  </w:footnote>
  <w:footnote w:type="continuationSeparator" w:id="0">
    <w:p w14:paraId="119A4B5F" w14:textId="77777777" w:rsidR="006E1A3A" w:rsidRDefault="006E1A3A" w:rsidP="00817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49A6"/>
    <w:multiLevelType w:val="hybridMultilevel"/>
    <w:tmpl w:val="4658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07826"/>
    <w:multiLevelType w:val="hybridMultilevel"/>
    <w:tmpl w:val="3AB8E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120E59"/>
    <w:multiLevelType w:val="hybridMultilevel"/>
    <w:tmpl w:val="C9E60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AD4D1C"/>
    <w:multiLevelType w:val="hybridMultilevel"/>
    <w:tmpl w:val="C9E606B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7375FA"/>
    <w:multiLevelType w:val="hybridMultilevel"/>
    <w:tmpl w:val="95427D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18"/>
    <w:rsid w:val="0000233C"/>
    <w:rsid w:val="0002533A"/>
    <w:rsid w:val="00034553"/>
    <w:rsid w:val="0009144E"/>
    <w:rsid w:val="00093E7E"/>
    <w:rsid w:val="000A3BED"/>
    <w:rsid w:val="000A6F3C"/>
    <w:rsid w:val="000C50CC"/>
    <w:rsid w:val="000E5727"/>
    <w:rsid w:val="000F415B"/>
    <w:rsid w:val="0010514F"/>
    <w:rsid w:val="00124253"/>
    <w:rsid w:val="001347E7"/>
    <w:rsid w:val="00156C37"/>
    <w:rsid w:val="00161196"/>
    <w:rsid w:val="00161BF5"/>
    <w:rsid w:val="00174E39"/>
    <w:rsid w:val="001C2F10"/>
    <w:rsid w:val="001D41B7"/>
    <w:rsid w:val="001D67AB"/>
    <w:rsid w:val="00210786"/>
    <w:rsid w:val="00212939"/>
    <w:rsid w:val="00224C64"/>
    <w:rsid w:val="00233CD6"/>
    <w:rsid w:val="0024538F"/>
    <w:rsid w:val="00245CB4"/>
    <w:rsid w:val="002502FD"/>
    <w:rsid w:val="00257C83"/>
    <w:rsid w:val="002652E5"/>
    <w:rsid w:val="00277584"/>
    <w:rsid w:val="002B422D"/>
    <w:rsid w:val="002C0A69"/>
    <w:rsid w:val="0031492A"/>
    <w:rsid w:val="003776B2"/>
    <w:rsid w:val="00395CB8"/>
    <w:rsid w:val="00405B6A"/>
    <w:rsid w:val="0041464E"/>
    <w:rsid w:val="004210E6"/>
    <w:rsid w:val="004354B5"/>
    <w:rsid w:val="0044096D"/>
    <w:rsid w:val="00441AD5"/>
    <w:rsid w:val="00451848"/>
    <w:rsid w:val="004724B4"/>
    <w:rsid w:val="004800D2"/>
    <w:rsid w:val="00483EE5"/>
    <w:rsid w:val="00486720"/>
    <w:rsid w:val="004A18B7"/>
    <w:rsid w:val="004B17B6"/>
    <w:rsid w:val="004D194C"/>
    <w:rsid w:val="00500E4E"/>
    <w:rsid w:val="0052194F"/>
    <w:rsid w:val="00540932"/>
    <w:rsid w:val="0057118B"/>
    <w:rsid w:val="005865AD"/>
    <w:rsid w:val="00596290"/>
    <w:rsid w:val="005D75BA"/>
    <w:rsid w:val="005E163C"/>
    <w:rsid w:val="005E484E"/>
    <w:rsid w:val="005F604B"/>
    <w:rsid w:val="00623F9F"/>
    <w:rsid w:val="0062680E"/>
    <w:rsid w:val="00651417"/>
    <w:rsid w:val="00656B80"/>
    <w:rsid w:val="006A4779"/>
    <w:rsid w:val="006A4D0C"/>
    <w:rsid w:val="006B7F1F"/>
    <w:rsid w:val="006C4BBD"/>
    <w:rsid w:val="006E1A3A"/>
    <w:rsid w:val="006F5061"/>
    <w:rsid w:val="0075121A"/>
    <w:rsid w:val="007606B0"/>
    <w:rsid w:val="0076794D"/>
    <w:rsid w:val="00776945"/>
    <w:rsid w:val="00781570"/>
    <w:rsid w:val="0079038E"/>
    <w:rsid w:val="007A14A9"/>
    <w:rsid w:val="007B24E1"/>
    <w:rsid w:val="007C5DAF"/>
    <w:rsid w:val="007D21F4"/>
    <w:rsid w:val="007D4C53"/>
    <w:rsid w:val="007F7D8A"/>
    <w:rsid w:val="00817768"/>
    <w:rsid w:val="00844AFC"/>
    <w:rsid w:val="0086149B"/>
    <w:rsid w:val="008808E4"/>
    <w:rsid w:val="008860F1"/>
    <w:rsid w:val="008A3E8B"/>
    <w:rsid w:val="008B08DF"/>
    <w:rsid w:val="008C30FC"/>
    <w:rsid w:val="008D47F0"/>
    <w:rsid w:val="008E0AF0"/>
    <w:rsid w:val="008F1592"/>
    <w:rsid w:val="008F2EC1"/>
    <w:rsid w:val="00903E0A"/>
    <w:rsid w:val="009133E9"/>
    <w:rsid w:val="009211FE"/>
    <w:rsid w:val="00921C27"/>
    <w:rsid w:val="00970AAD"/>
    <w:rsid w:val="00982B1F"/>
    <w:rsid w:val="009C6F0F"/>
    <w:rsid w:val="009E019E"/>
    <w:rsid w:val="009E14E7"/>
    <w:rsid w:val="009E4005"/>
    <w:rsid w:val="00A3504B"/>
    <w:rsid w:val="00A4249F"/>
    <w:rsid w:val="00A541C9"/>
    <w:rsid w:val="00A7559E"/>
    <w:rsid w:val="00A777E6"/>
    <w:rsid w:val="00A84ADB"/>
    <w:rsid w:val="00A91293"/>
    <w:rsid w:val="00A95BB6"/>
    <w:rsid w:val="00A96189"/>
    <w:rsid w:val="00AE606B"/>
    <w:rsid w:val="00AF538B"/>
    <w:rsid w:val="00B22E18"/>
    <w:rsid w:val="00B24E16"/>
    <w:rsid w:val="00B27098"/>
    <w:rsid w:val="00B3549E"/>
    <w:rsid w:val="00B43761"/>
    <w:rsid w:val="00B5764E"/>
    <w:rsid w:val="00B577DC"/>
    <w:rsid w:val="00B84E8D"/>
    <w:rsid w:val="00B85E1C"/>
    <w:rsid w:val="00BB5534"/>
    <w:rsid w:val="00BB7E61"/>
    <w:rsid w:val="00BC3BBE"/>
    <w:rsid w:val="00BC5F38"/>
    <w:rsid w:val="00BF19BF"/>
    <w:rsid w:val="00BF6C9E"/>
    <w:rsid w:val="00C0446C"/>
    <w:rsid w:val="00C35F3F"/>
    <w:rsid w:val="00C62CB6"/>
    <w:rsid w:val="00C9597E"/>
    <w:rsid w:val="00CA5E12"/>
    <w:rsid w:val="00CE1FD9"/>
    <w:rsid w:val="00CF426E"/>
    <w:rsid w:val="00D15B46"/>
    <w:rsid w:val="00D16ED5"/>
    <w:rsid w:val="00D26546"/>
    <w:rsid w:val="00D35313"/>
    <w:rsid w:val="00D75367"/>
    <w:rsid w:val="00DA26DA"/>
    <w:rsid w:val="00DD2AAE"/>
    <w:rsid w:val="00DE261D"/>
    <w:rsid w:val="00DF16CA"/>
    <w:rsid w:val="00E055FF"/>
    <w:rsid w:val="00E31702"/>
    <w:rsid w:val="00E50070"/>
    <w:rsid w:val="00E532F6"/>
    <w:rsid w:val="00E60657"/>
    <w:rsid w:val="00E96CD2"/>
    <w:rsid w:val="00EA3010"/>
    <w:rsid w:val="00EB7B22"/>
    <w:rsid w:val="00EE5846"/>
    <w:rsid w:val="00F459B7"/>
    <w:rsid w:val="00FB302F"/>
    <w:rsid w:val="00FC0274"/>
    <w:rsid w:val="00FC15C5"/>
    <w:rsid w:val="00FE058F"/>
    <w:rsid w:val="00FE1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8565"/>
  <w15:chartTrackingRefBased/>
  <w15:docId w15:val="{14AF1B91-A598-4F0D-A08C-9973214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2E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2E18"/>
    <w:rPr>
      <w:rFonts w:ascii="Segoe UI" w:hAnsi="Segoe UI" w:cs="Segoe UI"/>
      <w:sz w:val="18"/>
      <w:szCs w:val="18"/>
    </w:rPr>
  </w:style>
  <w:style w:type="paragraph" w:styleId="Nagwek">
    <w:name w:val="header"/>
    <w:basedOn w:val="Normalny"/>
    <w:link w:val="NagwekZnak"/>
    <w:uiPriority w:val="99"/>
    <w:unhideWhenUsed/>
    <w:rsid w:val="00817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768"/>
  </w:style>
  <w:style w:type="paragraph" w:styleId="Stopka">
    <w:name w:val="footer"/>
    <w:basedOn w:val="Normalny"/>
    <w:link w:val="StopkaZnak"/>
    <w:uiPriority w:val="99"/>
    <w:unhideWhenUsed/>
    <w:rsid w:val="00817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768"/>
  </w:style>
  <w:style w:type="character" w:styleId="Odwoaniedokomentarza">
    <w:name w:val="annotation reference"/>
    <w:basedOn w:val="Domylnaczcionkaakapitu"/>
    <w:uiPriority w:val="99"/>
    <w:semiHidden/>
    <w:unhideWhenUsed/>
    <w:rsid w:val="0086149B"/>
    <w:rPr>
      <w:sz w:val="16"/>
      <w:szCs w:val="16"/>
    </w:rPr>
  </w:style>
  <w:style w:type="paragraph" w:styleId="Tekstkomentarza">
    <w:name w:val="annotation text"/>
    <w:basedOn w:val="Normalny"/>
    <w:link w:val="TekstkomentarzaZnak"/>
    <w:uiPriority w:val="99"/>
    <w:semiHidden/>
    <w:unhideWhenUsed/>
    <w:rsid w:val="008614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149B"/>
    <w:rPr>
      <w:sz w:val="20"/>
      <w:szCs w:val="20"/>
    </w:rPr>
  </w:style>
  <w:style w:type="paragraph" w:styleId="Tematkomentarza">
    <w:name w:val="annotation subject"/>
    <w:basedOn w:val="Tekstkomentarza"/>
    <w:next w:val="Tekstkomentarza"/>
    <w:link w:val="TematkomentarzaZnak"/>
    <w:uiPriority w:val="99"/>
    <w:semiHidden/>
    <w:unhideWhenUsed/>
    <w:rsid w:val="0086149B"/>
    <w:rPr>
      <w:b/>
      <w:bCs/>
    </w:rPr>
  </w:style>
  <w:style w:type="character" w:customStyle="1" w:styleId="TematkomentarzaZnak">
    <w:name w:val="Temat komentarza Znak"/>
    <w:basedOn w:val="TekstkomentarzaZnak"/>
    <w:link w:val="Tematkomentarza"/>
    <w:uiPriority w:val="99"/>
    <w:semiHidden/>
    <w:rsid w:val="0086149B"/>
    <w:rPr>
      <w:b/>
      <w:bCs/>
      <w:sz w:val="20"/>
      <w:szCs w:val="20"/>
    </w:rPr>
  </w:style>
  <w:style w:type="paragraph" w:styleId="Poprawka">
    <w:name w:val="Revision"/>
    <w:hidden/>
    <w:uiPriority w:val="99"/>
    <w:semiHidden/>
    <w:rsid w:val="007D21F4"/>
    <w:pPr>
      <w:spacing w:after="0" w:line="240" w:lineRule="auto"/>
    </w:pPr>
  </w:style>
  <w:style w:type="paragraph" w:styleId="Akapitzlist">
    <w:name w:val="List Paragraph"/>
    <w:basedOn w:val="Normalny"/>
    <w:uiPriority w:val="34"/>
    <w:qFormat/>
    <w:rsid w:val="007D2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5191-1751-42D3-9B2C-52857545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8283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Trafisz Kinga</dc:creator>
  <cp:keywords/>
  <dc:description/>
  <cp:lastModifiedBy>Salamonczyk Monika</cp:lastModifiedBy>
  <cp:revision>5</cp:revision>
  <cp:lastPrinted>2024-05-09T09:10:00Z</cp:lastPrinted>
  <dcterms:created xsi:type="dcterms:W3CDTF">2024-05-09T09:10:00Z</dcterms:created>
  <dcterms:modified xsi:type="dcterms:W3CDTF">2024-05-09T12:42:00Z</dcterms:modified>
</cp:coreProperties>
</file>