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FF300" w14:textId="77777777" w:rsidR="003C4B57" w:rsidRDefault="003C4B57"/>
    <w:tbl>
      <w:tblPr>
        <w:tblW w:w="10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8"/>
        <w:gridCol w:w="2292"/>
        <w:gridCol w:w="1671"/>
        <w:gridCol w:w="1325"/>
        <w:gridCol w:w="2981"/>
      </w:tblGrid>
      <w:tr w:rsidR="006A701A" w:rsidRPr="007A2509" w14:paraId="6AD7FD1A" w14:textId="77777777" w:rsidTr="00515165">
        <w:trPr>
          <w:trHeight w:val="1611"/>
        </w:trPr>
        <w:tc>
          <w:tcPr>
            <w:tcW w:w="6631" w:type="dxa"/>
            <w:gridSpan w:val="3"/>
          </w:tcPr>
          <w:p w14:paraId="1FAA1035" w14:textId="77777777" w:rsidR="006A701A" w:rsidRPr="007A2509" w:rsidRDefault="006A701A" w:rsidP="007A2509">
            <w:pPr>
              <w:spacing w:line="240" w:lineRule="auto"/>
              <w:ind w:left="36"/>
              <w:jc w:val="both"/>
              <w:rPr>
                <w:rFonts w:ascii="Times New Roman" w:hAnsi="Times New Roman"/>
                <w:color w:val="000000"/>
              </w:rPr>
            </w:pPr>
            <w:bookmarkStart w:id="0" w:name="t1"/>
            <w:r w:rsidRPr="007A2509">
              <w:rPr>
                <w:rFonts w:ascii="Times New Roman" w:hAnsi="Times New Roman"/>
                <w:b/>
                <w:color w:val="000000"/>
              </w:rPr>
              <w:t xml:space="preserve">Nazwa </w:t>
            </w:r>
            <w:r w:rsidR="001B75D8" w:rsidRPr="007A2509">
              <w:rPr>
                <w:rFonts w:ascii="Times New Roman" w:hAnsi="Times New Roman"/>
                <w:b/>
                <w:color w:val="000000"/>
              </w:rPr>
              <w:t>projektu</w:t>
            </w:r>
          </w:p>
          <w:p w14:paraId="376A57A5" w14:textId="030135D3" w:rsidR="00770023" w:rsidRDefault="00770023" w:rsidP="00770023">
            <w:pPr>
              <w:spacing w:line="240" w:lineRule="auto"/>
              <w:ind w:left="36"/>
              <w:jc w:val="both"/>
              <w:rPr>
                <w:rFonts w:ascii="Times New Roman" w:hAnsi="Times New Roman"/>
                <w:color w:val="000000"/>
              </w:rPr>
            </w:pPr>
            <w:r>
              <w:rPr>
                <w:rFonts w:ascii="Times New Roman" w:hAnsi="Times New Roman"/>
                <w:color w:val="000000"/>
              </w:rPr>
              <w:t xml:space="preserve">Ustawa </w:t>
            </w:r>
            <w:r w:rsidRPr="00770023">
              <w:rPr>
                <w:rFonts w:ascii="Times New Roman" w:hAnsi="Times New Roman"/>
                <w:color w:val="000000"/>
              </w:rPr>
              <w:t xml:space="preserve">o zmianie ustawy </w:t>
            </w:r>
            <w:r w:rsidR="00534677">
              <w:rPr>
                <w:rFonts w:ascii="Times New Roman" w:hAnsi="Times New Roman"/>
                <w:color w:val="000000"/>
              </w:rPr>
              <w:t>–</w:t>
            </w:r>
            <w:r w:rsidRPr="00770023">
              <w:rPr>
                <w:rFonts w:ascii="Times New Roman" w:hAnsi="Times New Roman"/>
                <w:color w:val="000000"/>
              </w:rPr>
              <w:t xml:space="preserve"> Prawo ochrony środowiska oraz niektórych innych ustaw </w:t>
            </w:r>
          </w:p>
          <w:p w14:paraId="5F003CF4" w14:textId="23560E2B" w:rsidR="007A2509" w:rsidRDefault="00770023" w:rsidP="00770023">
            <w:pPr>
              <w:spacing w:line="240" w:lineRule="auto"/>
              <w:ind w:left="36"/>
              <w:jc w:val="both"/>
              <w:rPr>
                <w:rFonts w:ascii="Times New Roman" w:hAnsi="Times New Roman"/>
                <w:b/>
                <w:color w:val="000000"/>
              </w:rPr>
            </w:pPr>
            <w:r w:rsidRPr="00770023">
              <w:rPr>
                <w:rFonts w:ascii="Times New Roman" w:hAnsi="Times New Roman"/>
                <w:color w:val="000000"/>
              </w:rPr>
              <w:t xml:space="preserve"> </w:t>
            </w:r>
          </w:p>
          <w:p w14:paraId="272F4AC9" w14:textId="77777777" w:rsidR="006A701A" w:rsidRPr="007A2509" w:rsidRDefault="006A701A" w:rsidP="007A2509">
            <w:pPr>
              <w:spacing w:line="240" w:lineRule="auto"/>
              <w:ind w:left="36"/>
              <w:jc w:val="both"/>
              <w:rPr>
                <w:rFonts w:ascii="Times New Roman" w:hAnsi="Times New Roman"/>
                <w:b/>
                <w:color w:val="000000"/>
              </w:rPr>
            </w:pPr>
            <w:r w:rsidRPr="007A2509">
              <w:rPr>
                <w:rFonts w:ascii="Times New Roman" w:hAnsi="Times New Roman"/>
                <w:b/>
                <w:color w:val="000000"/>
              </w:rPr>
              <w:t>Ministerstwo wiodące i ministerstwa współpracujące</w:t>
            </w:r>
          </w:p>
          <w:bookmarkEnd w:id="0"/>
          <w:p w14:paraId="5C54DB4F" w14:textId="77777777" w:rsidR="008B771E" w:rsidRPr="007A2509" w:rsidRDefault="00DC1915" w:rsidP="007A2509">
            <w:pPr>
              <w:spacing w:line="240" w:lineRule="auto"/>
              <w:ind w:left="36"/>
              <w:jc w:val="both"/>
              <w:rPr>
                <w:rFonts w:ascii="Times New Roman" w:hAnsi="Times New Roman"/>
                <w:color w:val="000000"/>
              </w:rPr>
            </w:pPr>
            <w:r w:rsidRPr="007A2509">
              <w:rPr>
                <w:rFonts w:ascii="Times New Roman" w:hAnsi="Times New Roman"/>
                <w:color w:val="000000"/>
              </w:rPr>
              <w:t>Ministerstwo Klimatu i Środowiska</w:t>
            </w:r>
          </w:p>
          <w:p w14:paraId="3E6E3AD1" w14:textId="77777777" w:rsidR="007A2509" w:rsidRDefault="007A2509" w:rsidP="007A2509">
            <w:pPr>
              <w:spacing w:line="240" w:lineRule="auto"/>
              <w:ind w:left="36"/>
              <w:jc w:val="both"/>
              <w:rPr>
                <w:rFonts w:ascii="Times New Roman" w:hAnsi="Times New Roman"/>
                <w:b/>
              </w:rPr>
            </w:pPr>
          </w:p>
          <w:p w14:paraId="25D34AF4" w14:textId="77777777" w:rsidR="001B3460" w:rsidRPr="007A2509" w:rsidRDefault="001B3460" w:rsidP="007A2509">
            <w:pPr>
              <w:spacing w:line="240" w:lineRule="auto"/>
              <w:ind w:left="36"/>
              <w:jc w:val="both"/>
              <w:rPr>
                <w:rFonts w:ascii="Times New Roman" w:hAnsi="Times New Roman"/>
                <w:color w:val="000000"/>
              </w:rPr>
            </w:pPr>
            <w:r w:rsidRPr="007A2509">
              <w:rPr>
                <w:rFonts w:ascii="Times New Roman" w:hAnsi="Times New Roman"/>
                <w:b/>
              </w:rPr>
              <w:t xml:space="preserve">Osoba odpowiedzialna za projekt w randze Ministra, Sekretarza Stanu lub Podsekretarza Stanu </w:t>
            </w:r>
          </w:p>
          <w:p w14:paraId="3923F251" w14:textId="77777777" w:rsidR="008B0880" w:rsidRDefault="008B0880" w:rsidP="009C3094">
            <w:pPr>
              <w:spacing w:before="120" w:line="240" w:lineRule="auto"/>
              <w:ind w:left="34"/>
              <w:jc w:val="both"/>
              <w:rPr>
                <w:rFonts w:ascii="Times New Roman" w:hAnsi="Times New Roman"/>
              </w:rPr>
            </w:pPr>
            <w:r>
              <w:rPr>
                <w:rFonts w:ascii="Times New Roman" w:hAnsi="Times New Roman"/>
              </w:rPr>
              <w:t xml:space="preserve">Pan Krzysztof Bolesta, </w:t>
            </w:r>
            <w:r w:rsidRPr="007A2509">
              <w:rPr>
                <w:rFonts w:ascii="Times New Roman" w:hAnsi="Times New Roman"/>
              </w:rPr>
              <w:t>Sekretarz Stanu w Ministerstwie Klimatu i</w:t>
            </w:r>
            <w:r>
              <w:rPr>
                <w:rFonts w:ascii="Times New Roman" w:hAnsi="Times New Roman"/>
              </w:rPr>
              <w:t> </w:t>
            </w:r>
            <w:r w:rsidRPr="007A2509">
              <w:rPr>
                <w:rFonts w:ascii="Times New Roman" w:hAnsi="Times New Roman"/>
              </w:rPr>
              <w:t>Środowiska</w:t>
            </w:r>
          </w:p>
          <w:p w14:paraId="0017564A" w14:textId="77777777" w:rsidR="009C3094" w:rsidRPr="009C3094" w:rsidRDefault="009C3094" w:rsidP="009C3094">
            <w:pPr>
              <w:spacing w:before="120" w:line="240" w:lineRule="auto"/>
              <w:ind w:left="34"/>
              <w:jc w:val="both"/>
              <w:rPr>
                <w:rFonts w:ascii="Times New Roman" w:hAnsi="Times New Roman"/>
              </w:rPr>
            </w:pPr>
            <w:r>
              <w:rPr>
                <w:rFonts w:ascii="Times New Roman" w:hAnsi="Times New Roman"/>
              </w:rPr>
              <w:t xml:space="preserve">Pani Urszula Zielińska, </w:t>
            </w:r>
            <w:r w:rsidRPr="009C3094">
              <w:rPr>
                <w:rFonts w:ascii="Times New Roman" w:hAnsi="Times New Roman"/>
              </w:rPr>
              <w:t>Sekretarz Stanu w Ministerstwie Klimatu i Środowiska</w:t>
            </w:r>
          </w:p>
          <w:p w14:paraId="34BCC36E" w14:textId="1A561805" w:rsidR="009C3094" w:rsidRDefault="009C3094" w:rsidP="008B0880">
            <w:pPr>
              <w:spacing w:line="240" w:lineRule="auto"/>
              <w:ind w:left="36"/>
              <w:jc w:val="both"/>
              <w:rPr>
                <w:rFonts w:ascii="Times New Roman" w:hAnsi="Times New Roman"/>
              </w:rPr>
            </w:pPr>
          </w:p>
          <w:p w14:paraId="7891B41D" w14:textId="77777777" w:rsidR="006A701A" w:rsidRPr="007A2509" w:rsidRDefault="006A701A" w:rsidP="007A2509">
            <w:pPr>
              <w:spacing w:line="240" w:lineRule="auto"/>
              <w:ind w:left="36"/>
              <w:jc w:val="both"/>
              <w:rPr>
                <w:rFonts w:ascii="Times New Roman" w:hAnsi="Times New Roman"/>
                <w:b/>
                <w:color w:val="000000"/>
              </w:rPr>
            </w:pPr>
            <w:r w:rsidRPr="007A2509">
              <w:rPr>
                <w:rFonts w:ascii="Times New Roman" w:hAnsi="Times New Roman"/>
                <w:b/>
                <w:color w:val="000000"/>
              </w:rPr>
              <w:t>Kontakt do opiekuna merytorycznego projektu</w:t>
            </w:r>
          </w:p>
          <w:p w14:paraId="08B7A8A9" w14:textId="426F8E75" w:rsidR="00DC1915" w:rsidRPr="007A2509" w:rsidRDefault="00F86F1C" w:rsidP="007A2509">
            <w:pPr>
              <w:spacing w:line="240" w:lineRule="auto"/>
              <w:ind w:left="36"/>
              <w:contextualSpacing/>
              <w:jc w:val="both"/>
              <w:rPr>
                <w:rFonts w:ascii="Times New Roman" w:hAnsi="Times New Roman"/>
                <w:color w:val="000000"/>
              </w:rPr>
            </w:pPr>
            <w:r>
              <w:rPr>
                <w:rFonts w:ascii="Times New Roman" w:hAnsi="Times New Roman"/>
                <w:color w:val="000000"/>
              </w:rPr>
              <w:t xml:space="preserve">Marzena </w:t>
            </w:r>
            <w:proofErr w:type="spellStart"/>
            <w:r>
              <w:rPr>
                <w:rFonts w:ascii="Times New Roman" w:hAnsi="Times New Roman"/>
                <w:color w:val="000000"/>
              </w:rPr>
              <w:t>Zawalich</w:t>
            </w:r>
            <w:proofErr w:type="spellEnd"/>
            <w:r>
              <w:rPr>
                <w:rFonts w:ascii="Times New Roman" w:hAnsi="Times New Roman"/>
                <w:color w:val="000000"/>
              </w:rPr>
              <w:t>, radca</w:t>
            </w:r>
          </w:p>
          <w:p w14:paraId="08CE1312" w14:textId="1BF2B830" w:rsidR="00DC1915" w:rsidRPr="007A2509" w:rsidRDefault="00DC1915" w:rsidP="007A2509">
            <w:pPr>
              <w:spacing w:line="240" w:lineRule="auto"/>
              <w:ind w:left="36"/>
              <w:contextualSpacing/>
              <w:jc w:val="both"/>
              <w:rPr>
                <w:rFonts w:ascii="Times New Roman" w:hAnsi="Times New Roman"/>
                <w:color w:val="000000"/>
              </w:rPr>
            </w:pPr>
            <w:r w:rsidRPr="007A2509">
              <w:rPr>
                <w:rFonts w:ascii="Times New Roman" w:hAnsi="Times New Roman"/>
                <w:color w:val="000000"/>
              </w:rPr>
              <w:t xml:space="preserve">Departament Ochrony Powietrza i </w:t>
            </w:r>
            <w:r w:rsidR="009C3094">
              <w:rPr>
                <w:rFonts w:ascii="Times New Roman" w:hAnsi="Times New Roman"/>
                <w:color w:val="000000"/>
              </w:rPr>
              <w:t>Negocjacji Klimatycznych</w:t>
            </w:r>
          </w:p>
          <w:p w14:paraId="64BE4B70" w14:textId="4CB8FBB7" w:rsidR="00DC1915" w:rsidRPr="00804C6F" w:rsidRDefault="001622AC" w:rsidP="007A2509">
            <w:pPr>
              <w:spacing w:line="240" w:lineRule="auto"/>
              <w:ind w:left="36"/>
              <w:contextualSpacing/>
              <w:jc w:val="both"/>
              <w:rPr>
                <w:rFonts w:ascii="Times New Roman" w:hAnsi="Times New Roman"/>
                <w:color w:val="000000"/>
                <w:lang w:val="en-US"/>
              </w:rPr>
            </w:pPr>
            <w:r w:rsidRPr="00804C6F">
              <w:rPr>
                <w:rFonts w:ascii="Times New Roman" w:hAnsi="Times New Roman"/>
                <w:lang w:val="en-US"/>
              </w:rPr>
              <w:t>m</w:t>
            </w:r>
            <w:r w:rsidR="00F86F1C" w:rsidRPr="00804C6F">
              <w:rPr>
                <w:rFonts w:ascii="Times New Roman" w:hAnsi="Times New Roman"/>
                <w:lang w:val="en-US"/>
              </w:rPr>
              <w:t>arzena.zawalich@klimat.gov.pl</w:t>
            </w:r>
            <w:r w:rsidR="00DC1915" w:rsidRPr="00804C6F">
              <w:rPr>
                <w:rFonts w:ascii="Times New Roman" w:hAnsi="Times New Roman"/>
                <w:color w:val="000000"/>
                <w:lang w:val="en-US"/>
              </w:rPr>
              <w:t xml:space="preserve"> </w:t>
            </w:r>
          </w:p>
          <w:p w14:paraId="3725F8A6" w14:textId="714B8F77" w:rsidR="006A701A" w:rsidRDefault="00DC1915" w:rsidP="009C3094">
            <w:pPr>
              <w:spacing w:before="120" w:after="120" w:line="240" w:lineRule="auto"/>
              <w:ind w:left="34"/>
              <w:contextualSpacing/>
              <w:jc w:val="both"/>
              <w:rPr>
                <w:rFonts w:ascii="Times New Roman" w:hAnsi="Times New Roman"/>
                <w:color w:val="000000"/>
                <w:lang w:val="en-US"/>
              </w:rPr>
            </w:pPr>
            <w:r w:rsidRPr="007A2509">
              <w:rPr>
                <w:rFonts w:ascii="Times New Roman" w:hAnsi="Times New Roman"/>
                <w:color w:val="000000"/>
                <w:lang w:val="en-US"/>
              </w:rPr>
              <w:t xml:space="preserve">tel.: (+48 22) </w:t>
            </w:r>
            <w:r w:rsidR="00925668" w:rsidRPr="00925668">
              <w:rPr>
                <w:rFonts w:ascii="Times New Roman" w:hAnsi="Times New Roman"/>
                <w:color w:val="000000"/>
                <w:lang w:val="en-US"/>
              </w:rPr>
              <w:t>36</w:t>
            </w:r>
            <w:r w:rsidR="00925668">
              <w:rPr>
                <w:rFonts w:ascii="Times New Roman" w:hAnsi="Times New Roman"/>
                <w:color w:val="000000"/>
                <w:lang w:val="en-US"/>
              </w:rPr>
              <w:t xml:space="preserve"> </w:t>
            </w:r>
            <w:r w:rsidR="00925668" w:rsidRPr="00925668">
              <w:rPr>
                <w:rFonts w:ascii="Times New Roman" w:hAnsi="Times New Roman"/>
                <w:color w:val="000000"/>
                <w:lang w:val="en-US"/>
              </w:rPr>
              <w:t>92</w:t>
            </w:r>
            <w:r w:rsidR="009C3094">
              <w:rPr>
                <w:rFonts w:ascii="Times New Roman" w:hAnsi="Times New Roman"/>
                <w:color w:val="000000"/>
                <w:lang w:val="en-US"/>
              </w:rPr>
              <w:t> </w:t>
            </w:r>
            <w:r w:rsidR="00F86F1C">
              <w:rPr>
                <w:rFonts w:ascii="Times New Roman" w:hAnsi="Times New Roman"/>
                <w:color w:val="000000"/>
                <w:lang w:val="en-US"/>
              </w:rPr>
              <w:t>806</w:t>
            </w:r>
          </w:p>
          <w:p w14:paraId="76BFAD4F" w14:textId="77777777" w:rsidR="009C3094" w:rsidRDefault="009C3094" w:rsidP="009C3094">
            <w:pPr>
              <w:spacing w:before="120" w:after="120" w:line="240" w:lineRule="auto"/>
              <w:ind w:left="34"/>
              <w:contextualSpacing/>
              <w:jc w:val="both"/>
              <w:rPr>
                <w:rFonts w:ascii="Times New Roman" w:hAnsi="Times New Roman"/>
                <w:color w:val="000000"/>
                <w:lang w:val="en-US"/>
              </w:rPr>
            </w:pPr>
          </w:p>
          <w:p w14:paraId="4D958E86" w14:textId="54D075F2" w:rsidR="009C3094" w:rsidRPr="00712B14" w:rsidRDefault="009C3094" w:rsidP="009C3094">
            <w:pPr>
              <w:spacing w:before="120" w:after="120" w:line="240" w:lineRule="auto"/>
              <w:ind w:left="34"/>
              <w:contextualSpacing/>
              <w:jc w:val="both"/>
              <w:rPr>
                <w:rFonts w:ascii="Times New Roman" w:hAnsi="Times New Roman"/>
                <w:color w:val="000000"/>
              </w:rPr>
            </w:pPr>
            <w:proofErr w:type="spellStart"/>
            <w:r w:rsidRPr="00712B14">
              <w:rPr>
                <w:rFonts w:ascii="Times New Roman" w:hAnsi="Times New Roman"/>
                <w:color w:val="000000"/>
              </w:rPr>
              <w:t>Veranika</w:t>
            </w:r>
            <w:proofErr w:type="spellEnd"/>
            <w:r w:rsidRPr="00712B14">
              <w:rPr>
                <w:rFonts w:ascii="Times New Roman" w:hAnsi="Times New Roman"/>
                <w:color w:val="000000"/>
              </w:rPr>
              <w:t xml:space="preserve"> </w:t>
            </w:r>
            <w:proofErr w:type="spellStart"/>
            <w:r w:rsidRPr="00712B14">
              <w:rPr>
                <w:rFonts w:ascii="Times New Roman" w:hAnsi="Times New Roman"/>
                <w:color w:val="000000"/>
              </w:rPr>
              <w:t>Stopczyk</w:t>
            </w:r>
            <w:proofErr w:type="spellEnd"/>
            <w:r w:rsidRPr="00712B14">
              <w:rPr>
                <w:rFonts w:ascii="Times New Roman" w:hAnsi="Times New Roman"/>
                <w:color w:val="000000"/>
              </w:rPr>
              <w:t>, główny specjalista</w:t>
            </w:r>
          </w:p>
          <w:p w14:paraId="512D88DC" w14:textId="3804D8F3" w:rsidR="009C3094" w:rsidRPr="00712B14" w:rsidRDefault="009C3094" w:rsidP="00E55CB1">
            <w:pPr>
              <w:spacing w:after="120" w:line="240" w:lineRule="auto"/>
              <w:ind w:left="34"/>
              <w:contextualSpacing/>
              <w:jc w:val="both"/>
              <w:rPr>
                <w:rFonts w:ascii="Times New Roman" w:hAnsi="Times New Roman"/>
                <w:color w:val="000000"/>
              </w:rPr>
            </w:pPr>
            <w:r w:rsidRPr="00712B14">
              <w:rPr>
                <w:rFonts w:ascii="Times New Roman" w:hAnsi="Times New Roman"/>
                <w:color w:val="000000"/>
              </w:rPr>
              <w:t>Departament Adaptacji do Zmian Klimatu i Polityki Miejskiej</w:t>
            </w:r>
          </w:p>
          <w:p w14:paraId="7DE3FFDF" w14:textId="64F121D2" w:rsidR="009C3094" w:rsidRPr="00712B14" w:rsidRDefault="009C3094" w:rsidP="009C3094">
            <w:pPr>
              <w:spacing w:after="120" w:line="240" w:lineRule="auto"/>
              <w:ind w:left="34"/>
              <w:contextualSpacing/>
              <w:jc w:val="both"/>
              <w:rPr>
                <w:rFonts w:ascii="Times New Roman" w:hAnsi="Times New Roman"/>
                <w:color w:val="000000"/>
              </w:rPr>
            </w:pPr>
            <w:r w:rsidRPr="00712B14">
              <w:rPr>
                <w:rFonts w:ascii="Times New Roman" w:hAnsi="Times New Roman"/>
                <w:color w:val="000000"/>
              </w:rPr>
              <w:t>Veranika.Stopczyk@klimat.gov.pl</w:t>
            </w:r>
          </w:p>
          <w:p w14:paraId="736106D7" w14:textId="11AB6D1A" w:rsidR="009C3094" w:rsidRPr="00712B14" w:rsidRDefault="009C3094" w:rsidP="009C3094">
            <w:pPr>
              <w:spacing w:before="120" w:after="120" w:line="240" w:lineRule="auto"/>
              <w:ind w:left="34"/>
              <w:contextualSpacing/>
              <w:jc w:val="both"/>
              <w:rPr>
                <w:rFonts w:ascii="Times New Roman" w:hAnsi="Times New Roman"/>
                <w:color w:val="000000"/>
              </w:rPr>
            </w:pPr>
            <w:r w:rsidRPr="00712B14">
              <w:rPr>
                <w:rFonts w:ascii="Times New Roman" w:hAnsi="Times New Roman"/>
                <w:color w:val="000000"/>
              </w:rPr>
              <w:t>tel.: (+48 22) 36 92 849</w:t>
            </w:r>
          </w:p>
        </w:tc>
        <w:tc>
          <w:tcPr>
            <w:tcW w:w="4306" w:type="dxa"/>
            <w:gridSpan w:val="2"/>
            <w:shd w:val="clear" w:color="auto" w:fill="FFFFFF"/>
          </w:tcPr>
          <w:p w14:paraId="6C50494F" w14:textId="325AD5FB" w:rsidR="001B3460" w:rsidRPr="007A2509" w:rsidRDefault="001B3460" w:rsidP="007A2509">
            <w:pPr>
              <w:spacing w:line="240" w:lineRule="auto"/>
              <w:rPr>
                <w:rFonts w:ascii="Times New Roman" w:hAnsi="Times New Roman"/>
                <w:b/>
              </w:rPr>
            </w:pPr>
            <w:r w:rsidRPr="007A2509">
              <w:rPr>
                <w:rFonts w:ascii="Times New Roman" w:hAnsi="Times New Roman"/>
                <w:b/>
              </w:rPr>
              <w:t>Data sporządzenia</w:t>
            </w:r>
            <w:r w:rsidRPr="007A2509">
              <w:rPr>
                <w:rFonts w:ascii="Times New Roman" w:hAnsi="Times New Roman"/>
                <w:b/>
              </w:rPr>
              <w:br/>
            </w:r>
            <w:r w:rsidR="0043193B">
              <w:rPr>
                <w:rFonts w:ascii="Times New Roman" w:hAnsi="Times New Roman"/>
              </w:rPr>
              <w:t>10</w:t>
            </w:r>
            <w:r w:rsidR="00764235">
              <w:rPr>
                <w:rFonts w:ascii="Times New Roman" w:hAnsi="Times New Roman"/>
              </w:rPr>
              <w:t>.</w:t>
            </w:r>
            <w:r w:rsidR="00334BA8">
              <w:rPr>
                <w:rFonts w:ascii="Times New Roman" w:hAnsi="Times New Roman"/>
              </w:rPr>
              <w:t>0</w:t>
            </w:r>
            <w:r w:rsidR="0043193B">
              <w:rPr>
                <w:rFonts w:ascii="Times New Roman" w:hAnsi="Times New Roman"/>
              </w:rPr>
              <w:t>5</w:t>
            </w:r>
            <w:r w:rsidR="00D36F33">
              <w:rPr>
                <w:rFonts w:ascii="Times New Roman" w:hAnsi="Times New Roman"/>
              </w:rPr>
              <w:t>.202</w:t>
            </w:r>
            <w:r w:rsidR="00334BA8">
              <w:rPr>
                <w:rFonts w:ascii="Times New Roman" w:hAnsi="Times New Roman"/>
              </w:rPr>
              <w:t>4</w:t>
            </w:r>
            <w:r w:rsidR="00D13DC6">
              <w:rPr>
                <w:rFonts w:ascii="Times New Roman" w:hAnsi="Times New Roman"/>
              </w:rPr>
              <w:t xml:space="preserve"> r.</w:t>
            </w:r>
          </w:p>
          <w:p w14:paraId="5F19486B" w14:textId="77777777" w:rsidR="00F76884" w:rsidRPr="007A2509" w:rsidRDefault="00F76884" w:rsidP="007A2509">
            <w:pPr>
              <w:spacing w:line="240" w:lineRule="auto"/>
              <w:jc w:val="both"/>
              <w:rPr>
                <w:rFonts w:ascii="Times New Roman" w:hAnsi="Times New Roman"/>
                <w:b/>
              </w:rPr>
            </w:pPr>
          </w:p>
          <w:p w14:paraId="67FC204A" w14:textId="77777777" w:rsidR="00F76884" w:rsidRPr="007A2509" w:rsidRDefault="00F76884" w:rsidP="007A2509">
            <w:pPr>
              <w:spacing w:line="240" w:lineRule="auto"/>
              <w:jc w:val="both"/>
              <w:rPr>
                <w:rFonts w:ascii="Times New Roman" w:hAnsi="Times New Roman"/>
                <w:b/>
              </w:rPr>
            </w:pPr>
            <w:r w:rsidRPr="007A2509">
              <w:rPr>
                <w:rFonts w:ascii="Times New Roman" w:hAnsi="Times New Roman"/>
                <w:b/>
              </w:rPr>
              <w:t xml:space="preserve">Źródło: </w:t>
            </w:r>
            <w:bookmarkStart w:id="1" w:name="Lista1"/>
          </w:p>
          <w:bookmarkEnd w:id="1"/>
          <w:p w14:paraId="496C2ACB" w14:textId="77777777" w:rsidR="001B2173" w:rsidRPr="001C59B4" w:rsidRDefault="001B2173" w:rsidP="001B2173">
            <w:pPr>
              <w:spacing w:line="240" w:lineRule="auto"/>
              <w:jc w:val="both"/>
              <w:rPr>
                <w:rFonts w:ascii="Times New Roman" w:hAnsi="Times New Roman"/>
                <w:iCs/>
                <w:u w:val="single"/>
              </w:rPr>
            </w:pPr>
            <w:r w:rsidRPr="001C59B4">
              <w:rPr>
                <w:rFonts w:ascii="Times New Roman" w:hAnsi="Times New Roman"/>
                <w:iCs/>
                <w:u w:val="single"/>
              </w:rPr>
              <w:t>Realizacja kamieni milowych KPO:</w:t>
            </w:r>
          </w:p>
          <w:p w14:paraId="55B29A3E" w14:textId="7FEA9AAD" w:rsidR="001B2173" w:rsidRPr="001C59B4" w:rsidRDefault="001B2173" w:rsidP="005C4CF5">
            <w:pPr>
              <w:numPr>
                <w:ilvl w:val="0"/>
                <w:numId w:val="17"/>
              </w:numPr>
              <w:spacing w:line="240" w:lineRule="auto"/>
              <w:ind w:left="492"/>
              <w:jc w:val="both"/>
              <w:rPr>
                <w:rFonts w:ascii="Times New Roman" w:hAnsi="Times New Roman"/>
                <w:iCs/>
              </w:rPr>
            </w:pPr>
            <w:r w:rsidRPr="001C59B4">
              <w:rPr>
                <w:rFonts w:ascii="Times New Roman" w:hAnsi="Times New Roman"/>
                <w:iCs/>
              </w:rPr>
              <w:t>B5G w ramach reformy B1.1</w:t>
            </w:r>
            <w:r w:rsidR="005E08A2">
              <w:rPr>
                <w:rFonts w:ascii="Times New Roman" w:hAnsi="Times New Roman"/>
                <w:iCs/>
              </w:rPr>
              <w:t xml:space="preserve"> – realizowany przez </w:t>
            </w:r>
            <w:proofErr w:type="spellStart"/>
            <w:r w:rsidR="005E08A2">
              <w:rPr>
                <w:rFonts w:ascii="Times New Roman" w:hAnsi="Times New Roman"/>
                <w:iCs/>
              </w:rPr>
              <w:t>MKiŚ</w:t>
            </w:r>
            <w:proofErr w:type="spellEnd"/>
          </w:p>
          <w:p w14:paraId="3FD416F6" w14:textId="5E5877B7" w:rsidR="001B2173" w:rsidRPr="001C59B4" w:rsidRDefault="001B2173" w:rsidP="005C4CF5">
            <w:pPr>
              <w:numPr>
                <w:ilvl w:val="0"/>
                <w:numId w:val="17"/>
              </w:numPr>
              <w:spacing w:line="240" w:lineRule="auto"/>
              <w:ind w:left="492"/>
              <w:jc w:val="both"/>
              <w:rPr>
                <w:rFonts w:ascii="Times New Roman" w:hAnsi="Times New Roman"/>
                <w:iCs/>
              </w:rPr>
            </w:pPr>
            <w:r w:rsidRPr="004F6E5B">
              <w:rPr>
                <w:rFonts w:ascii="Times New Roman" w:hAnsi="Times New Roman"/>
                <w:iCs/>
              </w:rPr>
              <w:t>B24L w ramach reformy B3.4</w:t>
            </w:r>
            <w:r w:rsidR="005E08A2">
              <w:rPr>
                <w:rFonts w:ascii="Times New Roman" w:hAnsi="Times New Roman"/>
                <w:iCs/>
              </w:rPr>
              <w:t xml:space="preserve"> – realizowany przez </w:t>
            </w:r>
            <w:proofErr w:type="spellStart"/>
            <w:r w:rsidR="005E08A2">
              <w:rPr>
                <w:rFonts w:ascii="Times New Roman" w:hAnsi="Times New Roman"/>
                <w:iCs/>
              </w:rPr>
              <w:t>MFiPR</w:t>
            </w:r>
            <w:proofErr w:type="spellEnd"/>
          </w:p>
          <w:p w14:paraId="629266E8" w14:textId="2C026B2A" w:rsidR="00BC31F7" w:rsidRDefault="00BC31F7" w:rsidP="007A2509">
            <w:pPr>
              <w:spacing w:line="240" w:lineRule="auto"/>
              <w:rPr>
                <w:rFonts w:ascii="Times New Roman" w:hAnsi="Times New Roman"/>
                <w:u w:val="single"/>
              </w:rPr>
            </w:pPr>
            <w:r>
              <w:rPr>
                <w:rFonts w:ascii="Times New Roman" w:hAnsi="Times New Roman"/>
                <w:u w:val="single"/>
              </w:rPr>
              <w:t>Transpozycja dyrektywy delegowanej Komisji Europejskiej 2024/299</w:t>
            </w:r>
          </w:p>
          <w:p w14:paraId="4E6F948B" w14:textId="18D29B09" w:rsidR="00F90C0A" w:rsidRPr="00AF0742" w:rsidRDefault="00F90C0A" w:rsidP="007A2509">
            <w:pPr>
              <w:spacing w:line="240" w:lineRule="auto"/>
              <w:rPr>
                <w:rFonts w:ascii="Times New Roman" w:hAnsi="Times New Roman"/>
                <w:u w:val="single"/>
              </w:rPr>
            </w:pPr>
            <w:r w:rsidRPr="00AF0742">
              <w:rPr>
                <w:rFonts w:ascii="Times New Roman" w:hAnsi="Times New Roman"/>
                <w:u w:val="single"/>
              </w:rPr>
              <w:t>Inicjatywa własna</w:t>
            </w:r>
          </w:p>
          <w:p w14:paraId="1B8DC231" w14:textId="77777777" w:rsidR="00F76884" w:rsidRDefault="00F76884" w:rsidP="007A2509">
            <w:pPr>
              <w:spacing w:line="240" w:lineRule="auto"/>
              <w:jc w:val="both"/>
              <w:rPr>
                <w:rFonts w:ascii="Times New Roman" w:hAnsi="Times New Roman"/>
              </w:rPr>
            </w:pPr>
          </w:p>
          <w:p w14:paraId="7623A875" w14:textId="77777777" w:rsidR="006A701A" w:rsidRPr="007A2509" w:rsidRDefault="006A701A" w:rsidP="007A2509">
            <w:pPr>
              <w:spacing w:line="240" w:lineRule="auto"/>
              <w:jc w:val="both"/>
              <w:rPr>
                <w:rFonts w:ascii="Times New Roman" w:hAnsi="Times New Roman"/>
                <w:b/>
                <w:color w:val="000000"/>
              </w:rPr>
            </w:pPr>
            <w:r w:rsidRPr="007A2509">
              <w:rPr>
                <w:rFonts w:ascii="Times New Roman" w:hAnsi="Times New Roman"/>
                <w:b/>
                <w:color w:val="000000"/>
              </w:rPr>
              <w:t xml:space="preserve">Nr </w:t>
            </w:r>
            <w:r w:rsidR="0057668E" w:rsidRPr="007A2509">
              <w:rPr>
                <w:rFonts w:ascii="Times New Roman" w:hAnsi="Times New Roman"/>
                <w:b/>
                <w:color w:val="000000"/>
              </w:rPr>
              <w:t>w</w:t>
            </w:r>
            <w:r w:rsidRPr="007A2509">
              <w:rPr>
                <w:rFonts w:ascii="Times New Roman" w:hAnsi="Times New Roman"/>
                <w:b/>
                <w:color w:val="000000"/>
              </w:rPr>
              <w:t xml:space="preserve"> wykaz</w:t>
            </w:r>
            <w:r w:rsidR="0057668E" w:rsidRPr="007A2509">
              <w:rPr>
                <w:rFonts w:ascii="Times New Roman" w:hAnsi="Times New Roman"/>
                <w:b/>
                <w:color w:val="000000"/>
              </w:rPr>
              <w:t>ie</w:t>
            </w:r>
            <w:r w:rsidRPr="007A2509">
              <w:rPr>
                <w:rFonts w:ascii="Times New Roman" w:hAnsi="Times New Roman"/>
                <w:b/>
                <w:color w:val="000000"/>
              </w:rPr>
              <w:t xml:space="preserve"> prac </w:t>
            </w:r>
          </w:p>
          <w:p w14:paraId="51029341" w14:textId="09E2A24C" w:rsidR="006A701A" w:rsidRPr="007A2509" w:rsidRDefault="00B83D3D" w:rsidP="007A2509">
            <w:pPr>
              <w:spacing w:line="240" w:lineRule="auto"/>
              <w:jc w:val="both"/>
              <w:rPr>
                <w:rFonts w:ascii="Times New Roman" w:hAnsi="Times New Roman"/>
                <w:color w:val="000000"/>
              </w:rPr>
            </w:pPr>
            <w:r w:rsidRPr="00712B14">
              <w:rPr>
                <w:rFonts w:ascii="Times New Roman" w:hAnsi="Times New Roman"/>
                <w:b/>
                <w:bCs/>
                <w:color w:val="000000"/>
              </w:rPr>
              <w:t>U</w:t>
            </w:r>
            <w:r w:rsidR="001D2AAC">
              <w:rPr>
                <w:rFonts w:ascii="Times New Roman" w:hAnsi="Times New Roman"/>
                <w:b/>
                <w:bCs/>
                <w:color w:val="000000"/>
              </w:rPr>
              <w:t>C</w:t>
            </w:r>
            <w:r w:rsidRPr="00712B14">
              <w:rPr>
                <w:rFonts w:ascii="Times New Roman" w:hAnsi="Times New Roman"/>
                <w:b/>
                <w:bCs/>
                <w:color w:val="000000"/>
              </w:rPr>
              <w:t>33</w:t>
            </w:r>
          </w:p>
        </w:tc>
      </w:tr>
      <w:tr w:rsidR="006A701A" w:rsidRPr="007A2509" w14:paraId="0BDF87EC" w14:textId="77777777" w:rsidTr="00515165">
        <w:trPr>
          <w:trHeight w:val="142"/>
        </w:trPr>
        <w:tc>
          <w:tcPr>
            <w:tcW w:w="10937" w:type="dxa"/>
            <w:gridSpan w:val="5"/>
            <w:shd w:val="clear" w:color="auto" w:fill="99CCFF"/>
          </w:tcPr>
          <w:p w14:paraId="7B15BC23" w14:textId="77777777" w:rsidR="006A701A" w:rsidRPr="007A2509" w:rsidRDefault="006A701A" w:rsidP="007A2509">
            <w:pPr>
              <w:spacing w:line="240" w:lineRule="auto"/>
              <w:ind w:left="57"/>
              <w:jc w:val="center"/>
              <w:rPr>
                <w:rFonts w:ascii="Times New Roman" w:hAnsi="Times New Roman"/>
                <w:b/>
                <w:color w:val="FFFFFF"/>
                <w:sz w:val="32"/>
                <w:szCs w:val="32"/>
              </w:rPr>
            </w:pPr>
            <w:r w:rsidRPr="007A2509">
              <w:rPr>
                <w:rFonts w:ascii="Times New Roman" w:hAnsi="Times New Roman"/>
                <w:b/>
                <w:color w:val="FFFFFF"/>
                <w:sz w:val="32"/>
                <w:szCs w:val="32"/>
              </w:rPr>
              <w:t>OCENA SKUTKÓW REGULACJI</w:t>
            </w:r>
          </w:p>
        </w:tc>
      </w:tr>
      <w:tr w:rsidR="006A701A" w:rsidRPr="007A2509" w14:paraId="333F72A1" w14:textId="77777777" w:rsidTr="00515165">
        <w:trPr>
          <w:trHeight w:val="333"/>
        </w:trPr>
        <w:tc>
          <w:tcPr>
            <w:tcW w:w="10937" w:type="dxa"/>
            <w:gridSpan w:val="5"/>
            <w:shd w:val="clear" w:color="auto" w:fill="99CCFF"/>
            <w:vAlign w:val="center"/>
          </w:tcPr>
          <w:p w14:paraId="196E304B" w14:textId="77777777" w:rsidR="006A701A" w:rsidRPr="007A2509" w:rsidRDefault="003D12F6" w:rsidP="00851A61">
            <w:pPr>
              <w:numPr>
                <w:ilvl w:val="0"/>
                <w:numId w:val="1"/>
              </w:numPr>
              <w:spacing w:line="240" w:lineRule="auto"/>
              <w:ind w:left="318" w:hanging="284"/>
              <w:jc w:val="both"/>
              <w:rPr>
                <w:rFonts w:ascii="Times New Roman" w:hAnsi="Times New Roman"/>
                <w:b/>
                <w:color w:val="000000"/>
              </w:rPr>
            </w:pPr>
            <w:r w:rsidRPr="007A2509">
              <w:rPr>
                <w:rFonts w:ascii="Times New Roman" w:hAnsi="Times New Roman"/>
                <w:b/>
              </w:rPr>
              <w:t xml:space="preserve">Jaki problem jest </w:t>
            </w:r>
            <w:r w:rsidR="00CC6305" w:rsidRPr="007A2509">
              <w:rPr>
                <w:rFonts w:ascii="Times New Roman" w:hAnsi="Times New Roman"/>
                <w:b/>
              </w:rPr>
              <w:t>rozwiązywany?</w:t>
            </w:r>
            <w:bookmarkStart w:id="2" w:name="Wybór1"/>
            <w:bookmarkEnd w:id="2"/>
          </w:p>
        </w:tc>
      </w:tr>
      <w:tr w:rsidR="00A96B6E" w:rsidRPr="007A2509" w14:paraId="28001448" w14:textId="77777777" w:rsidTr="00515165">
        <w:trPr>
          <w:trHeight w:val="142"/>
        </w:trPr>
        <w:tc>
          <w:tcPr>
            <w:tcW w:w="10937" w:type="dxa"/>
            <w:gridSpan w:val="5"/>
            <w:shd w:val="clear" w:color="auto" w:fill="FFFFFF"/>
          </w:tcPr>
          <w:p w14:paraId="2C06E416" w14:textId="54E57156" w:rsidR="00525380" w:rsidRPr="00E55CB1" w:rsidRDefault="00525380" w:rsidP="00525380">
            <w:pPr>
              <w:tabs>
                <w:tab w:val="left" w:pos="320"/>
              </w:tabs>
              <w:spacing w:line="240" w:lineRule="auto"/>
              <w:ind w:left="34"/>
              <w:jc w:val="both"/>
              <w:rPr>
                <w:rFonts w:ascii="Times New Roman" w:hAnsi="Times New Roman"/>
                <w:color w:val="000000"/>
              </w:rPr>
            </w:pPr>
            <w:bookmarkStart w:id="3" w:name="_Hlk157673922"/>
            <w:r w:rsidRPr="00E55CB1">
              <w:rPr>
                <w:rFonts w:ascii="Times New Roman" w:hAnsi="Times New Roman"/>
                <w:color w:val="000000"/>
              </w:rPr>
              <w:t xml:space="preserve">W obowiązujących przepisach krajowych nie uregulowano dotychczas </w:t>
            </w:r>
            <w:r w:rsidR="00C80835" w:rsidRPr="00881D97">
              <w:rPr>
                <w:rFonts w:ascii="Times New Roman" w:hAnsi="Times New Roman"/>
                <w:color w:val="000000"/>
              </w:rPr>
              <w:t xml:space="preserve">kompleksowo </w:t>
            </w:r>
            <w:r w:rsidRPr="00E55CB1">
              <w:rPr>
                <w:rFonts w:ascii="Times New Roman" w:hAnsi="Times New Roman"/>
                <w:color w:val="000000"/>
              </w:rPr>
              <w:t>rozwiązań wspierających miasta w</w:t>
            </w:r>
            <w:r w:rsidR="00E049AB">
              <w:rPr>
                <w:rFonts w:ascii="Times New Roman" w:hAnsi="Times New Roman"/>
                <w:color w:val="000000"/>
              </w:rPr>
              <w:t> </w:t>
            </w:r>
            <w:r w:rsidRPr="00E55CB1">
              <w:rPr>
                <w:rFonts w:ascii="Times New Roman" w:hAnsi="Times New Roman"/>
                <w:color w:val="000000"/>
              </w:rPr>
              <w:t xml:space="preserve">prowadzeniu polityki </w:t>
            </w:r>
            <w:r w:rsidR="00C80835" w:rsidRPr="00881D97">
              <w:rPr>
                <w:rFonts w:ascii="Times New Roman" w:hAnsi="Times New Roman"/>
                <w:color w:val="000000"/>
              </w:rPr>
              <w:t xml:space="preserve">adaptacji do zmian klimatu. </w:t>
            </w:r>
          </w:p>
          <w:p w14:paraId="53765B51" w14:textId="22C8EE36" w:rsidR="00525380" w:rsidRPr="00E55CB1" w:rsidRDefault="00525380" w:rsidP="00E55CB1">
            <w:pPr>
              <w:tabs>
                <w:tab w:val="left" w:pos="320"/>
              </w:tabs>
              <w:spacing w:before="120" w:line="240" w:lineRule="auto"/>
              <w:ind w:left="34"/>
              <w:jc w:val="both"/>
              <w:rPr>
                <w:rFonts w:ascii="Times New Roman" w:hAnsi="Times New Roman"/>
                <w:color w:val="000000"/>
              </w:rPr>
            </w:pPr>
            <w:r w:rsidRPr="00E55CB1">
              <w:rPr>
                <w:rFonts w:ascii="Times New Roman" w:hAnsi="Times New Roman"/>
                <w:color w:val="000000"/>
              </w:rPr>
              <w:t>Jednocześnie koniecznym jest zapewnienie środków finansow</w:t>
            </w:r>
            <w:r w:rsidR="00C37B14" w:rsidRPr="00881D97">
              <w:rPr>
                <w:rFonts w:ascii="Times New Roman" w:hAnsi="Times New Roman"/>
                <w:color w:val="000000"/>
              </w:rPr>
              <w:t>ych na realizację</w:t>
            </w:r>
            <w:r w:rsidRPr="00E55CB1">
              <w:rPr>
                <w:rFonts w:ascii="Times New Roman" w:hAnsi="Times New Roman"/>
                <w:color w:val="000000"/>
              </w:rPr>
              <w:t xml:space="preserve"> działań związanych z poprawą jakości powietrza, w</w:t>
            </w:r>
            <w:r w:rsidR="00C37B14" w:rsidRPr="00881D97">
              <w:rPr>
                <w:rFonts w:ascii="Times New Roman" w:hAnsi="Times New Roman"/>
                <w:color w:val="000000"/>
              </w:rPr>
              <w:t> </w:t>
            </w:r>
            <w:r w:rsidRPr="00E55CB1">
              <w:rPr>
                <w:rFonts w:ascii="Times New Roman" w:hAnsi="Times New Roman"/>
                <w:color w:val="000000"/>
              </w:rPr>
              <w:t xml:space="preserve">tym w ramach Programu Priorytetowego „Czyste Powietrze” (ze środków unijnych </w:t>
            </w:r>
            <w:r w:rsidR="005853DF" w:rsidRPr="00881D97">
              <w:rPr>
                <w:rFonts w:ascii="Times New Roman" w:hAnsi="Times New Roman"/>
                <w:color w:val="000000"/>
              </w:rPr>
              <w:t xml:space="preserve">z Krajowego Planu Odbudowy i Zwiększania Odporności </w:t>
            </w:r>
            <w:r w:rsidR="00F728D0">
              <w:rPr>
                <w:rFonts w:ascii="Times New Roman" w:hAnsi="Times New Roman"/>
                <w:color w:val="000000"/>
              </w:rPr>
              <w:t>(</w:t>
            </w:r>
            <w:r w:rsidR="00445441">
              <w:rPr>
                <w:rFonts w:ascii="Times New Roman" w:hAnsi="Times New Roman"/>
                <w:color w:val="000000"/>
              </w:rPr>
              <w:t>„</w:t>
            </w:r>
            <w:r w:rsidR="005853DF" w:rsidRPr="00881D97">
              <w:rPr>
                <w:rFonts w:ascii="Times New Roman" w:hAnsi="Times New Roman"/>
                <w:color w:val="000000"/>
              </w:rPr>
              <w:t>KPO</w:t>
            </w:r>
            <w:r w:rsidR="00445441">
              <w:rPr>
                <w:rFonts w:ascii="Times New Roman" w:hAnsi="Times New Roman"/>
                <w:color w:val="000000"/>
              </w:rPr>
              <w:t>”</w:t>
            </w:r>
            <w:r w:rsidR="00F728D0">
              <w:rPr>
                <w:rFonts w:ascii="Times New Roman" w:hAnsi="Times New Roman"/>
                <w:color w:val="000000"/>
              </w:rPr>
              <w:t>)</w:t>
            </w:r>
            <w:r w:rsidR="005853DF" w:rsidRPr="00881D97">
              <w:rPr>
                <w:rFonts w:ascii="Times New Roman" w:hAnsi="Times New Roman"/>
                <w:color w:val="000000"/>
              </w:rPr>
              <w:t>, w ramach którego niezbędna jest realizacja m.in. kamienia milowego B5G polegającego na wejściu w życie przepisów określających standardy jakości paliw stałych z biomasy, a także z</w:t>
            </w:r>
            <w:r w:rsidR="00774F09">
              <w:rPr>
                <w:rFonts w:ascii="Times New Roman" w:hAnsi="Times New Roman"/>
                <w:color w:val="000000"/>
              </w:rPr>
              <w:t> </w:t>
            </w:r>
            <w:r w:rsidR="00F728D0">
              <w:rPr>
                <w:rFonts w:ascii="Times New Roman" w:hAnsi="Times New Roman"/>
                <w:color w:val="000000"/>
              </w:rPr>
              <w:t>p</w:t>
            </w:r>
            <w:r w:rsidR="00C37B14" w:rsidRPr="00881D97">
              <w:rPr>
                <w:rFonts w:ascii="Times New Roman" w:hAnsi="Times New Roman"/>
                <w:color w:val="000000"/>
              </w:rPr>
              <w:t>rogramu Fundusze Europejskie na Infrastrukturę, Klimat, Środowisko (</w:t>
            </w:r>
            <w:r w:rsidR="00445441">
              <w:rPr>
                <w:rFonts w:ascii="Times New Roman" w:hAnsi="Times New Roman"/>
                <w:color w:val="000000"/>
              </w:rPr>
              <w:t>„</w:t>
            </w:r>
            <w:proofErr w:type="spellStart"/>
            <w:r w:rsidRPr="00E55CB1">
              <w:rPr>
                <w:rFonts w:ascii="Times New Roman" w:hAnsi="Times New Roman"/>
                <w:color w:val="000000"/>
              </w:rPr>
              <w:t>FEnIKS</w:t>
            </w:r>
            <w:proofErr w:type="spellEnd"/>
            <w:r w:rsidR="00445441">
              <w:rPr>
                <w:rFonts w:ascii="Times New Roman" w:hAnsi="Times New Roman"/>
                <w:color w:val="000000"/>
              </w:rPr>
              <w:t>”</w:t>
            </w:r>
            <w:r w:rsidR="00C37B14" w:rsidRPr="00881D97">
              <w:rPr>
                <w:rFonts w:ascii="Times New Roman" w:hAnsi="Times New Roman"/>
                <w:color w:val="000000"/>
              </w:rPr>
              <w:t>)</w:t>
            </w:r>
            <w:r w:rsidR="00C80835" w:rsidRPr="00881D97">
              <w:rPr>
                <w:rFonts w:ascii="Times New Roman" w:hAnsi="Times New Roman"/>
                <w:color w:val="000000"/>
              </w:rPr>
              <w:t>)</w:t>
            </w:r>
            <w:r w:rsidRPr="00E55CB1">
              <w:rPr>
                <w:rFonts w:ascii="Times New Roman" w:hAnsi="Times New Roman"/>
                <w:color w:val="000000"/>
              </w:rPr>
              <w:t xml:space="preserve"> i </w:t>
            </w:r>
            <w:r w:rsidR="00C37B14" w:rsidRPr="00881D97">
              <w:rPr>
                <w:rFonts w:ascii="Times New Roman" w:hAnsi="Times New Roman"/>
                <w:color w:val="000000"/>
              </w:rPr>
              <w:t>Programu „</w:t>
            </w:r>
            <w:r w:rsidRPr="00E55CB1">
              <w:rPr>
                <w:rFonts w:ascii="Times New Roman" w:hAnsi="Times New Roman"/>
                <w:color w:val="000000"/>
              </w:rPr>
              <w:t>Stop Smog</w:t>
            </w:r>
            <w:r w:rsidR="00C37B14" w:rsidRPr="00881D97">
              <w:rPr>
                <w:rFonts w:ascii="Times New Roman" w:hAnsi="Times New Roman"/>
                <w:color w:val="000000"/>
              </w:rPr>
              <w:t>”</w:t>
            </w:r>
            <w:r w:rsidRPr="00E55CB1">
              <w:rPr>
                <w:rFonts w:ascii="Times New Roman" w:hAnsi="Times New Roman"/>
                <w:color w:val="000000"/>
              </w:rPr>
              <w:t>.</w:t>
            </w:r>
            <w:r w:rsidR="00C37B14" w:rsidRPr="00881D97">
              <w:rPr>
                <w:rFonts w:ascii="Times New Roman" w:hAnsi="Times New Roman"/>
                <w:color w:val="000000"/>
              </w:rPr>
              <w:t xml:space="preserve"> </w:t>
            </w:r>
            <w:r w:rsidR="004F224C" w:rsidRPr="00881D97">
              <w:rPr>
                <w:rFonts w:ascii="Times New Roman" w:hAnsi="Times New Roman"/>
                <w:color w:val="000000"/>
              </w:rPr>
              <w:t>Koniecznym</w:t>
            </w:r>
            <w:r w:rsidR="00681BB9" w:rsidRPr="00881D97">
              <w:rPr>
                <w:rFonts w:ascii="Times New Roman" w:hAnsi="Times New Roman"/>
                <w:color w:val="000000"/>
              </w:rPr>
              <w:t xml:space="preserve"> jest z</w:t>
            </w:r>
            <w:r w:rsidRPr="00E55CB1">
              <w:rPr>
                <w:rFonts w:ascii="Times New Roman" w:hAnsi="Times New Roman"/>
                <w:color w:val="000000"/>
              </w:rPr>
              <w:t>apewnieni</w:t>
            </w:r>
            <w:r w:rsidR="00681BB9" w:rsidRPr="00881D97">
              <w:rPr>
                <w:rFonts w:ascii="Times New Roman" w:hAnsi="Times New Roman"/>
                <w:color w:val="000000"/>
              </w:rPr>
              <w:t>e</w:t>
            </w:r>
            <w:r w:rsidRPr="00E55CB1">
              <w:rPr>
                <w:rFonts w:ascii="Times New Roman" w:hAnsi="Times New Roman"/>
                <w:color w:val="000000"/>
              </w:rPr>
              <w:t xml:space="preserve"> możliwości dofinansowania ze środków unijnych realizacji działań naprawczych określonych w programach ochrony powietrza poprzez zmianę terminu opracowania przez zarząd województwa projektu aktualizacji programu ochrony powietrza z 3 na 4 lata. Dodatkowo </w:t>
            </w:r>
            <w:r w:rsidR="00681BB9" w:rsidRPr="00881D97">
              <w:rPr>
                <w:rFonts w:ascii="Times New Roman" w:hAnsi="Times New Roman"/>
                <w:color w:val="000000"/>
              </w:rPr>
              <w:t xml:space="preserve">należy </w:t>
            </w:r>
            <w:r w:rsidRPr="00E55CB1">
              <w:rPr>
                <w:rFonts w:ascii="Times New Roman" w:hAnsi="Times New Roman"/>
                <w:color w:val="000000"/>
              </w:rPr>
              <w:t>usprawni</w:t>
            </w:r>
            <w:r w:rsidR="00681BB9" w:rsidRPr="00881D97">
              <w:rPr>
                <w:rFonts w:ascii="Times New Roman" w:hAnsi="Times New Roman"/>
                <w:color w:val="000000"/>
              </w:rPr>
              <w:t>ć</w:t>
            </w:r>
            <w:r w:rsidRPr="00E55CB1">
              <w:rPr>
                <w:rFonts w:ascii="Times New Roman" w:hAnsi="Times New Roman"/>
                <w:color w:val="000000"/>
              </w:rPr>
              <w:t> wdrażanie programów priorytetowych, w których następuje udostępnienie środków finansowych wojewódzkim funduszom</w:t>
            </w:r>
            <w:r w:rsidR="00681BB9" w:rsidRPr="00881D97">
              <w:rPr>
                <w:rFonts w:ascii="Times New Roman" w:hAnsi="Times New Roman"/>
                <w:color w:val="000000"/>
              </w:rPr>
              <w:t xml:space="preserve"> ochrony środowiska i gospodarki wodnej („</w:t>
            </w:r>
            <w:proofErr w:type="spellStart"/>
            <w:r w:rsidR="00681BB9" w:rsidRPr="00881D97">
              <w:rPr>
                <w:rFonts w:ascii="Times New Roman" w:hAnsi="Times New Roman"/>
                <w:color w:val="000000"/>
              </w:rPr>
              <w:t>wfośigw</w:t>
            </w:r>
            <w:proofErr w:type="spellEnd"/>
            <w:r w:rsidR="00681BB9" w:rsidRPr="00881D97">
              <w:rPr>
                <w:rFonts w:ascii="Times New Roman" w:hAnsi="Times New Roman"/>
                <w:color w:val="000000"/>
              </w:rPr>
              <w:t>”)</w:t>
            </w:r>
            <w:r w:rsidRPr="00E55CB1">
              <w:rPr>
                <w:rFonts w:ascii="Times New Roman" w:hAnsi="Times New Roman"/>
                <w:color w:val="000000"/>
              </w:rPr>
              <w:t xml:space="preserve"> z</w:t>
            </w:r>
            <w:r w:rsidR="00E049AB">
              <w:rPr>
                <w:rFonts w:ascii="Times New Roman" w:hAnsi="Times New Roman"/>
                <w:color w:val="000000"/>
              </w:rPr>
              <w:t> </w:t>
            </w:r>
            <w:r w:rsidRPr="00E55CB1">
              <w:rPr>
                <w:rFonts w:ascii="Times New Roman" w:hAnsi="Times New Roman"/>
                <w:color w:val="000000"/>
              </w:rPr>
              <w:t xml:space="preserve">przeznaczeniem na udzielanie dotacji na wskazane przez Narodowy Fundusz </w:t>
            </w:r>
            <w:r w:rsidR="00681BB9" w:rsidRPr="00881D97">
              <w:rPr>
                <w:rFonts w:ascii="Times New Roman" w:hAnsi="Times New Roman"/>
                <w:color w:val="000000"/>
              </w:rPr>
              <w:t>Ochrony Środowiska i Gospodarki Wodnej („NFOŚiGW”)</w:t>
            </w:r>
            <w:r w:rsidR="00FD2757" w:rsidRPr="00881D97">
              <w:rPr>
                <w:rFonts w:ascii="Times New Roman" w:hAnsi="Times New Roman"/>
                <w:color w:val="000000"/>
              </w:rPr>
              <w:t xml:space="preserve"> </w:t>
            </w:r>
            <w:r w:rsidRPr="00E55CB1">
              <w:rPr>
                <w:rFonts w:ascii="Times New Roman" w:hAnsi="Times New Roman"/>
                <w:color w:val="000000"/>
              </w:rPr>
              <w:t>programy i przedsięwzięcia z zakresu zadań ochrony środowiska i</w:t>
            </w:r>
            <w:r w:rsidR="00774F09">
              <w:rPr>
                <w:rFonts w:ascii="Times New Roman" w:hAnsi="Times New Roman"/>
                <w:color w:val="000000"/>
              </w:rPr>
              <w:t> </w:t>
            </w:r>
            <w:r w:rsidRPr="00E55CB1">
              <w:rPr>
                <w:rFonts w:ascii="Times New Roman" w:hAnsi="Times New Roman"/>
                <w:color w:val="000000"/>
              </w:rPr>
              <w:t xml:space="preserve">gospodarki wodnej.  </w:t>
            </w:r>
          </w:p>
          <w:p w14:paraId="28047611" w14:textId="54642CB4" w:rsidR="00525380" w:rsidRPr="00881D97" w:rsidRDefault="00F728D0" w:rsidP="005B2996">
            <w:pPr>
              <w:tabs>
                <w:tab w:val="left" w:pos="320"/>
              </w:tabs>
              <w:spacing w:before="120" w:after="120" w:line="240" w:lineRule="auto"/>
              <w:ind w:left="34"/>
              <w:jc w:val="both"/>
              <w:rPr>
                <w:rFonts w:ascii="Times New Roman" w:hAnsi="Times New Roman"/>
                <w:color w:val="000000"/>
              </w:rPr>
            </w:pPr>
            <w:r>
              <w:rPr>
                <w:rFonts w:ascii="Times New Roman" w:hAnsi="Times New Roman"/>
                <w:color w:val="000000"/>
              </w:rPr>
              <w:t>N</w:t>
            </w:r>
            <w:r w:rsidR="00F3095E" w:rsidRPr="00881D97">
              <w:rPr>
                <w:rFonts w:ascii="Times New Roman" w:hAnsi="Times New Roman"/>
                <w:color w:val="000000"/>
              </w:rPr>
              <w:t>iezbędn</w:t>
            </w:r>
            <w:r>
              <w:rPr>
                <w:rFonts w:ascii="Times New Roman" w:hAnsi="Times New Roman"/>
                <w:color w:val="000000"/>
              </w:rPr>
              <w:t>e</w:t>
            </w:r>
            <w:r w:rsidR="005B2996" w:rsidRPr="00E55CB1">
              <w:rPr>
                <w:rFonts w:ascii="Times New Roman" w:hAnsi="Times New Roman"/>
                <w:color w:val="000000"/>
              </w:rPr>
              <w:t xml:space="preserve"> jest</w:t>
            </w:r>
            <w:r>
              <w:rPr>
                <w:rFonts w:ascii="Times New Roman" w:hAnsi="Times New Roman"/>
                <w:color w:val="000000"/>
              </w:rPr>
              <w:t xml:space="preserve"> także</w:t>
            </w:r>
            <w:r w:rsidR="005B2996" w:rsidRPr="00E55CB1">
              <w:rPr>
                <w:rFonts w:ascii="Times New Roman" w:hAnsi="Times New Roman"/>
                <w:color w:val="000000"/>
              </w:rPr>
              <w:t xml:space="preserve"> uporządkowanie terminów </w:t>
            </w:r>
            <w:r w:rsidR="005B2996" w:rsidRPr="00881D97">
              <w:rPr>
                <w:rFonts w:ascii="Times New Roman" w:hAnsi="Times New Roman"/>
                <w:color w:val="000000"/>
              </w:rPr>
              <w:t xml:space="preserve">realizacji </w:t>
            </w:r>
            <w:r w:rsidR="005B2996" w:rsidRPr="00E55CB1">
              <w:rPr>
                <w:rFonts w:ascii="Times New Roman" w:hAnsi="Times New Roman"/>
                <w:color w:val="000000"/>
              </w:rPr>
              <w:t>zadań</w:t>
            </w:r>
            <w:r w:rsidR="005B2996" w:rsidRPr="00881D97">
              <w:rPr>
                <w:rFonts w:ascii="Times New Roman" w:hAnsi="Times New Roman"/>
                <w:color w:val="000000"/>
              </w:rPr>
              <w:t xml:space="preserve"> ustawowych wykonywanych </w:t>
            </w:r>
            <w:r w:rsidR="005B2996" w:rsidRPr="00E55CB1">
              <w:rPr>
                <w:rFonts w:ascii="Times New Roman" w:hAnsi="Times New Roman"/>
                <w:color w:val="000000"/>
              </w:rPr>
              <w:t>rzez K</w:t>
            </w:r>
            <w:r w:rsidR="005B2996" w:rsidRPr="00881D97">
              <w:rPr>
                <w:rFonts w:ascii="Times New Roman" w:hAnsi="Times New Roman"/>
                <w:color w:val="000000"/>
              </w:rPr>
              <w:t>rajowy Ośrodek Bilansowania i Zarządzania Emisjami (</w:t>
            </w:r>
            <w:r w:rsidR="00445441">
              <w:rPr>
                <w:rFonts w:ascii="Times New Roman" w:hAnsi="Times New Roman"/>
                <w:color w:val="000000"/>
              </w:rPr>
              <w:t>„</w:t>
            </w:r>
            <w:proofErr w:type="spellStart"/>
            <w:r w:rsidR="005B2996" w:rsidRPr="00881D97">
              <w:rPr>
                <w:rFonts w:ascii="Times New Roman" w:hAnsi="Times New Roman"/>
                <w:color w:val="000000"/>
              </w:rPr>
              <w:t>KOBiZE</w:t>
            </w:r>
            <w:proofErr w:type="spellEnd"/>
            <w:r w:rsidR="00445441">
              <w:rPr>
                <w:rFonts w:ascii="Times New Roman" w:hAnsi="Times New Roman"/>
                <w:color w:val="000000"/>
              </w:rPr>
              <w:t>”</w:t>
            </w:r>
            <w:r w:rsidR="005B2996" w:rsidRPr="00881D97">
              <w:rPr>
                <w:rFonts w:ascii="Times New Roman" w:hAnsi="Times New Roman"/>
                <w:color w:val="000000"/>
              </w:rPr>
              <w:t>), które nie tylko p</w:t>
            </w:r>
            <w:r w:rsidR="005B2996" w:rsidRPr="00E55CB1">
              <w:rPr>
                <w:rFonts w:ascii="Times New Roman" w:hAnsi="Times New Roman"/>
                <w:color w:val="000000"/>
              </w:rPr>
              <w:t xml:space="preserve">ozwolą usprawnić </w:t>
            </w:r>
            <w:r>
              <w:rPr>
                <w:rFonts w:ascii="Times New Roman" w:hAnsi="Times New Roman"/>
                <w:color w:val="000000"/>
              </w:rPr>
              <w:t xml:space="preserve">jego </w:t>
            </w:r>
            <w:r w:rsidR="005B2996" w:rsidRPr="00E55CB1">
              <w:rPr>
                <w:rFonts w:ascii="Times New Roman" w:hAnsi="Times New Roman"/>
                <w:color w:val="000000"/>
              </w:rPr>
              <w:t>pracę</w:t>
            </w:r>
            <w:r w:rsidR="005B2996" w:rsidRPr="00881D97">
              <w:rPr>
                <w:rFonts w:ascii="Times New Roman" w:hAnsi="Times New Roman"/>
                <w:color w:val="000000"/>
              </w:rPr>
              <w:t xml:space="preserve">, ale także </w:t>
            </w:r>
            <w:r w:rsidR="005B2996" w:rsidRPr="00E55CB1">
              <w:rPr>
                <w:rFonts w:ascii="Times New Roman" w:hAnsi="Times New Roman"/>
                <w:color w:val="000000"/>
              </w:rPr>
              <w:t>uelastyczni</w:t>
            </w:r>
            <w:r w:rsidR="005B2996" w:rsidRPr="00881D97">
              <w:rPr>
                <w:rFonts w:ascii="Times New Roman" w:hAnsi="Times New Roman"/>
                <w:color w:val="000000"/>
              </w:rPr>
              <w:t>ą</w:t>
            </w:r>
            <w:r w:rsidR="005B2996" w:rsidRPr="00E55CB1">
              <w:rPr>
                <w:rFonts w:ascii="Times New Roman" w:hAnsi="Times New Roman"/>
                <w:color w:val="000000"/>
              </w:rPr>
              <w:t xml:space="preserve"> wykonywanie </w:t>
            </w:r>
            <w:r w:rsidR="00F3095E" w:rsidRPr="00881D97">
              <w:rPr>
                <w:rFonts w:ascii="Times New Roman" w:hAnsi="Times New Roman"/>
                <w:color w:val="000000"/>
              </w:rPr>
              <w:t xml:space="preserve">szerokiego katalogu </w:t>
            </w:r>
            <w:r w:rsidR="005B2996" w:rsidRPr="00E55CB1">
              <w:rPr>
                <w:rFonts w:ascii="Times New Roman" w:hAnsi="Times New Roman"/>
                <w:color w:val="000000"/>
              </w:rPr>
              <w:t>zadań</w:t>
            </w:r>
            <w:r w:rsidR="00F3095E" w:rsidRPr="00881D97">
              <w:rPr>
                <w:rFonts w:ascii="Times New Roman" w:hAnsi="Times New Roman"/>
                <w:color w:val="000000"/>
              </w:rPr>
              <w:t>, mających na celu wykonanie wymogów prawa unijnego i krajowego w obszarze ochrony powietrza</w:t>
            </w:r>
            <w:r w:rsidR="00BC31F7" w:rsidRPr="00881D97">
              <w:rPr>
                <w:rFonts w:ascii="Times New Roman" w:hAnsi="Times New Roman"/>
                <w:color w:val="000000"/>
              </w:rPr>
              <w:t xml:space="preserve">, a także modyfikacja (w niewielkim zakresie) wymagań ustawowych w odniesieniu do zadań KOBIZE wynikająca z konieczności transpozycji </w:t>
            </w:r>
            <w:r w:rsidR="00BC31F7" w:rsidRPr="00E55CB1">
              <w:rPr>
                <w:rFonts w:ascii="Times New Roman" w:hAnsi="Times New Roman"/>
              </w:rPr>
              <w:t>dyrektywy delegowanej Komisji (UE) 2024/299 z dnia 27 października 2023 r.</w:t>
            </w:r>
            <w:r w:rsidR="00BC31F7" w:rsidRPr="00E55CB1">
              <w:rPr>
                <w:rFonts w:ascii="Times New Roman" w:hAnsi="Times New Roman"/>
                <w:i/>
                <w:iCs/>
              </w:rPr>
              <w:t xml:space="preserve"> zmieniającej dyrektywę Parlamentu Europejskiego i Rady (UE) 2016/2284 w odniesieniu do metod zgłaszania prognozowanych emisji niektórych rodzajów zanieczyszczeń atmosferycznych</w:t>
            </w:r>
            <w:r>
              <w:rPr>
                <w:rFonts w:ascii="Times New Roman" w:hAnsi="Times New Roman"/>
                <w:i/>
                <w:iCs/>
              </w:rPr>
              <w:t xml:space="preserve"> </w:t>
            </w:r>
            <w:r w:rsidRPr="00E55CB1">
              <w:rPr>
                <w:rFonts w:ascii="Times New Roman" w:hAnsi="Times New Roman"/>
              </w:rPr>
              <w:t>(</w:t>
            </w:r>
            <w:r w:rsidR="00445441">
              <w:rPr>
                <w:rFonts w:ascii="Times New Roman" w:hAnsi="Times New Roman"/>
              </w:rPr>
              <w:t>„</w:t>
            </w:r>
            <w:r w:rsidRPr="00F728D0">
              <w:rPr>
                <w:rFonts w:ascii="Times New Roman" w:hAnsi="Times New Roman"/>
              </w:rPr>
              <w:t>Dyrektywa 2024/299</w:t>
            </w:r>
            <w:r w:rsidR="00445441">
              <w:rPr>
                <w:rFonts w:ascii="Times New Roman" w:hAnsi="Times New Roman"/>
              </w:rPr>
              <w:t>”</w:t>
            </w:r>
            <w:r>
              <w:rPr>
                <w:rFonts w:ascii="Times New Roman" w:hAnsi="Times New Roman"/>
              </w:rPr>
              <w:t>)</w:t>
            </w:r>
            <w:r w:rsidR="00BC31F7" w:rsidRPr="00E55CB1">
              <w:rPr>
                <w:rFonts w:ascii="Times New Roman" w:hAnsi="Times New Roman"/>
                <w:i/>
                <w:iCs/>
              </w:rPr>
              <w:t>.</w:t>
            </w:r>
          </w:p>
          <w:p w14:paraId="3EC7B9FA" w14:textId="636C3260" w:rsidR="00525380" w:rsidRPr="00774C75" w:rsidRDefault="00F3095E" w:rsidP="00774C75">
            <w:pPr>
              <w:tabs>
                <w:tab w:val="left" w:pos="320"/>
              </w:tabs>
              <w:spacing w:before="120" w:after="120" w:line="240" w:lineRule="auto"/>
              <w:ind w:left="34"/>
              <w:jc w:val="both"/>
              <w:rPr>
                <w:rFonts w:ascii="Times New Roman" w:hAnsi="Times New Roman"/>
                <w:color w:val="000000"/>
              </w:rPr>
            </w:pPr>
            <w:r w:rsidRPr="00881D97">
              <w:rPr>
                <w:rFonts w:ascii="Times New Roman" w:hAnsi="Times New Roman"/>
                <w:color w:val="000000"/>
              </w:rPr>
              <w:t xml:space="preserve">Najważniejsze kwestie rozwiązywane w przedmiotowym projekcie ustawy </w:t>
            </w:r>
            <w:r w:rsidRPr="00E55CB1">
              <w:rPr>
                <w:rFonts w:ascii="Times New Roman" w:hAnsi="Times New Roman"/>
                <w:i/>
                <w:iCs/>
                <w:color w:val="000000"/>
              </w:rPr>
              <w:t>o zmianie ustawy – Prawo ochrony środowiska oraz niektórych innych ustaw</w:t>
            </w:r>
            <w:r w:rsidRPr="00881D97">
              <w:rPr>
                <w:rFonts w:ascii="Times New Roman" w:hAnsi="Times New Roman"/>
                <w:color w:val="000000"/>
              </w:rPr>
              <w:t>:</w:t>
            </w:r>
          </w:p>
          <w:p w14:paraId="142FABDC" w14:textId="1C8A1ED7" w:rsidR="00873039" w:rsidRPr="00E55CB1" w:rsidRDefault="00873039" w:rsidP="00FC0118">
            <w:pPr>
              <w:pStyle w:val="Akapitzlist"/>
              <w:numPr>
                <w:ilvl w:val="0"/>
                <w:numId w:val="53"/>
              </w:numPr>
              <w:tabs>
                <w:tab w:val="left" w:pos="320"/>
              </w:tabs>
              <w:spacing w:line="240" w:lineRule="auto"/>
              <w:ind w:left="627" w:hanging="233"/>
              <w:jc w:val="both"/>
              <w:rPr>
                <w:rFonts w:ascii="Times New Roman" w:hAnsi="Times New Roman"/>
                <w:b/>
                <w:bCs/>
                <w:color w:val="000000"/>
                <w:u w:val="single"/>
              </w:rPr>
            </w:pPr>
            <w:r w:rsidRPr="00E55CB1">
              <w:rPr>
                <w:rFonts w:ascii="Times New Roman" w:hAnsi="Times New Roman"/>
                <w:b/>
                <w:bCs/>
                <w:color w:val="000000"/>
                <w:u w:val="single"/>
              </w:rPr>
              <w:t xml:space="preserve">Uwzględnienie kwestii adaptacji do zmian klimatu </w:t>
            </w:r>
            <w:r w:rsidR="00FE7AF5" w:rsidRPr="00E55CB1">
              <w:rPr>
                <w:rFonts w:ascii="Times New Roman" w:hAnsi="Times New Roman"/>
                <w:b/>
                <w:bCs/>
                <w:color w:val="000000"/>
                <w:u w:val="single"/>
              </w:rPr>
              <w:t xml:space="preserve">(w tym zielonej transformacji) </w:t>
            </w:r>
            <w:r w:rsidRPr="00E55CB1">
              <w:rPr>
                <w:rFonts w:ascii="Times New Roman" w:hAnsi="Times New Roman"/>
                <w:b/>
                <w:bCs/>
                <w:color w:val="000000"/>
                <w:u w:val="single"/>
              </w:rPr>
              <w:t>w polityce rozwoju gminy, województwa oraz kraju</w:t>
            </w:r>
          </w:p>
          <w:bookmarkEnd w:id="3"/>
          <w:p w14:paraId="03E0DF88" w14:textId="5B1284FC" w:rsidR="00873039" w:rsidRDefault="00873039" w:rsidP="00873039">
            <w:pPr>
              <w:spacing w:line="240" w:lineRule="auto"/>
              <w:ind w:left="36" w:firstLine="2"/>
              <w:jc w:val="both"/>
              <w:rPr>
                <w:rFonts w:ascii="Times New Roman" w:hAnsi="Times New Roman"/>
                <w:color w:val="000000"/>
              </w:rPr>
            </w:pPr>
            <w:r w:rsidRPr="007A2509">
              <w:rPr>
                <w:rFonts w:ascii="Times New Roman" w:hAnsi="Times New Roman"/>
                <w:color w:val="000000"/>
              </w:rPr>
              <w:t xml:space="preserve">Działania </w:t>
            </w:r>
            <w:r w:rsidR="00916618">
              <w:rPr>
                <w:rFonts w:ascii="Times New Roman" w:hAnsi="Times New Roman"/>
                <w:color w:val="000000"/>
              </w:rPr>
              <w:t>z</w:t>
            </w:r>
            <w:r w:rsidRPr="007A2509">
              <w:rPr>
                <w:rFonts w:ascii="Times New Roman" w:hAnsi="Times New Roman"/>
                <w:color w:val="000000"/>
              </w:rPr>
              <w:t xml:space="preserve"> zakres</w:t>
            </w:r>
            <w:r w:rsidR="00916618">
              <w:rPr>
                <w:rFonts w:ascii="Times New Roman" w:hAnsi="Times New Roman"/>
                <w:color w:val="000000"/>
              </w:rPr>
              <w:t>u</w:t>
            </w:r>
            <w:r w:rsidRPr="007A2509">
              <w:rPr>
                <w:rFonts w:ascii="Times New Roman" w:hAnsi="Times New Roman"/>
                <w:color w:val="000000"/>
              </w:rPr>
              <w:t xml:space="preserve"> adaptacji do zmian klimatu powinny być podejmowane </w:t>
            </w:r>
            <w:r>
              <w:rPr>
                <w:rFonts w:ascii="Times New Roman" w:hAnsi="Times New Roman"/>
                <w:color w:val="000000"/>
              </w:rPr>
              <w:t>z</w:t>
            </w:r>
            <w:r w:rsidR="00D13DC6">
              <w:rPr>
                <w:rFonts w:ascii="Times New Roman" w:hAnsi="Times New Roman"/>
                <w:color w:val="000000"/>
              </w:rPr>
              <w:t>arówno na poziomie gminnym, jak</w:t>
            </w:r>
            <w:r w:rsidR="00D13DC6">
              <w:rPr>
                <w:rFonts w:ascii="Times New Roman" w:hAnsi="Times New Roman"/>
                <w:color w:val="000000"/>
              </w:rPr>
              <w:br/>
            </w:r>
            <w:r>
              <w:rPr>
                <w:rFonts w:ascii="Times New Roman" w:hAnsi="Times New Roman"/>
                <w:color w:val="000000"/>
              </w:rPr>
              <w:t xml:space="preserve">i </w:t>
            </w:r>
            <w:r w:rsidRPr="007A2509">
              <w:rPr>
                <w:rFonts w:ascii="Times New Roman" w:hAnsi="Times New Roman"/>
                <w:color w:val="000000"/>
              </w:rPr>
              <w:t>w większym zakresie na poziomie regionalnym</w:t>
            </w:r>
            <w:r>
              <w:rPr>
                <w:rFonts w:ascii="Times New Roman" w:hAnsi="Times New Roman"/>
                <w:color w:val="000000"/>
              </w:rPr>
              <w:t xml:space="preserve"> i krajowym</w:t>
            </w:r>
            <w:r w:rsidR="00407E4B">
              <w:rPr>
                <w:rFonts w:ascii="Times New Roman" w:hAnsi="Times New Roman"/>
                <w:color w:val="000000"/>
              </w:rPr>
              <w:t>. Aktualnie obowiązujące przepisy prawa nie zawierają przepisów zobowiązujących do takich działań m.in</w:t>
            </w:r>
            <w:r w:rsidR="007E0798">
              <w:rPr>
                <w:rFonts w:ascii="Times New Roman" w:hAnsi="Times New Roman"/>
                <w:color w:val="000000"/>
              </w:rPr>
              <w:t>:</w:t>
            </w:r>
            <w:r w:rsidRPr="007A2509">
              <w:rPr>
                <w:rFonts w:ascii="Times New Roman" w:hAnsi="Times New Roman"/>
                <w:color w:val="000000"/>
              </w:rPr>
              <w:t xml:space="preserve"> </w:t>
            </w:r>
          </w:p>
          <w:p w14:paraId="64EC1841" w14:textId="47D0F1E8" w:rsidR="00873039" w:rsidRDefault="007E0798" w:rsidP="00851A61">
            <w:pPr>
              <w:numPr>
                <w:ilvl w:val="0"/>
                <w:numId w:val="8"/>
              </w:numPr>
              <w:spacing w:line="240" w:lineRule="auto"/>
              <w:jc w:val="both"/>
              <w:rPr>
                <w:rFonts w:ascii="Times New Roman" w:hAnsi="Times New Roman"/>
                <w:color w:val="000000"/>
              </w:rPr>
            </w:pPr>
            <w:r>
              <w:rPr>
                <w:rFonts w:ascii="Times New Roman" w:hAnsi="Times New Roman"/>
                <w:color w:val="000000"/>
              </w:rPr>
              <w:lastRenderedPageBreak/>
              <w:t>a</w:t>
            </w:r>
            <w:r w:rsidR="00873039" w:rsidRPr="007A2509">
              <w:rPr>
                <w:rFonts w:ascii="Times New Roman" w:hAnsi="Times New Roman"/>
                <w:color w:val="000000"/>
              </w:rPr>
              <w:t>ktualnie realizowane działania w zakresie np. wojewódzkich programów ochrony środo</w:t>
            </w:r>
            <w:r w:rsidR="00D13DC6">
              <w:rPr>
                <w:rFonts w:ascii="Times New Roman" w:hAnsi="Times New Roman"/>
                <w:color w:val="000000"/>
              </w:rPr>
              <w:t>wiska, o których mowa</w:t>
            </w:r>
            <w:r w:rsidR="00D13DC6">
              <w:rPr>
                <w:rFonts w:ascii="Times New Roman" w:hAnsi="Times New Roman"/>
                <w:color w:val="000000"/>
              </w:rPr>
              <w:br/>
            </w:r>
            <w:r w:rsidR="00873039" w:rsidRPr="007A2509">
              <w:rPr>
                <w:rFonts w:ascii="Times New Roman" w:hAnsi="Times New Roman"/>
                <w:color w:val="000000"/>
              </w:rPr>
              <w:t xml:space="preserve">w ustawie z dnia 27 kwietnia 2001 r. – </w:t>
            </w:r>
            <w:r w:rsidR="00873039" w:rsidRPr="00804C6F">
              <w:rPr>
                <w:rFonts w:ascii="Times New Roman" w:hAnsi="Times New Roman"/>
                <w:i/>
                <w:iCs/>
                <w:color w:val="000000"/>
              </w:rPr>
              <w:t>Prawo ochrony środowiska</w:t>
            </w:r>
            <w:r w:rsidR="00873039" w:rsidRPr="007A2509">
              <w:rPr>
                <w:rFonts w:ascii="Times New Roman" w:hAnsi="Times New Roman"/>
                <w:color w:val="000000"/>
              </w:rPr>
              <w:t xml:space="preserve"> (Dz. U. z </w:t>
            </w:r>
            <w:r w:rsidR="00D57256" w:rsidRPr="007A2509">
              <w:rPr>
                <w:rFonts w:ascii="Times New Roman" w:hAnsi="Times New Roman"/>
                <w:color w:val="000000"/>
              </w:rPr>
              <w:t>202</w:t>
            </w:r>
            <w:r w:rsidR="00D57256">
              <w:rPr>
                <w:rFonts w:ascii="Times New Roman" w:hAnsi="Times New Roman"/>
                <w:color w:val="000000"/>
              </w:rPr>
              <w:t>4</w:t>
            </w:r>
            <w:r w:rsidR="00D57256" w:rsidRPr="007A2509">
              <w:rPr>
                <w:rFonts w:ascii="Times New Roman" w:hAnsi="Times New Roman"/>
                <w:color w:val="000000"/>
              </w:rPr>
              <w:t xml:space="preserve"> </w:t>
            </w:r>
            <w:r w:rsidR="00873039" w:rsidRPr="007A2509">
              <w:rPr>
                <w:rFonts w:ascii="Times New Roman" w:hAnsi="Times New Roman"/>
                <w:color w:val="000000"/>
              </w:rPr>
              <w:t xml:space="preserve">r. poz. </w:t>
            </w:r>
            <w:r w:rsidR="00D57256">
              <w:rPr>
                <w:rFonts w:ascii="Times New Roman" w:hAnsi="Times New Roman"/>
                <w:color w:val="000000"/>
              </w:rPr>
              <w:t>54</w:t>
            </w:r>
            <w:r w:rsidR="00873039" w:rsidRPr="007A2509">
              <w:rPr>
                <w:rFonts w:ascii="Times New Roman" w:hAnsi="Times New Roman"/>
                <w:color w:val="000000"/>
              </w:rPr>
              <w:t>),</w:t>
            </w:r>
            <w:r w:rsidR="00100788">
              <w:rPr>
                <w:rFonts w:ascii="Times New Roman" w:hAnsi="Times New Roman"/>
                <w:color w:val="000000"/>
              </w:rPr>
              <w:t xml:space="preserve"> zwanej dalej „</w:t>
            </w:r>
            <w:proofErr w:type="spellStart"/>
            <w:r w:rsidR="00100788">
              <w:rPr>
                <w:rFonts w:ascii="Times New Roman" w:hAnsi="Times New Roman"/>
                <w:color w:val="000000"/>
              </w:rPr>
              <w:t>uPoś</w:t>
            </w:r>
            <w:proofErr w:type="spellEnd"/>
            <w:r w:rsidR="00100788">
              <w:rPr>
                <w:rFonts w:ascii="Times New Roman" w:hAnsi="Times New Roman"/>
                <w:color w:val="000000"/>
              </w:rPr>
              <w:t>”,</w:t>
            </w:r>
            <w:r w:rsidR="00873039" w:rsidRPr="007A2509">
              <w:rPr>
                <w:rFonts w:ascii="Times New Roman" w:hAnsi="Times New Roman"/>
                <w:color w:val="000000"/>
              </w:rPr>
              <w:t xml:space="preserve"> są niewystarczające. W związku z rolą samorządu województwa, m.in. w zakresie programowania</w:t>
            </w:r>
            <w:r w:rsidR="00804C6F">
              <w:rPr>
                <w:rFonts w:ascii="Times New Roman" w:hAnsi="Times New Roman"/>
                <w:color w:val="000000"/>
              </w:rPr>
              <w:t xml:space="preserve"> i</w:t>
            </w:r>
            <w:r w:rsidR="00873039" w:rsidRPr="007A2509">
              <w:rPr>
                <w:rFonts w:ascii="Times New Roman" w:hAnsi="Times New Roman"/>
                <w:color w:val="000000"/>
              </w:rPr>
              <w:t xml:space="preserve"> wdrażania środków unijnych, </w:t>
            </w:r>
            <w:r w:rsidR="004933FE" w:rsidRPr="007A2509">
              <w:rPr>
                <w:rFonts w:ascii="Times New Roman" w:hAnsi="Times New Roman"/>
                <w:color w:val="000000"/>
              </w:rPr>
              <w:t xml:space="preserve">jest </w:t>
            </w:r>
            <w:r w:rsidR="00873039" w:rsidRPr="007A2509">
              <w:rPr>
                <w:rFonts w:ascii="Times New Roman" w:hAnsi="Times New Roman"/>
                <w:color w:val="000000"/>
              </w:rPr>
              <w:t xml:space="preserve">konieczne </w:t>
            </w:r>
            <w:bookmarkStart w:id="4" w:name="_Hlk157674104"/>
            <w:r w:rsidR="00873039" w:rsidRPr="007A2509">
              <w:rPr>
                <w:rFonts w:ascii="Times New Roman" w:hAnsi="Times New Roman"/>
                <w:color w:val="000000"/>
              </w:rPr>
              <w:t>uwzględnianie aspektu adaptacji do zmian klimatu w polityce rozwoju województwa</w:t>
            </w:r>
            <w:bookmarkEnd w:id="4"/>
            <w:r w:rsidR="00873039" w:rsidRPr="007A2509">
              <w:rPr>
                <w:rFonts w:ascii="Times New Roman" w:hAnsi="Times New Roman"/>
                <w:color w:val="000000"/>
              </w:rPr>
              <w:t xml:space="preserve">, w celu tworzenia </w:t>
            </w:r>
            <w:r w:rsidR="00F651F2">
              <w:rPr>
                <w:rFonts w:ascii="Times New Roman" w:hAnsi="Times New Roman"/>
                <w:color w:val="000000"/>
              </w:rPr>
              <w:t xml:space="preserve">warunków </w:t>
            </w:r>
            <w:r w:rsidR="00F651F2" w:rsidRPr="00F651F2">
              <w:rPr>
                <w:rFonts w:ascii="Times New Roman" w:hAnsi="Times New Roman"/>
                <w:color w:val="000000"/>
              </w:rPr>
              <w:t>dla prowadzenia działań na rzecz ochrony klimatu oraz działań adaptacyjnych, zmniejszających podatność na zmiany klimatu</w:t>
            </w:r>
            <w:r w:rsidR="00F651F2">
              <w:rPr>
                <w:rFonts w:ascii="Times New Roman" w:hAnsi="Times New Roman"/>
                <w:color w:val="000000"/>
              </w:rPr>
              <w:t>;</w:t>
            </w:r>
            <w:r w:rsidR="00873039" w:rsidRPr="007A2509">
              <w:rPr>
                <w:rFonts w:ascii="Times New Roman" w:hAnsi="Times New Roman"/>
                <w:color w:val="000000"/>
              </w:rPr>
              <w:t xml:space="preserve"> </w:t>
            </w:r>
          </w:p>
          <w:p w14:paraId="506B6A20" w14:textId="36F20BAB" w:rsidR="00873039" w:rsidRDefault="007E0798" w:rsidP="00851A61">
            <w:pPr>
              <w:numPr>
                <w:ilvl w:val="0"/>
                <w:numId w:val="8"/>
              </w:numPr>
              <w:spacing w:line="240" w:lineRule="auto"/>
              <w:jc w:val="both"/>
              <w:rPr>
                <w:rFonts w:ascii="Times New Roman" w:hAnsi="Times New Roman"/>
                <w:color w:val="000000"/>
              </w:rPr>
            </w:pPr>
            <w:r>
              <w:rPr>
                <w:rFonts w:ascii="Times New Roman" w:hAnsi="Times New Roman"/>
                <w:color w:val="000000"/>
              </w:rPr>
              <w:t>z</w:t>
            </w:r>
            <w:r w:rsidR="00873039">
              <w:rPr>
                <w:rFonts w:ascii="Times New Roman" w:hAnsi="Times New Roman"/>
                <w:color w:val="000000"/>
              </w:rPr>
              <w:t>godnie z ustawą z dnia</w:t>
            </w:r>
            <w:r w:rsidRPr="007E0798">
              <w:rPr>
                <w:rFonts w:ascii="Times New Roman" w:hAnsi="Times New Roman"/>
                <w:color w:val="000000"/>
              </w:rPr>
              <w:t xml:space="preserve"> 6 grudnia 2006 r. </w:t>
            </w:r>
            <w:r w:rsidRPr="00804C6F">
              <w:rPr>
                <w:rFonts w:ascii="Times New Roman" w:hAnsi="Times New Roman"/>
                <w:i/>
                <w:iCs/>
                <w:color w:val="000000"/>
              </w:rPr>
              <w:t>o zasadach prowadzenia polityki rozwoju</w:t>
            </w:r>
            <w:r w:rsidRPr="007E0798">
              <w:rPr>
                <w:rFonts w:ascii="Times New Roman" w:hAnsi="Times New Roman"/>
                <w:color w:val="000000"/>
              </w:rPr>
              <w:t xml:space="preserve"> (</w:t>
            </w:r>
            <w:r w:rsidR="002E591D" w:rsidRPr="003C63AD">
              <w:rPr>
                <w:rFonts w:ascii="Times New Roman" w:hAnsi="Times New Roman"/>
              </w:rPr>
              <w:t xml:space="preserve">Dz. U. </w:t>
            </w:r>
            <w:r w:rsidR="00057F5D" w:rsidRPr="00057F5D">
              <w:rPr>
                <w:rFonts w:ascii="Times New Roman" w:hAnsi="Times New Roman"/>
              </w:rPr>
              <w:t xml:space="preserve">z 2023 r. poz. 1259, </w:t>
            </w:r>
            <w:r w:rsidR="001558DB">
              <w:rPr>
                <w:rFonts w:ascii="Times New Roman" w:hAnsi="Times New Roman"/>
                <w:color w:val="000000"/>
              </w:rPr>
              <w:t>z</w:t>
            </w:r>
            <w:r w:rsidR="00E049AB">
              <w:rPr>
                <w:rFonts w:ascii="Times New Roman" w:hAnsi="Times New Roman"/>
                <w:color w:val="000000"/>
              </w:rPr>
              <w:t> </w:t>
            </w:r>
            <w:proofErr w:type="spellStart"/>
            <w:r w:rsidR="001558DB">
              <w:rPr>
                <w:rFonts w:ascii="Times New Roman" w:hAnsi="Times New Roman"/>
                <w:color w:val="000000"/>
              </w:rPr>
              <w:t>późn</w:t>
            </w:r>
            <w:proofErr w:type="spellEnd"/>
            <w:r w:rsidR="001558DB">
              <w:rPr>
                <w:rFonts w:ascii="Times New Roman" w:hAnsi="Times New Roman"/>
                <w:color w:val="000000"/>
              </w:rPr>
              <w:t>. zm.</w:t>
            </w:r>
            <w:r w:rsidRPr="007E0798">
              <w:rPr>
                <w:rFonts w:ascii="Times New Roman" w:hAnsi="Times New Roman"/>
                <w:color w:val="000000"/>
              </w:rPr>
              <w:t xml:space="preserve">) </w:t>
            </w:r>
            <w:r>
              <w:rPr>
                <w:rFonts w:ascii="Times New Roman" w:hAnsi="Times New Roman"/>
                <w:color w:val="000000"/>
              </w:rPr>
              <w:t>p</w:t>
            </w:r>
            <w:r w:rsidR="00873039">
              <w:rPr>
                <w:rFonts w:ascii="Times New Roman" w:hAnsi="Times New Roman"/>
                <w:color w:val="000000"/>
              </w:rPr>
              <w:t>rzy opracowaniu strategii rozwoju</w:t>
            </w:r>
            <w:r w:rsidR="009D3D11">
              <w:rPr>
                <w:rFonts w:ascii="Times New Roman" w:hAnsi="Times New Roman"/>
                <w:color w:val="000000"/>
              </w:rPr>
              <w:t>:</w:t>
            </w:r>
            <w:r w:rsidR="00873039">
              <w:rPr>
                <w:rFonts w:ascii="Times New Roman" w:hAnsi="Times New Roman"/>
                <w:color w:val="000000"/>
              </w:rPr>
              <w:t xml:space="preserve"> gminy, województwa, ponadlokalnego, kraju podmiot opracowujący przygotowuje </w:t>
            </w:r>
            <w:r w:rsidR="00873039" w:rsidRPr="00873039">
              <w:rPr>
                <w:rFonts w:ascii="Times New Roman" w:hAnsi="Times New Roman"/>
                <w:color w:val="000000"/>
              </w:rPr>
              <w:t>diagnozę sytuacji społecznej, gospodarczej i przestrzennej,</w:t>
            </w:r>
            <w:r>
              <w:rPr>
                <w:rFonts w:ascii="Times New Roman" w:hAnsi="Times New Roman"/>
                <w:color w:val="000000"/>
              </w:rPr>
              <w:t xml:space="preserve"> natomiast nie ma obowiązku uwzględnienia sytuacji klimatyczno-środowiskowej.</w:t>
            </w:r>
          </w:p>
          <w:p w14:paraId="43D338C6" w14:textId="1E79BB6A" w:rsidR="00873039" w:rsidRPr="00EE07FA" w:rsidRDefault="00873039" w:rsidP="00EE07FA">
            <w:pPr>
              <w:autoSpaceDE w:val="0"/>
              <w:autoSpaceDN w:val="0"/>
              <w:adjustRightInd w:val="0"/>
              <w:spacing w:line="240" w:lineRule="auto"/>
              <w:jc w:val="both"/>
              <w:rPr>
                <w:rFonts w:ascii="TimesNewRomanPSMT" w:hAnsi="TimesNewRomanPSMT" w:cs="TimesNewRomanPSMT"/>
                <w:lang w:eastAsia="pl-PL"/>
              </w:rPr>
            </w:pPr>
            <w:r w:rsidRPr="007A2509">
              <w:rPr>
                <w:rFonts w:ascii="Times New Roman" w:hAnsi="Times New Roman"/>
                <w:color w:val="000000"/>
              </w:rPr>
              <w:t xml:space="preserve">Zasadne jest </w:t>
            </w:r>
            <w:r>
              <w:rPr>
                <w:rFonts w:ascii="Times New Roman" w:hAnsi="Times New Roman"/>
                <w:color w:val="000000"/>
              </w:rPr>
              <w:t xml:space="preserve">więc </w:t>
            </w:r>
            <w:r w:rsidRPr="007A2509">
              <w:rPr>
                <w:rFonts w:ascii="Times New Roman" w:hAnsi="Times New Roman"/>
                <w:color w:val="000000"/>
              </w:rPr>
              <w:t xml:space="preserve">zapewnienie w przepisach prawa elementu składowego polityki rozwoju </w:t>
            </w:r>
            <w:r>
              <w:rPr>
                <w:rFonts w:ascii="Times New Roman" w:hAnsi="Times New Roman"/>
                <w:color w:val="000000"/>
              </w:rPr>
              <w:t xml:space="preserve">gminy, </w:t>
            </w:r>
            <w:r w:rsidRPr="007A2509">
              <w:rPr>
                <w:rFonts w:ascii="Times New Roman" w:hAnsi="Times New Roman"/>
                <w:color w:val="000000"/>
              </w:rPr>
              <w:t xml:space="preserve">województwa, </w:t>
            </w:r>
            <w:r w:rsidR="00822DFF">
              <w:rPr>
                <w:rFonts w:ascii="Times New Roman" w:hAnsi="Times New Roman"/>
                <w:color w:val="000000"/>
              </w:rPr>
              <w:t xml:space="preserve">ponadlokalnego, </w:t>
            </w:r>
            <w:r w:rsidR="007E0798">
              <w:rPr>
                <w:rFonts w:ascii="Times New Roman" w:hAnsi="Times New Roman"/>
                <w:color w:val="000000"/>
              </w:rPr>
              <w:t xml:space="preserve">kraju, </w:t>
            </w:r>
            <w:r w:rsidRPr="007A2509">
              <w:rPr>
                <w:rFonts w:ascii="Times New Roman" w:hAnsi="Times New Roman"/>
                <w:color w:val="000000"/>
              </w:rPr>
              <w:t xml:space="preserve">który doprowadzi do wzmocnienia roli działań na rzecz adaptacji do zmian </w:t>
            </w:r>
            <w:r w:rsidRPr="004D6BE5">
              <w:rPr>
                <w:rFonts w:ascii="Times New Roman" w:hAnsi="Times New Roman"/>
                <w:color w:val="000000"/>
              </w:rPr>
              <w:t>klimatu</w:t>
            </w:r>
            <w:r w:rsidR="00FE7AF5" w:rsidRPr="004D6BE5">
              <w:rPr>
                <w:rFonts w:ascii="Times New Roman" w:hAnsi="Times New Roman"/>
                <w:color w:val="000000"/>
              </w:rPr>
              <w:t xml:space="preserve"> i tych podejmowanych na rzecz</w:t>
            </w:r>
            <w:r w:rsidR="00EE07FA" w:rsidRPr="004D6BE5">
              <w:rPr>
                <w:rFonts w:ascii="Times New Roman" w:hAnsi="Times New Roman"/>
                <w:color w:val="000000"/>
              </w:rPr>
              <w:t xml:space="preserve"> </w:t>
            </w:r>
            <w:r w:rsidR="00FE7AF5" w:rsidRPr="004D6BE5">
              <w:rPr>
                <w:rFonts w:ascii="Times New Roman" w:hAnsi="Times New Roman"/>
                <w:color w:val="000000"/>
              </w:rPr>
              <w:t>zielonej transformacji.</w:t>
            </w:r>
            <w:r w:rsidRPr="00EE07FA">
              <w:rPr>
                <w:rFonts w:ascii="Times New Roman" w:hAnsi="Times New Roman"/>
              </w:rPr>
              <w:t xml:space="preserve"> </w:t>
            </w:r>
          </w:p>
          <w:p w14:paraId="1935D408" w14:textId="77777777" w:rsidR="00BF0D67" w:rsidRDefault="00BF0D67" w:rsidP="00FE7AF5">
            <w:pPr>
              <w:spacing w:line="240" w:lineRule="auto"/>
              <w:ind w:left="38"/>
              <w:jc w:val="both"/>
              <w:rPr>
                <w:rFonts w:ascii="Times New Roman" w:hAnsi="Times New Roman"/>
                <w:color w:val="000000"/>
              </w:rPr>
            </w:pPr>
          </w:p>
          <w:p w14:paraId="351357C4" w14:textId="3D7D572A" w:rsidR="00BF0D67" w:rsidRPr="004D6BE5" w:rsidRDefault="00BF0D67" w:rsidP="00E55CB1">
            <w:pPr>
              <w:pStyle w:val="Akapitzlist"/>
              <w:numPr>
                <w:ilvl w:val="0"/>
                <w:numId w:val="53"/>
              </w:numPr>
              <w:autoSpaceDE w:val="0"/>
              <w:autoSpaceDN w:val="0"/>
              <w:adjustRightInd w:val="0"/>
              <w:spacing w:line="240" w:lineRule="auto"/>
              <w:jc w:val="both"/>
              <w:rPr>
                <w:rFonts w:ascii="Times New Roman" w:hAnsi="Times New Roman"/>
                <w:b/>
                <w:bCs/>
                <w:color w:val="000000"/>
                <w:u w:val="single"/>
                <w:lang w:eastAsia="pl-PL"/>
              </w:rPr>
            </w:pPr>
            <w:bookmarkStart w:id="5" w:name="_Hlk157674052"/>
            <w:r w:rsidRPr="004D6BE5">
              <w:rPr>
                <w:rFonts w:ascii="Times New Roman" w:hAnsi="Times New Roman"/>
                <w:b/>
                <w:bCs/>
                <w:color w:val="000000"/>
                <w:u w:val="single"/>
                <w:lang w:eastAsia="pl-PL"/>
              </w:rPr>
              <w:t>Wprowadzenie rozwiązań prawnych oraz organizacyjno-instytucjonalnych mających na celu przyśpieszenie</w:t>
            </w:r>
            <w:r w:rsidR="009C0671" w:rsidRPr="004D6BE5">
              <w:rPr>
                <w:rFonts w:ascii="Times New Roman" w:hAnsi="Times New Roman"/>
                <w:b/>
                <w:bCs/>
                <w:color w:val="000000"/>
                <w:u w:val="single"/>
                <w:lang w:eastAsia="pl-PL"/>
              </w:rPr>
              <w:t xml:space="preserve"> </w:t>
            </w:r>
            <w:r w:rsidRPr="004D6BE5">
              <w:rPr>
                <w:rFonts w:ascii="Times New Roman" w:hAnsi="Times New Roman"/>
                <w:b/>
                <w:bCs/>
                <w:color w:val="000000"/>
                <w:u w:val="single"/>
                <w:lang w:eastAsia="pl-PL"/>
              </w:rPr>
              <w:t xml:space="preserve">procesu zielonej transformacji miast w Polsce (kamień milowy KPO </w:t>
            </w:r>
            <w:bookmarkStart w:id="6" w:name="_Hlk157497962"/>
            <w:r w:rsidRPr="004D6BE5">
              <w:rPr>
                <w:rFonts w:ascii="Times New Roman" w:hAnsi="Times New Roman"/>
                <w:b/>
                <w:bCs/>
                <w:color w:val="000000"/>
                <w:u w:val="single"/>
                <w:lang w:eastAsia="pl-PL"/>
              </w:rPr>
              <w:t>B24L</w:t>
            </w:r>
            <w:bookmarkEnd w:id="6"/>
            <w:r w:rsidRPr="004D6BE5">
              <w:rPr>
                <w:rFonts w:ascii="Times New Roman" w:hAnsi="Times New Roman"/>
                <w:b/>
                <w:bCs/>
                <w:color w:val="000000"/>
                <w:u w:val="single"/>
                <w:lang w:eastAsia="pl-PL"/>
              </w:rPr>
              <w:t>)</w:t>
            </w:r>
          </w:p>
          <w:bookmarkEnd w:id="5"/>
          <w:p w14:paraId="421ABE17" w14:textId="1BB1DAEE" w:rsidR="00BF0D67" w:rsidRPr="004D6BE5" w:rsidRDefault="00BF0D67" w:rsidP="00A26358">
            <w:pPr>
              <w:autoSpaceDE w:val="0"/>
              <w:autoSpaceDN w:val="0"/>
              <w:adjustRightInd w:val="0"/>
              <w:spacing w:line="240" w:lineRule="auto"/>
              <w:jc w:val="both"/>
              <w:rPr>
                <w:rFonts w:ascii="Times New Roman" w:hAnsi="Times New Roman"/>
                <w:color w:val="000000"/>
                <w:lang w:eastAsia="pl-PL"/>
              </w:rPr>
            </w:pPr>
            <w:r w:rsidRPr="004D6BE5">
              <w:rPr>
                <w:rFonts w:ascii="Times New Roman" w:hAnsi="Times New Roman"/>
                <w:color w:val="000000"/>
                <w:lang w:eastAsia="pl-PL"/>
              </w:rPr>
              <w:t>Miasta są obszarem szczególnie wrażliwym, w którym koncentrują się najpilniejsze współcześnie wyzwania, począwszy od niedoboru wody i złej jakości powietrza, po zapewnienie zrównoważonego rozwoju społeczno-gospodarczego i</w:t>
            </w:r>
            <w:r w:rsidR="00A26358" w:rsidRPr="004D6BE5">
              <w:rPr>
                <w:rFonts w:ascii="Times New Roman" w:hAnsi="Times New Roman"/>
                <w:color w:val="000000"/>
                <w:lang w:eastAsia="pl-PL"/>
              </w:rPr>
              <w:t> </w:t>
            </w:r>
            <w:r w:rsidRPr="004D6BE5">
              <w:rPr>
                <w:rFonts w:ascii="Times New Roman" w:hAnsi="Times New Roman"/>
                <w:color w:val="000000"/>
                <w:lang w:eastAsia="pl-PL"/>
              </w:rPr>
              <w:t>przestrzennego, który będzie uwzględniał również wyzwania klimatyczne. Rozwój miast zwiększa presję na środowisko</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i zdrowie. Każde miasto mierzy się ze specyficznymi dla swojej lokalizacji, struktury i</w:t>
            </w:r>
            <w:r w:rsidR="00A26358" w:rsidRPr="004D6BE5">
              <w:rPr>
                <w:rFonts w:ascii="Times New Roman" w:hAnsi="Times New Roman"/>
                <w:color w:val="000000"/>
                <w:lang w:eastAsia="pl-PL"/>
              </w:rPr>
              <w:t> </w:t>
            </w:r>
            <w:r w:rsidRPr="004D6BE5">
              <w:rPr>
                <w:rFonts w:ascii="Times New Roman" w:hAnsi="Times New Roman"/>
                <w:color w:val="000000"/>
                <w:lang w:eastAsia="pl-PL"/>
              </w:rPr>
              <w:t>uwarunkowań zagrożeniami środowiskowymi i klimatycznymi. Polska jest pod tym względem bardzo zróżnicowana.</w:t>
            </w:r>
          </w:p>
          <w:p w14:paraId="16FB4190" w14:textId="5BFFFB7A" w:rsidR="00BF0D67" w:rsidRPr="004D6BE5" w:rsidRDefault="00BF0D67" w:rsidP="009C0671">
            <w:pPr>
              <w:autoSpaceDE w:val="0"/>
              <w:autoSpaceDN w:val="0"/>
              <w:adjustRightInd w:val="0"/>
              <w:spacing w:before="120" w:line="240" w:lineRule="auto"/>
              <w:jc w:val="both"/>
              <w:rPr>
                <w:rFonts w:ascii="Times New Roman" w:hAnsi="Times New Roman"/>
                <w:color w:val="000000"/>
                <w:lang w:eastAsia="pl-PL"/>
              </w:rPr>
            </w:pPr>
            <w:r w:rsidRPr="004D6BE5">
              <w:rPr>
                <w:rFonts w:ascii="Times New Roman" w:hAnsi="Times New Roman"/>
                <w:color w:val="000000"/>
                <w:lang w:eastAsia="pl-PL"/>
              </w:rPr>
              <w:t>Miasta w Polsce charakteryzują się też dużym zróżnicowaniem pod względem udziału i dostępności do terenów zieleni,</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szczególnie na obszarach zamieszkanych. Światowa Organizacja Zdrowia w swoich raportach cyklicznie pokazuje</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 xml:space="preserve">związki między jakością zazielenionych przestrzeni publicznych, a stanem zdrowia mieszkańców miast. </w:t>
            </w:r>
          </w:p>
          <w:p w14:paraId="400EF68C" w14:textId="3A3D0C42" w:rsidR="00BF0D67" w:rsidRPr="004D6BE5" w:rsidRDefault="00BF0D67" w:rsidP="009C0671">
            <w:pPr>
              <w:autoSpaceDE w:val="0"/>
              <w:autoSpaceDN w:val="0"/>
              <w:adjustRightInd w:val="0"/>
              <w:spacing w:before="120" w:line="240" w:lineRule="auto"/>
              <w:jc w:val="both"/>
              <w:rPr>
                <w:rFonts w:ascii="Times New Roman" w:hAnsi="Times New Roman"/>
                <w:color w:val="000000"/>
                <w:lang w:eastAsia="pl-PL"/>
              </w:rPr>
            </w:pPr>
            <w:r w:rsidRPr="004D6BE5">
              <w:rPr>
                <w:rFonts w:ascii="Times New Roman" w:hAnsi="Times New Roman"/>
                <w:color w:val="000000"/>
                <w:lang w:eastAsia="pl-PL"/>
              </w:rPr>
              <w:t xml:space="preserve">Odpowiedzią na te problemy będzie stworzenie takich możliwości dla miast, które </w:t>
            </w:r>
            <w:r w:rsidR="00424888" w:rsidRPr="004D6BE5">
              <w:rPr>
                <w:rFonts w:ascii="Times New Roman" w:hAnsi="Times New Roman"/>
                <w:color w:val="000000"/>
                <w:lang w:eastAsia="pl-PL"/>
              </w:rPr>
              <w:t xml:space="preserve">będą </w:t>
            </w:r>
            <w:r w:rsidRPr="004D6BE5">
              <w:rPr>
                <w:rFonts w:ascii="Times New Roman" w:hAnsi="Times New Roman"/>
                <w:color w:val="000000"/>
                <w:lang w:eastAsia="pl-PL"/>
              </w:rPr>
              <w:t>wspierać podejmowane działania</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 xml:space="preserve">na rzecz kompleksowej zielonej transformacji miast. Zielona transformacja to </w:t>
            </w:r>
            <w:bookmarkStart w:id="7" w:name="_Hlk157674151"/>
            <w:r w:rsidRPr="004D6BE5">
              <w:rPr>
                <w:rFonts w:ascii="Times New Roman" w:hAnsi="Times New Roman"/>
                <w:color w:val="000000"/>
                <w:lang w:eastAsia="pl-PL"/>
              </w:rPr>
              <w:t>kompleksowy zestaw</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działań mający na celu znaczącą redukcję negatywnego oddziaływania ludzi na środowisko przyrodnicze, tworzący przestrzenie miejskie przyjazne człowiekowi</w:t>
            </w:r>
            <w:bookmarkEnd w:id="7"/>
            <w:r w:rsidRPr="004D6BE5">
              <w:rPr>
                <w:rFonts w:ascii="Times New Roman" w:hAnsi="Times New Roman"/>
                <w:color w:val="000000"/>
                <w:lang w:eastAsia="pl-PL"/>
              </w:rPr>
              <w:t>.</w:t>
            </w:r>
          </w:p>
          <w:p w14:paraId="6CC9AD18" w14:textId="4435A4FD" w:rsidR="005E3B12" w:rsidRPr="00145F5E" w:rsidRDefault="00BF0D67" w:rsidP="00145F5E">
            <w:pPr>
              <w:autoSpaceDE w:val="0"/>
              <w:autoSpaceDN w:val="0"/>
              <w:adjustRightInd w:val="0"/>
              <w:spacing w:before="120" w:after="120" w:line="240" w:lineRule="auto"/>
              <w:jc w:val="both"/>
              <w:rPr>
                <w:rFonts w:ascii="Times New Roman" w:hAnsi="Times New Roman"/>
                <w:color w:val="000000"/>
                <w:lang w:eastAsia="pl-PL"/>
              </w:rPr>
            </w:pPr>
            <w:r w:rsidRPr="004D6BE5">
              <w:rPr>
                <w:rFonts w:ascii="Times New Roman" w:hAnsi="Times New Roman"/>
                <w:color w:val="000000"/>
                <w:lang w:eastAsia="pl-PL"/>
              </w:rPr>
              <w:t xml:space="preserve">Warto podkreślić, </w:t>
            </w:r>
            <w:r w:rsidR="00424888" w:rsidRPr="004D6BE5">
              <w:rPr>
                <w:rFonts w:ascii="Times New Roman" w:hAnsi="Times New Roman"/>
                <w:color w:val="000000"/>
                <w:lang w:eastAsia="pl-PL"/>
              </w:rPr>
              <w:t>że</w:t>
            </w:r>
            <w:r w:rsidRPr="004D6BE5">
              <w:rPr>
                <w:rFonts w:ascii="Times New Roman" w:hAnsi="Times New Roman"/>
                <w:color w:val="000000"/>
                <w:lang w:eastAsia="pl-PL"/>
              </w:rPr>
              <w:t xml:space="preserve"> zmiany te przyczynią się do wypełnienia kamienia milowego B24L pn. Wejście w życie</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ustawy o</w:t>
            </w:r>
            <w:r w:rsidR="00774F09">
              <w:rPr>
                <w:rFonts w:ascii="Times New Roman" w:hAnsi="Times New Roman"/>
                <w:color w:val="000000"/>
                <w:lang w:eastAsia="pl-PL"/>
              </w:rPr>
              <w:t> </w:t>
            </w:r>
            <w:r w:rsidRPr="004D6BE5">
              <w:rPr>
                <w:rFonts w:ascii="Times New Roman" w:hAnsi="Times New Roman"/>
                <w:color w:val="000000"/>
                <w:lang w:eastAsia="pl-PL"/>
              </w:rPr>
              <w:t>zrównoważonym rozwoju obszarów miejskich służącej wyznaczeniu celów, kierunków, zasad realizacji</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oraz mechanizmów koordynacji zielonej transformacji miast, realizowanego w ramach reformy B.3.4. pn.</w:t>
            </w:r>
            <w:r w:rsidR="00A26358" w:rsidRPr="004D6BE5">
              <w:rPr>
                <w:rFonts w:ascii="Times New Roman" w:hAnsi="Times New Roman"/>
                <w:color w:val="000000"/>
                <w:lang w:eastAsia="pl-PL"/>
              </w:rPr>
              <w:t xml:space="preserve"> </w:t>
            </w:r>
            <w:r w:rsidRPr="004D6BE5">
              <w:rPr>
                <w:rFonts w:ascii="Times New Roman" w:hAnsi="Times New Roman"/>
                <w:color w:val="000000"/>
                <w:lang w:eastAsia="pl-PL"/>
              </w:rPr>
              <w:t>Ramowe warunki dla inwestycji w zieloną transformację na obszarach miejskich w ramach Krajowego Planu Odbudowy i Zwiększania Odporności</w:t>
            </w:r>
            <w:r w:rsidRPr="004D6BE5">
              <w:rPr>
                <w:rFonts w:ascii="Times New Roman" w:hAnsi="Times New Roman"/>
                <w:color w:val="000000"/>
              </w:rPr>
              <w:t>.</w:t>
            </w:r>
            <w:r w:rsidR="005E08A2" w:rsidRPr="004D6BE5">
              <w:rPr>
                <w:rFonts w:ascii="Times New Roman" w:hAnsi="Times New Roman"/>
                <w:b/>
                <w:bCs/>
                <w:color w:val="000000"/>
                <w:lang w:eastAsia="pl-PL"/>
              </w:rPr>
              <w:t xml:space="preserve"> </w:t>
            </w:r>
            <w:r w:rsidR="00F41E19" w:rsidRPr="004D6BE5">
              <w:rPr>
                <w:rFonts w:ascii="Times New Roman" w:hAnsi="Times New Roman"/>
                <w:color w:val="000000"/>
                <w:lang w:eastAsia="pl-PL"/>
              </w:rPr>
              <w:t xml:space="preserve">Za </w:t>
            </w:r>
            <w:r w:rsidR="00D26682" w:rsidRPr="004D6BE5">
              <w:rPr>
                <w:rFonts w:ascii="Times New Roman" w:hAnsi="Times New Roman"/>
                <w:color w:val="000000"/>
                <w:lang w:eastAsia="pl-PL"/>
              </w:rPr>
              <w:t xml:space="preserve">realizację </w:t>
            </w:r>
            <w:r w:rsidR="00F41E19" w:rsidRPr="004D6BE5">
              <w:rPr>
                <w:rFonts w:ascii="Times New Roman" w:hAnsi="Times New Roman"/>
                <w:color w:val="000000"/>
                <w:lang w:eastAsia="pl-PL"/>
              </w:rPr>
              <w:t xml:space="preserve">reformy i kamienia milowego odpowiedzialne jest </w:t>
            </w:r>
            <w:r w:rsidR="005E08A2" w:rsidRPr="004D6BE5">
              <w:rPr>
                <w:rFonts w:ascii="Times New Roman" w:hAnsi="Times New Roman"/>
                <w:color w:val="000000"/>
                <w:lang w:eastAsia="pl-PL"/>
              </w:rPr>
              <w:t xml:space="preserve">Ministerstwo Funduszy i Polityki </w:t>
            </w:r>
            <w:r w:rsidR="00C730C8" w:rsidRPr="004D6BE5">
              <w:rPr>
                <w:rFonts w:ascii="Times New Roman" w:hAnsi="Times New Roman"/>
                <w:color w:val="000000"/>
                <w:lang w:eastAsia="pl-PL"/>
              </w:rPr>
              <w:t>Regionalnej</w:t>
            </w:r>
            <w:r w:rsidR="005E08A2" w:rsidRPr="004D6BE5">
              <w:rPr>
                <w:rFonts w:ascii="Times New Roman" w:hAnsi="Times New Roman"/>
                <w:color w:val="000000"/>
                <w:lang w:eastAsia="pl-PL"/>
              </w:rPr>
              <w:t>.</w:t>
            </w:r>
          </w:p>
          <w:p w14:paraId="5159C39A" w14:textId="77777777" w:rsidR="000F4A62" w:rsidRPr="007A2509" w:rsidRDefault="007474ED" w:rsidP="00E55CB1">
            <w:pPr>
              <w:numPr>
                <w:ilvl w:val="0"/>
                <w:numId w:val="53"/>
              </w:numPr>
              <w:tabs>
                <w:tab w:val="left" w:pos="320"/>
              </w:tabs>
              <w:spacing w:line="240" w:lineRule="auto"/>
              <w:jc w:val="both"/>
              <w:rPr>
                <w:rFonts w:ascii="Times New Roman" w:hAnsi="Times New Roman"/>
                <w:b/>
                <w:bCs/>
                <w:color w:val="000000"/>
                <w:u w:val="single"/>
              </w:rPr>
            </w:pPr>
            <w:bookmarkStart w:id="8" w:name="_Hlk157678007"/>
            <w:r w:rsidRPr="007A2509">
              <w:rPr>
                <w:rFonts w:ascii="Times New Roman" w:hAnsi="Times New Roman"/>
                <w:b/>
                <w:bCs/>
                <w:color w:val="000000"/>
                <w:u w:val="single"/>
              </w:rPr>
              <w:t>Miejskie plany adaptacji do zmian klimatu</w:t>
            </w:r>
            <w:r w:rsidR="00F651F2">
              <w:rPr>
                <w:rFonts w:ascii="Times New Roman" w:hAnsi="Times New Roman"/>
                <w:b/>
                <w:bCs/>
                <w:color w:val="000000"/>
                <w:u w:val="single"/>
              </w:rPr>
              <w:t xml:space="preserve"> </w:t>
            </w:r>
            <w:r w:rsidR="005B06C7">
              <w:rPr>
                <w:rFonts w:ascii="Times New Roman" w:hAnsi="Times New Roman"/>
                <w:b/>
                <w:bCs/>
                <w:color w:val="000000"/>
                <w:u w:val="single"/>
              </w:rPr>
              <w:t>(</w:t>
            </w:r>
            <w:r w:rsidR="00F651F2">
              <w:rPr>
                <w:rFonts w:ascii="Times New Roman" w:hAnsi="Times New Roman"/>
                <w:b/>
                <w:bCs/>
                <w:color w:val="000000"/>
                <w:u w:val="single"/>
              </w:rPr>
              <w:t>MPA</w:t>
            </w:r>
            <w:r w:rsidR="005B06C7">
              <w:rPr>
                <w:rFonts w:ascii="Times New Roman" w:hAnsi="Times New Roman"/>
                <w:b/>
                <w:bCs/>
                <w:color w:val="000000"/>
                <w:u w:val="single"/>
              </w:rPr>
              <w:t>)</w:t>
            </w:r>
          </w:p>
          <w:bookmarkEnd w:id="8"/>
          <w:p w14:paraId="7BB1C00F" w14:textId="7F5E8817" w:rsidR="00F651F2" w:rsidRDefault="00A96B6E" w:rsidP="00283DD4">
            <w:pPr>
              <w:spacing w:line="240" w:lineRule="auto"/>
              <w:ind w:left="36" w:firstLine="2"/>
              <w:jc w:val="both"/>
              <w:rPr>
                <w:rFonts w:ascii="Times New Roman" w:hAnsi="Times New Roman"/>
                <w:color w:val="000000"/>
              </w:rPr>
            </w:pPr>
            <w:r w:rsidRPr="007A2509">
              <w:rPr>
                <w:rFonts w:ascii="Times New Roman" w:hAnsi="Times New Roman"/>
                <w:color w:val="000000"/>
              </w:rPr>
              <w:t xml:space="preserve">Obecnie ludność polskich miast ocenia się na </w:t>
            </w:r>
            <w:r w:rsidR="00020A1B">
              <w:rPr>
                <w:rFonts w:ascii="Times New Roman" w:hAnsi="Times New Roman"/>
                <w:color w:val="000000"/>
              </w:rPr>
              <w:t>22,4</w:t>
            </w:r>
            <w:r w:rsidRPr="007A2509">
              <w:rPr>
                <w:rFonts w:ascii="Times New Roman" w:hAnsi="Times New Roman"/>
                <w:color w:val="000000"/>
              </w:rPr>
              <w:t xml:space="preserve"> mln osób, co stanowi </w:t>
            </w:r>
            <w:r w:rsidR="001D3B6C">
              <w:rPr>
                <w:rFonts w:ascii="Times New Roman" w:hAnsi="Times New Roman"/>
                <w:color w:val="000000"/>
              </w:rPr>
              <w:t>59,5%</w:t>
            </w:r>
            <w:r w:rsidRPr="007A2509">
              <w:rPr>
                <w:rFonts w:ascii="Times New Roman" w:hAnsi="Times New Roman"/>
                <w:color w:val="000000"/>
              </w:rPr>
              <w:t xml:space="preserve"> populacji kraju</w:t>
            </w:r>
            <w:r w:rsidRPr="007A2509">
              <w:rPr>
                <w:rFonts w:ascii="Times New Roman" w:hAnsi="Times New Roman"/>
                <w:vertAlign w:val="superscript"/>
              </w:rPr>
              <w:footnoteReference w:id="2"/>
            </w:r>
            <w:r w:rsidR="004C3A73" w:rsidRPr="007A2509">
              <w:rPr>
                <w:rFonts w:ascii="Times New Roman" w:hAnsi="Times New Roman"/>
                <w:color w:val="000000"/>
                <w:vertAlign w:val="superscript"/>
              </w:rPr>
              <w:t>)</w:t>
            </w:r>
            <w:r w:rsidR="009E2612">
              <w:rPr>
                <w:rFonts w:ascii="Times New Roman" w:hAnsi="Times New Roman"/>
                <w:color w:val="000000"/>
                <w:vertAlign w:val="superscript"/>
              </w:rPr>
              <w:t xml:space="preserve"> </w:t>
            </w:r>
            <w:r w:rsidRPr="007A2509">
              <w:rPr>
                <w:rFonts w:ascii="Times New Roman" w:hAnsi="Times New Roman"/>
                <w:color w:val="000000"/>
              </w:rPr>
              <w:t>– skala problemu jest więc olbrzymia. Wysoki poziom urbanizacji oraz wysoki poziom uszczelnienia gruntów</w:t>
            </w:r>
            <w:r w:rsidR="002374E4" w:rsidRPr="007A2509">
              <w:rPr>
                <w:rFonts w:ascii="Times New Roman" w:hAnsi="Times New Roman"/>
                <w:color w:val="000000"/>
              </w:rPr>
              <w:t xml:space="preserve"> </w:t>
            </w:r>
            <w:r w:rsidRPr="007A2509">
              <w:rPr>
                <w:rFonts w:ascii="Times New Roman" w:hAnsi="Times New Roman"/>
                <w:color w:val="000000"/>
              </w:rPr>
              <w:t>oznacza, że zmiany klimatu będą miały wpływ na dynamikę rozwoju miast</w:t>
            </w:r>
            <w:r w:rsidR="0082508F" w:rsidRPr="007A2509">
              <w:rPr>
                <w:rFonts w:ascii="Times New Roman" w:hAnsi="Times New Roman"/>
                <w:color w:val="000000"/>
              </w:rPr>
              <w:t>,</w:t>
            </w:r>
            <w:r w:rsidRPr="007A2509">
              <w:rPr>
                <w:rFonts w:ascii="Times New Roman" w:hAnsi="Times New Roman"/>
                <w:color w:val="000000"/>
              </w:rPr>
              <w:t xml:space="preserve"> a tym samym na jakość życia ich mieszkańców. Dlatego też zwiększenie zdolności adaptacyjnych do negatywnych skutków zmian klimatu oraz wspieranie odporności na </w:t>
            </w:r>
            <w:r w:rsidR="006E5153">
              <w:rPr>
                <w:rFonts w:ascii="Times New Roman" w:hAnsi="Times New Roman"/>
                <w:color w:val="000000"/>
              </w:rPr>
              <w:t xml:space="preserve">jego </w:t>
            </w:r>
            <w:r w:rsidRPr="007A2509">
              <w:rPr>
                <w:rFonts w:ascii="Times New Roman" w:hAnsi="Times New Roman"/>
                <w:color w:val="000000"/>
              </w:rPr>
              <w:t>zmiany</w:t>
            </w:r>
            <w:r w:rsidR="00C36723">
              <w:rPr>
                <w:rFonts w:ascii="Times New Roman" w:hAnsi="Times New Roman"/>
                <w:color w:val="000000"/>
              </w:rPr>
              <w:t xml:space="preserve">, </w:t>
            </w:r>
            <w:r w:rsidR="00C36723" w:rsidRPr="00C36723">
              <w:rPr>
                <w:rFonts w:ascii="Times New Roman" w:hAnsi="Times New Roman"/>
                <w:color w:val="000000"/>
              </w:rPr>
              <w:t>jednocze</w:t>
            </w:r>
            <w:r w:rsidR="00FF09ED">
              <w:rPr>
                <w:rFonts w:ascii="Times New Roman" w:hAnsi="Times New Roman"/>
                <w:color w:val="000000"/>
              </w:rPr>
              <w:t>śnie z</w:t>
            </w:r>
            <w:r w:rsidR="00C36723" w:rsidRPr="00C36723">
              <w:rPr>
                <w:rFonts w:ascii="Times New Roman" w:hAnsi="Times New Roman"/>
                <w:color w:val="000000"/>
              </w:rPr>
              <w:t xml:space="preserve"> </w:t>
            </w:r>
            <w:r w:rsidR="006E5153">
              <w:rPr>
                <w:rFonts w:ascii="Times New Roman" w:hAnsi="Times New Roman"/>
                <w:color w:val="000000"/>
              </w:rPr>
              <w:t>celem</w:t>
            </w:r>
            <w:r w:rsidR="00C36723" w:rsidRPr="00C36723">
              <w:rPr>
                <w:rFonts w:ascii="Times New Roman" w:hAnsi="Times New Roman"/>
                <w:color w:val="000000"/>
              </w:rPr>
              <w:t xml:space="preserve"> </w:t>
            </w:r>
            <w:r w:rsidR="0008391A" w:rsidRPr="00C36723">
              <w:rPr>
                <w:rFonts w:ascii="Times New Roman" w:hAnsi="Times New Roman"/>
                <w:color w:val="000000"/>
              </w:rPr>
              <w:t>zapobiegani</w:t>
            </w:r>
            <w:r w:rsidR="0008391A">
              <w:rPr>
                <w:rFonts w:ascii="Times New Roman" w:hAnsi="Times New Roman"/>
                <w:color w:val="000000"/>
              </w:rPr>
              <w:t>a</w:t>
            </w:r>
            <w:r w:rsidR="00CB7BC6">
              <w:rPr>
                <w:rFonts w:ascii="Times New Roman" w:hAnsi="Times New Roman"/>
                <w:color w:val="000000"/>
              </w:rPr>
              <w:t xml:space="preserve"> im</w:t>
            </w:r>
            <w:r w:rsidR="00C36723">
              <w:rPr>
                <w:rFonts w:ascii="Times New Roman" w:hAnsi="Times New Roman"/>
                <w:color w:val="000000"/>
              </w:rPr>
              <w:t>,</w:t>
            </w:r>
            <w:r w:rsidRPr="007A2509">
              <w:rPr>
                <w:rFonts w:ascii="Times New Roman" w:hAnsi="Times New Roman"/>
                <w:color w:val="000000"/>
              </w:rPr>
              <w:t xml:space="preserve"> jest jednym z elementów polityki </w:t>
            </w:r>
            <w:r w:rsidR="006207EC">
              <w:rPr>
                <w:rFonts w:ascii="Times New Roman" w:hAnsi="Times New Roman"/>
                <w:color w:val="000000"/>
              </w:rPr>
              <w:t>środowiskowej państwa</w:t>
            </w:r>
            <w:r w:rsidRPr="007A2509">
              <w:rPr>
                <w:rFonts w:ascii="Times New Roman" w:hAnsi="Times New Roman"/>
                <w:color w:val="000000"/>
              </w:rPr>
              <w:t xml:space="preserve">. Jednakże </w:t>
            </w:r>
            <w:bookmarkStart w:id="9" w:name="_Hlk157678047"/>
            <w:r w:rsidRPr="007A2509">
              <w:rPr>
                <w:rFonts w:ascii="Times New Roman" w:hAnsi="Times New Roman"/>
                <w:color w:val="000000"/>
              </w:rPr>
              <w:t>kwestie adaptacji do zmian klimatu</w:t>
            </w:r>
            <w:r w:rsidR="00CB7BC6">
              <w:rPr>
                <w:rFonts w:ascii="Times New Roman" w:hAnsi="Times New Roman"/>
                <w:color w:val="000000"/>
              </w:rPr>
              <w:t xml:space="preserve"> i</w:t>
            </w:r>
            <w:r w:rsidRPr="007A2509">
              <w:rPr>
                <w:rFonts w:ascii="Times New Roman" w:hAnsi="Times New Roman"/>
                <w:color w:val="000000"/>
              </w:rPr>
              <w:t xml:space="preserve"> planowanie działań adaptacyjnych nie są</w:t>
            </w:r>
            <w:r w:rsidR="00800CBF">
              <w:rPr>
                <w:rFonts w:ascii="Times New Roman" w:hAnsi="Times New Roman"/>
                <w:color w:val="000000"/>
              </w:rPr>
              <w:t xml:space="preserve"> w</w:t>
            </w:r>
            <w:r w:rsidRPr="007A2509">
              <w:rPr>
                <w:rFonts w:ascii="Times New Roman" w:hAnsi="Times New Roman"/>
                <w:color w:val="000000"/>
              </w:rPr>
              <w:t xml:space="preserve"> wystarczając</w:t>
            </w:r>
            <w:r w:rsidR="006E5153">
              <w:rPr>
                <w:rFonts w:ascii="Times New Roman" w:hAnsi="Times New Roman"/>
                <w:color w:val="000000"/>
              </w:rPr>
              <w:t xml:space="preserve">ym stopniu </w:t>
            </w:r>
            <w:r w:rsidRPr="007A2509">
              <w:rPr>
                <w:rFonts w:ascii="Times New Roman" w:hAnsi="Times New Roman"/>
                <w:color w:val="000000"/>
              </w:rPr>
              <w:t>uwzględniane w</w:t>
            </w:r>
            <w:r w:rsidR="0043193B">
              <w:rPr>
                <w:rFonts w:ascii="Times New Roman" w:hAnsi="Times New Roman"/>
                <w:color w:val="000000"/>
              </w:rPr>
              <w:t> </w:t>
            </w:r>
            <w:r w:rsidRPr="007A2509">
              <w:rPr>
                <w:rFonts w:ascii="Times New Roman" w:hAnsi="Times New Roman"/>
                <w:color w:val="000000"/>
              </w:rPr>
              <w:t>dokumentach strategicznych przygotowywanych przez miasta</w:t>
            </w:r>
            <w:bookmarkEnd w:id="9"/>
            <w:r w:rsidRPr="007A2509">
              <w:rPr>
                <w:rFonts w:ascii="Times New Roman" w:hAnsi="Times New Roman"/>
                <w:color w:val="000000"/>
              </w:rPr>
              <w:t>.</w:t>
            </w:r>
            <w:r w:rsidR="00D36781">
              <w:rPr>
                <w:rFonts w:ascii="Times New Roman" w:hAnsi="Times New Roman"/>
                <w:color w:val="000000"/>
              </w:rPr>
              <w:t xml:space="preserve"> </w:t>
            </w:r>
          </w:p>
          <w:p w14:paraId="6D220CD6" w14:textId="56B2A01E" w:rsidR="000F4A62" w:rsidRPr="007A2509" w:rsidRDefault="00A731D1" w:rsidP="009C0671">
            <w:pPr>
              <w:spacing w:before="120" w:after="120" w:line="240" w:lineRule="auto"/>
              <w:ind w:left="34"/>
              <w:jc w:val="both"/>
              <w:rPr>
                <w:rFonts w:ascii="Times New Roman" w:hAnsi="Times New Roman"/>
                <w:color w:val="000000"/>
              </w:rPr>
            </w:pPr>
            <w:r>
              <w:rPr>
                <w:rFonts w:ascii="Times New Roman" w:hAnsi="Times New Roman"/>
                <w:color w:val="000000"/>
              </w:rPr>
              <w:t xml:space="preserve">Wyniki „Analizy </w:t>
            </w:r>
            <w:r w:rsidRPr="00B60746">
              <w:rPr>
                <w:rFonts w:ascii="Times New Roman" w:hAnsi="Times New Roman"/>
                <w:color w:val="000000"/>
              </w:rPr>
              <w:t>miejskich planów adaptacji do zmian klimatu</w:t>
            </w:r>
            <w:r>
              <w:rPr>
                <w:rFonts w:ascii="Times New Roman" w:hAnsi="Times New Roman"/>
                <w:color w:val="000000"/>
              </w:rPr>
              <w:t xml:space="preserve">” zrealizowanej przez </w:t>
            </w:r>
            <w:r w:rsidR="00007E43">
              <w:rPr>
                <w:rFonts w:ascii="Times New Roman" w:hAnsi="Times New Roman"/>
                <w:color w:val="000000"/>
              </w:rPr>
              <w:t xml:space="preserve">Instytut Ochrony Środowiska – Państwowy Instytut Badawczy </w:t>
            </w:r>
            <w:r w:rsidR="005B06C7">
              <w:rPr>
                <w:rFonts w:ascii="Times New Roman" w:hAnsi="Times New Roman"/>
                <w:color w:val="000000"/>
              </w:rPr>
              <w:t>(</w:t>
            </w:r>
            <w:r w:rsidR="00007E43">
              <w:rPr>
                <w:rFonts w:ascii="Times New Roman" w:hAnsi="Times New Roman"/>
                <w:color w:val="000000"/>
              </w:rPr>
              <w:t>IOŚ</w:t>
            </w:r>
            <w:r w:rsidR="00C80835">
              <w:rPr>
                <w:rFonts w:ascii="Times New Roman" w:hAnsi="Times New Roman"/>
                <w:color w:val="000000"/>
              </w:rPr>
              <w:t>-PIB</w:t>
            </w:r>
            <w:r w:rsidR="005B06C7">
              <w:rPr>
                <w:rFonts w:ascii="Times New Roman" w:hAnsi="Times New Roman"/>
                <w:color w:val="000000"/>
              </w:rPr>
              <w:t>)</w:t>
            </w:r>
            <w:r>
              <w:rPr>
                <w:rFonts w:ascii="Times New Roman" w:hAnsi="Times New Roman"/>
                <w:color w:val="000000"/>
              </w:rPr>
              <w:t xml:space="preserve"> wskazują, że k</w:t>
            </w:r>
            <w:r w:rsidRPr="00A731D1">
              <w:rPr>
                <w:rFonts w:ascii="Times New Roman" w:hAnsi="Times New Roman"/>
                <w:color w:val="000000"/>
              </w:rPr>
              <w:t xml:space="preserve">ontynuowanie działań </w:t>
            </w:r>
            <w:r>
              <w:rPr>
                <w:rFonts w:ascii="Times New Roman" w:hAnsi="Times New Roman"/>
                <w:color w:val="000000"/>
              </w:rPr>
              <w:t>w zakresie błękitno-zielonej infrastruktury</w:t>
            </w:r>
            <w:r w:rsidR="00D13DC6">
              <w:rPr>
                <w:rFonts w:ascii="Times New Roman" w:hAnsi="Times New Roman"/>
                <w:color w:val="000000"/>
              </w:rPr>
              <w:t>,</w:t>
            </w:r>
            <w:r w:rsidR="00D13DC6">
              <w:rPr>
                <w:rFonts w:ascii="Times New Roman" w:hAnsi="Times New Roman"/>
                <w:color w:val="000000"/>
              </w:rPr>
              <w:br/>
            </w:r>
            <w:r w:rsidRPr="00A731D1">
              <w:rPr>
                <w:rFonts w:ascii="Times New Roman" w:hAnsi="Times New Roman"/>
                <w:color w:val="000000"/>
              </w:rPr>
              <w:t>w szczególności z punktu widzenia wdrażania MPA jest dla miast priorytetowe</w:t>
            </w:r>
            <w:r>
              <w:rPr>
                <w:rFonts w:ascii="Times New Roman" w:hAnsi="Times New Roman"/>
                <w:color w:val="000000"/>
              </w:rPr>
              <w:t xml:space="preserve">, a </w:t>
            </w:r>
            <w:r w:rsidRPr="00A731D1">
              <w:rPr>
                <w:rFonts w:ascii="Times New Roman" w:hAnsi="Times New Roman"/>
                <w:color w:val="000000"/>
              </w:rPr>
              <w:t xml:space="preserve">niektóre z miast widzą </w:t>
            </w:r>
            <w:r w:rsidR="00916618">
              <w:rPr>
                <w:rFonts w:ascii="Times New Roman" w:hAnsi="Times New Roman"/>
                <w:color w:val="000000"/>
              </w:rPr>
              <w:t xml:space="preserve">także </w:t>
            </w:r>
            <w:r w:rsidRPr="00A731D1">
              <w:rPr>
                <w:rFonts w:ascii="Times New Roman" w:hAnsi="Times New Roman"/>
                <w:color w:val="000000"/>
              </w:rPr>
              <w:t xml:space="preserve">potrzebę aktualizacji MPA, </w:t>
            </w:r>
            <w:r w:rsidR="00C86DE9">
              <w:rPr>
                <w:rFonts w:ascii="Times New Roman" w:hAnsi="Times New Roman"/>
                <w:color w:val="000000"/>
              </w:rPr>
              <w:t xml:space="preserve">tak </w:t>
            </w:r>
            <w:r w:rsidRPr="00A731D1">
              <w:rPr>
                <w:rFonts w:ascii="Times New Roman" w:hAnsi="Times New Roman"/>
                <w:color w:val="000000"/>
              </w:rPr>
              <w:t>aby w tym</w:t>
            </w:r>
            <w:r>
              <w:rPr>
                <w:rFonts w:ascii="Times New Roman" w:hAnsi="Times New Roman"/>
                <w:color w:val="000000"/>
              </w:rPr>
              <w:t xml:space="preserve"> </w:t>
            </w:r>
            <w:r w:rsidRPr="00A731D1">
              <w:rPr>
                <w:rFonts w:ascii="Times New Roman" w:hAnsi="Times New Roman"/>
                <w:color w:val="000000"/>
              </w:rPr>
              <w:t>dokumencie położyć jeszcze większy nacisk na rozwiązania</w:t>
            </w:r>
            <w:r w:rsidR="001D3B6C">
              <w:rPr>
                <w:rFonts w:ascii="Times New Roman" w:hAnsi="Times New Roman"/>
                <w:color w:val="000000"/>
              </w:rPr>
              <w:t xml:space="preserve"> z zastosowaniem błękitno-zielonej infrastruktury</w:t>
            </w:r>
            <w:r w:rsidRPr="00A731D1">
              <w:rPr>
                <w:rFonts w:ascii="Times New Roman" w:hAnsi="Times New Roman"/>
                <w:color w:val="000000"/>
              </w:rPr>
              <w:t xml:space="preserve"> </w:t>
            </w:r>
            <w:r w:rsidR="001D3B6C">
              <w:rPr>
                <w:rFonts w:ascii="Times New Roman" w:hAnsi="Times New Roman"/>
                <w:color w:val="000000"/>
              </w:rPr>
              <w:t>(</w:t>
            </w:r>
            <w:r w:rsidRPr="00A731D1">
              <w:rPr>
                <w:rFonts w:ascii="Times New Roman" w:hAnsi="Times New Roman"/>
                <w:color w:val="000000"/>
              </w:rPr>
              <w:t>BZI</w:t>
            </w:r>
            <w:r w:rsidR="001D3B6C">
              <w:rPr>
                <w:rFonts w:ascii="Times New Roman" w:hAnsi="Times New Roman"/>
                <w:color w:val="000000"/>
              </w:rPr>
              <w:t>)</w:t>
            </w:r>
            <w:r w:rsidRPr="00A731D1">
              <w:rPr>
                <w:rFonts w:ascii="Times New Roman" w:hAnsi="Times New Roman"/>
                <w:color w:val="000000"/>
              </w:rPr>
              <w:t>.</w:t>
            </w:r>
            <w:r w:rsidR="00582BBE">
              <w:rPr>
                <w:rFonts w:ascii="Times New Roman" w:hAnsi="Times New Roman"/>
                <w:color w:val="000000"/>
              </w:rPr>
              <w:t xml:space="preserve"> </w:t>
            </w:r>
            <w:r w:rsidR="00DF47CD" w:rsidRPr="00DF47CD">
              <w:rPr>
                <w:rFonts w:ascii="Times New Roman" w:hAnsi="Times New Roman"/>
                <w:color w:val="000000"/>
              </w:rPr>
              <w:t xml:space="preserve">W miastach, </w:t>
            </w:r>
            <w:r w:rsidR="00424888">
              <w:rPr>
                <w:rFonts w:ascii="Times New Roman" w:hAnsi="Times New Roman"/>
                <w:color w:val="000000"/>
              </w:rPr>
              <w:t xml:space="preserve">w </w:t>
            </w:r>
            <w:r w:rsidR="00DF47CD" w:rsidRPr="00DF47CD">
              <w:rPr>
                <w:rFonts w:ascii="Times New Roman" w:hAnsi="Times New Roman"/>
                <w:color w:val="000000"/>
              </w:rPr>
              <w:t xml:space="preserve">których MPA analizowano i z których przedstawicielami przeprowadzono wywiady, najwyższy priorytet </w:t>
            </w:r>
            <w:r w:rsidR="00916618">
              <w:rPr>
                <w:rFonts w:ascii="Times New Roman" w:hAnsi="Times New Roman"/>
                <w:color w:val="000000"/>
              </w:rPr>
              <w:t xml:space="preserve">został </w:t>
            </w:r>
            <w:r w:rsidR="00DF47CD" w:rsidRPr="00DF47CD">
              <w:rPr>
                <w:rFonts w:ascii="Times New Roman" w:hAnsi="Times New Roman"/>
                <w:color w:val="000000"/>
              </w:rPr>
              <w:t>nadany działaniom z zakresu błękitno-zielonej infrastruktury oraz gospodarowania wodami opadowymi</w:t>
            </w:r>
            <w:r w:rsidR="00007E43">
              <w:rPr>
                <w:rFonts w:ascii="Times New Roman" w:hAnsi="Times New Roman"/>
                <w:color w:val="000000"/>
              </w:rPr>
              <w:t>.</w:t>
            </w:r>
          </w:p>
          <w:p w14:paraId="57790239" w14:textId="77777777" w:rsidR="009625AC" w:rsidRPr="007A2509" w:rsidRDefault="00E4071D" w:rsidP="00E55CB1">
            <w:pPr>
              <w:numPr>
                <w:ilvl w:val="0"/>
                <w:numId w:val="53"/>
              </w:numPr>
              <w:tabs>
                <w:tab w:val="left" w:pos="320"/>
              </w:tabs>
              <w:spacing w:line="240" w:lineRule="auto"/>
              <w:jc w:val="both"/>
              <w:rPr>
                <w:rFonts w:ascii="Times New Roman" w:hAnsi="Times New Roman"/>
                <w:b/>
                <w:bCs/>
                <w:color w:val="000000"/>
                <w:u w:val="single"/>
              </w:rPr>
            </w:pPr>
            <w:bookmarkStart w:id="10" w:name="_Hlk157678059"/>
            <w:r w:rsidRPr="007A2509">
              <w:rPr>
                <w:rFonts w:ascii="Times New Roman" w:hAnsi="Times New Roman"/>
                <w:b/>
                <w:bCs/>
                <w:color w:val="000000"/>
                <w:u w:val="single"/>
              </w:rPr>
              <w:t>Planowanie przestrzenne</w:t>
            </w:r>
          </w:p>
          <w:bookmarkEnd w:id="10"/>
          <w:p w14:paraId="58572D75" w14:textId="18786E64" w:rsidR="00C0646A" w:rsidRPr="00215FDC" w:rsidRDefault="0086458C" w:rsidP="00215FDC">
            <w:pPr>
              <w:spacing w:line="240" w:lineRule="auto"/>
              <w:jc w:val="both"/>
              <w:rPr>
                <w:rFonts w:ascii="Times New Roman" w:hAnsi="Times New Roman"/>
                <w:color w:val="000000"/>
              </w:rPr>
            </w:pPr>
            <w:r w:rsidRPr="007A2509">
              <w:rPr>
                <w:rFonts w:ascii="Times New Roman" w:hAnsi="Times New Roman"/>
                <w:color w:val="000000"/>
              </w:rPr>
              <w:t>Praktyka planowania przestrzennego w Polsce wskazuje, że ryzyko klimatyczne</w:t>
            </w:r>
            <w:r w:rsidR="00C0646A" w:rsidRPr="007A2509">
              <w:rPr>
                <w:rFonts w:ascii="Times New Roman" w:hAnsi="Times New Roman"/>
                <w:color w:val="000000"/>
              </w:rPr>
              <w:t>,</w:t>
            </w:r>
            <w:r w:rsidR="00E4585A" w:rsidRPr="007A2509">
              <w:rPr>
                <w:rFonts w:ascii="Times New Roman" w:hAnsi="Times New Roman"/>
                <w:color w:val="000000"/>
              </w:rPr>
              <w:t xml:space="preserve"> </w:t>
            </w:r>
            <w:r w:rsidRPr="007A2509">
              <w:rPr>
                <w:rFonts w:ascii="Times New Roman" w:hAnsi="Times New Roman"/>
                <w:color w:val="000000"/>
              </w:rPr>
              <w:t>w tym aspekty związane z adaptacją do zmian klimatu</w:t>
            </w:r>
            <w:r w:rsidR="00C0646A" w:rsidRPr="007A2509">
              <w:rPr>
                <w:rFonts w:ascii="Times New Roman" w:hAnsi="Times New Roman"/>
                <w:color w:val="000000"/>
              </w:rPr>
              <w:t>,</w:t>
            </w:r>
            <w:r w:rsidRPr="007A2509">
              <w:rPr>
                <w:rFonts w:ascii="Times New Roman" w:hAnsi="Times New Roman"/>
                <w:color w:val="000000"/>
              </w:rPr>
              <w:t xml:space="preserve"> nie są w wystarczającym stopniu brane pod uwagę w proce</w:t>
            </w:r>
            <w:r w:rsidR="00D85178" w:rsidRPr="007A2509">
              <w:rPr>
                <w:rFonts w:ascii="Times New Roman" w:hAnsi="Times New Roman"/>
                <w:color w:val="000000"/>
              </w:rPr>
              <w:t xml:space="preserve">sie planowania przestrzennego, </w:t>
            </w:r>
            <w:r w:rsidR="00126438" w:rsidRPr="007A2509">
              <w:rPr>
                <w:rFonts w:ascii="Times New Roman" w:hAnsi="Times New Roman"/>
                <w:color w:val="000000"/>
              </w:rPr>
              <w:t>w</w:t>
            </w:r>
            <w:r w:rsidR="00764155" w:rsidRPr="007A2509">
              <w:rPr>
                <w:rFonts w:ascii="Times New Roman" w:hAnsi="Times New Roman"/>
                <w:color w:val="000000"/>
              </w:rPr>
              <w:t> </w:t>
            </w:r>
            <w:r w:rsidR="00126438" w:rsidRPr="007A2509">
              <w:rPr>
                <w:rFonts w:ascii="Times New Roman" w:hAnsi="Times New Roman"/>
                <w:color w:val="000000"/>
              </w:rPr>
              <w:t xml:space="preserve">szczególności na </w:t>
            </w:r>
            <w:r w:rsidR="00D85178" w:rsidRPr="007A2509">
              <w:rPr>
                <w:rFonts w:ascii="Times New Roman" w:hAnsi="Times New Roman"/>
                <w:color w:val="000000"/>
              </w:rPr>
              <w:t>etap</w:t>
            </w:r>
            <w:r w:rsidR="00126438" w:rsidRPr="007A2509">
              <w:rPr>
                <w:rFonts w:ascii="Times New Roman" w:hAnsi="Times New Roman"/>
                <w:color w:val="000000"/>
              </w:rPr>
              <w:t>ie</w:t>
            </w:r>
            <w:r w:rsidRPr="007A2509">
              <w:rPr>
                <w:rFonts w:ascii="Times New Roman" w:hAnsi="Times New Roman"/>
                <w:color w:val="000000"/>
              </w:rPr>
              <w:t xml:space="preserve"> sporządzania </w:t>
            </w:r>
            <w:r w:rsidR="00C36723" w:rsidRPr="007A2509">
              <w:rPr>
                <w:rFonts w:ascii="Times New Roman" w:hAnsi="Times New Roman"/>
                <w:color w:val="000000"/>
              </w:rPr>
              <w:t>miejs</w:t>
            </w:r>
            <w:r w:rsidR="00C36723">
              <w:rPr>
                <w:rFonts w:ascii="Times New Roman" w:hAnsi="Times New Roman"/>
                <w:color w:val="000000"/>
              </w:rPr>
              <w:t>cowego</w:t>
            </w:r>
            <w:r w:rsidR="00C36723" w:rsidRPr="007A2509">
              <w:rPr>
                <w:rFonts w:ascii="Times New Roman" w:hAnsi="Times New Roman"/>
                <w:color w:val="000000"/>
              </w:rPr>
              <w:t xml:space="preserve"> </w:t>
            </w:r>
            <w:r w:rsidR="00496D27" w:rsidRPr="007A2509">
              <w:rPr>
                <w:rFonts w:ascii="Times New Roman" w:hAnsi="Times New Roman"/>
                <w:color w:val="000000"/>
              </w:rPr>
              <w:t xml:space="preserve">planu zagospodarowania przestrzennego </w:t>
            </w:r>
            <w:r w:rsidR="005B06C7">
              <w:rPr>
                <w:rFonts w:ascii="Times New Roman" w:hAnsi="Times New Roman"/>
                <w:color w:val="000000"/>
              </w:rPr>
              <w:t>(</w:t>
            </w:r>
            <w:proofErr w:type="spellStart"/>
            <w:r w:rsidRPr="007A2509">
              <w:rPr>
                <w:rFonts w:ascii="Times New Roman" w:hAnsi="Times New Roman"/>
                <w:color w:val="000000"/>
              </w:rPr>
              <w:t>mpzp</w:t>
            </w:r>
            <w:proofErr w:type="spellEnd"/>
            <w:r w:rsidR="005B06C7">
              <w:rPr>
                <w:rFonts w:ascii="Times New Roman" w:hAnsi="Times New Roman"/>
                <w:color w:val="000000"/>
              </w:rPr>
              <w:t>)</w:t>
            </w:r>
            <w:r w:rsidRPr="007A2509">
              <w:rPr>
                <w:rFonts w:ascii="Times New Roman" w:hAnsi="Times New Roman"/>
                <w:color w:val="000000"/>
              </w:rPr>
              <w:t xml:space="preserve"> oraz </w:t>
            </w:r>
            <w:r w:rsidR="00445687">
              <w:rPr>
                <w:rFonts w:ascii="Times New Roman" w:hAnsi="Times New Roman"/>
                <w:color w:val="000000"/>
              </w:rPr>
              <w:t>nowowprowadzonych planów ogólnych gmin</w:t>
            </w:r>
            <w:r w:rsidRPr="007A2509">
              <w:rPr>
                <w:rFonts w:ascii="Times New Roman" w:hAnsi="Times New Roman"/>
                <w:color w:val="000000"/>
              </w:rPr>
              <w:t xml:space="preserve">. </w:t>
            </w:r>
            <w:r w:rsidR="00BB69EF" w:rsidRPr="007A2509">
              <w:rPr>
                <w:rFonts w:ascii="Times New Roman" w:hAnsi="Times New Roman"/>
                <w:color w:val="000000"/>
              </w:rPr>
              <w:t>W ogólnym ujęciu, r</w:t>
            </w:r>
            <w:r w:rsidR="00163B0F" w:rsidRPr="007A2509">
              <w:rPr>
                <w:rFonts w:ascii="Times New Roman" w:hAnsi="Times New Roman"/>
                <w:color w:val="000000"/>
              </w:rPr>
              <w:t xml:space="preserve">yzyko </w:t>
            </w:r>
            <w:r w:rsidR="00B66563" w:rsidRPr="007A2509">
              <w:rPr>
                <w:rFonts w:ascii="Times New Roman" w:hAnsi="Times New Roman"/>
                <w:color w:val="000000"/>
              </w:rPr>
              <w:t>klimatyczne oznacza</w:t>
            </w:r>
            <w:r w:rsidR="00163B0F" w:rsidRPr="007A2509">
              <w:rPr>
                <w:rFonts w:ascii="Times New Roman" w:hAnsi="Times New Roman"/>
                <w:color w:val="000000"/>
              </w:rPr>
              <w:t xml:space="preserve"> iloczyn prawdopodobieństwa zajścia zdarzenia (klimatycznego) oraz jego skutków (dotkliwości). W rozumieniu </w:t>
            </w:r>
            <w:r w:rsidR="00C0646A" w:rsidRPr="007A2509">
              <w:rPr>
                <w:rFonts w:ascii="Times New Roman" w:hAnsi="Times New Roman"/>
                <w:color w:val="000000"/>
              </w:rPr>
              <w:t>dyrektyw</w:t>
            </w:r>
            <w:r w:rsidR="005C72D8" w:rsidRPr="007A2509">
              <w:rPr>
                <w:rFonts w:ascii="Times New Roman" w:hAnsi="Times New Roman"/>
                <w:color w:val="000000"/>
              </w:rPr>
              <w:t>y</w:t>
            </w:r>
            <w:r w:rsidR="00C0646A" w:rsidRPr="007A2509">
              <w:rPr>
                <w:rFonts w:ascii="Times New Roman" w:hAnsi="Times New Roman"/>
                <w:color w:val="000000"/>
              </w:rPr>
              <w:t xml:space="preserve"> </w:t>
            </w:r>
            <w:r w:rsidR="00D11448" w:rsidRPr="007A2509">
              <w:rPr>
                <w:rFonts w:ascii="Times New Roman" w:hAnsi="Times New Roman"/>
                <w:color w:val="000000"/>
              </w:rPr>
              <w:t xml:space="preserve">2007/60/WE </w:t>
            </w:r>
            <w:r w:rsidR="00C0646A" w:rsidRPr="007A2509">
              <w:rPr>
                <w:rFonts w:ascii="Times New Roman" w:hAnsi="Times New Roman"/>
                <w:color w:val="000000"/>
              </w:rPr>
              <w:t xml:space="preserve">Parlamentu Europejskiego </w:t>
            </w:r>
            <w:r w:rsidR="00C0646A" w:rsidRPr="007A2509">
              <w:rPr>
                <w:rFonts w:ascii="Times New Roman" w:hAnsi="Times New Roman"/>
                <w:color w:val="000000"/>
              </w:rPr>
              <w:lastRenderedPageBreak/>
              <w:t>i</w:t>
            </w:r>
            <w:r w:rsidR="009C0671">
              <w:rPr>
                <w:rFonts w:ascii="Times New Roman" w:hAnsi="Times New Roman"/>
                <w:color w:val="000000"/>
              </w:rPr>
              <w:t> </w:t>
            </w:r>
            <w:r w:rsidR="00C0646A" w:rsidRPr="007A2509">
              <w:rPr>
                <w:rFonts w:ascii="Times New Roman" w:hAnsi="Times New Roman"/>
                <w:color w:val="000000"/>
              </w:rPr>
              <w:t xml:space="preserve">Rady z dnia 23 października 2007 r. </w:t>
            </w:r>
            <w:r w:rsidR="00C0646A" w:rsidRPr="00804C6F">
              <w:rPr>
                <w:rFonts w:ascii="Times New Roman" w:hAnsi="Times New Roman"/>
                <w:i/>
                <w:iCs/>
                <w:color w:val="000000"/>
              </w:rPr>
              <w:t>w sprawie oceny ryzyka powodziowego i zarządzania nim</w:t>
            </w:r>
            <w:r w:rsidR="004F41B7" w:rsidRPr="007A2509">
              <w:rPr>
                <w:rFonts w:ascii="Times New Roman" w:hAnsi="Times New Roman"/>
                <w:color w:val="000000"/>
              </w:rPr>
              <w:t xml:space="preserve"> (</w:t>
            </w:r>
            <w:r w:rsidR="00C0646A" w:rsidRPr="007A2509">
              <w:rPr>
                <w:rFonts w:ascii="Times New Roman" w:hAnsi="Times New Roman"/>
                <w:color w:val="000000"/>
              </w:rPr>
              <w:t>Dz.</w:t>
            </w:r>
            <w:r w:rsidR="005349B1" w:rsidRPr="007A2509">
              <w:rPr>
                <w:rFonts w:ascii="Times New Roman" w:hAnsi="Times New Roman"/>
                <w:color w:val="000000"/>
              </w:rPr>
              <w:t xml:space="preserve"> </w:t>
            </w:r>
            <w:r w:rsidR="00C0646A" w:rsidRPr="007A2509">
              <w:rPr>
                <w:rFonts w:ascii="Times New Roman" w:hAnsi="Times New Roman"/>
                <w:color w:val="000000"/>
              </w:rPr>
              <w:t>U</w:t>
            </w:r>
            <w:r w:rsidR="004F41B7" w:rsidRPr="007A2509">
              <w:rPr>
                <w:rFonts w:ascii="Times New Roman" w:hAnsi="Times New Roman"/>
                <w:color w:val="000000"/>
              </w:rPr>
              <w:t>rz</w:t>
            </w:r>
            <w:r w:rsidR="00C0646A" w:rsidRPr="007A2509">
              <w:rPr>
                <w:rFonts w:ascii="Times New Roman" w:hAnsi="Times New Roman"/>
                <w:color w:val="000000"/>
              </w:rPr>
              <w:t>.</w:t>
            </w:r>
            <w:r w:rsidR="004F41B7" w:rsidRPr="007A2509">
              <w:rPr>
                <w:rFonts w:ascii="Times New Roman" w:hAnsi="Times New Roman"/>
                <w:color w:val="000000"/>
              </w:rPr>
              <w:t xml:space="preserve"> </w:t>
            </w:r>
            <w:r w:rsidR="00C0646A" w:rsidRPr="007A2509">
              <w:rPr>
                <w:rFonts w:ascii="Times New Roman" w:hAnsi="Times New Roman"/>
                <w:color w:val="000000"/>
              </w:rPr>
              <w:t xml:space="preserve">UE L </w:t>
            </w:r>
            <w:r w:rsidR="004F41B7" w:rsidRPr="007A2509">
              <w:rPr>
                <w:rFonts w:ascii="Times New Roman" w:hAnsi="Times New Roman"/>
                <w:color w:val="000000"/>
              </w:rPr>
              <w:t>288 z</w:t>
            </w:r>
            <w:r w:rsidR="009C0671">
              <w:rPr>
                <w:rFonts w:ascii="Times New Roman" w:hAnsi="Times New Roman"/>
                <w:color w:val="000000"/>
              </w:rPr>
              <w:t> </w:t>
            </w:r>
            <w:r w:rsidR="004F41B7" w:rsidRPr="007A2509">
              <w:rPr>
                <w:rFonts w:ascii="Times New Roman" w:hAnsi="Times New Roman"/>
                <w:color w:val="000000"/>
              </w:rPr>
              <w:t>06.11.2007, str. 27</w:t>
            </w:r>
            <w:r w:rsidR="00C0646A" w:rsidRPr="007A2509">
              <w:rPr>
                <w:rFonts w:ascii="Times New Roman" w:hAnsi="Times New Roman"/>
                <w:color w:val="000000"/>
              </w:rPr>
              <w:t xml:space="preserve">) </w:t>
            </w:r>
            <w:r w:rsidR="00163B0F" w:rsidRPr="007A2509">
              <w:rPr>
                <w:rFonts w:ascii="Times New Roman" w:hAnsi="Times New Roman"/>
                <w:color w:val="000000"/>
              </w:rPr>
              <w:t>ryzyko</w:t>
            </w:r>
            <w:r w:rsidR="000548CF" w:rsidRPr="007A2509">
              <w:rPr>
                <w:rFonts w:ascii="Times New Roman" w:hAnsi="Times New Roman"/>
                <w:color w:val="000000"/>
              </w:rPr>
              <w:t xml:space="preserve"> powodziowe</w:t>
            </w:r>
            <w:r w:rsidR="00C0646A" w:rsidRPr="007A2509">
              <w:rPr>
                <w:rFonts w:ascii="Times New Roman" w:hAnsi="Times New Roman"/>
                <w:color w:val="000000"/>
              </w:rPr>
              <w:t xml:space="preserve"> </w:t>
            </w:r>
            <w:r w:rsidR="00BB69EF" w:rsidRPr="007A2509">
              <w:rPr>
                <w:rFonts w:ascii="Times New Roman" w:hAnsi="Times New Roman"/>
                <w:color w:val="000000"/>
              </w:rPr>
              <w:t xml:space="preserve">oznacza kombinację </w:t>
            </w:r>
            <w:r w:rsidR="000548CF" w:rsidRPr="007A2509">
              <w:rPr>
                <w:rFonts w:ascii="Times New Roman" w:hAnsi="Times New Roman"/>
                <w:color w:val="000000"/>
              </w:rPr>
              <w:t>prawdopodo</w:t>
            </w:r>
            <w:r w:rsidR="00BB69EF" w:rsidRPr="007A2509">
              <w:rPr>
                <w:rFonts w:ascii="Times New Roman" w:hAnsi="Times New Roman"/>
                <w:color w:val="000000"/>
              </w:rPr>
              <w:t>bieństwa wystąpienia powodzi i związanych z powodzią</w:t>
            </w:r>
            <w:r w:rsidR="000548CF" w:rsidRPr="007A2509">
              <w:rPr>
                <w:rFonts w:ascii="Times New Roman" w:hAnsi="Times New Roman"/>
                <w:color w:val="000000"/>
              </w:rPr>
              <w:t xml:space="preserve"> </w:t>
            </w:r>
            <w:r w:rsidR="00BB69EF" w:rsidRPr="007A2509">
              <w:rPr>
                <w:rFonts w:ascii="Times New Roman" w:hAnsi="Times New Roman"/>
                <w:color w:val="000000"/>
              </w:rPr>
              <w:t>potencjalnych negatywnych konsekwencji dla zdrowia ludzkiego,</w:t>
            </w:r>
            <w:r w:rsidR="000548CF" w:rsidRPr="007A2509">
              <w:rPr>
                <w:rFonts w:ascii="Times New Roman" w:hAnsi="Times New Roman"/>
                <w:color w:val="000000"/>
              </w:rPr>
              <w:t xml:space="preserve"> </w:t>
            </w:r>
            <w:r w:rsidR="00BB69EF" w:rsidRPr="007A2509">
              <w:rPr>
                <w:rFonts w:ascii="Times New Roman" w:hAnsi="Times New Roman"/>
                <w:color w:val="000000"/>
              </w:rPr>
              <w:t>środowiska, dziedzictwa kulturowego oraz działalności gospodarczej.</w:t>
            </w:r>
            <w:r w:rsidR="0005316C">
              <w:rPr>
                <w:rFonts w:ascii="Times New Roman" w:hAnsi="Times New Roman"/>
                <w:color w:val="000000"/>
              </w:rPr>
              <w:t xml:space="preserve"> </w:t>
            </w:r>
          </w:p>
          <w:p w14:paraId="42F9350A" w14:textId="5AB186E2" w:rsidR="00DE4F27" w:rsidRDefault="00B60746" w:rsidP="009C0671">
            <w:pPr>
              <w:spacing w:before="120" w:line="240" w:lineRule="auto"/>
              <w:ind w:left="34"/>
              <w:jc w:val="both"/>
              <w:rPr>
                <w:rFonts w:ascii="Times New Roman" w:hAnsi="Times New Roman"/>
                <w:color w:val="000000"/>
              </w:rPr>
            </w:pPr>
            <w:r>
              <w:rPr>
                <w:rFonts w:ascii="Times New Roman" w:hAnsi="Times New Roman"/>
                <w:color w:val="000000"/>
              </w:rPr>
              <w:t>Zgodnie z wynikami „</w:t>
            </w:r>
            <w:r w:rsidRPr="00B60746">
              <w:rPr>
                <w:rFonts w:ascii="Times New Roman" w:hAnsi="Times New Roman"/>
                <w:color w:val="000000"/>
              </w:rPr>
              <w:t>Analiz</w:t>
            </w:r>
            <w:r>
              <w:rPr>
                <w:rFonts w:ascii="Times New Roman" w:hAnsi="Times New Roman"/>
                <w:color w:val="000000"/>
              </w:rPr>
              <w:t>y</w:t>
            </w:r>
            <w:r w:rsidRPr="00B60746">
              <w:rPr>
                <w:rFonts w:ascii="Times New Roman" w:hAnsi="Times New Roman"/>
                <w:color w:val="000000"/>
              </w:rPr>
              <w:t xml:space="preserve"> miejskich planów adaptacji do zmian klimatu</w:t>
            </w:r>
            <w:r>
              <w:rPr>
                <w:rFonts w:ascii="Times New Roman" w:hAnsi="Times New Roman"/>
                <w:color w:val="000000"/>
              </w:rPr>
              <w:t>”, zrealizowanej przez IOŚ</w:t>
            </w:r>
            <w:r w:rsidR="00C80835">
              <w:rPr>
                <w:rFonts w:ascii="Times New Roman" w:hAnsi="Times New Roman"/>
                <w:color w:val="000000"/>
              </w:rPr>
              <w:t>-PIB</w:t>
            </w:r>
            <w:r>
              <w:rPr>
                <w:rFonts w:ascii="Times New Roman" w:hAnsi="Times New Roman"/>
                <w:color w:val="000000"/>
              </w:rPr>
              <w:t>, m</w:t>
            </w:r>
            <w:r w:rsidRPr="00B60746">
              <w:rPr>
                <w:rFonts w:ascii="Times New Roman" w:hAnsi="Times New Roman"/>
                <w:color w:val="000000"/>
              </w:rPr>
              <w:t>iasta dostrzegają potrzebę włączenia adaptacji do zmian klimatu w politykę rozwoju miasta</w:t>
            </w:r>
            <w:r>
              <w:rPr>
                <w:rFonts w:ascii="Times New Roman" w:hAnsi="Times New Roman"/>
                <w:color w:val="000000"/>
              </w:rPr>
              <w:t xml:space="preserve"> </w:t>
            </w:r>
            <w:r w:rsidRPr="00B60746">
              <w:rPr>
                <w:rFonts w:ascii="Times New Roman" w:hAnsi="Times New Roman"/>
                <w:color w:val="000000"/>
              </w:rPr>
              <w:t>i podejmowanie decyzji (</w:t>
            </w:r>
            <w:proofErr w:type="spellStart"/>
            <w:r w:rsidRPr="00804C6F">
              <w:rPr>
                <w:rFonts w:ascii="Times New Roman" w:hAnsi="Times New Roman"/>
                <w:i/>
                <w:iCs/>
                <w:color w:val="000000"/>
              </w:rPr>
              <w:t>mainstreaming</w:t>
            </w:r>
            <w:proofErr w:type="spellEnd"/>
            <w:r w:rsidRPr="00B60746">
              <w:rPr>
                <w:rFonts w:ascii="Times New Roman" w:hAnsi="Times New Roman"/>
                <w:color w:val="000000"/>
              </w:rPr>
              <w:t>). Odbywa się to m.in. przez dostosowanie dokumentów</w:t>
            </w:r>
            <w:r>
              <w:rPr>
                <w:rFonts w:ascii="Times New Roman" w:hAnsi="Times New Roman"/>
                <w:color w:val="000000"/>
              </w:rPr>
              <w:t xml:space="preserve"> </w:t>
            </w:r>
            <w:r w:rsidRPr="00B60746">
              <w:rPr>
                <w:rFonts w:ascii="Times New Roman" w:hAnsi="Times New Roman"/>
                <w:color w:val="000000"/>
              </w:rPr>
              <w:t>strategicznych i planistycznych, które są wyrazem polityki miejskiej, do nowych uwarunkowań</w:t>
            </w:r>
            <w:r>
              <w:rPr>
                <w:rFonts w:ascii="Times New Roman" w:hAnsi="Times New Roman"/>
                <w:color w:val="000000"/>
              </w:rPr>
              <w:t xml:space="preserve"> </w:t>
            </w:r>
            <w:r w:rsidRPr="00B60746">
              <w:rPr>
                <w:rFonts w:ascii="Times New Roman" w:hAnsi="Times New Roman"/>
                <w:color w:val="000000"/>
              </w:rPr>
              <w:t>klimatycznych i potrzeb adaptacji do zmian klimatu.</w:t>
            </w:r>
          </w:p>
          <w:p w14:paraId="6D748CAF" w14:textId="77777777" w:rsidR="00E4071D" w:rsidRPr="007A2509" w:rsidRDefault="00E4071D" w:rsidP="00E55CB1">
            <w:pPr>
              <w:numPr>
                <w:ilvl w:val="0"/>
                <w:numId w:val="53"/>
              </w:numPr>
              <w:tabs>
                <w:tab w:val="left" w:pos="247"/>
              </w:tabs>
              <w:spacing w:before="120" w:line="240" w:lineRule="auto"/>
              <w:jc w:val="both"/>
              <w:rPr>
                <w:rFonts w:ascii="Times New Roman" w:hAnsi="Times New Roman"/>
                <w:bCs/>
                <w:color w:val="000000"/>
                <w:u w:val="single"/>
              </w:rPr>
            </w:pPr>
            <w:bookmarkStart w:id="11" w:name="_Hlk157678080"/>
            <w:r w:rsidRPr="007A2509">
              <w:rPr>
                <w:rFonts w:ascii="Times New Roman" w:hAnsi="Times New Roman"/>
                <w:b/>
                <w:bCs/>
                <w:color w:val="000000"/>
                <w:u w:val="single"/>
              </w:rPr>
              <w:t>Ocena oddziaływania na środowisko</w:t>
            </w:r>
          </w:p>
          <w:bookmarkEnd w:id="11"/>
          <w:p w14:paraId="2B45FD6D" w14:textId="0C1F9702" w:rsidR="00FD01D3" w:rsidRPr="007A2509" w:rsidRDefault="00FD01D3" w:rsidP="00C348B2">
            <w:pPr>
              <w:spacing w:after="120" w:line="240" w:lineRule="auto"/>
              <w:ind w:left="34"/>
              <w:jc w:val="both"/>
              <w:rPr>
                <w:rFonts w:ascii="Times New Roman" w:hAnsi="Times New Roman"/>
                <w:bCs/>
                <w:color w:val="000000"/>
              </w:rPr>
            </w:pPr>
            <w:r w:rsidRPr="007A2509">
              <w:rPr>
                <w:rFonts w:ascii="Times New Roman" w:hAnsi="Times New Roman"/>
                <w:bCs/>
                <w:color w:val="000000"/>
              </w:rPr>
              <w:t xml:space="preserve">Praktyka wykonywania </w:t>
            </w:r>
            <w:r w:rsidR="00126438" w:rsidRPr="007A2509">
              <w:rPr>
                <w:rFonts w:ascii="Times New Roman" w:hAnsi="Times New Roman"/>
                <w:bCs/>
                <w:color w:val="000000"/>
              </w:rPr>
              <w:t xml:space="preserve">ocen oddziaływania na środowisko </w:t>
            </w:r>
            <w:r w:rsidR="005B06C7">
              <w:rPr>
                <w:rFonts w:ascii="Times New Roman" w:hAnsi="Times New Roman"/>
                <w:bCs/>
                <w:color w:val="000000"/>
              </w:rPr>
              <w:t>(</w:t>
            </w:r>
            <w:proofErr w:type="spellStart"/>
            <w:r w:rsidR="00126438" w:rsidRPr="007A2509">
              <w:rPr>
                <w:rFonts w:ascii="Times New Roman" w:hAnsi="Times New Roman"/>
                <w:bCs/>
                <w:color w:val="000000"/>
              </w:rPr>
              <w:t>ooś</w:t>
            </w:r>
            <w:proofErr w:type="spellEnd"/>
            <w:r w:rsidR="005B06C7">
              <w:rPr>
                <w:rFonts w:ascii="Times New Roman" w:hAnsi="Times New Roman"/>
                <w:bCs/>
                <w:color w:val="000000"/>
              </w:rPr>
              <w:t>)</w:t>
            </w:r>
            <w:r w:rsidRPr="007A2509">
              <w:rPr>
                <w:rFonts w:ascii="Times New Roman" w:hAnsi="Times New Roman"/>
                <w:bCs/>
                <w:color w:val="000000"/>
              </w:rPr>
              <w:t xml:space="preserve"> w Polsce wskazuje, że przepisy </w:t>
            </w:r>
            <w:r w:rsidR="00A66D75" w:rsidRPr="007A2509">
              <w:rPr>
                <w:rFonts w:ascii="Times New Roman" w:hAnsi="Times New Roman"/>
                <w:bCs/>
                <w:color w:val="000000"/>
              </w:rPr>
              <w:t xml:space="preserve">ustawy z dnia </w:t>
            </w:r>
            <w:r w:rsidR="00B468EC" w:rsidRPr="007A2509">
              <w:rPr>
                <w:rFonts w:ascii="Times New Roman" w:hAnsi="Times New Roman"/>
                <w:bCs/>
                <w:color w:val="000000"/>
              </w:rPr>
              <w:t>3</w:t>
            </w:r>
            <w:r w:rsidR="00CE0252">
              <w:rPr>
                <w:rFonts w:ascii="Times New Roman" w:hAnsi="Times New Roman"/>
                <w:bCs/>
                <w:color w:val="000000"/>
              </w:rPr>
              <w:t> </w:t>
            </w:r>
            <w:r w:rsidR="00B468EC" w:rsidRPr="007A2509">
              <w:rPr>
                <w:rFonts w:ascii="Times New Roman" w:hAnsi="Times New Roman"/>
                <w:bCs/>
                <w:color w:val="000000"/>
              </w:rPr>
              <w:t>października 2008</w:t>
            </w:r>
            <w:r w:rsidR="00B468EC" w:rsidRPr="007A2509">
              <w:rPr>
                <w:rFonts w:ascii="Times New Roman" w:hAnsi="Times New Roman"/>
              </w:rPr>
              <w:t xml:space="preserve"> </w:t>
            </w:r>
            <w:r w:rsidR="00B468EC" w:rsidRPr="007A2509">
              <w:rPr>
                <w:rFonts w:ascii="Times New Roman" w:hAnsi="Times New Roman"/>
                <w:bCs/>
                <w:color w:val="000000"/>
              </w:rPr>
              <w:t xml:space="preserve">r. </w:t>
            </w:r>
            <w:r w:rsidR="00126438" w:rsidRPr="00804C6F">
              <w:rPr>
                <w:rFonts w:ascii="Times New Roman" w:hAnsi="Times New Roman"/>
                <w:bCs/>
                <w:i/>
                <w:iCs/>
                <w:color w:val="000000"/>
              </w:rPr>
              <w:t xml:space="preserve">o </w:t>
            </w:r>
            <w:r w:rsidR="00B468EC" w:rsidRPr="00804C6F">
              <w:rPr>
                <w:rFonts w:ascii="Times New Roman" w:hAnsi="Times New Roman"/>
                <w:bCs/>
                <w:i/>
                <w:iCs/>
                <w:color w:val="000000"/>
              </w:rPr>
              <w:t>udostępnianiu informacji o środowisku i jego ochronie, udziale społeczeństwa w</w:t>
            </w:r>
            <w:r w:rsidR="008A27A2" w:rsidRPr="00804C6F">
              <w:rPr>
                <w:rFonts w:ascii="Times New Roman" w:hAnsi="Times New Roman"/>
                <w:bCs/>
                <w:i/>
                <w:iCs/>
                <w:color w:val="000000"/>
              </w:rPr>
              <w:t> </w:t>
            </w:r>
            <w:r w:rsidR="00B468EC" w:rsidRPr="00804C6F">
              <w:rPr>
                <w:rFonts w:ascii="Times New Roman" w:hAnsi="Times New Roman"/>
                <w:bCs/>
                <w:i/>
                <w:iCs/>
                <w:color w:val="000000"/>
              </w:rPr>
              <w:t>ochronie środowiska oraz o ocenach oddziaływania na środowisko</w:t>
            </w:r>
            <w:r w:rsidR="00B468EC" w:rsidRPr="007A2509">
              <w:rPr>
                <w:rFonts w:ascii="Times New Roman" w:hAnsi="Times New Roman"/>
                <w:bCs/>
                <w:color w:val="000000"/>
              </w:rPr>
              <w:t xml:space="preserve"> </w:t>
            </w:r>
            <w:r w:rsidR="006C7590" w:rsidRPr="007A2509">
              <w:rPr>
                <w:rFonts w:ascii="Times New Roman" w:hAnsi="Times New Roman"/>
                <w:bCs/>
                <w:color w:val="000000"/>
              </w:rPr>
              <w:t xml:space="preserve">(Dz. U. </w:t>
            </w:r>
            <w:r w:rsidR="00057F5D" w:rsidRPr="00057F5D">
              <w:rPr>
                <w:rFonts w:ascii="Times New Roman" w:hAnsi="Times New Roman"/>
                <w:bCs/>
                <w:color w:val="000000"/>
              </w:rPr>
              <w:t xml:space="preserve">z 2023 r. poz. 1094, </w:t>
            </w:r>
            <w:r w:rsidR="00057F5D">
              <w:rPr>
                <w:rFonts w:ascii="Times New Roman" w:hAnsi="Times New Roman"/>
                <w:bCs/>
                <w:color w:val="000000"/>
              </w:rPr>
              <w:t xml:space="preserve">z </w:t>
            </w:r>
            <w:proofErr w:type="spellStart"/>
            <w:r w:rsidR="00057F5D">
              <w:rPr>
                <w:rFonts w:ascii="Times New Roman" w:hAnsi="Times New Roman"/>
                <w:bCs/>
                <w:color w:val="000000"/>
              </w:rPr>
              <w:t>późn</w:t>
            </w:r>
            <w:proofErr w:type="spellEnd"/>
            <w:r w:rsidR="00057F5D">
              <w:rPr>
                <w:rFonts w:ascii="Times New Roman" w:hAnsi="Times New Roman"/>
                <w:bCs/>
                <w:color w:val="000000"/>
              </w:rPr>
              <w:t>. zm.</w:t>
            </w:r>
            <w:r w:rsidR="006C7590" w:rsidRPr="007A2509">
              <w:rPr>
                <w:rFonts w:ascii="Times New Roman" w:hAnsi="Times New Roman"/>
                <w:bCs/>
                <w:color w:val="000000"/>
              </w:rPr>
              <w:t>)</w:t>
            </w:r>
            <w:r w:rsidR="005B06C7">
              <w:rPr>
                <w:rFonts w:ascii="Times New Roman" w:hAnsi="Times New Roman"/>
                <w:bCs/>
                <w:color w:val="000000"/>
              </w:rPr>
              <w:t>, zwanej dalej „</w:t>
            </w:r>
            <w:proofErr w:type="spellStart"/>
            <w:r w:rsidR="005B06C7">
              <w:rPr>
                <w:rFonts w:ascii="Times New Roman" w:hAnsi="Times New Roman"/>
                <w:bCs/>
                <w:color w:val="000000"/>
              </w:rPr>
              <w:t>Uooś</w:t>
            </w:r>
            <w:proofErr w:type="spellEnd"/>
            <w:r w:rsidR="005B06C7">
              <w:rPr>
                <w:rFonts w:ascii="Times New Roman" w:hAnsi="Times New Roman"/>
                <w:bCs/>
                <w:color w:val="000000"/>
              </w:rPr>
              <w:t xml:space="preserve">”, </w:t>
            </w:r>
            <w:r w:rsidRPr="007A2509">
              <w:rPr>
                <w:rFonts w:ascii="Times New Roman" w:hAnsi="Times New Roman"/>
                <w:bCs/>
                <w:color w:val="000000"/>
              </w:rPr>
              <w:t>w zakresie analiz dotyczących ryzyka klimatycznego</w:t>
            </w:r>
            <w:r w:rsidR="00CE0252" w:rsidRPr="007A2509">
              <w:rPr>
                <w:rFonts w:ascii="Times New Roman" w:hAnsi="Times New Roman"/>
                <w:bCs/>
                <w:color w:val="000000"/>
              </w:rPr>
              <w:t xml:space="preserve"> przedsięwzięć</w:t>
            </w:r>
            <w:r w:rsidR="00CE0252">
              <w:rPr>
                <w:rFonts w:ascii="Times New Roman" w:hAnsi="Times New Roman"/>
                <w:bCs/>
                <w:color w:val="000000"/>
              </w:rPr>
              <w:t xml:space="preserve"> –</w:t>
            </w:r>
            <w:r w:rsidR="00CE0252" w:rsidRPr="007A2509">
              <w:rPr>
                <w:rFonts w:ascii="Times New Roman" w:hAnsi="Times New Roman"/>
                <w:bCs/>
                <w:color w:val="000000"/>
              </w:rPr>
              <w:t xml:space="preserve"> </w:t>
            </w:r>
            <w:r w:rsidR="00CE0252">
              <w:rPr>
                <w:rFonts w:ascii="Times New Roman" w:hAnsi="Times New Roman"/>
                <w:bCs/>
                <w:color w:val="000000"/>
              </w:rPr>
              <w:t>zwłaszcza</w:t>
            </w:r>
            <w:r w:rsidRPr="007A2509">
              <w:rPr>
                <w:rFonts w:ascii="Times New Roman" w:hAnsi="Times New Roman"/>
                <w:bCs/>
                <w:color w:val="000000"/>
              </w:rPr>
              <w:t xml:space="preserve"> w odniesieniu do adaptacji do zmian klimatu</w:t>
            </w:r>
            <w:r w:rsidR="00CE0252">
              <w:rPr>
                <w:rFonts w:ascii="Times New Roman" w:hAnsi="Times New Roman"/>
                <w:bCs/>
                <w:color w:val="000000"/>
              </w:rPr>
              <w:t xml:space="preserve"> –</w:t>
            </w:r>
            <w:r w:rsidRPr="007A2509">
              <w:rPr>
                <w:rFonts w:ascii="Times New Roman" w:hAnsi="Times New Roman"/>
                <w:bCs/>
                <w:color w:val="000000"/>
              </w:rPr>
              <w:t xml:space="preserve"> </w:t>
            </w:r>
            <w:r w:rsidR="00D82C26" w:rsidRPr="007A2509">
              <w:rPr>
                <w:rFonts w:ascii="Times New Roman" w:hAnsi="Times New Roman"/>
                <w:bCs/>
                <w:color w:val="000000"/>
              </w:rPr>
              <w:t xml:space="preserve">mogą być </w:t>
            </w:r>
            <w:r w:rsidR="001C3685" w:rsidRPr="007A2509">
              <w:rPr>
                <w:rFonts w:ascii="Times New Roman" w:hAnsi="Times New Roman"/>
                <w:bCs/>
                <w:color w:val="000000"/>
              </w:rPr>
              <w:t xml:space="preserve">potencjalnie </w:t>
            </w:r>
            <w:r w:rsidR="00D82C26" w:rsidRPr="007A2509">
              <w:rPr>
                <w:rFonts w:ascii="Times New Roman" w:hAnsi="Times New Roman"/>
                <w:bCs/>
                <w:color w:val="000000"/>
              </w:rPr>
              <w:t xml:space="preserve">interpretowane niedostatecznie </w:t>
            </w:r>
            <w:r w:rsidRPr="007A2509">
              <w:rPr>
                <w:rFonts w:ascii="Times New Roman" w:hAnsi="Times New Roman"/>
                <w:bCs/>
                <w:color w:val="000000"/>
              </w:rPr>
              <w:t>jednoznaczn</w:t>
            </w:r>
            <w:r w:rsidR="00D82C26" w:rsidRPr="007A2509">
              <w:rPr>
                <w:rFonts w:ascii="Times New Roman" w:hAnsi="Times New Roman"/>
                <w:bCs/>
                <w:color w:val="000000"/>
              </w:rPr>
              <w:t>i</w:t>
            </w:r>
            <w:r w:rsidRPr="007A2509">
              <w:rPr>
                <w:rFonts w:ascii="Times New Roman" w:hAnsi="Times New Roman"/>
                <w:bCs/>
                <w:color w:val="000000"/>
              </w:rPr>
              <w:t xml:space="preserve">e, </w:t>
            </w:r>
            <w:r w:rsidR="00AC6196" w:rsidRPr="007A2509">
              <w:rPr>
                <w:rFonts w:ascii="Times New Roman" w:hAnsi="Times New Roman"/>
                <w:bCs/>
                <w:color w:val="000000"/>
              </w:rPr>
              <w:t>w</w:t>
            </w:r>
            <w:r w:rsidRPr="007A2509">
              <w:rPr>
                <w:rFonts w:ascii="Times New Roman" w:hAnsi="Times New Roman"/>
                <w:bCs/>
                <w:color w:val="000000"/>
              </w:rPr>
              <w:t xml:space="preserve"> związku z tym konieczne staje się </w:t>
            </w:r>
            <w:bookmarkStart w:id="12" w:name="_Hlk157678114"/>
            <w:r w:rsidRPr="007A2509">
              <w:rPr>
                <w:rFonts w:ascii="Times New Roman" w:hAnsi="Times New Roman"/>
                <w:bCs/>
                <w:color w:val="000000"/>
              </w:rPr>
              <w:t xml:space="preserve">doprecyzowanie ww. przepisów w celu osiągnięcia </w:t>
            </w:r>
            <w:r w:rsidR="00A835D3" w:rsidRPr="007A2509">
              <w:rPr>
                <w:rFonts w:ascii="Times New Roman" w:hAnsi="Times New Roman"/>
                <w:bCs/>
                <w:color w:val="000000"/>
              </w:rPr>
              <w:t xml:space="preserve">jeszcze większej </w:t>
            </w:r>
            <w:r w:rsidRPr="007A2509">
              <w:rPr>
                <w:rFonts w:ascii="Times New Roman" w:hAnsi="Times New Roman"/>
                <w:bCs/>
                <w:color w:val="000000"/>
              </w:rPr>
              <w:t>jednoznaczności</w:t>
            </w:r>
            <w:bookmarkEnd w:id="12"/>
            <w:r w:rsidR="00D82C26" w:rsidRPr="007A2509">
              <w:rPr>
                <w:rFonts w:ascii="Times New Roman" w:hAnsi="Times New Roman"/>
                <w:bCs/>
                <w:color w:val="000000"/>
              </w:rPr>
              <w:t xml:space="preserve">, uwzględniając przy tym fakt, że </w:t>
            </w:r>
            <w:bookmarkStart w:id="13" w:name="_Hlk160616135"/>
            <w:r w:rsidR="00D82C26" w:rsidRPr="007A2509">
              <w:rPr>
                <w:rFonts w:ascii="Times New Roman" w:hAnsi="Times New Roman"/>
                <w:bCs/>
                <w:color w:val="000000"/>
              </w:rPr>
              <w:t>co do zasady aktualne polskie przepisy pozostają w zgodności</w:t>
            </w:r>
            <w:r w:rsidR="00B649EE">
              <w:rPr>
                <w:rFonts w:ascii="Times New Roman" w:hAnsi="Times New Roman"/>
                <w:bCs/>
                <w:color w:val="000000"/>
              </w:rPr>
              <w:t xml:space="preserve"> z </w:t>
            </w:r>
            <w:r w:rsidR="00B649EE" w:rsidRPr="00F90764">
              <w:rPr>
                <w:rFonts w:ascii="Times New Roman" w:hAnsi="Times New Roman"/>
              </w:rPr>
              <w:t>dyrektyw</w:t>
            </w:r>
            <w:r w:rsidR="00B649EE">
              <w:rPr>
                <w:rFonts w:ascii="Times New Roman" w:hAnsi="Times New Roman"/>
              </w:rPr>
              <w:t>ą</w:t>
            </w:r>
            <w:r w:rsidR="00B649EE" w:rsidRPr="00F90764">
              <w:rPr>
                <w:rFonts w:ascii="Times New Roman" w:hAnsi="Times New Roman"/>
              </w:rPr>
              <w:t xml:space="preserve"> Parlamentu Europejskiego i Rady 2014/52/UE z</w:t>
            </w:r>
            <w:r w:rsidR="00774F09">
              <w:rPr>
                <w:rFonts w:ascii="Times New Roman" w:hAnsi="Times New Roman"/>
              </w:rPr>
              <w:t> </w:t>
            </w:r>
            <w:r w:rsidR="00B649EE" w:rsidRPr="00F90764">
              <w:rPr>
                <w:rFonts w:ascii="Times New Roman" w:hAnsi="Times New Roman"/>
              </w:rPr>
              <w:t>dnia 16 kwietnia 2014 r. zmieniając</w:t>
            </w:r>
            <w:r w:rsidR="00B649EE">
              <w:rPr>
                <w:rFonts w:ascii="Times New Roman" w:hAnsi="Times New Roman"/>
              </w:rPr>
              <w:t xml:space="preserve">ą </w:t>
            </w:r>
            <w:r w:rsidR="00B649EE" w:rsidRPr="00F90764">
              <w:rPr>
                <w:rFonts w:ascii="Times New Roman" w:hAnsi="Times New Roman"/>
              </w:rPr>
              <w:t xml:space="preserve">dyrektywę 2011/52/UE </w:t>
            </w:r>
            <w:r w:rsidR="00B649EE" w:rsidRPr="00804C6F">
              <w:rPr>
                <w:rFonts w:ascii="Times New Roman" w:hAnsi="Times New Roman"/>
                <w:i/>
                <w:iCs/>
              </w:rPr>
              <w:t>w sprawie oceny wpływu wywieranego przez niektóre przedsięwzięcia publiczne i prywatne na środowisko</w:t>
            </w:r>
            <w:r w:rsidR="00CF2CC2">
              <w:rPr>
                <w:rFonts w:ascii="Times New Roman" w:hAnsi="Times New Roman"/>
              </w:rPr>
              <w:t xml:space="preserve"> (Dz. Urz. UE L 124 z 25.04.2014, str. 1, z </w:t>
            </w:r>
            <w:proofErr w:type="spellStart"/>
            <w:r w:rsidR="00CF2CC2">
              <w:rPr>
                <w:rFonts w:ascii="Times New Roman" w:hAnsi="Times New Roman"/>
              </w:rPr>
              <w:t>późn</w:t>
            </w:r>
            <w:proofErr w:type="spellEnd"/>
            <w:r w:rsidR="00CF2CC2">
              <w:rPr>
                <w:rFonts w:ascii="Times New Roman" w:hAnsi="Times New Roman"/>
              </w:rPr>
              <w:t>. zm.)</w:t>
            </w:r>
            <w:r w:rsidR="00B649EE" w:rsidRPr="00F90764">
              <w:rPr>
                <w:rFonts w:ascii="Times New Roman" w:hAnsi="Times New Roman"/>
              </w:rPr>
              <w:t>, zwan</w:t>
            </w:r>
            <w:r w:rsidR="00B649EE">
              <w:rPr>
                <w:rFonts w:ascii="Times New Roman" w:hAnsi="Times New Roman"/>
              </w:rPr>
              <w:t>ą</w:t>
            </w:r>
            <w:r w:rsidR="00B649EE" w:rsidRPr="00F90764">
              <w:rPr>
                <w:rFonts w:ascii="Times New Roman" w:hAnsi="Times New Roman"/>
              </w:rPr>
              <w:t xml:space="preserve"> dalej „dyrektywą </w:t>
            </w:r>
            <w:proofErr w:type="spellStart"/>
            <w:r w:rsidR="00B649EE" w:rsidRPr="00F90764">
              <w:rPr>
                <w:rFonts w:ascii="Times New Roman" w:hAnsi="Times New Roman"/>
              </w:rPr>
              <w:t>ooś</w:t>
            </w:r>
            <w:proofErr w:type="spellEnd"/>
            <w:r w:rsidR="00B649EE" w:rsidRPr="00F90764">
              <w:rPr>
                <w:rFonts w:ascii="Times New Roman" w:hAnsi="Times New Roman"/>
              </w:rPr>
              <w:t>”</w:t>
            </w:r>
            <w:r w:rsidR="00A75467">
              <w:rPr>
                <w:rFonts w:ascii="Times New Roman" w:hAnsi="Times New Roman"/>
              </w:rPr>
              <w:t>,</w:t>
            </w:r>
            <w:r w:rsidR="00B649EE">
              <w:rPr>
                <w:rFonts w:ascii="Times New Roman" w:hAnsi="Times New Roman"/>
              </w:rPr>
              <w:t xml:space="preserve"> </w:t>
            </w:r>
            <w:bookmarkEnd w:id="13"/>
            <w:r w:rsidR="00D82C26" w:rsidRPr="007A2509">
              <w:rPr>
                <w:rFonts w:ascii="Times New Roman" w:hAnsi="Times New Roman"/>
                <w:bCs/>
                <w:color w:val="000000"/>
              </w:rPr>
              <w:t>w przedmiotowym zakresie.</w:t>
            </w:r>
            <w:r w:rsidRPr="007A2509">
              <w:rPr>
                <w:rFonts w:ascii="Times New Roman" w:hAnsi="Times New Roman"/>
                <w:bCs/>
                <w:color w:val="000000"/>
              </w:rPr>
              <w:t xml:space="preserve"> Posiadane przez </w:t>
            </w:r>
            <w:r w:rsidR="001D3B6C">
              <w:rPr>
                <w:rFonts w:ascii="Times New Roman" w:hAnsi="Times New Roman"/>
                <w:bCs/>
                <w:color w:val="000000"/>
              </w:rPr>
              <w:t>Ministerstwo Klimatu i Środowiska (</w:t>
            </w:r>
            <w:r w:rsidR="00445441">
              <w:rPr>
                <w:rFonts w:ascii="Times New Roman" w:hAnsi="Times New Roman"/>
                <w:bCs/>
                <w:color w:val="000000"/>
              </w:rPr>
              <w:t>„</w:t>
            </w:r>
            <w:proofErr w:type="spellStart"/>
            <w:r w:rsidRPr="007A2509">
              <w:rPr>
                <w:rFonts w:ascii="Times New Roman" w:hAnsi="Times New Roman"/>
                <w:bCs/>
                <w:color w:val="000000"/>
              </w:rPr>
              <w:t>M</w:t>
            </w:r>
            <w:r w:rsidR="00F93C56" w:rsidRPr="007A2509">
              <w:rPr>
                <w:rFonts w:ascii="Times New Roman" w:hAnsi="Times New Roman"/>
                <w:bCs/>
                <w:color w:val="000000"/>
              </w:rPr>
              <w:t>KiŚ</w:t>
            </w:r>
            <w:proofErr w:type="spellEnd"/>
            <w:r w:rsidR="00445441">
              <w:rPr>
                <w:rFonts w:ascii="Times New Roman" w:hAnsi="Times New Roman"/>
                <w:bCs/>
                <w:color w:val="000000"/>
              </w:rPr>
              <w:t>”</w:t>
            </w:r>
            <w:r w:rsidR="001D3B6C">
              <w:rPr>
                <w:rFonts w:ascii="Times New Roman" w:hAnsi="Times New Roman"/>
                <w:bCs/>
                <w:color w:val="000000"/>
              </w:rPr>
              <w:t>)</w:t>
            </w:r>
            <w:r w:rsidRPr="007A2509">
              <w:rPr>
                <w:rFonts w:ascii="Times New Roman" w:hAnsi="Times New Roman"/>
                <w:bCs/>
                <w:color w:val="000000"/>
              </w:rPr>
              <w:t xml:space="preserve"> dane oraz wnioski na temat uwzględniania przez inwestorów kwestii klimatycznych w</w:t>
            </w:r>
            <w:r w:rsidR="00F454EE">
              <w:rPr>
                <w:rFonts w:ascii="Times New Roman" w:hAnsi="Times New Roman"/>
                <w:bCs/>
                <w:color w:val="000000"/>
              </w:rPr>
              <w:t> </w:t>
            </w:r>
            <w:r w:rsidRPr="007A2509">
              <w:rPr>
                <w:rFonts w:ascii="Times New Roman" w:hAnsi="Times New Roman"/>
                <w:bCs/>
                <w:color w:val="000000"/>
              </w:rPr>
              <w:t xml:space="preserve">procesie </w:t>
            </w:r>
            <w:r w:rsidR="008E1F8B">
              <w:rPr>
                <w:rFonts w:ascii="Times New Roman" w:hAnsi="Times New Roman"/>
                <w:bCs/>
                <w:color w:val="000000"/>
              </w:rPr>
              <w:t>oceny oddziaływania na środowisko</w:t>
            </w:r>
            <w:r w:rsidR="008E1F8B" w:rsidRPr="007A2509">
              <w:rPr>
                <w:rFonts w:ascii="Times New Roman" w:hAnsi="Times New Roman"/>
                <w:bCs/>
                <w:color w:val="000000"/>
              </w:rPr>
              <w:t xml:space="preserve"> </w:t>
            </w:r>
            <w:r w:rsidRPr="007A2509">
              <w:rPr>
                <w:rFonts w:ascii="Times New Roman" w:hAnsi="Times New Roman"/>
                <w:bCs/>
                <w:color w:val="000000"/>
              </w:rPr>
              <w:t xml:space="preserve">pochodzą z następujących źródeł: </w:t>
            </w:r>
          </w:p>
          <w:p w14:paraId="37180F25" w14:textId="63F663B1" w:rsidR="00FD01D3" w:rsidRPr="007A2509" w:rsidRDefault="00A60C7C" w:rsidP="00D57256">
            <w:pPr>
              <w:spacing w:line="240" w:lineRule="auto"/>
              <w:ind w:left="202" w:hanging="164"/>
              <w:jc w:val="both"/>
              <w:rPr>
                <w:rFonts w:ascii="Times New Roman" w:hAnsi="Times New Roman"/>
                <w:bCs/>
                <w:color w:val="000000"/>
              </w:rPr>
            </w:pPr>
            <w:r>
              <w:rPr>
                <w:rFonts w:ascii="Times New Roman" w:hAnsi="Times New Roman"/>
                <w:bCs/>
                <w:color w:val="000000"/>
              </w:rPr>
              <w:t>−</w:t>
            </w:r>
            <w:r w:rsidR="003F0267" w:rsidRPr="007A2509">
              <w:rPr>
                <w:rFonts w:ascii="Times New Roman" w:hAnsi="Times New Roman"/>
                <w:bCs/>
                <w:color w:val="000000"/>
              </w:rPr>
              <w:t xml:space="preserve"> doświadczenia </w:t>
            </w:r>
            <w:proofErr w:type="spellStart"/>
            <w:r w:rsidR="00FD01D3" w:rsidRPr="007A2509">
              <w:rPr>
                <w:rFonts w:ascii="Times New Roman" w:hAnsi="Times New Roman"/>
                <w:bCs/>
                <w:color w:val="000000"/>
              </w:rPr>
              <w:t>MKiŚ</w:t>
            </w:r>
            <w:proofErr w:type="spellEnd"/>
            <w:r w:rsidR="00FD01D3" w:rsidRPr="007A2509">
              <w:rPr>
                <w:rFonts w:ascii="Times New Roman" w:hAnsi="Times New Roman"/>
                <w:bCs/>
                <w:color w:val="000000"/>
              </w:rPr>
              <w:t xml:space="preserve"> w pracach Grupy Roboczej Sieci Partnerstwo „Środowisko dla Rozwoju”</w:t>
            </w:r>
            <w:r w:rsidR="003F0267" w:rsidRPr="007A2509">
              <w:rPr>
                <w:rFonts w:ascii="Times New Roman" w:hAnsi="Times New Roman"/>
                <w:bCs/>
                <w:color w:val="000000"/>
              </w:rPr>
              <w:t>,</w:t>
            </w:r>
          </w:p>
          <w:p w14:paraId="3109E266" w14:textId="7B8AF436" w:rsidR="00FD01D3" w:rsidRPr="007A2509" w:rsidRDefault="00A60C7C" w:rsidP="009C0671">
            <w:pPr>
              <w:spacing w:line="240" w:lineRule="auto"/>
              <w:ind w:left="202" w:hanging="164"/>
              <w:jc w:val="both"/>
              <w:rPr>
                <w:rFonts w:ascii="Times New Roman" w:hAnsi="Times New Roman"/>
                <w:bCs/>
                <w:color w:val="000000"/>
              </w:rPr>
            </w:pPr>
            <w:r>
              <w:rPr>
                <w:rFonts w:ascii="Times New Roman" w:hAnsi="Times New Roman"/>
                <w:bCs/>
                <w:color w:val="000000"/>
              </w:rPr>
              <w:t>−</w:t>
            </w:r>
            <w:r w:rsidR="003F0267" w:rsidRPr="007A2509">
              <w:rPr>
                <w:rFonts w:ascii="Times New Roman" w:hAnsi="Times New Roman"/>
                <w:bCs/>
                <w:color w:val="000000"/>
              </w:rPr>
              <w:t xml:space="preserve"> wniosków </w:t>
            </w:r>
            <w:r w:rsidR="00FD01D3" w:rsidRPr="007A2509">
              <w:rPr>
                <w:rFonts w:ascii="Times New Roman" w:hAnsi="Times New Roman"/>
                <w:bCs/>
                <w:color w:val="000000"/>
              </w:rPr>
              <w:t xml:space="preserve">z kontroli systemowej przeprowadzonej przez </w:t>
            </w:r>
            <w:proofErr w:type="spellStart"/>
            <w:r w:rsidR="00FD01D3" w:rsidRPr="007A2509">
              <w:rPr>
                <w:rFonts w:ascii="Times New Roman" w:hAnsi="Times New Roman"/>
                <w:bCs/>
                <w:color w:val="000000"/>
              </w:rPr>
              <w:t>MK</w:t>
            </w:r>
            <w:r w:rsidR="006C7590" w:rsidRPr="007A2509">
              <w:rPr>
                <w:rFonts w:ascii="Times New Roman" w:hAnsi="Times New Roman"/>
                <w:bCs/>
                <w:color w:val="000000"/>
              </w:rPr>
              <w:t>i</w:t>
            </w:r>
            <w:r w:rsidR="00FD01D3" w:rsidRPr="007A2509">
              <w:rPr>
                <w:rFonts w:ascii="Times New Roman" w:hAnsi="Times New Roman"/>
                <w:bCs/>
                <w:color w:val="000000"/>
              </w:rPr>
              <w:t>Ś</w:t>
            </w:r>
            <w:proofErr w:type="spellEnd"/>
            <w:r w:rsidR="00FD01D3" w:rsidRPr="007A2509">
              <w:rPr>
                <w:rFonts w:ascii="Times New Roman" w:hAnsi="Times New Roman"/>
                <w:bCs/>
                <w:color w:val="000000"/>
              </w:rPr>
              <w:t xml:space="preserve"> w </w:t>
            </w:r>
            <w:r w:rsidR="00D75426" w:rsidRPr="007A2509">
              <w:rPr>
                <w:rFonts w:ascii="Times New Roman" w:hAnsi="Times New Roman"/>
                <w:bCs/>
                <w:color w:val="000000"/>
              </w:rPr>
              <w:t>NFOŚiGW</w:t>
            </w:r>
            <w:r w:rsidR="00B649EE" w:rsidRPr="007A2509">
              <w:rPr>
                <w:rFonts w:ascii="Times New Roman" w:hAnsi="Times New Roman"/>
                <w:bCs/>
                <w:color w:val="000000"/>
              </w:rPr>
              <w:t xml:space="preserve"> </w:t>
            </w:r>
            <w:r w:rsidR="00FD01D3" w:rsidRPr="007A2509">
              <w:rPr>
                <w:rFonts w:ascii="Times New Roman" w:hAnsi="Times New Roman"/>
                <w:bCs/>
                <w:color w:val="000000"/>
              </w:rPr>
              <w:t>od 29 listopada do 9 grudnia 2016 r. w zakresie dotyczącym weryfikacji przez NFOŚiGW dokumentacji aplikacyjnej na poziomie oceny merytorycznej II stopnia dla projektów działania 2.3. P</w:t>
            </w:r>
            <w:r w:rsidR="00D75426" w:rsidRPr="007A2509">
              <w:rPr>
                <w:rFonts w:ascii="Times New Roman" w:hAnsi="Times New Roman"/>
                <w:bCs/>
                <w:color w:val="000000"/>
              </w:rPr>
              <w:t xml:space="preserve">rogramu </w:t>
            </w:r>
            <w:r w:rsidR="00FD01D3" w:rsidRPr="007A2509">
              <w:rPr>
                <w:rFonts w:ascii="Times New Roman" w:hAnsi="Times New Roman"/>
                <w:bCs/>
                <w:color w:val="000000"/>
              </w:rPr>
              <w:t>O</w:t>
            </w:r>
            <w:r w:rsidR="00D75426" w:rsidRPr="007A2509">
              <w:rPr>
                <w:rFonts w:ascii="Times New Roman" w:hAnsi="Times New Roman"/>
                <w:bCs/>
                <w:color w:val="000000"/>
              </w:rPr>
              <w:t xml:space="preserve">peracyjnego </w:t>
            </w:r>
            <w:r w:rsidR="00FD01D3" w:rsidRPr="007A2509">
              <w:rPr>
                <w:rFonts w:ascii="Times New Roman" w:hAnsi="Times New Roman"/>
                <w:bCs/>
                <w:color w:val="000000"/>
              </w:rPr>
              <w:t>I</w:t>
            </w:r>
            <w:r w:rsidR="00D75426" w:rsidRPr="007A2509">
              <w:rPr>
                <w:rFonts w:ascii="Times New Roman" w:hAnsi="Times New Roman"/>
                <w:bCs/>
                <w:color w:val="000000"/>
              </w:rPr>
              <w:t xml:space="preserve">nfrastruktura </w:t>
            </w:r>
            <w:r w:rsidR="00FD01D3" w:rsidRPr="007A2509">
              <w:rPr>
                <w:rFonts w:ascii="Times New Roman" w:hAnsi="Times New Roman"/>
                <w:bCs/>
                <w:color w:val="000000"/>
              </w:rPr>
              <w:t>i</w:t>
            </w:r>
            <w:r w:rsidR="00D75426" w:rsidRPr="007A2509">
              <w:rPr>
                <w:rFonts w:ascii="Times New Roman" w:hAnsi="Times New Roman"/>
                <w:bCs/>
                <w:color w:val="000000"/>
              </w:rPr>
              <w:t xml:space="preserve"> </w:t>
            </w:r>
            <w:r w:rsidR="00FD01D3" w:rsidRPr="007A2509">
              <w:rPr>
                <w:rFonts w:ascii="Times New Roman" w:hAnsi="Times New Roman"/>
                <w:bCs/>
                <w:color w:val="000000"/>
              </w:rPr>
              <w:t>Ś</w:t>
            </w:r>
            <w:r w:rsidR="00D75426" w:rsidRPr="007A2509">
              <w:rPr>
                <w:rFonts w:ascii="Times New Roman" w:hAnsi="Times New Roman"/>
                <w:bCs/>
                <w:color w:val="000000"/>
              </w:rPr>
              <w:t>rodowisko 2014-2020</w:t>
            </w:r>
            <w:r w:rsidR="003F0267" w:rsidRPr="007A2509">
              <w:rPr>
                <w:rFonts w:ascii="Times New Roman" w:hAnsi="Times New Roman"/>
                <w:bCs/>
                <w:color w:val="000000"/>
              </w:rPr>
              <w:t>,</w:t>
            </w:r>
            <w:r w:rsidR="00FD01D3" w:rsidRPr="007A2509">
              <w:rPr>
                <w:rFonts w:ascii="Times New Roman" w:hAnsi="Times New Roman"/>
                <w:bCs/>
                <w:color w:val="000000"/>
              </w:rPr>
              <w:t xml:space="preserve"> </w:t>
            </w:r>
          </w:p>
          <w:p w14:paraId="08165CA6" w14:textId="17015720" w:rsidR="00405B80" w:rsidRPr="0034095C" w:rsidRDefault="00A60C7C" w:rsidP="00145F5E">
            <w:pPr>
              <w:spacing w:after="120" w:line="240" w:lineRule="auto"/>
              <w:ind w:left="204" w:hanging="164"/>
              <w:jc w:val="both"/>
              <w:rPr>
                <w:rFonts w:ascii="Times New Roman" w:hAnsi="Times New Roman"/>
                <w:bCs/>
                <w:color w:val="000000"/>
              </w:rPr>
            </w:pPr>
            <w:r>
              <w:rPr>
                <w:rFonts w:ascii="Times New Roman" w:hAnsi="Times New Roman"/>
                <w:bCs/>
                <w:color w:val="000000"/>
              </w:rPr>
              <w:t>−</w:t>
            </w:r>
            <w:r w:rsidR="003F0267" w:rsidRPr="007A2509">
              <w:rPr>
                <w:rFonts w:ascii="Times New Roman" w:hAnsi="Times New Roman"/>
                <w:bCs/>
                <w:color w:val="000000"/>
              </w:rPr>
              <w:t xml:space="preserve"> wniosków </w:t>
            </w:r>
            <w:r w:rsidR="00FD01D3" w:rsidRPr="007A2509">
              <w:rPr>
                <w:rFonts w:ascii="Times New Roman" w:hAnsi="Times New Roman"/>
                <w:bCs/>
                <w:color w:val="000000"/>
              </w:rPr>
              <w:t>z Raportu końcowego dla analizy pn. „Uwzględnianie w projektach realizowanych w Programie Operacyjnym Infrastruktura i Środowisko 2014-2020</w:t>
            </w:r>
            <w:r w:rsidR="00C0646A" w:rsidRPr="007A2509">
              <w:rPr>
                <w:rFonts w:ascii="Times New Roman" w:hAnsi="Times New Roman"/>
                <w:bCs/>
                <w:color w:val="000000"/>
              </w:rPr>
              <w:t xml:space="preserve"> </w:t>
            </w:r>
            <w:r w:rsidR="00FD01D3" w:rsidRPr="007A2509">
              <w:rPr>
                <w:rFonts w:ascii="Times New Roman" w:hAnsi="Times New Roman"/>
                <w:bCs/>
                <w:color w:val="000000"/>
              </w:rPr>
              <w:t>aspektów adaptacji do zmian klimatu, łagodzenia zmian klimatu i</w:t>
            </w:r>
            <w:r w:rsidR="00D75426" w:rsidRPr="007A2509">
              <w:rPr>
                <w:rFonts w:ascii="Times New Roman" w:hAnsi="Times New Roman"/>
                <w:bCs/>
                <w:color w:val="000000"/>
              </w:rPr>
              <w:t> </w:t>
            </w:r>
            <w:r w:rsidR="00FD01D3" w:rsidRPr="007A2509">
              <w:rPr>
                <w:rFonts w:ascii="Times New Roman" w:hAnsi="Times New Roman"/>
                <w:bCs/>
                <w:color w:val="000000"/>
              </w:rPr>
              <w:t>zwiększania odporności inwestycji na skutki tych zmian i zagrożenia klęskami żywiołowymi lub katastrofami naturalnymi” (</w:t>
            </w:r>
            <w:proofErr w:type="spellStart"/>
            <w:r w:rsidR="00FD01D3" w:rsidRPr="007A2509">
              <w:rPr>
                <w:rFonts w:ascii="Times New Roman" w:hAnsi="Times New Roman"/>
                <w:bCs/>
                <w:color w:val="000000"/>
              </w:rPr>
              <w:t>Fundeko</w:t>
            </w:r>
            <w:proofErr w:type="spellEnd"/>
            <w:r w:rsidR="00FD01D3" w:rsidRPr="007A2509">
              <w:rPr>
                <w:rFonts w:ascii="Times New Roman" w:hAnsi="Times New Roman"/>
                <w:bCs/>
                <w:color w:val="000000"/>
              </w:rPr>
              <w:t>, 2019).</w:t>
            </w:r>
            <w:r w:rsidR="00663EC1" w:rsidRPr="007A2509">
              <w:rPr>
                <w:rFonts w:ascii="Times New Roman" w:hAnsi="Times New Roman"/>
                <w:bCs/>
                <w:color w:val="000000"/>
              </w:rPr>
              <w:t xml:space="preserve"> </w:t>
            </w:r>
          </w:p>
          <w:p w14:paraId="6A588403" w14:textId="50605A0B" w:rsidR="00B95B07" w:rsidRPr="00E55CB1" w:rsidRDefault="00B95B07" w:rsidP="00E55CB1">
            <w:pPr>
              <w:pStyle w:val="Akapitzlist"/>
              <w:numPr>
                <w:ilvl w:val="0"/>
                <w:numId w:val="53"/>
              </w:numPr>
              <w:spacing w:before="120" w:line="240" w:lineRule="auto"/>
              <w:jc w:val="both"/>
              <w:rPr>
                <w:rFonts w:ascii="Times New Roman" w:hAnsi="Times New Roman"/>
                <w:b/>
                <w:color w:val="000000"/>
                <w:u w:val="single"/>
              </w:rPr>
            </w:pPr>
            <w:bookmarkStart w:id="14" w:name="_Hlk157678168"/>
            <w:r w:rsidRPr="00E55CB1">
              <w:rPr>
                <w:rFonts w:ascii="Times New Roman" w:hAnsi="Times New Roman"/>
                <w:b/>
                <w:color w:val="000000"/>
                <w:u w:val="single"/>
              </w:rPr>
              <w:t>Zmiana terminu opracowania aktualizacji programów ochrony powietrza</w:t>
            </w:r>
            <w:bookmarkEnd w:id="14"/>
          </w:p>
          <w:p w14:paraId="60CD4832" w14:textId="77777777" w:rsidR="00B95B07" w:rsidRPr="00AB21E9" w:rsidRDefault="0082490D" w:rsidP="00AB21E9">
            <w:pPr>
              <w:spacing w:after="120" w:line="240" w:lineRule="auto"/>
              <w:ind w:left="34"/>
              <w:jc w:val="both"/>
              <w:rPr>
                <w:rFonts w:ascii="Times New Roman" w:hAnsi="Times New Roman"/>
                <w:bCs/>
                <w:color w:val="000000"/>
              </w:rPr>
            </w:pPr>
            <w:r>
              <w:rPr>
                <w:rFonts w:ascii="Times New Roman" w:hAnsi="Times New Roman"/>
                <w:bCs/>
                <w:color w:val="000000"/>
              </w:rPr>
              <w:t>P</w:t>
            </w:r>
            <w:r w:rsidRPr="00AB21E9">
              <w:rPr>
                <w:rFonts w:ascii="Times New Roman" w:hAnsi="Times New Roman"/>
                <w:bCs/>
                <w:color w:val="000000"/>
              </w:rPr>
              <w:t xml:space="preserve">rzepisy </w:t>
            </w:r>
            <w:r w:rsidR="00B95B07" w:rsidRPr="00AB21E9">
              <w:rPr>
                <w:rFonts w:ascii="Times New Roman" w:hAnsi="Times New Roman"/>
                <w:bCs/>
                <w:color w:val="000000"/>
              </w:rPr>
              <w:t xml:space="preserve">art. 91 ust. 9c </w:t>
            </w:r>
            <w:proofErr w:type="spellStart"/>
            <w:r>
              <w:rPr>
                <w:rFonts w:ascii="Times New Roman" w:hAnsi="Times New Roman"/>
                <w:bCs/>
                <w:color w:val="000000"/>
              </w:rPr>
              <w:t>uPoś</w:t>
            </w:r>
            <w:proofErr w:type="spellEnd"/>
            <w:r w:rsidR="00B95B07" w:rsidRPr="00AB21E9">
              <w:rPr>
                <w:rFonts w:ascii="Times New Roman" w:hAnsi="Times New Roman"/>
                <w:bCs/>
                <w:color w:val="000000"/>
              </w:rPr>
              <w:t xml:space="preserve"> stanowią, że zarząd województwa ma obowiązek opracowania projektu aktualizacji programu ochrony powietrza w terminie 3 lat od daty wejścia w życie uchwały sejmiku województwa. W związku z</w:t>
            </w:r>
            <w:r w:rsidR="00F920CE">
              <w:rPr>
                <w:rFonts w:ascii="Times New Roman" w:hAnsi="Times New Roman"/>
                <w:bCs/>
                <w:color w:val="000000"/>
              </w:rPr>
              <w:t>e</w:t>
            </w:r>
            <w:r w:rsidR="00B95B07" w:rsidRPr="00AB21E9">
              <w:rPr>
                <w:rFonts w:ascii="Times New Roman" w:hAnsi="Times New Roman"/>
                <w:bCs/>
                <w:color w:val="000000"/>
              </w:rPr>
              <w:t xml:space="preserve"> zbyt krótkim terminem na podjęcie realizacji działań naprawczych wynikających </w:t>
            </w:r>
            <w:r w:rsidR="00AB21E9">
              <w:rPr>
                <w:rFonts w:ascii="Times New Roman" w:hAnsi="Times New Roman"/>
                <w:bCs/>
                <w:color w:val="000000"/>
              </w:rPr>
              <w:t xml:space="preserve">z </w:t>
            </w:r>
            <w:r w:rsidR="00B95B07" w:rsidRPr="00AB21E9">
              <w:rPr>
                <w:rFonts w:ascii="Times New Roman" w:hAnsi="Times New Roman"/>
                <w:bCs/>
                <w:color w:val="000000"/>
              </w:rPr>
              <w:t xml:space="preserve">programów ochrony powietrza, </w:t>
            </w:r>
            <w:bookmarkStart w:id="15" w:name="_Hlk157678192"/>
            <w:r w:rsidR="00B95B07" w:rsidRPr="00AB21E9">
              <w:rPr>
                <w:rFonts w:ascii="Times New Roman" w:hAnsi="Times New Roman"/>
                <w:bCs/>
                <w:color w:val="000000"/>
              </w:rPr>
              <w:t>zarządy województw zgłaszają problem z wykazaniem osiągniętych efektów rzeczowych i ekologicznych</w:t>
            </w:r>
            <w:bookmarkEnd w:id="15"/>
            <w:r w:rsidR="00B95B07" w:rsidRPr="00AB21E9">
              <w:rPr>
                <w:rFonts w:ascii="Times New Roman" w:hAnsi="Times New Roman"/>
                <w:bCs/>
                <w:color w:val="000000"/>
              </w:rPr>
              <w:t>. Koniecznym jest zatem wydłużenie okresu na realizację działań naprawczych</w:t>
            </w:r>
            <w:r w:rsidR="00F920CE">
              <w:rPr>
                <w:rFonts w:ascii="Times New Roman" w:hAnsi="Times New Roman"/>
                <w:bCs/>
                <w:color w:val="000000"/>
              </w:rPr>
              <w:t xml:space="preserve"> określonych w tych w programach</w:t>
            </w:r>
            <w:r w:rsidR="00B95B07" w:rsidRPr="00AB21E9">
              <w:rPr>
                <w:rFonts w:ascii="Times New Roman" w:hAnsi="Times New Roman"/>
                <w:bCs/>
                <w:color w:val="000000"/>
              </w:rPr>
              <w:t>, tak aby możliwa była realna ocena efektów rzeczowych i ekologicznych ich podjęcia</w:t>
            </w:r>
            <w:r w:rsidR="00F920CE">
              <w:rPr>
                <w:rFonts w:ascii="Times New Roman" w:hAnsi="Times New Roman"/>
                <w:bCs/>
                <w:color w:val="000000"/>
              </w:rPr>
              <w:t>, i dopiero na podstawie wyników tej oceny, podjęcie decyzji co do zasadności przygotowania aktualizacji programu ochrony powietrza</w:t>
            </w:r>
            <w:r w:rsidR="00B95B07" w:rsidRPr="00AB21E9">
              <w:rPr>
                <w:rFonts w:ascii="Times New Roman" w:hAnsi="Times New Roman"/>
                <w:bCs/>
                <w:color w:val="000000"/>
              </w:rPr>
              <w:t xml:space="preserve">. </w:t>
            </w:r>
          </w:p>
          <w:p w14:paraId="3E578F97" w14:textId="516DEA9A" w:rsidR="00B95B07" w:rsidRPr="00E55CB1" w:rsidRDefault="00B95B07" w:rsidP="00E55CB1">
            <w:pPr>
              <w:pStyle w:val="Akapitzlist"/>
              <w:numPr>
                <w:ilvl w:val="0"/>
                <w:numId w:val="53"/>
              </w:numPr>
              <w:spacing w:before="120" w:line="240" w:lineRule="auto"/>
              <w:jc w:val="both"/>
              <w:rPr>
                <w:rFonts w:ascii="Times New Roman" w:hAnsi="Times New Roman"/>
                <w:b/>
                <w:color w:val="000000"/>
                <w:u w:val="single"/>
              </w:rPr>
            </w:pPr>
            <w:bookmarkStart w:id="16" w:name="_Hlk157678202"/>
            <w:r w:rsidRPr="00E55CB1">
              <w:rPr>
                <w:rFonts w:ascii="Times New Roman" w:hAnsi="Times New Roman"/>
                <w:b/>
                <w:color w:val="000000"/>
                <w:u w:val="single"/>
              </w:rPr>
              <w:t>Brak możliwości wydawania zaświadczeń przez gminę w ramach Programu Priorytetowego „Czyste Powietrze” dla gospodarstw rolnych w okresie od dnia 1 sierpnia do dnia ogłoszenia w Dzienniku Urzędowym Rzeczypospolitej Polskiej „Monitor Polski” przez Prezesa Głównego Urzędu Statystycznego przeciętnego dochodu z pracy w indywidualnych gospodarstwach rolnych z 1 ha przeliczeniowego</w:t>
            </w:r>
            <w:bookmarkEnd w:id="16"/>
          </w:p>
          <w:p w14:paraId="00FDD3EC" w14:textId="38CA5E4F" w:rsidR="0082490D" w:rsidRDefault="0082490D" w:rsidP="00145F5E">
            <w:pPr>
              <w:spacing w:after="120" w:line="240" w:lineRule="auto"/>
              <w:jc w:val="both"/>
              <w:rPr>
                <w:rFonts w:ascii="Times New Roman" w:hAnsi="Times New Roman"/>
                <w:bCs/>
                <w:color w:val="000000"/>
              </w:rPr>
            </w:pPr>
            <w:r>
              <w:rPr>
                <w:rFonts w:ascii="Times New Roman" w:hAnsi="Times New Roman"/>
                <w:bCs/>
                <w:color w:val="000000"/>
              </w:rPr>
              <w:t>P</w:t>
            </w:r>
            <w:r w:rsidRPr="00AB21E9">
              <w:rPr>
                <w:rFonts w:ascii="Times New Roman" w:hAnsi="Times New Roman"/>
                <w:bCs/>
                <w:color w:val="000000"/>
              </w:rPr>
              <w:t xml:space="preserve">rzepisy </w:t>
            </w:r>
            <w:r w:rsidR="00B95B07" w:rsidRPr="00AB21E9">
              <w:rPr>
                <w:rFonts w:ascii="Times New Roman" w:hAnsi="Times New Roman"/>
                <w:bCs/>
                <w:color w:val="000000"/>
              </w:rPr>
              <w:t>art. 411 ust. 10k pkt 2</w:t>
            </w:r>
            <w:r>
              <w:rPr>
                <w:rFonts w:ascii="Times New Roman" w:hAnsi="Times New Roman"/>
                <w:bCs/>
                <w:color w:val="000000"/>
              </w:rPr>
              <w:t xml:space="preserve"> </w:t>
            </w:r>
            <w:proofErr w:type="spellStart"/>
            <w:r>
              <w:rPr>
                <w:rFonts w:ascii="Times New Roman" w:hAnsi="Times New Roman"/>
                <w:bCs/>
                <w:color w:val="000000"/>
              </w:rPr>
              <w:t>uPoś</w:t>
            </w:r>
            <w:proofErr w:type="spellEnd"/>
            <w:r w:rsidR="00B95B07" w:rsidRPr="00AB21E9">
              <w:rPr>
                <w:rFonts w:ascii="Times New Roman" w:hAnsi="Times New Roman"/>
                <w:bCs/>
                <w:color w:val="000000"/>
              </w:rPr>
              <w:t xml:space="preserve"> wskazują, że wysokość przeciętnego miesięcznego dochodu, o którym mowa w ust. 10g, ustalana jest na podstawie dochodów osiągniętych w ostatnim roku kalendarzowym poprzedzającym rok, w którym złożono żądanie wydania zaświadczenia, o którym mowa w ust. 10g – w przypadku żądania złożonego w okresie od dnia 1 sierpnia do dnia 31 grudnia. W przypadku gospodarstw rolnych</w:t>
            </w:r>
            <w:r w:rsidR="00AB21E9">
              <w:rPr>
                <w:rFonts w:ascii="Times New Roman" w:hAnsi="Times New Roman"/>
                <w:bCs/>
                <w:color w:val="000000"/>
              </w:rPr>
              <w:t>,</w:t>
            </w:r>
            <w:r w:rsidR="00B95B07" w:rsidRPr="00AB21E9">
              <w:rPr>
                <w:rFonts w:ascii="Times New Roman" w:hAnsi="Times New Roman"/>
                <w:bCs/>
                <w:color w:val="000000"/>
              </w:rPr>
              <w:t xml:space="preserve"> gdzie dochód </w:t>
            </w:r>
            <w:r w:rsidR="00356A15" w:rsidRPr="00AB21E9">
              <w:rPr>
                <w:rFonts w:ascii="Times New Roman" w:hAnsi="Times New Roman"/>
                <w:bCs/>
                <w:color w:val="000000"/>
              </w:rPr>
              <w:t xml:space="preserve">jest </w:t>
            </w:r>
            <w:r w:rsidR="00B95B07" w:rsidRPr="00AB21E9">
              <w:rPr>
                <w:rFonts w:ascii="Times New Roman" w:hAnsi="Times New Roman"/>
                <w:bCs/>
                <w:color w:val="000000"/>
              </w:rPr>
              <w:t xml:space="preserve">ustalany w oparciu o przeciętny dochód z pracy w indywidualnych gospodarstwach rolnych z 1ha przeliczeniowego ogłaszany w Dzienniku Urzędowym Rzeczypospolitej Polskiej „Monitor Polski” przez Prezesa Głównego Urzędu Statystycznego we wrześniu, </w:t>
            </w:r>
            <w:bookmarkStart w:id="17" w:name="_Hlk157678214"/>
            <w:r w:rsidR="00B95B07" w:rsidRPr="00AB21E9">
              <w:rPr>
                <w:rFonts w:ascii="Times New Roman" w:hAnsi="Times New Roman"/>
                <w:bCs/>
                <w:color w:val="000000"/>
              </w:rPr>
              <w:t>brak jest możliwości w aktualn</w:t>
            </w:r>
            <w:r w:rsidR="00AB21E9">
              <w:rPr>
                <w:rFonts w:ascii="Times New Roman" w:hAnsi="Times New Roman"/>
                <w:bCs/>
                <w:color w:val="000000"/>
              </w:rPr>
              <w:t>ym</w:t>
            </w:r>
            <w:r w:rsidR="00B95B07" w:rsidRPr="00AB21E9">
              <w:rPr>
                <w:rFonts w:ascii="Times New Roman" w:hAnsi="Times New Roman"/>
                <w:bCs/>
                <w:color w:val="000000"/>
              </w:rPr>
              <w:t xml:space="preserve"> stanie prawnym </w:t>
            </w:r>
            <w:r w:rsidR="005E5BEF" w:rsidRPr="00AB21E9">
              <w:rPr>
                <w:rFonts w:ascii="Times New Roman" w:hAnsi="Times New Roman"/>
                <w:bCs/>
                <w:color w:val="000000"/>
              </w:rPr>
              <w:t>wydani</w:t>
            </w:r>
            <w:r w:rsidR="005E5BEF">
              <w:rPr>
                <w:rFonts w:ascii="Times New Roman" w:hAnsi="Times New Roman"/>
                <w:bCs/>
                <w:color w:val="000000"/>
              </w:rPr>
              <w:t>a</w:t>
            </w:r>
            <w:r w:rsidR="005E5BEF" w:rsidRPr="00AB21E9">
              <w:rPr>
                <w:rFonts w:ascii="Times New Roman" w:hAnsi="Times New Roman"/>
                <w:bCs/>
                <w:color w:val="000000"/>
              </w:rPr>
              <w:t xml:space="preserve"> </w:t>
            </w:r>
            <w:r w:rsidR="00B95B07" w:rsidRPr="00AB21E9">
              <w:rPr>
                <w:rFonts w:ascii="Times New Roman" w:hAnsi="Times New Roman"/>
                <w:bCs/>
                <w:color w:val="000000"/>
              </w:rPr>
              <w:t xml:space="preserve">zaświadczenia w okresie od </w:t>
            </w:r>
            <w:r w:rsidR="00356A15">
              <w:rPr>
                <w:rFonts w:ascii="Times New Roman" w:hAnsi="Times New Roman"/>
                <w:bCs/>
                <w:color w:val="000000"/>
              </w:rPr>
              <w:t xml:space="preserve">dnia </w:t>
            </w:r>
            <w:r w:rsidR="00B95B07" w:rsidRPr="00AB21E9">
              <w:rPr>
                <w:rFonts w:ascii="Times New Roman" w:hAnsi="Times New Roman"/>
                <w:bCs/>
                <w:color w:val="000000"/>
              </w:rPr>
              <w:t xml:space="preserve">1 sierpnia do dnia </w:t>
            </w:r>
            <w:r w:rsidR="005E5BEF">
              <w:rPr>
                <w:rFonts w:ascii="Times New Roman" w:hAnsi="Times New Roman"/>
                <w:bCs/>
                <w:color w:val="000000"/>
              </w:rPr>
              <w:t xml:space="preserve">ww. </w:t>
            </w:r>
            <w:r w:rsidR="00B95B07" w:rsidRPr="00AB21E9">
              <w:rPr>
                <w:rFonts w:ascii="Times New Roman" w:hAnsi="Times New Roman"/>
                <w:bCs/>
                <w:color w:val="000000"/>
              </w:rPr>
              <w:t>publikacji</w:t>
            </w:r>
            <w:bookmarkEnd w:id="17"/>
            <w:r w:rsidR="00B95B07" w:rsidRPr="00AB21E9">
              <w:rPr>
                <w:rFonts w:ascii="Times New Roman" w:hAnsi="Times New Roman"/>
                <w:bCs/>
                <w:color w:val="000000"/>
              </w:rPr>
              <w:t>.</w:t>
            </w:r>
          </w:p>
          <w:p w14:paraId="24B7ADCC" w14:textId="79E2B91F" w:rsidR="00E855C1" w:rsidRPr="00E55CB1" w:rsidRDefault="00E855C1" w:rsidP="00E55CB1">
            <w:pPr>
              <w:pStyle w:val="Akapitzlist"/>
              <w:numPr>
                <w:ilvl w:val="0"/>
                <w:numId w:val="53"/>
              </w:numPr>
              <w:spacing w:line="240" w:lineRule="auto"/>
              <w:jc w:val="both"/>
              <w:rPr>
                <w:rFonts w:ascii="Times New Roman" w:hAnsi="Times New Roman"/>
                <w:b/>
                <w:bCs/>
                <w:color w:val="000000"/>
                <w:u w:val="single"/>
              </w:rPr>
            </w:pPr>
            <w:bookmarkStart w:id="18" w:name="_Hlk157678221"/>
            <w:r w:rsidRPr="00E55CB1">
              <w:rPr>
                <w:rFonts w:ascii="Times New Roman" w:hAnsi="Times New Roman"/>
                <w:b/>
                <w:bCs/>
                <w:color w:val="000000"/>
                <w:u w:val="single"/>
              </w:rPr>
              <w:t>Usprawnienie działania Programu „Stop Smog”</w:t>
            </w:r>
            <w:bookmarkEnd w:id="18"/>
          </w:p>
          <w:p w14:paraId="35933344" w14:textId="77777777" w:rsidR="00E855C1" w:rsidRDefault="00E855C1" w:rsidP="00E855C1">
            <w:pPr>
              <w:spacing w:line="240" w:lineRule="auto"/>
              <w:jc w:val="both"/>
              <w:rPr>
                <w:rFonts w:ascii="Times New Roman" w:hAnsi="Times New Roman"/>
                <w:bCs/>
                <w:color w:val="000000"/>
              </w:rPr>
            </w:pPr>
            <w:r>
              <w:rPr>
                <w:rFonts w:ascii="Times New Roman" w:hAnsi="Times New Roman"/>
                <w:bCs/>
                <w:color w:val="000000"/>
              </w:rPr>
              <w:t>Analizując uwagi zgłaszane przez gminy biorące udział w Programie „Stop Smog”</w:t>
            </w:r>
            <w:r w:rsidR="00AB21E9">
              <w:rPr>
                <w:rFonts w:ascii="Times New Roman" w:hAnsi="Times New Roman"/>
                <w:bCs/>
                <w:color w:val="000000"/>
              </w:rPr>
              <w:t>,</w:t>
            </w:r>
            <w:r>
              <w:rPr>
                <w:rFonts w:ascii="Times New Roman" w:hAnsi="Times New Roman"/>
                <w:bCs/>
                <w:color w:val="000000"/>
              </w:rPr>
              <w:t xml:space="preserve"> jak również biorąc pod uwagę robocze kontakty z gminami potencjalnie zainteresowanymi udziałem w Programie</w:t>
            </w:r>
            <w:r w:rsidR="00AB21E9">
              <w:rPr>
                <w:rFonts w:ascii="Times New Roman" w:hAnsi="Times New Roman"/>
                <w:bCs/>
                <w:color w:val="000000"/>
              </w:rPr>
              <w:t>,</w:t>
            </w:r>
            <w:r>
              <w:rPr>
                <w:rFonts w:ascii="Times New Roman" w:hAnsi="Times New Roman"/>
                <w:bCs/>
                <w:color w:val="000000"/>
              </w:rPr>
              <w:t xml:space="preserve"> można wyróżnić 3 główne problemy wskazywane przez gminy:</w:t>
            </w:r>
          </w:p>
          <w:p w14:paraId="6B2299F8" w14:textId="70133D44" w:rsidR="00E855C1" w:rsidRPr="002A0C6A" w:rsidRDefault="00E855C1" w:rsidP="006C3914">
            <w:pPr>
              <w:numPr>
                <w:ilvl w:val="0"/>
                <w:numId w:val="11"/>
              </w:numPr>
              <w:spacing w:line="240" w:lineRule="auto"/>
              <w:ind w:left="346" w:hanging="284"/>
              <w:jc w:val="both"/>
              <w:rPr>
                <w:rFonts w:ascii="Times New Roman" w:hAnsi="Times New Roman"/>
                <w:bCs/>
                <w:color w:val="000000"/>
              </w:rPr>
            </w:pPr>
            <w:r w:rsidRPr="002B366B">
              <w:rPr>
                <w:rFonts w:ascii="Times New Roman" w:hAnsi="Times New Roman"/>
                <w:bCs/>
                <w:color w:val="000000"/>
              </w:rPr>
              <w:t>zbyt niska wysokość dofinansowania na przedsięwzięcia niskoemisyjne</w:t>
            </w:r>
            <w:r w:rsidR="00AB21E9">
              <w:rPr>
                <w:rFonts w:ascii="Times New Roman" w:hAnsi="Times New Roman"/>
                <w:bCs/>
                <w:color w:val="000000"/>
              </w:rPr>
              <w:t>,</w:t>
            </w:r>
            <w:r w:rsidRPr="002A0C6A">
              <w:rPr>
                <w:rFonts w:ascii="Times New Roman" w:hAnsi="Times New Roman"/>
                <w:bCs/>
                <w:color w:val="000000"/>
              </w:rPr>
              <w:t xml:space="preserve"> wskazana w ustawie – na poziomie 53 000 zł</w:t>
            </w:r>
            <w:r w:rsidR="00AB21E9">
              <w:rPr>
                <w:rFonts w:ascii="Times New Roman" w:hAnsi="Times New Roman"/>
                <w:bCs/>
                <w:color w:val="000000"/>
              </w:rPr>
              <w:t>;</w:t>
            </w:r>
          </w:p>
          <w:p w14:paraId="2979B495" w14:textId="5E525D56" w:rsidR="00E855C1" w:rsidRPr="00974491" w:rsidRDefault="00944277" w:rsidP="006C3914">
            <w:pPr>
              <w:numPr>
                <w:ilvl w:val="0"/>
                <w:numId w:val="11"/>
              </w:numPr>
              <w:spacing w:line="240" w:lineRule="auto"/>
              <w:ind w:left="346" w:hanging="284"/>
              <w:jc w:val="both"/>
              <w:rPr>
                <w:rFonts w:ascii="Times New Roman" w:hAnsi="Times New Roman"/>
                <w:bCs/>
                <w:color w:val="000000"/>
              </w:rPr>
            </w:pPr>
            <w:r>
              <w:rPr>
                <w:rFonts w:ascii="Times New Roman" w:hAnsi="Times New Roman"/>
                <w:bCs/>
                <w:color w:val="000000"/>
              </w:rPr>
              <w:t xml:space="preserve">potrzeba </w:t>
            </w:r>
            <w:r w:rsidR="00E855C1" w:rsidRPr="0062129F">
              <w:rPr>
                <w:rFonts w:ascii="Times New Roman" w:hAnsi="Times New Roman"/>
                <w:bCs/>
                <w:color w:val="000000"/>
              </w:rPr>
              <w:t>zwiększeni</w:t>
            </w:r>
            <w:r>
              <w:rPr>
                <w:rFonts w:ascii="Times New Roman" w:hAnsi="Times New Roman"/>
                <w:bCs/>
                <w:color w:val="000000"/>
              </w:rPr>
              <w:t>a</w:t>
            </w:r>
            <w:r w:rsidR="00E855C1" w:rsidRPr="0062129F">
              <w:rPr>
                <w:rFonts w:ascii="Times New Roman" w:hAnsi="Times New Roman"/>
                <w:bCs/>
                <w:color w:val="000000"/>
              </w:rPr>
              <w:t xml:space="preserve"> finansowania przedsięwzięć</w:t>
            </w:r>
            <w:r w:rsidR="00E855C1" w:rsidRPr="00CF3572">
              <w:rPr>
                <w:rFonts w:ascii="Times New Roman" w:hAnsi="Times New Roman"/>
                <w:bCs/>
                <w:color w:val="000000"/>
              </w:rPr>
              <w:t xml:space="preserve"> niskoemisyjnych ze środków Funduszu Termomodernizacji i</w:t>
            </w:r>
            <w:r w:rsidR="00774F09">
              <w:rPr>
                <w:rFonts w:ascii="Times New Roman" w:hAnsi="Times New Roman"/>
                <w:bCs/>
                <w:color w:val="000000"/>
              </w:rPr>
              <w:t> </w:t>
            </w:r>
            <w:r w:rsidR="00E855C1" w:rsidRPr="00CF3572">
              <w:rPr>
                <w:rFonts w:ascii="Times New Roman" w:hAnsi="Times New Roman"/>
                <w:bCs/>
                <w:color w:val="000000"/>
              </w:rPr>
              <w:t xml:space="preserve">Remontów przy jednoczesnym zmniejszeniu </w:t>
            </w:r>
            <w:r w:rsidR="00E855C1" w:rsidRPr="00A24224">
              <w:rPr>
                <w:rFonts w:ascii="Times New Roman" w:hAnsi="Times New Roman"/>
                <w:bCs/>
                <w:color w:val="000000"/>
              </w:rPr>
              <w:t>wkład</w:t>
            </w:r>
            <w:r w:rsidR="00E855C1" w:rsidRPr="00974491">
              <w:rPr>
                <w:rFonts w:ascii="Times New Roman" w:hAnsi="Times New Roman"/>
                <w:bCs/>
                <w:color w:val="000000"/>
              </w:rPr>
              <w:t>u własnego gminy</w:t>
            </w:r>
            <w:r w:rsidR="00AB21E9">
              <w:rPr>
                <w:rFonts w:ascii="Times New Roman" w:hAnsi="Times New Roman"/>
                <w:bCs/>
                <w:color w:val="000000"/>
              </w:rPr>
              <w:t>;</w:t>
            </w:r>
          </w:p>
          <w:p w14:paraId="3D118AC6" w14:textId="46DD18F7" w:rsidR="00E855C1" w:rsidRPr="00B649EE" w:rsidRDefault="00944277" w:rsidP="006C3914">
            <w:pPr>
              <w:numPr>
                <w:ilvl w:val="0"/>
                <w:numId w:val="11"/>
              </w:numPr>
              <w:spacing w:line="240" w:lineRule="auto"/>
              <w:ind w:left="346" w:hanging="284"/>
              <w:jc w:val="both"/>
              <w:rPr>
                <w:rFonts w:ascii="Times New Roman" w:hAnsi="Times New Roman"/>
                <w:bCs/>
                <w:color w:val="000000"/>
              </w:rPr>
            </w:pPr>
            <w:r>
              <w:rPr>
                <w:rFonts w:ascii="Times New Roman" w:hAnsi="Times New Roman"/>
                <w:bCs/>
                <w:color w:val="000000"/>
              </w:rPr>
              <w:t xml:space="preserve">potrzeba </w:t>
            </w:r>
            <w:r w:rsidR="00E855C1" w:rsidRPr="00273776">
              <w:rPr>
                <w:rFonts w:ascii="Times New Roman" w:hAnsi="Times New Roman"/>
                <w:bCs/>
                <w:color w:val="000000"/>
              </w:rPr>
              <w:t>zlikwidowani</w:t>
            </w:r>
            <w:r>
              <w:rPr>
                <w:rFonts w:ascii="Times New Roman" w:hAnsi="Times New Roman"/>
                <w:bCs/>
                <w:color w:val="000000"/>
              </w:rPr>
              <w:t>a</w:t>
            </w:r>
            <w:r w:rsidR="00E855C1" w:rsidRPr="00273776">
              <w:rPr>
                <w:rFonts w:ascii="Times New Roman" w:hAnsi="Times New Roman"/>
                <w:bCs/>
                <w:color w:val="000000"/>
              </w:rPr>
              <w:t xml:space="preserve"> </w:t>
            </w:r>
            <w:r w:rsidR="00E855C1" w:rsidRPr="000F6514">
              <w:rPr>
                <w:rFonts w:ascii="Times New Roman" w:hAnsi="Times New Roman"/>
              </w:rPr>
              <w:t>kryterium majątkowe</w:t>
            </w:r>
            <w:r w:rsidR="00D17693" w:rsidRPr="000F6514">
              <w:rPr>
                <w:rFonts w:ascii="Times New Roman" w:hAnsi="Times New Roman"/>
              </w:rPr>
              <w:t>go</w:t>
            </w:r>
            <w:r w:rsidR="00E855C1" w:rsidRPr="000F6514">
              <w:rPr>
                <w:rFonts w:ascii="Times New Roman" w:hAnsi="Times New Roman"/>
              </w:rPr>
              <w:t xml:space="preserve"> beneficjenta końcowego i pozostawienie jedynie kryterium dochodowego.</w:t>
            </w:r>
          </w:p>
          <w:p w14:paraId="6505B52E" w14:textId="77777777" w:rsidR="00AB21E9" w:rsidRDefault="00E855C1" w:rsidP="00CD7F58">
            <w:pPr>
              <w:spacing w:line="240" w:lineRule="auto"/>
              <w:jc w:val="both"/>
              <w:rPr>
                <w:rFonts w:ascii="Times New Roman" w:hAnsi="Times New Roman"/>
                <w:bCs/>
                <w:color w:val="000000"/>
              </w:rPr>
            </w:pPr>
            <w:r w:rsidRPr="002A0C6A">
              <w:rPr>
                <w:rFonts w:ascii="Times New Roman" w:hAnsi="Times New Roman"/>
                <w:bCs/>
                <w:color w:val="000000"/>
              </w:rPr>
              <w:lastRenderedPageBreak/>
              <w:t xml:space="preserve">Zmiana powyższych kwestii jest kluczowa dla dalszego rozwoju Programu </w:t>
            </w:r>
            <w:r w:rsidRPr="009C490D">
              <w:rPr>
                <w:rFonts w:ascii="Times New Roman" w:hAnsi="Times New Roman"/>
                <w:bCs/>
                <w:color w:val="000000"/>
              </w:rPr>
              <w:t>„</w:t>
            </w:r>
            <w:r w:rsidRPr="0062129F">
              <w:rPr>
                <w:rFonts w:ascii="Times New Roman" w:hAnsi="Times New Roman"/>
                <w:bCs/>
                <w:color w:val="000000"/>
              </w:rPr>
              <w:t xml:space="preserve">Stop Smog” i </w:t>
            </w:r>
            <w:bookmarkStart w:id="19" w:name="_Hlk157678271"/>
            <w:r w:rsidRPr="0062129F">
              <w:rPr>
                <w:rFonts w:ascii="Times New Roman" w:hAnsi="Times New Roman"/>
                <w:bCs/>
                <w:color w:val="000000"/>
              </w:rPr>
              <w:t>zwiększenia jego</w:t>
            </w:r>
            <w:r>
              <w:rPr>
                <w:rFonts w:ascii="Times New Roman" w:hAnsi="Times New Roman"/>
                <w:bCs/>
                <w:color w:val="000000"/>
              </w:rPr>
              <w:t xml:space="preserve"> </w:t>
            </w:r>
            <w:r w:rsidRPr="0062129F">
              <w:rPr>
                <w:rFonts w:ascii="Times New Roman" w:hAnsi="Times New Roman"/>
                <w:bCs/>
                <w:color w:val="000000"/>
              </w:rPr>
              <w:t>atrakcyjności zar</w:t>
            </w:r>
            <w:r w:rsidRPr="00CF3572">
              <w:rPr>
                <w:rFonts w:ascii="Times New Roman" w:hAnsi="Times New Roman"/>
                <w:bCs/>
                <w:color w:val="000000"/>
              </w:rPr>
              <w:t>ówno dla gmin jak</w:t>
            </w:r>
            <w:r w:rsidRPr="00A24224">
              <w:rPr>
                <w:rFonts w:ascii="Times New Roman" w:hAnsi="Times New Roman"/>
                <w:bCs/>
                <w:color w:val="000000"/>
              </w:rPr>
              <w:t xml:space="preserve"> i dla mieszkańców</w:t>
            </w:r>
            <w:bookmarkEnd w:id="19"/>
            <w:r w:rsidRPr="00A24224">
              <w:rPr>
                <w:rFonts w:ascii="Times New Roman" w:hAnsi="Times New Roman"/>
                <w:bCs/>
                <w:color w:val="000000"/>
              </w:rPr>
              <w:t>.</w:t>
            </w:r>
          </w:p>
          <w:p w14:paraId="27048B17" w14:textId="06C899ED" w:rsidR="00632DC1" w:rsidRPr="00E55CB1" w:rsidRDefault="00ED619F" w:rsidP="00145F5E">
            <w:pPr>
              <w:pStyle w:val="Akapitzlist"/>
              <w:numPr>
                <w:ilvl w:val="0"/>
                <w:numId w:val="53"/>
              </w:numPr>
              <w:spacing w:before="120" w:line="240" w:lineRule="auto"/>
              <w:ind w:left="748" w:hanging="357"/>
              <w:jc w:val="both"/>
              <w:rPr>
                <w:rFonts w:ascii="Times New Roman" w:hAnsi="Times New Roman"/>
                <w:iCs/>
                <w:u w:val="single"/>
              </w:rPr>
            </w:pPr>
            <w:bookmarkStart w:id="20" w:name="_Hlk157678279"/>
            <w:r w:rsidRPr="00E55CB1">
              <w:rPr>
                <w:rFonts w:ascii="Times New Roman" w:hAnsi="Times New Roman"/>
                <w:b/>
                <w:bCs/>
                <w:iCs/>
                <w:u w:val="single"/>
              </w:rPr>
              <w:t xml:space="preserve">Zmiany przepisów ustawy z dnia 17 lipca 2009 r. </w:t>
            </w:r>
            <w:r w:rsidRPr="00E55CB1">
              <w:rPr>
                <w:rFonts w:ascii="Times New Roman" w:hAnsi="Times New Roman"/>
                <w:b/>
                <w:bCs/>
                <w:i/>
                <w:u w:val="single"/>
              </w:rPr>
              <w:t>o systemie zarządzania emisjami gazów cieplarnianych i</w:t>
            </w:r>
            <w:r w:rsidR="00774F09">
              <w:rPr>
                <w:rFonts w:ascii="Times New Roman" w:hAnsi="Times New Roman"/>
                <w:b/>
                <w:bCs/>
                <w:i/>
                <w:u w:val="single"/>
              </w:rPr>
              <w:t> </w:t>
            </w:r>
            <w:r w:rsidRPr="00E55CB1">
              <w:rPr>
                <w:rFonts w:ascii="Times New Roman" w:hAnsi="Times New Roman"/>
                <w:b/>
                <w:bCs/>
                <w:i/>
                <w:u w:val="single"/>
              </w:rPr>
              <w:t>innych substancji</w:t>
            </w:r>
            <w:r w:rsidRPr="00E55CB1">
              <w:rPr>
                <w:rFonts w:ascii="Times New Roman" w:hAnsi="Times New Roman"/>
                <w:iCs/>
                <w:u w:val="single"/>
              </w:rPr>
              <w:t xml:space="preserve"> </w:t>
            </w:r>
            <w:bookmarkEnd w:id="20"/>
            <w:r w:rsidRPr="00E55CB1">
              <w:rPr>
                <w:rFonts w:ascii="Times New Roman" w:hAnsi="Times New Roman"/>
                <w:iCs/>
                <w:u w:val="single"/>
              </w:rPr>
              <w:t xml:space="preserve">(Dz. U. z 2022 r. poz. 673) </w:t>
            </w:r>
          </w:p>
          <w:p w14:paraId="7458C1FA" w14:textId="3499D3DB" w:rsidR="00E6172E" w:rsidRDefault="00E6172E" w:rsidP="00283DD4">
            <w:pPr>
              <w:spacing w:line="240" w:lineRule="auto"/>
              <w:jc w:val="both"/>
              <w:rPr>
                <w:rFonts w:ascii="Times New Roman" w:hAnsi="Times New Roman"/>
              </w:rPr>
            </w:pPr>
            <w:proofErr w:type="spellStart"/>
            <w:r>
              <w:rPr>
                <w:rFonts w:ascii="Times New Roman" w:hAnsi="Times New Roman"/>
              </w:rPr>
              <w:t>KOBiZE</w:t>
            </w:r>
            <w:proofErr w:type="spellEnd"/>
            <w:r w:rsidR="006B0FB4">
              <w:rPr>
                <w:rFonts w:ascii="Times New Roman" w:hAnsi="Times New Roman"/>
              </w:rPr>
              <w:t>,</w:t>
            </w:r>
            <w:r>
              <w:rPr>
                <w:rFonts w:ascii="Times New Roman" w:hAnsi="Times New Roman"/>
              </w:rPr>
              <w:t xml:space="preserve"> </w:t>
            </w:r>
            <w:r w:rsidRPr="00D35E3B">
              <w:rPr>
                <w:rFonts w:ascii="Times New Roman" w:hAnsi="Times New Roman"/>
              </w:rPr>
              <w:t xml:space="preserve">jako jednostka </w:t>
            </w:r>
            <w:r w:rsidR="006B0FB4">
              <w:rPr>
                <w:rFonts w:ascii="Times New Roman" w:hAnsi="Times New Roman"/>
              </w:rPr>
              <w:t>nadzorowana przez</w:t>
            </w:r>
            <w:r w:rsidR="006B0FB4" w:rsidRPr="00D35E3B">
              <w:rPr>
                <w:rFonts w:ascii="Times New Roman" w:hAnsi="Times New Roman"/>
              </w:rPr>
              <w:t xml:space="preserve"> </w:t>
            </w:r>
            <w:r w:rsidR="006B0FB4">
              <w:rPr>
                <w:rFonts w:ascii="Times New Roman" w:hAnsi="Times New Roman"/>
              </w:rPr>
              <w:t>ministra właściwego do spraw klimatu,</w:t>
            </w:r>
            <w:r w:rsidRPr="00D35E3B">
              <w:rPr>
                <w:rFonts w:ascii="Times New Roman" w:hAnsi="Times New Roman"/>
              </w:rPr>
              <w:t xml:space="preserve"> wykonuje prace wynikające m.in. z</w:t>
            </w:r>
            <w:r w:rsidR="00774F09">
              <w:rPr>
                <w:rFonts w:ascii="Times New Roman" w:hAnsi="Times New Roman"/>
              </w:rPr>
              <w:t> </w:t>
            </w:r>
            <w:proofErr w:type="spellStart"/>
            <w:r w:rsidR="0082490D">
              <w:rPr>
                <w:rFonts w:ascii="Times New Roman" w:hAnsi="Times New Roman"/>
              </w:rPr>
              <w:t>uPoś</w:t>
            </w:r>
            <w:proofErr w:type="spellEnd"/>
            <w:r w:rsidRPr="00D35E3B">
              <w:rPr>
                <w:rFonts w:ascii="Times New Roman" w:hAnsi="Times New Roman"/>
              </w:rPr>
              <w:t xml:space="preserve"> oraz ustawy z 17 lipca 2009 r</w:t>
            </w:r>
            <w:r w:rsidR="00804C6F">
              <w:rPr>
                <w:rFonts w:ascii="Times New Roman" w:hAnsi="Times New Roman"/>
              </w:rPr>
              <w:t>.</w:t>
            </w:r>
            <w:r>
              <w:rPr>
                <w:rFonts w:ascii="Times New Roman" w:hAnsi="Times New Roman"/>
              </w:rPr>
              <w:t xml:space="preserve"> </w:t>
            </w:r>
            <w:r w:rsidRPr="00804C6F">
              <w:rPr>
                <w:rFonts w:ascii="Times New Roman" w:hAnsi="Times New Roman"/>
                <w:i/>
                <w:iCs/>
              </w:rPr>
              <w:t>o systemie zarządzania emisjami gazów cieplarnianych i innych substancji</w:t>
            </w:r>
            <w:r w:rsidRPr="0091791B">
              <w:rPr>
                <w:rStyle w:val="Uwydatnienie"/>
                <w:rFonts w:ascii="Times New Roman" w:hAnsi="Times New Roman"/>
              </w:rPr>
              <w:t xml:space="preserve">. </w:t>
            </w:r>
            <w:r w:rsidR="00A00241">
              <w:rPr>
                <w:rFonts w:ascii="Times New Roman" w:hAnsi="Times New Roman"/>
                <w:iCs/>
              </w:rPr>
              <w:t>P</w:t>
            </w:r>
            <w:r w:rsidR="008F329D">
              <w:rPr>
                <w:rFonts w:ascii="Times New Roman" w:hAnsi="Times New Roman"/>
                <w:iCs/>
              </w:rPr>
              <w:t>rzepisy</w:t>
            </w:r>
            <w:r w:rsidR="008F329D" w:rsidRPr="00987C4E">
              <w:rPr>
                <w:rFonts w:ascii="Times New Roman" w:hAnsi="Times New Roman"/>
              </w:rPr>
              <w:t xml:space="preserve"> ustawy o systemie zarządzania emisjami gazów cieplarnianych</w:t>
            </w:r>
            <w:r w:rsidR="008F329D">
              <w:rPr>
                <w:rFonts w:ascii="Times New Roman" w:hAnsi="Times New Roman"/>
              </w:rPr>
              <w:t xml:space="preserve"> i innych substancji</w:t>
            </w:r>
            <w:r w:rsidR="008F329D" w:rsidRPr="00987C4E">
              <w:rPr>
                <w:rFonts w:ascii="Times New Roman" w:hAnsi="Times New Roman"/>
              </w:rPr>
              <w:t xml:space="preserve"> </w:t>
            </w:r>
            <w:r w:rsidR="008F329D">
              <w:rPr>
                <w:rFonts w:ascii="Times New Roman" w:hAnsi="Times New Roman"/>
              </w:rPr>
              <w:t>przewidują</w:t>
            </w:r>
            <w:r w:rsidR="008F329D" w:rsidRPr="00987C4E">
              <w:rPr>
                <w:rFonts w:ascii="Times New Roman" w:hAnsi="Times New Roman"/>
              </w:rPr>
              <w:t xml:space="preserve"> jedynie tryb pełnej aktualizacji Krajowego programu ograniczania zanieczyszczenia powietrza, który należy stosować zarówno w przypadku</w:t>
            </w:r>
            <w:r w:rsidR="00E77EE2">
              <w:rPr>
                <w:rFonts w:ascii="Times New Roman" w:hAnsi="Times New Roman"/>
              </w:rPr>
              <w:t>,</w:t>
            </w:r>
            <w:r w:rsidR="008F329D" w:rsidRPr="00987C4E">
              <w:rPr>
                <w:rFonts w:ascii="Times New Roman" w:hAnsi="Times New Roman"/>
              </w:rPr>
              <w:t xml:space="preserve"> gdy z prognoz wielkości emisji lub inwentaryzacji emisji wynika, że krajowe cele redukcyjne nie są spełnione </w:t>
            </w:r>
            <w:r w:rsidR="00A00241">
              <w:rPr>
                <w:rFonts w:ascii="Times New Roman" w:hAnsi="Times New Roman"/>
              </w:rPr>
              <w:t>jak również wtedy, gdy</w:t>
            </w:r>
            <w:r w:rsidR="008F329D" w:rsidRPr="00987C4E">
              <w:rPr>
                <w:rFonts w:ascii="Times New Roman" w:hAnsi="Times New Roman"/>
              </w:rPr>
              <w:t xml:space="preserve"> istnieje ryzyko ich nieosiągnięcia</w:t>
            </w:r>
            <w:r w:rsidR="00A00241">
              <w:rPr>
                <w:rFonts w:ascii="Times New Roman" w:hAnsi="Times New Roman"/>
              </w:rPr>
              <w:t>. Dlatego</w:t>
            </w:r>
            <w:r w:rsidR="00B57C90">
              <w:rPr>
                <w:rFonts w:ascii="Times New Roman" w:hAnsi="Times New Roman"/>
              </w:rPr>
              <w:t xml:space="preserve"> </w:t>
            </w:r>
            <w:r w:rsidR="008F329D">
              <w:rPr>
                <w:rFonts w:ascii="Times New Roman" w:hAnsi="Times New Roman"/>
                <w:iCs/>
              </w:rPr>
              <w:t>proponuje się doprecyzowanie przepisów tak, żeby w przypadku możliwości nieosiągnięcia</w:t>
            </w:r>
            <w:r w:rsidR="008F329D">
              <w:rPr>
                <w:rFonts w:ascii="Times New Roman" w:hAnsi="Times New Roman"/>
              </w:rPr>
              <w:t xml:space="preserve"> celów redukcyjnych −</w:t>
            </w:r>
            <w:r w:rsidR="008F329D" w:rsidRPr="00987C4E">
              <w:rPr>
                <w:rFonts w:ascii="Times New Roman" w:hAnsi="Times New Roman"/>
              </w:rPr>
              <w:t xml:space="preserve"> </w:t>
            </w:r>
            <w:r w:rsidR="008F329D">
              <w:rPr>
                <w:rFonts w:ascii="Times New Roman" w:hAnsi="Times New Roman"/>
              </w:rPr>
              <w:t>były</w:t>
            </w:r>
            <w:r w:rsidR="008F329D" w:rsidRPr="00987C4E">
              <w:rPr>
                <w:rFonts w:ascii="Times New Roman" w:hAnsi="Times New Roman"/>
              </w:rPr>
              <w:t xml:space="preserve"> aktualizowane jedynie strategie i środki dotyczące redukcji emisji zawarte w tym programie</w:t>
            </w:r>
            <w:r w:rsidR="00A00241">
              <w:rPr>
                <w:rFonts w:ascii="Times New Roman" w:hAnsi="Times New Roman"/>
              </w:rPr>
              <w:t xml:space="preserve">, a nie było konieczności przeprowadzania pełnej aktualizacji. </w:t>
            </w:r>
            <w:r w:rsidR="008F329D">
              <w:rPr>
                <w:rFonts w:ascii="Times New Roman" w:hAnsi="Times New Roman"/>
              </w:rPr>
              <w:t xml:space="preserve">Ze względu na rozległy zakres zadań wykonywanych przez </w:t>
            </w:r>
            <w:proofErr w:type="spellStart"/>
            <w:r w:rsidR="008F329D">
              <w:rPr>
                <w:rFonts w:ascii="Times New Roman" w:hAnsi="Times New Roman"/>
              </w:rPr>
              <w:t>KOBiZE</w:t>
            </w:r>
            <w:proofErr w:type="spellEnd"/>
            <w:r w:rsidR="008F329D">
              <w:rPr>
                <w:rFonts w:ascii="Times New Roman" w:hAnsi="Times New Roman"/>
              </w:rPr>
              <w:t xml:space="preserve"> i powiązany z tym krótki</w:t>
            </w:r>
            <w:r w:rsidR="00745FE3">
              <w:rPr>
                <w:rFonts w:ascii="Times New Roman" w:hAnsi="Times New Roman"/>
              </w:rPr>
              <w:t xml:space="preserve"> </w:t>
            </w:r>
            <w:r w:rsidR="00595F9B">
              <w:rPr>
                <w:rFonts w:ascii="Times New Roman" w:hAnsi="Times New Roman"/>
              </w:rPr>
              <w:t>czas na</w:t>
            </w:r>
            <w:r w:rsidR="00745FE3">
              <w:rPr>
                <w:rFonts w:ascii="Times New Roman" w:hAnsi="Times New Roman"/>
              </w:rPr>
              <w:t xml:space="preserve"> przygotowanie dokumentów i raportów </w:t>
            </w:r>
            <w:r w:rsidR="008F329D">
              <w:rPr>
                <w:rFonts w:ascii="Times New Roman" w:hAnsi="Times New Roman"/>
              </w:rPr>
              <w:t xml:space="preserve">istnieje potrzeba </w:t>
            </w:r>
            <w:r w:rsidR="00745FE3">
              <w:rPr>
                <w:rFonts w:ascii="Times New Roman" w:hAnsi="Times New Roman"/>
              </w:rPr>
              <w:t xml:space="preserve">wydłużenia terminów zadań wykonywanych przez ten Ośrodek. </w:t>
            </w:r>
          </w:p>
          <w:p w14:paraId="661B8E5C" w14:textId="0A138237" w:rsidR="00BC31F7" w:rsidRPr="00E55CB1" w:rsidRDefault="00BC31F7" w:rsidP="00E55CB1">
            <w:pPr>
              <w:spacing w:line="240" w:lineRule="auto"/>
              <w:jc w:val="both"/>
              <w:rPr>
                <w:rFonts w:ascii="Times New Roman" w:hAnsi="Times New Roman"/>
                <w:kern w:val="1"/>
              </w:rPr>
            </w:pPr>
            <w:r w:rsidRPr="008B0880">
              <w:rPr>
                <w:rFonts w:ascii="Times New Roman" w:eastAsia="Times New Roman" w:hAnsi="Times New Roman"/>
                <w:lang w:eastAsia="pl-PL"/>
              </w:rPr>
              <w:t xml:space="preserve">Ponadto, w związku z opublikowaniem </w:t>
            </w:r>
            <w:r w:rsidR="00F728D0">
              <w:rPr>
                <w:rFonts w:ascii="Times New Roman" w:hAnsi="Times New Roman"/>
              </w:rPr>
              <w:t>D</w:t>
            </w:r>
            <w:r w:rsidRPr="00E55CB1">
              <w:rPr>
                <w:rFonts w:ascii="Times New Roman" w:hAnsi="Times New Roman"/>
              </w:rPr>
              <w:t xml:space="preserve">yrektywy 2024/299 pojawiła się konieczność </w:t>
            </w:r>
            <w:r w:rsidR="008B0880">
              <w:rPr>
                <w:rFonts w:ascii="Times New Roman" w:hAnsi="Times New Roman"/>
              </w:rPr>
              <w:t xml:space="preserve">jej </w:t>
            </w:r>
            <w:r w:rsidRPr="00E55CB1">
              <w:rPr>
                <w:rFonts w:ascii="Times New Roman" w:hAnsi="Times New Roman"/>
              </w:rPr>
              <w:t>transpozycji</w:t>
            </w:r>
            <w:r w:rsidR="008B0880">
              <w:rPr>
                <w:rFonts w:ascii="Times New Roman" w:hAnsi="Times New Roman"/>
              </w:rPr>
              <w:t xml:space="preserve"> do </w:t>
            </w:r>
            <w:r w:rsidRPr="00E55CB1">
              <w:rPr>
                <w:rFonts w:ascii="Times New Roman" w:hAnsi="Times New Roman"/>
              </w:rPr>
              <w:t>krajowego</w:t>
            </w:r>
            <w:r w:rsidR="008B0880">
              <w:rPr>
                <w:rFonts w:ascii="Times New Roman" w:hAnsi="Times New Roman"/>
              </w:rPr>
              <w:t xml:space="preserve"> porządku prawnego</w:t>
            </w:r>
            <w:r w:rsidRPr="00E55CB1">
              <w:rPr>
                <w:rFonts w:ascii="Times New Roman" w:hAnsi="Times New Roman"/>
              </w:rPr>
              <w:t xml:space="preserve">, jak przewiduje art. 2 tej </w:t>
            </w:r>
            <w:r w:rsidR="00F728D0">
              <w:rPr>
                <w:rFonts w:ascii="Times New Roman" w:hAnsi="Times New Roman"/>
              </w:rPr>
              <w:t>D</w:t>
            </w:r>
            <w:r w:rsidRPr="00E55CB1">
              <w:rPr>
                <w:rFonts w:ascii="Times New Roman" w:hAnsi="Times New Roman"/>
              </w:rPr>
              <w:t xml:space="preserve">yrektywy. Dyrektywa </w:t>
            </w:r>
            <w:r w:rsidR="00F728D0">
              <w:rPr>
                <w:rFonts w:ascii="Times New Roman" w:hAnsi="Times New Roman"/>
              </w:rPr>
              <w:t>2024/299</w:t>
            </w:r>
            <w:r w:rsidRPr="00E55CB1">
              <w:rPr>
                <w:rFonts w:ascii="Times New Roman" w:hAnsi="Times New Roman"/>
              </w:rPr>
              <w:t xml:space="preserve"> wprowadza niewielkie zmiany w</w:t>
            </w:r>
            <w:r w:rsidR="00774F09">
              <w:rPr>
                <w:rFonts w:ascii="Times New Roman" w:hAnsi="Times New Roman"/>
              </w:rPr>
              <w:t> </w:t>
            </w:r>
            <w:r w:rsidRPr="00E55CB1">
              <w:rPr>
                <w:rFonts w:ascii="Times New Roman" w:hAnsi="Times New Roman"/>
              </w:rPr>
              <w:t xml:space="preserve">wymaganiach dotyczących prognoz emisji zanieczyszczeń w taki sposób, aby były zgodne z zasadami przewidzianymi w Konwencji Europejskiej Komisji Gospodarczej Organizacji Narodów Zjednoczonych (EKG ONZ) z 1979 r. w sprawie transgranicznego zanieczyszczania powietrza na dalekie odległości </w:t>
            </w:r>
            <w:r w:rsidR="00F728D0">
              <w:rPr>
                <w:rFonts w:ascii="Times New Roman" w:hAnsi="Times New Roman"/>
              </w:rPr>
              <w:t>(</w:t>
            </w:r>
            <w:r w:rsidRPr="00E55CB1">
              <w:rPr>
                <w:rFonts w:ascii="Times New Roman" w:hAnsi="Times New Roman"/>
              </w:rPr>
              <w:t>konwencja LRTAP</w:t>
            </w:r>
            <w:r w:rsidR="00881D97">
              <w:rPr>
                <w:rFonts w:ascii="Times New Roman" w:hAnsi="Times New Roman"/>
              </w:rPr>
              <w:t>)</w:t>
            </w:r>
            <w:r w:rsidRPr="00E55CB1">
              <w:rPr>
                <w:rFonts w:ascii="Times New Roman" w:hAnsi="Times New Roman"/>
              </w:rPr>
              <w:t xml:space="preserve">. </w:t>
            </w:r>
          </w:p>
          <w:p w14:paraId="0C167EBF" w14:textId="7CB3A6F6" w:rsidR="00E6172E" w:rsidRPr="00E55CB1" w:rsidRDefault="00E6172E" w:rsidP="00145F5E">
            <w:pPr>
              <w:pStyle w:val="Akapitzlist"/>
              <w:numPr>
                <w:ilvl w:val="0"/>
                <w:numId w:val="53"/>
              </w:numPr>
              <w:autoSpaceDE w:val="0"/>
              <w:autoSpaceDN w:val="0"/>
              <w:adjustRightInd w:val="0"/>
              <w:spacing w:before="120"/>
              <w:ind w:left="748" w:hanging="357"/>
              <w:jc w:val="both"/>
              <w:rPr>
                <w:rFonts w:ascii="Times New Roman" w:hAnsi="Times New Roman"/>
                <w:iCs/>
                <w:u w:val="single"/>
              </w:rPr>
            </w:pPr>
            <w:bookmarkStart w:id="21" w:name="_Hlk157678319"/>
            <w:r w:rsidRPr="00E55CB1">
              <w:rPr>
                <w:rFonts w:ascii="Times New Roman" w:hAnsi="Times New Roman"/>
                <w:b/>
                <w:bCs/>
                <w:iCs/>
                <w:u w:val="single"/>
              </w:rPr>
              <w:t xml:space="preserve">Zmiany w zakresie przepisów ustawy z dnia 25 sierpnia 2006 r. </w:t>
            </w:r>
            <w:r w:rsidRPr="00E55CB1">
              <w:rPr>
                <w:rFonts w:ascii="Times New Roman" w:hAnsi="Times New Roman"/>
                <w:b/>
                <w:bCs/>
                <w:i/>
                <w:u w:val="single"/>
              </w:rPr>
              <w:t>o systemie monitorowania i kontrolowania jakości paliw</w:t>
            </w:r>
            <w:r w:rsidRPr="00E55CB1">
              <w:rPr>
                <w:rFonts w:ascii="Times New Roman" w:hAnsi="Times New Roman"/>
                <w:i/>
                <w:u w:val="single"/>
              </w:rPr>
              <w:t xml:space="preserve"> </w:t>
            </w:r>
            <w:bookmarkEnd w:id="21"/>
            <w:r w:rsidRPr="00E55CB1">
              <w:rPr>
                <w:rFonts w:ascii="Times New Roman" w:hAnsi="Times New Roman"/>
                <w:iCs/>
                <w:u w:val="single"/>
              </w:rPr>
              <w:t>(Dz. U. z 202</w:t>
            </w:r>
            <w:r w:rsidR="000C0C45" w:rsidRPr="00E55CB1">
              <w:rPr>
                <w:rFonts w:ascii="Times New Roman" w:hAnsi="Times New Roman"/>
                <w:iCs/>
                <w:u w:val="single"/>
              </w:rPr>
              <w:t>3</w:t>
            </w:r>
            <w:r w:rsidRPr="00E55CB1">
              <w:rPr>
                <w:rFonts w:ascii="Times New Roman" w:hAnsi="Times New Roman"/>
                <w:iCs/>
                <w:u w:val="single"/>
              </w:rPr>
              <w:t xml:space="preserve"> r. poz. </w:t>
            </w:r>
            <w:r w:rsidR="000C0C45" w:rsidRPr="00E55CB1">
              <w:rPr>
                <w:rFonts w:ascii="Times New Roman" w:hAnsi="Times New Roman"/>
                <w:iCs/>
                <w:u w:val="single"/>
              </w:rPr>
              <w:t>846</w:t>
            </w:r>
            <w:r w:rsidR="00057F5D" w:rsidRPr="00E55CB1">
              <w:rPr>
                <w:rFonts w:ascii="Times New Roman" w:hAnsi="Times New Roman"/>
                <w:iCs/>
                <w:u w:val="single"/>
              </w:rPr>
              <w:t xml:space="preserve">, </w:t>
            </w:r>
            <w:r w:rsidR="007E2BFD" w:rsidRPr="00E55CB1">
              <w:rPr>
                <w:rFonts w:ascii="Times New Roman" w:hAnsi="Times New Roman"/>
                <w:iCs/>
                <w:u w:val="single"/>
              </w:rPr>
              <w:t xml:space="preserve">z </w:t>
            </w:r>
            <w:proofErr w:type="spellStart"/>
            <w:r w:rsidR="007E2BFD" w:rsidRPr="00E55CB1">
              <w:rPr>
                <w:rFonts w:ascii="Times New Roman" w:hAnsi="Times New Roman"/>
                <w:iCs/>
                <w:u w:val="single"/>
              </w:rPr>
              <w:t>późn</w:t>
            </w:r>
            <w:proofErr w:type="spellEnd"/>
            <w:r w:rsidR="007E2BFD" w:rsidRPr="00E55CB1">
              <w:rPr>
                <w:rFonts w:ascii="Times New Roman" w:hAnsi="Times New Roman"/>
                <w:iCs/>
                <w:u w:val="single"/>
              </w:rPr>
              <w:t>. zm.</w:t>
            </w:r>
            <w:r w:rsidRPr="00E55CB1">
              <w:rPr>
                <w:rFonts w:ascii="Times New Roman" w:hAnsi="Times New Roman"/>
                <w:iCs/>
                <w:u w:val="single"/>
              </w:rPr>
              <w:t>)</w:t>
            </w:r>
          </w:p>
          <w:p w14:paraId="560920A7" w14:textId="37BD39D8" w:rsidR="00E6172E" w:rsidRDefault="00E6172E" w:rsidP="006C3914">
            <w:pPr>
              <w:pStyle w:val="Tekstakapitw"/>
              <w:spacing w:before="0" w:after="120" w:line="240" w:lineRule="auto"/>
              <w:ind w:firstLine="0"/>
              <w:rPr>
                <w:rFonts w:ascii="Times New Roman" w:eastAsia="FranklinGothicURWCom-Boo" w:hAnsi="Times New Roman"/>
                <w:szCs w:val="22"/>
                <w:lang w:eastAsia="en-US"/>
              </w:rPr>
            </w:pPr>
            <w:r w:rsidRPr="00FF76EB">
              <w:rPr>
                <w:rFonts w:ascii="Times New Roman" w:eastAsia="FranklinGothicURWCom-Boo" w:hAnsi="Times New Roman"/>
                <w:szCs w:val="22"/>
                <w:lang w:eastAsia="en-US"/>
              </w:rPr>
              <w:t xml:space="preserve">Wzrost liczby urządzeń na paliwa stałe </w:t>
            </w:r>
            <w:proofErr w:type="spellStart"/>
            <w:r w:rsidRPr="00FF76EB">
              <w:rPr>
                <w:rFonts w:ascii="Times New Roman" w:eastAsia="FranklinGothicURWCom-Boo" w:hAnsi="Times New Roman"/>
                <w:szCs w:val="22"/>
                <w:lang w:eastAsia="en-US"/>
              </w:rPr>
              <w:t>biomasowe</w:t>
            </w:r>
            <w:proofErr w:type="spellEnd"/>
            <w:r w:rsidRPr="00FF76EB">
              <w:rPr>
                <w:rFonts w:ascii="Times New Roman" w:eastAsia="FranklinGothicURWCom-Boo" w:hAnsi="Times New Roman"/>
                <w:szCs w:val="22"/>
                <w:lang w:eastAsia="en-US"/>
              </w:rPr>
              <w:t xml:space="preserve">, w tym </w:t>
            </w:r>
            <w:proofErr w:type="spellStart"/>
            <w:r w:rsidRPr="00FF76EB">
              <w:rPr>
                <w:rFonts w:ascii="Times New Roman" w:eastAsia="FranklinGothicURWCom-Boo" w:hAnsi="Times New Roman"/>
                <w:szCs w:val="22"/>
                <w:lang w:eastAsia="en-US"/>
              </w:rPr>
              <w:t>pelet</w:t>
            </w:r>
            <w:proofErr w:type="spellEnd"/>
            <w:r w:rsidRPr="00FF76EB">
              <w:rPr>
                <w:rFonts w:ascii="Times New Roman" w:eastAsia="FranklinGothicURWCom-Boo" w:hAnsi="Times New Roman"/>
                <w:szCs w:val="22"/>
                <w:lang w:eastAsia="en-US"/>
              </w:rPr>
              <w:t xml:space="preserve">, pociąga za sobą coroczny wzrost zużycia tych paliw, który </w:t>
            </w:r>
            <w:r w:rsidR="00356A15" w:rsidRPr="00FF76EB">
              <w:rPr>
                <w:rFonts w:ascii="Times New Roman" w:eastAsia="FranklinGothicURWCom-Boo" w:hAnsi="Times New Roman"/>
                <w:szCs w:val="22"/>
                <w:lang w:eastAsia="en-US"/>
              </w:rPr>
              <w:t xml:space="preserve">jest </w:t>
            </w:r>
            <w:r w:rsidRPr="00FF76EB">
              <w:rPr>
                <w:rFonts w:ascii="Times New Roman" w:eastAsia="FranklinGothicURWCom-Boo" w:hAnsi="Times New Roman"/>
                <w:szCs w:val="22"/>
                <w:lang w:eastAsia="en-US"/>
              </w:rPr>
              <w:t>obserwowany w Polsce od 2014 r. Z uwagi na prognozowany wzrost krajowego zużycia</w:t>
            </w:r>
            <w:r>
              <w:rPr>
                <w:rFonts w:ascii="Times New Roman" w:eastAsia="FranklinGothicURWCom-Boo" w:hAnsi="Times New Roman"/>
                <w:szCs w:val="22"/>
                <w:lang w:eastAsia="en-US"/>
              </w:rPr>
              <w:t xml:space="preserve"> paliw </w:t>
            </w:r>
            <w:proofErr w:type="spellStart"/>
            <w:r>
              <w:rPr>
                <w:rFonts w:ascii="Times New Roman" w:eastAsia="FranklinGothicURWCom-Boo" w:hAnsi="Times New Roman"/>
                <w:szCs w:val="22"/>
                <w:lang w:eastAsia="en-US"/>
              </w:rPr>
              <w:t>biomasowych</w:t>
            </w:r>
            <w:proofErr w:type="spellEnd"/>
            <w:r w:rsidRPr="00FF76EB">
              <w:rPr>
                <w:rFonts w:ascii="Times New Roman" w:eastAsia="FranklinGothicURWCom-Boo" w:hAnsi="Times New Roman"/>
                <w:szCs w:val="22"/>
                <w:lang w:eastAsia="en-US"/>
              </w:rPr>
              <w:t xml:space="preserve">, można się spodziewać zwiększonej liczby przypadków wprowadzania na rynek </w:t>
            </w:r>
            <w:proofErr w:type="spellStart"/>
            <w:r w:rsidRPr="00FF76EB">
              <w:rPr>
                <w:rFonts w:ascii="Times New Roman" w:eastAsia="FranklinGothicURWCom-Boo" w:hAnsi="Times New Roman"/>
                <w:szCs w:val="22"/>
                <w:lang w:eastAsia="en-US"/>
              </w:rPr>
              <w:t>peletu</w:t>
            </w:r>
            <w:proofErr w:type="spellEnd"/>
            <w:r w:rsidRPr="00FF76EB">
              <w:rPr>
                <w:rFonts w:ascii="Times New Roman" w:eastAsia="FranklinGothicURWCom-Boo" w:hAnsi="Times New Roman"/>
                <w:szCs w:val="22"/>
                <w:lang w:eastAsia="en-US"/>
              </w:rPr>
              <w:t xml:space="preserve"> i brykietu zanieczyszczonego odpadami z tworzyw sztucznych lub wyprodukowanego w dużej mierze</w:t>
            </w:r>
            <w:r>
              <w:rPr>
                <w:rFonts w:ascii="Times New Roman" w:eastAsia="FranklinGothicURWCom-Boo" w:hAnsi="Times New Roman"/>
                <w:szCs w:val="22"/>
                <w:lang w:eastAsia="en-US"/>
              </w:rPr>
              <w:t xml:space="preserve"> </w:t>
            </w:r>
            <w:r w:rsidRPr="00FF76EB">
              <w:rPr>
                <w:rFonts w:ascii="Times New Roman" w:eastAsia="FranklinGothicURWCom-Boo" w:hAnsi="Times New Roman"/>
                <w:szCs w:val="22"/>
                <w:lang w:eastAsia="en-US"/>
              </w:rPr>
              <w:t xml:space="preserve">z odpadów meblarskich, których spalanie wpływa niekorzystnie zarówno na zdrowie człowieka, jakość powietrza jak i na urządzenie grzewcze. Jakkolwiek stosowanie </w:t>
            </w:r>
            <w:r w:rsidR="00124449">
              <w:rPr>
                <w:rFonts w:ascii="Times New Roman" w:eastAsia="FranklinGothicURWCom-Boo" w:hAnsi="Times New Roman"/>
                <w:szCs w:val="22"/>
                <w:lang w:eastAsia="en-US"/>
              </w:rPr>
              <w:t>pozostałości produkcyjnych</w:t>
            </w:r>
            <w:r w:rsidRPr="00FF76EB">
              <w:rPr>
                <w:rFonts w:ascii="Times New Roman" w:eastAsia="FranklinGothicURWCom-Boo" w:hAnsi="Times New Roman"/>
                <w:szCs w:val="22"/>
                <w:lang w:eastAsia="en-US"/>
              </w:rPr>
              <w:t xml:space="preserve"> takich, jak np. płyty MDF (dopóki nie zostały poddane obróbce za pomocą substancji zawierających związki </w:t>
            </w:r>
            <w:proofErr w:type="spellStart"/>
            <w:r w:rsidRPr="00FF76EB">
              <w:rPr>
                <w:rFonts w:ascii="Times New Roman" w:eastAsia="FranklinGothicURWCom-Boo" w:hAnsi="Times New Roman"/>
                <w:szCs w:val="22"/>
                <w:lang w:eastAsia="en-US"/>
              </w:rPr>
              <w:t>chloroorganiczne</w:t>
            </w:r>
            <w:proofErr w:type="spellEnd"/>
            <w:r w:rsidRPr="00FF76EB">
              <w:rPr>
                <w:rFonts w:ascii="Times New Roman" w:eastAsia="FranklinGothicURWCom-Boo" w:hAnsi="Times New Roman"/>
                <w:szCs w:val="22"/>
                <w:lang w:eastAsia="en-US"/>
              </w:rPr>
              <w:t xml:space="preserve"> i metale ciężkie) jest dopuszczone w przypadku klasy B dla </w:t>
            </w:r>
            <w:proofErr w:type="spellStart"/>
            <w:r w:rsidRPr="00FF76EB">
              <w:rPr>
                <w:rFonts w:ascii="Times New Roman" w:eastAsia="FranklinGothicURWCom-Boo" w:hAnsi="Times New Roman"/>
                <w:szCs w:val="22"/>
                <w:lang w:eastAsia="en-US"/>
              </w:rPr>
              <w:t>peletu</w:t>
            </w:r>
            <w:proofErr w:type="spellEnd"/>
            <w:r w:rsidRPr="00FF76EB">
              <w:rPr>
                <w:rFonts w:ascii="Times New Roman" w:eastAsia="FranklinGothicURWCom-Boo" w:hAnsi="Times New Roman"/>
                <w:szCs w:val="22"/>
                <w:lang w:eastAsia="en-US"/>
              </w:rPr>
              <w:t xml:space="preserve"> oraz klasy B brykietu, niemniej jednak biopaliwa te muszą spełniać szereg wymagań jakościowych. Brak nadzoru nad rynkiem może skutkować wykorzystaniem tego typu surowców na znacznie większą </w:t>
            </w:r>
            <w:r w:rsidR="0082490D" w:rsidRPr="00FF76EB">
              <w:rPr>
                <w:rFonts w:ascii="Times New Roman" w:eastAsia="FranklinGothicURWCom-Boo" w:hAnsi="Times New Roman"/>
                <w:szCs w:val="22"/>
                <w:lang w:eastAsia="en-US"/>
              </w:rPr>
              <w:t>skal</w:t>
            </w:r>
            <w:r w:rsidR="0082490D">
              <w:rPr>
                <w:rFonts w:ascii="Times New Roman" w:eastAsia="FranklinGothicURWCom-Boo" w:hAnsi="Times New Roman"/>
                <w:szCs w:val="22"/>
                <w:lang w:eastAsia="en-US"/>
              </w:rPr>
              <w:t>ę</w:t>
            </w:r>
            <w:r w:rsidR="0082490D" w:rsidRPr="00FF76EB">
              <w:rPr>
                <w:rFonts w:ascii="Times New Roman" w:eastAsia="FranklinGothicURWCom-Boo" w:hAnsi="Times New Roman"/>
                <w:szCs w:val="22"/>
                <w:lang w:eastAsia="en-US"/>
              </w:rPr>
              <w:t xml:space="preserve"> </w:t>
            </w:r>
            <w:r w:rsidRPr="00FF76EB">
              <w:rPr>
                <w:rFonts w:ascii="Times New Roman" w:eastAsia="FranklinGothicURWCom-Boo" w:hAnsi="Times New Roman"/>
                <w:szCs w:val="22"/>
                <w:lang w:eastAsia="en-US"/>
              </w:rPr>
              <w:t xml:space="preserve">i wprowadzaniem do obrotu </w:t>
            </w:r>
            <w:proofErr w:type="spellStart"/>
            <w:r w:rsidRPr="00FF76EB">
              <w:rPr>
                <w:rFonts w:ascii="Times New Roman" w:eastAsia="FranklinGothicURWCom-Boo" w:hAnsi="Times New Roman"/>
                <w:szCs w:val="22"/>
                <w:lang w:eastAsia="en-US"/>
              </w:rPr>
              <w:t>peletu</w:t>
            </w:r>
            <w:proofErr w:type="spellEnd"/>
            <w:r w:rsidRPr="00FF76EB">
              <w:rPr>
                <w:rFonts w:ascii="Times New Roman" w:eastAsia="FranklinGothicURWCom-Boo" w:hAnsi="Times New Roman"/>
                <w:szCs w:val="22"/>
                <w:lang w:eastAsia="en-US"/>
              </w:rPr>
              <w:t xml:space="preserve"> i brykietu, których parametry jakościowe będą znacznie odbiegały o</w:t>
            </w:r>
            <w:r w:rsidR="00356A15">
              <w:rPr>
                <w:rFonts w:ascii="Times New Roman" w:eastAsia="FranklinGothicURWCom-Boo" w:hAnsi="Times New Roman"/>
                <w:szCs w:val="22"/>
                <w:lang w:eastAsia="en-US"/>
              </w:rPr>
              <w:t>d</w:t>
            </w:r>
            <w:r w:rsidRPr="00FF76EB">
              <w:rPr>
                <w:rFonts w:ascii="Times New Roman" w:eastAsia="FranklinGothicURWCom-Boo" w:hAnsi="Times New Roman"/>
                <w:szCs w:val="22"/>
                <w:lang w:eastAsia="en-US"/>
              </w:rPr>
              <w:t xml:space="preserve"> minimum wprowadzonego przez normy P</w:t>
            </w:r>
            <w:r>
              <w:rPr>
                <w:rFonts w:ascii="Times New Roman" w:eastAsia="FranklinGothicURWCom-Boo" w:hAnsi="Times New Roman"/>
                <w:szCs w:val="22"/>
                <w:lang w:eastAsia="en-US"/>
              </w:rPr>
              <w:t>N</w:t>
            </w:r>
            <w:r w:rsidRPr="00FF76EB">
              <w:rPr>
                <w:rFonts w:ascii="Times New Roman" w:eastAsia="FranklinGothicURWCom-Boo" w:hAnsi="Times New Roman"/>
                <w:szCs w:val="22"/>
                <w:lang w:eastAsia="en-US"/>
              </w:rPr>
              <w:t xml:space="preserve">-EN ISO 17225-2 oraz 17225-3. Z przeprowadzonej analizy wynika, że zapotrzebowanie w kraju na paliwa stałe </w:t>
            </w:r>
            <w:proofErr w:type="spellStart"/>
            <w:r w:rsidRPr="00FF76EB">
              <w:rPr>
                <w:rFonts w:ascii="Times New Roman" w:eastAsia="FranklinGothicURWCom-Boo" w:hAnsi="Times New Roman"/>
                <w:szCs w:val="22"/>
                <w:lang w:eastAsia="en-US"/>
              </w:rPr>
              <w:t>biomasowe</w:t>
            </w:r>
            <w:proofErr w:type="spellEnd"/>
            <w:r w:rsidRPr="00FF76EB">
              <w:rPr>
                <w:rFonts w:ascii="Times New Roman" w:eastAsia="FranklinGothicURWCom-Boo" w:hAnsi="Times New Roman"/>
                <w:szCs w:val="22"/>
                <w:lang w:eastAsia="en-US"/>
              </w:rPr>
              <w:t xml:space="preserve"> rośnie. Dotyczy to zarówno paliwa formowanego, jak i drewna kawałkowego. W ostatnim </w:t>
            </w:r>
            <w:r w:rsidR="00B659F0">
              <w:rPr>
                <w:rFonts w:ascii="Times New Roman" w:eastAsia="FranklinGothicURWCom-Boo" w:hAnsi="Times New Roman"/>
                <w:szCs w:val="22"/>
                <w:lang w:eastAsia="en-US"/>
              </w:rPr>
              <w:t>okresie</w:t>
            </w:r>
            <w:r w:rsidR="00B659F0" w:rsidRPr="00FF76EB">
              <w:rPr>
                <w:rFonts w:ascii="Times New Roman" w:eastAsia="FranklinGothicURWCom-Boo" w:hAnsi="Times New Roman"/>
                <w:szCs w:val="22"/>
                <w:lang w:eastAsia="en-US"/>
              </w:rPr>
              <w:t xml:space="preserve"> </w:t>
            </w:r>
            <w:r w:rsidRPr="00FF76EB">
              <w:rPr>
                <w:rFonts w:ascii="Times New Roman" w:eastAsia="FranklinGothicURWCom-Boo" w:hAnsi="Times New Roman"/>
                <w:szCs w:val="22"/>
                <w:lang w:eastAsia="en-US"/>
              </w:rPr>
              <w:t xml:space="preserve">producenci kotłów na </w:t>
            </w:r>
            <w:proofErr w:type="spellStart"/>
            <w:r w:rsidRPr="00FF76EB">
              <w:rPr>
                <w:rFonts w:ascii="Times New Roman" w:eastAsia="FranklinGothicURWCom-Boo" w:hAnsi="Times New Roman"/>
                <w:szCs w:val="22"/>
                <w:lang w:eastAsia="en-US"/>
              </w:rPr>
              <w:t>pelet</w:t>
            </w:r>
            <w:proofErr w:type="spellEnd"/>
            <w:r w:rsidRPr="00FF76EB">
              <w:rPr>
                <w:rFonts w:ascii="Times New Roman" w:eastAsia="FranklinGothicURWCom-Boo" w:hAnsi="Times New Roman"/>
                <w:szCs w:val="22"/>
                <w:lang w:eastAsia="en-US"/>
              </w:rPr>
              <w:t xml:space="preserve"> sygnalizowali wzrost sprzedaży na poziomie 30%, jak również zwiększone zainteresowanie kotłami zgazowującymi. </w:t>
            </w:r>
          </w:p>
          <w:p w14:paraId="37369A82" w14:textId="38388EC4" w:rsidR="00A26358" w:rsidRPr="009109FB" w:rsidRDefault="00E6172E" w:rsidP="00342B2F">
            <w:pPr>
              <w:autoSpaceDE w:val="0"/>
              <w:autoSpaceDN w:val="0"/>
              <w:adjustRightInd w:val="0"/>
              <w:spacing w:after="120" w:line="240" w:lineRule="auto"/>
              <w:ind w:left="40" w:hanging="40"/>
              <w:jc w:val="both"/>
              <w:rPr>
                <w:rFonts w:ascii="Times New Roman" w:eastAsia="FranklinGothicURWCom-Boo" w:hAnsi="Times New Roman"/>
              </w:rPr>
            </w:pPr>
            <w:r w:rsidRPr="00E73DBA">
              <w:rPr>
                <w:rFonts w:ascii="Times New Roman" w:hAnsi="Times New Roman"/>
              </w:rPr>
              <w:t>Ze względu</w:t>
            </w:r>
            <w:r w:rsidR="0082490D" w:rsidRPr="00E73DBA">
              <w:rPr>
                <w:rFonts w:ascii="Times New Roman" w:hAnsi="Times New Roman"/>
              </w:rPr>
              <w:t xml:space="preserve"> na to</w:t>
            </w:r>
            <w:r w:rsidRPr="00E73DBA">
              <w:rPr>
                <w:rFonts w:ascii="Times New Roman" w:hAnsi="Times New Roman"/>
              </w:rPr>
              <w:t xml:space="preserve">, że w obowiązujących przepisach nie ustanowiono wymagań jakościowych dla paliw </w:t>
            </w:r>
            <w:proofErr w:type="spellStart"/>
            <w:r w:rsidRPr="00E73DBA">
              <w:rPr>
                <w:rFonts w:ascii="Times New Roman" w:hAnsi="Times New Roman"/>
              </w:rPr>
              <w:t>biomasowych</w:t>
            </w:r>
            <w:proofErr w:type="spellEnd"/>
            <w:r w:rsidRPr="00E73DBA">
              <w:rPr>
                <w:rFonts w:ascii="Times New Roman" w:hAnsi="Times New Roman"/>
              </w:rPr>
              <w:t xml:space="preserve"> wprowadzanych do obrotu z przeznaczeniem do użycia w sektorze bytowo-komunalnym wskazanym</w:t>
            </w:r>
            <w:r w:rsidR="00A00241" w:rsidRPr="00E73DBA">
              <w:rPr>
                <w:rFonts w:ascii="Times New Roman" w:hAnsi="Times New Roman"/>
              </w:rPr>
              <w:t xml:space="preserve"> </w:t>
            </w:r>
            <w:r w:rsidR="00A00241">
              <w:rPr>
                <w:rFonts w:ascii="Times New Roman" w:hAnsi="Times New Roman"/>
                <w:iCs/>
              </w:rPr>
              <w:t>jest</w:t>
            </w:r>
            <w:r>
              <w:rPr>
                <w:rFonts w:ascii="Times New Roman" w:hAnsi="Times New Roman"/>
                <w:iCs/>
              </w:rPr>
              <w:t xml:space="preserve"> </w:t>
            </w:r>
            <w:r w:rsidRPr="00E73DBA">
              <w:rPr>
                <w:rFonts w:ascii="Times New Roman" w:hAnsi="Times New Roman"/>
              </w:rPr>
              <w:t>o</w:t>
            </w:r>
            <w:r w:rsidRPr="00FF76EB">
              <w:rPr>
                <w:rFonts w:ascii="Times New Roman" w:eastAsia="FranklinGothicURWCom-Boo" w:hAnsi="Times New Roman"/>
              </w:rPr>
              <w:t xml:space="preserve">kreślenie rodzajów oraz minimalnych wymagań jakościowych dla stałych paliw </w:t>
            </w:r>
            <w:proofErr w:type="spellStart"/>
            <w:r w:rsidRPr="00FF76EB">
              <w:rPr>
                <w:rFonts w:ascii="Times New Roman" w:eastAsia="FranklinGothicURWCom-Boo" w:hAnsi="Times New Roman"/>
              </w:rPr>
              <w:t>biomasowych</w:t>
            </w:r>
            <w:proofErr w:type="spellEnd"/>
            <w:r>
              <w:rPr>
                <w:rFonts w:ascii="Times New Roman" w:eastAsia="FranklinGothicURWCom-Boo" w:hAnsi="Times New Roman"/>
              </w:rPr>
              <w:t xml:space="preserve"> </w:t>
            </w:r>
            <w:r w:rsidR="00ED2FA6">
              <w:rPr>
                <w:rFonts w:ascii="Times New Roman" w:eastAsia="FranklinGothicURWCom-Boo" w:hAnsi="Times New Roman"/>
              </w:rPr>
              <w:t>−</w:t>
            </w:r>
            <w:r w:rsidRPr="009109FB">
              <w:rPr>
                <w:rFonts w:ascii="Times New Roman" w:eastAsia="FranklinGothicURWCom-Boo" w:hAnsi="Times New Roman"/>
              </w:rPr>
              <w:t xml:space="preserve"> </w:t>
            </w:r>
            <w:r w:rsidRPr="00E73DBA">
              <w:rPr>
                <w:rFonts w:ascii="Times New Roman" w:hAnsi="Times New Roman"/>
              </w:rPr>
              <w:t>biomasy pozyskanej z drzew i</w:t>
            </w:r>
            <w:r w:rsidR="00774F09">
              <w:rPr>
                <w:rFonts w:ascii="Times New Roman" w:hAnsi="Times New Roman"/>
              </w:rPr>
              <w:t> </w:t>
            </w:r>
            <w:r w:rsidRPr="00E73DBA">
              <w:rPr>
                <w:rFonts w:ascii="Times New Roman" w:hAnsi="Times New Roman"/>
              </w:rPr>
              <w:t xml:space="preserve">krzewów </w:t>
            </w:r>
            <w:r w:rsidR="00ED2FA6" w:rsidRPr="00E73DBA">
              <w:rPr>
                <w:rFonts w:ascii="Times New Roman" w:hAnsi="Times New Roman"/>
              </w:rPr>
              <w:t>−</w:t>
            </w:r>
            <w:r w:rsidRPr="00E73DBA">
              <w:rPr>
                <w:rFonts w:ascii="Times New Roman" w:hAnsi="Times New Roman"/>
              </w:rPr>
              <w:t xml:space="preserve"> </w:t>
            </w:r>
            <w:proofErr w:type="spellStart"/>
            <w:r w:rsidRPr="00E73DBA">
              <w:rPr>
                <w:rFonts w:ascii="Times New Roman" w:hAnsi="Times New Roman"/>
              </w:rPr>
              <w:t>peletu</w:t>
            </w:r>
            <w:proofErr w:type="spellEnd"/>
            <w:r w:rsidRPr="00E73DBA">
              <w:rPr>
                <w:rFonts w:ascii="Times New Roman" w:hAnsi="Times New Roman"/>
              </w:rPr>
              <w:t xml:space="preserve">. </w:t>
            </w:r>
            <w:r>
              <w:rPr>
                <w:rFonts w:ascii="Times New Roman" w:eastAsia="FranklinGothicURWCom-Boo" w:hAnsi="Times New Roman"/>
              </w:rPr>
              <w:t>Ustanowienie przepisów</w:t>
            </w:r>
            <w:r w:rsidRPr="00FF76EB">
              <w:rPr>
                <w:rFonts w:ascii="Times New Roman" w:eastAsia="FranklinGothicURWCom-Boo" w:hAnsi="Times New Roman"/>
              </w:rPr>
              <w:t xml:space="preserve"> </w:t>
            </w:r>
            <w:bookmarkStart w:id="22" w:name="_Hlk157678345"/>
            <w:r w:rsidRPr="00FF76EB">
              <w:rPr>
                <w:rFonts w:ascii="Times New Roman" w:eastAsia="FranklinGothicURWCom-Boo" w:hAnsi="Times New Roman"/>
              </w:rPr>
              <w:t>zlikwiduje możliwość wprowadzania na rynek, a następnie spalanie w</w:t>
            </w:r>
            <w:r w:rsidR="00774F09">
              <w:rPr>
                <w:rFonts w:ascii="Times New Roman" w:eastAsia="FranklinGothicURWCom-Boo" w:hAnsi="Times New Roman"/>
              </w:rPr>
              <w:t> </w:t>
            </w:r>
            <w:r w:rsidRPr="00FF76EB">
              <w:rPr>
                <w:rFonts w:ascii="Times New Roman" w:eastAsia="FranklinGothicURWCom-Boo" w:hAnsi="Times New Roman"/>
              </w:rPr>
              <w:t>gospodarstwach domowych i instalacjach grzewczych do 1 MW</w:t>
            </w:r>
            <w:r w:rsidR="00ED2FA6">
              <w:rPr>
                <w:rFonts w:ascii="Times New Roman" w:eastAsia="FranklinGothicURWCom-Boo" w:hAnsi="Times New Roman"/>
              </w:rPr>
              <w:t>,</w:t>
            </w:r>
            <w:r w:rsidRPr="00FF76EB">
              <w:rPr>
                <w:rFonts w:ascii="Times New Roman" w:eastAsia="FranklinGothicURWCom-Boo" w:hAnsi="Times New Roman"/>
              </w:rPr>
              <w:t xml:space="preserve"> stałych paliw </w:t>
            </w:r>
            <w:proofErr w:type="spellStart"/>
            <w:r w:rsidRPr="00FF76EB">
              <w:rPr>
                <w:rFonts w:ascii="Times New Roman" w:eastAsia="FranklinGothicURWCom-Boo" w:hAnsi="Times New Roman"/>
              </w:rPr>
              <w:t>biomasowych</w:t>
            </w:r>
            <w:proofErr w:type="spellEnd"/>
            <w:r w:rsidRPr="00FF76EB">
              <w:rPr>
                <w:rFonts w:ascii="Times New Roman" w:eastAsia="FranklinGothicURWCom-Boo" w:hAnsi="Times New Roman"/>
              </w:rPr>
              <w:t xml:space="preserve"> z domieszką dodatków chemicznie przetworzonych oraz zawierających domieszki tworzyw sztucznych</w:t>
            </w:r>
            <w:bookmarkEnd w:id="22"/>
            <w:r w:rsidRPr="00FF76EB">
              <w:rPr>
                <w:rFonts w:ascii="Times New Roman" w:eastAsia="FranklinGothicURWCom-Boo" w:hAnsi="Times New Roman"/>
              </w:rPr>
              <w:t>.</w:t>
            </w:r>
          </w:p>
          <w:p w14:paraId="44D24006" w14:textId="1563674F" w:rsidR="00E304AE" w:rsidRDefault="00E6172E" w:rsidP="006C3914">
            <w:pPr>
              <w:spacing w:before="120" w:after="120" w:line="240" w:lineRule="auto"/>
              <w:jc w:val="both"/>
              <w:rPr>
                <w:rFonts w:ascii="Times New Roman" w:hAnsi="Times New Roman"/>
                <w:iCs/>
              </w:rPr>
            </w:pPr>
            <w:r w:rsidRPr="00804C6F">
              <w:rPr>
                <w:rFonts w:ascii="Times New Roman" w:hAnsi="Times New Roman"/>
              </w:rPr>
              <w:t xml:space="preserve">Warto podkreślić, iż </w:t>
            </w:r>
            <w:r w:rsidR="0082490D" w:rsidRPr="00804C6F">
              <w:rPr>
                <w:rFonts w:ascii="Times New Roman" w:hAnsi="Times New Roman"/>
              </w:rPr>
              <w:t xml:space="preserve">wprowadzenie upoważnienia do wydania rozporządzenia określającego wymagania jakościowe dla biomasy pozyskanej z drzew i krzewów </w:t>
            </w:r>
            <w:r w:rsidRPr="00804C6F">
              <w:rPr>
                <w:rFonts w:ascii="Times New Roman" w:hAnsi="Times New Roman"/>
              </w:rPr>
              <w:t>przyczyni się pośrednio do wypełnienia kamienia milowego</w:t>
            </w:r>
            <w:r w:rsidRPr="00804C6F">
              <w:rPr>
                <w:rFonts w:ascii="Times New Roman" w:hAnsi="Times New Roman"/>
                <w:i/>
                <w:iCs/>
              </w:rPr>
              <w:t xml:space="preserve"> </w:t>
            </w:r>
            <w:r w:rsidRPr="00804C6F">
              <w:rPr>
                <w:rFonts w:ascii="Times New Roman" w:hAnsi="Times New Roman"/>
                <w:iCs/>
              </w:rPr>
              <w:t>B5G pn. Wejście w</w:t>
            </w:r>
            <w:r w:rsidR="00774F09">
              <w:rPr>
                <w:rFonts w:ascii="Times New Roman" w:hAnsi="Times New Roman"/>
                <w:iCs/>
              </w:rPr>
              <w:t> </w:t>
            </w:r>
            <w:r w:rsidRPr="00804C6F">
              <w:rPr>
                <w:rFonts w:ascii="Times New Roman" w:hAnsi="Times New Roman"/>
                <w:iCs/>
              </w:rPr>
              <w:t>życie przepisów określających standardy jakości paliw stałych z biomasy, realizowanego w ramach reformy B.1.1. Czyste powietrze i efektywność energetyczna w ramach Krajowego Planu Odbudowy i</w:t>
            </w:r>
            <w:r w:rsidR="00CC2517" w:rsidRPr="00804C6F">
              <w:rPr>
                <w:rFonts w:ascii="Times New Roman" w:hAnsi="Times New Roman"/>
                <w:iCs/>
              </w:rPr>
              <w:t> </w:t>
            </w:r>
            <w:r w:rsidRPr="00804C6F">
              <w:rPr>
                <w:rFonts w:ascii="Times New Roman" w:hAnsi="Times New Roman"/>
                <w:iCs/>
              </w:rPr>
              <w:t>Zwiększania Odporności.</w:t>
            </w:r>
            <w:r w:rsidR="00143851">
              <w:rPr>
                <w:rFonts w:ascii="Times New Roman" w:hAnsi="Times New Roman"/>
                <w:iCs/>
              </w:rPr>
              <w:t xml:space="preserve"> Kamień milowy </w:t>
            </w:r>
            <w:r w:rsidR="00ED2FA6">
              <w:rPr>
                <w:rFonts w:ascii="Times New Roman" w:hAnsi="Times New Roman"/>
                <w:iCs/>
              </w:rPr>
              <w:t xml:space="preserve">jest </w:t>
            </w:r>
            <w:r w:rsidR="00143851">
              <w:rPr>
                <w:rFonts w:ascii="Times New Roman" w:hAnsi="Times New Roman"/>
                <w:iCs/>
              </w:rPr>
              <w:t>realizowany przez Ministerstwo Klimatu i Środowiska.</w:t>
            </w:r>
          </w:p>
          <w:p w14:paraId="517D746D" w14:textId="7F4BD0A8" w:rsidR="009269EE" w:rsidRPr="009269EE" w:rsidRDefault="009269EE" w:rsidP="006C3914">
            <w:pPr>
              <w:spacing w:before="120" w:after="120" w:line="240" w:lineRule="auto"/>
              <w:jc w:val="both"/>
              <w:rPr>
                <w:rFonts w:ascii="Times New Roman" w:hAnsi="Times New Roman"/>
              </w:rPr>
            </w:pPr>
            <w:r w:rsidRPr="009269EE">
              <w:rPr>
                <w:rFonts w:ascii="Times New Roman" w:hAnsi="Times New Roman"/>
              </w:rPr>
              <w:t xml:space="preserve">Jednocześnie zaproponowano wprowadzenie dwóch fakultatywnych upoważnień ustawowych do wydania rozporządzeń określających wymagania jakościowe dla biomasy roślinnej z rolnictwa w postaci brykietu lub </w:t>
            </w:r>
            <w:proofErr w:type="spellStart"/>
            <w:r w:rsidRPr="009269EE">
              <w:rPr>
                <w:rFonts w:ascii="Times New Roman" w:hAnsi="Times New Roman"/>
              </w:rPr>
              <w:t>peletu</w:t>
            </w:r>
            <w:proofErr w:type="spellEnd"/>
            <w:r w:rsidRPr="009269EE">
              <w:rPr>
                <w:rFonts w:ascii="Times New Roman" w:hAnsi="Times New Roman"/>
              </w:rPr>
              <w:t xml:space="preserve"> oraz biomasy pozyskanej z drzew i krzewów w postaci zrębki drzewnej lub drewna kawałkowego. </w:t>
            </w:r>
          </w:p>
          <w:p w14:paraId="50EEF501" w14:textId="4108D54C" w:rsidR="00E304AE" w:rsidRPr="00E55CB1" w:rsidRDefault="00E304AE" w:rsidP="00E55CB1">
            <w:pPr>
              <w:pStyle w:val="Akapitzlist"/>
              <w:numPr>
                <w:ilvl w:val="0"/>
                <w:numId w:val="53"/>
              </w:numPr>
              <w:spacing w:after="120" w:line="240" w:lineRule="auto"/>
              <w:jc w:val="both"/>
              <w:rPr>
                <w:rFonts w:ascii="Times New Roman" w:eastAsia="Times New Roman" w:hAnsi="Times New Roman"/>
                <w:b/>
                <w:bCs/>
                <w:u w:val="single"/>
              </w:rPr>
            </w:pPr>
            <w:bookmarkStart w:id="23" w:name="_Hlk157678355"/>
            <w:r w:rsidRPr="00E55CB1">
              <w:rPr>
                <w:rFonts w:ascii="Times New Roman" w:eastAsia="Times New Roman" w:hAnsi="Times New Roman"/>
                <w:b/>
                <w:bCs/>
                <w:u w:val="single"/>
              </w:rPr>
              <w:t>Usprawnienie wdrażania programów i projektów z zakresu ochrony środowiska wdrażanych przez powiaty, gminy oraz NFOŚiGW i wojewódzkie fundusze ochrony środowiska i gospodarki wodnej (</w:t>
            </w:r>
            <w:proofErr w:type="spellStart"/>
            <w:r w:rsidRPr="00E55CB1">
              <w:rPr>
                <w:rFonts w:ascii="Times New Roman" w:eastAsia="Times New Roman" w:hAnsi="Times New Roman"/>
                <w:b/>
                <w:bCs/>
                <w:u w:val="single"/>
              </w:rPr>
              <w:t>wfośigw</w:t>
            </w:r>
            <w:proofErr w:type="spellEnd"/>
            <w:r w:rsidRPr="00E55CB1">
              <w:rPr>
                <w:rFonts w:ascii="Times New Roman" w:eastAsia="Times New Roman" w:hAnsi="Times New Roman"/>
                <w:b/>
                <w:bCs/>
                <w:u w:val="single"/>
              </w:rPr>
              <w:t xml:space="preserve">) </w:t>
            </w:r>
            <w:bookmarkEnd w:id="23"/>
          </w:p>
          <w:p w14:paraId="7A3A047F" w14:textId="4CD60FC0" w:rsidR="00E304AE" w:rsidRPr="00537CC2" w:rsidRDefault="002C6FD6" w:rsidP="006C3914">
            <w:pPr>
              <w:numPr>
                <w:ilvl w:val="0"/>
                <w:numId w:val="19"/>
              </w:numPr>
              <w:spacing w:before="120" w:after="120" w:line="240" w:lineRule="auto"/>
              <w:ind w:left="340" w:hanging="357"/>
              <w:jc w:val="both"/>
              <w:rPr>
                <w:rFonts w:ascii="Times New Roman" w:hAnsi="Times New Roman"/>
                <w:b/>
                <w:bCs/>
              </w:rPr>
            </w:pPr>
            <w:r>
              <w:rPr>
                <w:rFonts w:ascii="Times New Roman" w:hAnsi="Times New Roman"/>
                <w:b/>
                <w:bCs/>
              </w:rPr>
              <w:t xml:space="preserve">brak elastyczności </w:t>
            </w:r>
            <w:r w:rsidR="00E304AE" w:rsidRPr="00537CC2">
              <w:rPr>
                <w:rFonts w:ascii="Times New Roman" w:hAnsi="Times New Roman"/>
                <w:b/>
                <w:bCs/>
              </w:rPr>
              <w:t>obowiązujących regulacji stanowiących ustawowe upoważnienie dla rady powiatu oraz rady gminy w zakresie określania zasad udzielenia dotacji celowej oraz sposobu jej rozliczania w ramach finansowania ochrony środowiska z budżetów tych powiatów oraz gmin</w:t>
            </w:r>
          </w:p>
          <w:p w14:paraId="1ECB73E0" w14:textId="77777777" w:rsidR="00E304AE" w:rsidRPr="00537CC2" w:rsidRDefault="00E304AE" w:rsidP="006C3914">
            <w:pPr>
              <w:spacing w:after="120" w:line="240" w:lineRule="auto"/>
              <w:jc w:val="both"/>
              <w:rPr>
                <w:rFonts w:ascii="Times New Roman" w:eastAsia="Times New Roman" w:hAnsi="Times New Roman"/>
              </w:rPr>
            </w:pPr>
            <w:r w:rsidRPr="00537CC2">
              <w:rPr>
                <w:rFonts w:ascii="Times New Roman" w:eastAsia="Times New Roman" w:hAnsi="Times New Roman"/>
              </w:rPr>
              <w:t xml:space="preserve">W orzecznictwie sądów i regionalnych izb obrachunkowych pojawiają się wątpliwości dotyczące możliwości wprowadzania odpowiednio przez powiaty lub gminy dodatkowych kryteriów lub warunków finansowania, o którym </w:t>
            </w:r>
            <w:r w:rsidRPr="00537CC2">
              <w:rPr>
                <w:rFonts w:ascii="Times New Roman" w:eastAsia="Times New Roman" w:hAnsi="Times New Roman"/>
              </w:rPr>
              <w:lastRenderedPageBreak/>
              <w:t xml:space="preserve">mowa w art. 403 ust. 4 </w:t>
            </w:r>
            <w:proofErr w:type="spellStart"/>
            <w:r w:rsidRPr="00537CC2">
              <w:rPr>
                <w:rFonts w:ascii="Times New Roman" w:eastAsia="Times New Roman" w:hAnsi="Times New Roman"/>
              </w:rPr>
              <w:t>uPoś</w:t>
            </w:r>
            <w:proofErr w:type="spellEnd"/>
            <w:r w:rsidRPr="00537CC2">
              <w:rPr>
                <w:rFonts w:ascii="Times New Roman" w:eastAsia="Times New Roman" w:hAnsi="Times New Roman"/>
              </w:rPr>
              <w:t xml:space="preserve">, w tym dotyczących potencjalnych beneficjentów dotacji celowej, które </w:t>
            </w:r>
            <w:bookmarkStart w:id="24" w:name="_Hlk157678402"/>
            <w:r w:rsidRPr="00537CC2">
              <w:rPr>
                <w:rFonts w:ascii="Times New Roman" w:eastAsia="Times New Roman" w:hAnsi="Times New Roman"/>
              </w:rPr>
              <w:t>skutkują stwierdzeniem nieważności uchwał rad powiatów i gmin w przedmiocie określenia zasad i trybu udzielania przez daną jednostkę samorządu terytorialnego dotacji celowej</w:t>
            </w:r>
            <w:bookmarkEnd w:id="24"/>
            <w:r w:rsidRPr="00537CC2">
              <w:rPr>
                <w:rFonts w:ascii="Times New Roman" w:eastAsia="Times New Roman" w:hAnsi="Times New Roman"/>
              </w:rPr>
              <w:t>.</w:t>
            </w:r>
          </w:p>
          <w:p w14:paraId="60DD0E51" w14:textId="3A4B1B88" w:rsidR="00E304AE" w:rsidRDefault="002C6FD6" w:rsidP="006C3914">
            <w:pPr>
              <w:pStyle w:val="Akapitzlist"/>
              <w:numPr>
                <w:ilvl w:val="0"/>
                <w:numId w:val="20"/>
              </w:numPr>
              <w:spacing w:line="240" w:lineRule="auto"/>
              <w:ind w:left="340" w:hanging="357"/>
              <w:jc w:val="both"/>
              <w:rPr>
                <w:rFonts w:ascii="Times New Roman" w:eastAsia="Times New Roman" w:hAnsi="Times New Roman"/>
                <w:b/>
                <w:bCs/>
              </w:rPr>
            </w:pPr>
            <w:r>
              <w:rPr>
                <w:rFonts w:ascii="Times New Roman" w:eastAsia="Times New Roman" w:hAnsi="Times New Roman"/>
                <w:b/>
                <w:bCs/>
              </w:rPr>
              <w:t>nieprecyzyjne</w:t>
            </w:r>
            <w:r w:rsidR="00E304AE" w:rsidRPr="00537CC2">
              <w:rPr>
                <w:rFonts w:ascii="Times New Roman" w:eastAsia="Times New Roman" w:hAnsi="Times New Roman"/>
                <w:b/>
                <w:bCs/>
              </w:rPr>
              <w:t xml:space="preserve"> regulacj</w:t>
            </w:r>
            <w:r>
              <w:rPr>
                <w:rFonts w:ascii="Times New Roman" w:eastAsia="Times New Roman" w:hAnsi="Times New Roman"/>
                <w:b/>
                <w:bCs/>
              </w:rPr>
              <w:t>e</w:t>
            </w:r>
            <w:r w:rsidR="00E304AE" w:rsidRPr="00537CC2">
              <w:rPr>
                <w:rFonts w:ascii="Times New Roman" w:eastAsia="Times New Roman" w:hAnsi="Times New Roman"/>
                <w:b/>
                <w:bCs/>
              </w:rPr>
              <w:t xml:space="preserve"> w zakresie podstaw prawnych do przekazywania przez </w:t>
            </w:r>
            <w:proofErr w:type="spellStart"/>
            <w:r w:rsidR="00E304AE" w:rsidRPr="00537CC2">
              <w:rPr>
                <w:rFonts w:ascii="Times New Roman" w:eastAsia="Times New Roman" w:hAnsi="Times New Roman"/>
                <w:b/>
                <w:bCs/>
              </w:rPr>
              <w:t>wfośigw</w:t>
            </w:r>
            <w:proofErr w:type="spellEnd"/>
            <w:r w:rsidR="00E304AE" w:rsidRPr="00537CC2">
              <w:rPr>
                <w:rFonts w:ascii="Times New Roman" w:eastAsia="Times New Roman" w:hAnsi="Times New Roman"/>
                <w:b/>
                <w:bCs/>
              </w:rPr>
              <w:t xml:space="preserve"> </w:t>
            </w:r>
            <w:r w:rsidR="00C86081">
              <w:rPr>
                <w:rFonts w:ascii="Times New Roman" w:eastAsia="Times New Roman" w:hAnsi="Times New Roman"/>
                <w:b/>
                <w:bCs/>
              </w:rPr>
              <w:t xml:space="preserve">niezbędnych </w:t>
            </w:r>
            <w:r w:rsidR="00E304AE" w:rsidRPr="00537CC2">
              <w:rPr>
                <w:rFonts w:ascii="Times New Roman" w:eastAsia="Times New Roman" w:hAnsi="Times New Roman"/>
                <w:b/>
                <w:bCs/>
              </w:rPr>
              <w:t xml:space="preserve">danych osobowych osób fizycznych do NFOŚiGW oraz </w:t>
            </w:r>
            <w:r w:rsidR="00E50DCD">
              <w:rPr>
                <w:rFonts w:ascii="Times New Roman" w:eastAsia="Times New Roman" w:hAnsi="Times New Roman"/>
                <w:b/>
                <w:bCs/>
              </w:rPr>
              <w:t xml:space="preserve">właściwych </w:t>
            </w:r>
            <w:r w:rsidR="00E304AE" w:rsidRPr="00537CC2">
              <w:rPr>
                <w:rFonts w:ascii="Times New Roman" w:eastAsia="Times New Roman" w:hAnsi="Times New Roman"/>
                <w:b/>
                <w:bCs/>
              </w:rPr>
              <w:t>podmiotów, zarówno krajowych jak i</w:t>
            </w:r>
            <w:r w:rsidR="00CC2517">
              <w:rPr>
                <w:rFonts w:ascii="Times New Roman" w:eastAsia="Times New Roman" w:hAnsi="Times New Roman"/>
                <w:b/>
                <w:bCs/>
              </w:rPr>
              <w:t> </w:t>
            </w:r>
            <w:r w:rsidR="00E304AE" w:rsidRPr="00537CC2">
              <w:rPr>
                <w:rFonts w:ascii="Times New Roman" w:eastAsia="Times New Roman" w:hAnsi="Times New Roman"/>
                <w:b/>
                <w:bCs/>
              </w:rPr>
              <w:t>europejskich, niezbędnych do niezakłóconej realizacji programów wdrażanych przez NFOŚiGW wspólnie z</w:t>
            </w:r>
            <w:r w:rsidR="00CC2517">
              <w:rPr>
                <w:rFonts w:ascii="Times New Roman" w:eastAsia="Times New Roman" w:hAnsi="Times New Roman"/>
                <w:b/>
                <w:bCs/>
              </w:rPr>
              <w:t> </w:t>
            </w:r>
            <w:proofErr w:type="spellStart"/>
            <w:r w:rsidR="00E304AE" w:rsidRPr="00537CC2">
              <w:rPr>
                <w:rFonts w:ascii="Times New Roman" w:eastAsia="Times New Roman" w:hAnsi="Times New Roman"/>
                <w:b/>
                <w:bCs/>
              </w:rPr>
              <w:t>wfośigw</w:t>
            </w:r>
            <w:proofErr w:type="spellEnd"/>
            <w:r w:rsidR="00E304AE" w:rsidRPr="00537CC2">
              <w:rPr>
                <w:rFonts w:ascii="Times New Roman" w:eastAsia="Times New Roman" w:hAnsi="Times New Roman"/>
                <w:b/>
                <w:bCs/>
              </w:rPr>
              <w:t>, w</w:t>
            </w:r>
            <w:r w:rsidR="00E049AB">
              <w:rPr>
                <w:rFonts w:ascii="Times New Roman" w:eastAsia="Times New Roman" w:hAnsi="Times New Roman"/>
                <w:b/>
                <w:bCs/>
              </w:rPr>
              <w:t> </w:t>
            </w:r>
            <w:r w:rsidR="00E304AE" w:rsidRPr="00537CC2">
              <w:rPr>
                <w:rFonts w:ascii="Times New Roman" w:eastAsia="Times New Roman" w:hAnsi="Times New Roman"/>
                <w:b/>
                <w:bCs/>
              </w:rPr>
              <w:t>szczególności P</w:t>
            </w:r>
            <w:r w:rsidR="00D2222A">
              <w:rPr>
                <w:rFonts w:ascii="Times New Roman" w:eastAsia="Times New Roman" w:hAnsi="Times New Roman"/>
                <w:b/>
                <w:bCs/>
              </w:rPr>
              <w:t xml:space="preserve">rogramu </w:t>
            </w:r>
            <w:r w:rsidR="00E304AE" w:rsidRPr="00537CC2">
              <w:rPr>
                <w:rFonts w:ascii="Times New Roman" w:eastAsia="Times New Roman" w:hAnsi="Times New Roman"/>
                <w:b/>
                <w:bCs/>
              </w:rPr>
              <w:t>P</w:t>
            </w:r>
            <w:r w:rsidR="00D2222A">
              <w:rPr>
                <w:rFonts w:ascii="Times New Roman" w:eastAsia="Times New Roman" w:hAnsi="Times New Roman"/>
                <w:b/>
                <w:bCs/>
              </w:rPr>
              <w:t>riorytetowego</w:t>
            </w:r>
            <w:r w:rsidR="00E304AE" w:rsidRPr="00537CC2">
              <w:rPr>
                <w:rFonts w:ascii="Times New Roman" w:eastAsia="Times New Roman" w:hAnsi="Times New Roman"/>
                <w:b/>
                <w:bCs/>
              </w:rPr>
              <w:t xml:space="preserve"> „Czyste Powietrze” współfinansowanego ze środków KPO</w:t>
            </w:r>
          </w:p>
          <w:p w14:paraId="5DDAEFA3" w14:textId="0CCA2680" w:rsidR="00E304AE" w:rsidRDefault="00E304AE" w:rsidP="006C3914">
            <w:pPr>
              <w:spacing w:before="120" w:after="120" w:line="240" w:lineRule="auto"/>
              <w:ind w:left="62"/>
              <w:jc w:val="both"/>
              <w:rPr>
                <w:rFonts w:ascii="Times New Roman" w:eastAsia="Times New Roman" w:hAnsi="Times New Roman"/>
              </w:rPr>
            </w:pPr>
            <w:proofErr w:type="spellStart"/>
            <w:r w:rsidRPr="00537CC2">
              <w:rPr>
                <w:rFonts w:ascii="Times New Roman" w:eastAsia="Times New Roman" w:hAnsi="Times New Roman"/>
              </w:rPr>
              <w:t>Wfośigw</w:t>
            </w:r>
            <w:proofErr w:type="spellEnd"/>
            <w:r w:rsidRPr="00537CC2">
              <w:rPr>
                <w:rFonts w:ascii="Times New Roman" w:eastAsia="Times New Roman" w:hAnsi="Times New Roman"/>
              </w:rPr>
              <w:t xml:space="preserve"> pełniąc</w:t>
            </w:r>
            <w:r w:rsidR="00ED2FA6">
              <w:rPr>
                <w:rFonts w:ascii="Times New Roman" w:eastAsia="Times New Roman" w:hAnsi="Times New Roman"/>
              </w:rPr>
              <w:t>e</w:t>
            </w:r>
            <w:r w:rsidRPr="00537CC2">
              <w:rPr>
                <w:rFonts w:ascii="Times New Roman" w:eastAsia="Times New Roman" w:hAnsi="Times New Roman"/>
              </w:rPr>
              <w:t xml:space="preserve"> rolę podmiotów zaangażowanych w realizację inwestycji w ramach KPO nie mieszczą się w katalogu administratorów danych osobowych, o których mowa w art. 14lzk </w:t>
            </w:r>
            <w:r w:rsidR="00732FF9">
              <w:rPr>
                <w:rFonts w:ascii="Times New Roman" w:eastAsia="Times New Roman" w:hAnsi="Times New Roman"/>
              </w:rPr>
              <w:t xml:space="preserve">ustawy </w:t>
            </w:r>
            <w:r w:rsidR="00732FF9" w:rsidRPr="00732FF9">
              <w:rPr>
                <w:rFonts w:ascii="Times New Roman" w:eastAsia="Times New Roman" w:hAnsi="Times New Roman"/>
              </w:rPr>
              <w:t xml:space="preserve">z dnia 6 grudnia 2006 r. o zasadach prowadzenia polityki rozwoju (Dz. U. z 2023 r. poz. 1259, z </w:t>
            </w:r>
            <w:proofErr w:type="spellStart"/>
            <w:r w:rsidR="00732FF9" w:rsidRPr="00732FF9">
              <w:rPr>
                <w:rFonts w:ascii="Times New Roman" w:eastAsia="Times New Roman" w:hAnsi="Times New Roman"/>
              </w:rPr>
              <w:t>późn</w:t>
            </w:r>
            <w:proofErr w:type="spellEnd"/>
            <w:r w:rsidR="00732FF9" w:rsidRPr="00732FF9">
              <w:rPr>
                <w:rFonts w:ascii="Times New Roman" w:eastAsia="Times New Roman" w:hAnsi="Times New Roman"/>
              </w:rPr>
              <w:t>. zm.)</w:t>
            </w:r>
            <w:r w:rsidRPr="00537CC2">
              <w:rPr>
                <w:rFonts w:ascii="Times New Roman" w:eastAsia="Times New Roman" w:hAnsi="Times New Roman"/>
              </w:rPr>
              <w:t>, którzy udostępniają sobie nawzajem dane osobowe niezbędne do realizacji ich zadań.</w:t>
            </w:r>
          </w:p>
          <w:p w14:paraId="0A95CF23" w14:textId="77777777" w:rsidR="001F6393" w:rsidRPr="00145F5E" w:rsidRDefault="00E304AE" w:rsidP="00145F5E">
            <w:pPr>
              <w:spacing w:before="120" w:after="120" w:line="240" w:lineRule="auto"/>
              <w:jc w:val="both"/>
              <w:rPr>
                <w:rFonts w:ascii="Times New Roman" w:eastAsia="Times New Roman" w:hAnsi="Times New Roman"/>
              </w:rPr>
            </w:pPr>
            <w:r w:rsidRPr="00145F5E">
              <w:rPr>
                <w:rFonts w:ascii="Times New Roman" w:eastAsia="Times New Roman" w:hAnsi="Times New Roman"/>
              </w:rPr>
              <w:t xml:space="preserve">Powyższy problem może być aktualny również w przypadku wdrażania innych programów z udziałem </w:t>
            </w:r>
            <w:proofErr w:type="spellStart"/>
            <w:r w:rsidRPr="00145F5E">
              <w:rPr>
                <w:rFonts w:ascii="Times New Roman" w:eastAsia="Times New Roman" w:hAnsi="Times New Roman"/>
              </w:rPr>
              <w:t>wfośigw</w:t>
            </w:r>
            <w:proofErr w:type="spellEnd"/>
            <w:r w:rsidRPr="00145F5E">
              <w:rPr>
                <w:rFonts w:ascii="Times New Roman" w:eastAsia="Times New Roman" w:hAnsi="Times New Roman"/>
              </w:rPr>
              <w:t>, w tym programów priorytetowych NFOŚiGW.</w:t>
            </w:r>
            <w:r w:rsidR="001F6393" w:rsidRPr="00145F5E">
              <w:rPr>
                <w:rFonts w:ascii="Times New Roman" w:eastAsia="Times New Roman" w:hAnsi="Times New Roman"/>
              </w:rPr>
              <w:t xml:space="preserve"> </w:t>
            </w:r>
          </w:p>
          <w:p w14:paraId="0E3BF4A5" w14:textId="1A99BB5E" w:rsidR="001F6393" w:rsidRPr="0043193B" w:rsidRDefault="001F6393" w:rsidP="001F6393">
            <w:pPr>
              <w:pStyle w:val="Akapitzlist"/>
              <w:numPr>
                <w:ilvl w:val="0"/>
                <w:numId w:val="53"/>
              </w:numPr>
              <w:spacing w:before="120" w:after="120" w:line="240" w:lineRule="auto"/>
              <w:jc w:val="both"/>
              <w:rPr>
                <w:rFonts w:ascii="Times New Roman" w:eastAsia="Times New Roman" w:hAnsi="Times New Roman"/>
                <w:b/>
                <w:bCs/>
                <w:u w:val="single"/>
              </w:rPr>
            </w:pPr>
            <w:r w:rsidRPr="0043193B">
              <w:rPr>
                <w:rFonts w:ascii="Times New Roman" w:eastAsia="Times New Roman" w:hAnsi="Times New Roman"/>
                <w:b/>
                <w:bCs/>
                <w:u w:val="single"/>
              </w:rPr>
              <w:t xml:space="preserve">Wątpliwości interpretacyjne związane z ustanawianiem składu i struktury Rady Nadzorczej NFOŚiGW oraz </w:t>
            </w:r>
            <w:proofErr w:type="spellStart"/>
            <w:r w:rsidRPr="0043193B">
              <w:rPr>
                <w:rFonts w:ascii="Times New Roman" w:eastAsia="Times New Roman" w:hAnsi="Times New Roman"/>
                <w:b/>
                <w:bCs/>
                <w:u w:val="single"/>
              </w:rPr>
              <w:t>wfośigw</w:t>
            </w:r>
            <w:proofErr w:type="spellEnd"/>
          </w:p>
          <w:p w14:paraId="493F57A4" w14:textId="33313F35" w:rsidR="009E2612" w:rsidRPr="009E2612" w:rsidRDefault="009E2612" w:rsidP="009E2612">
            <w:pPr>
              <w:spacing w:before="120" w:after="120" w:line="240" w:lineRule="auto"/>
              <w:jc w:val="both"/>
              <w:rPr>
                <w:rFonts w:ascii="Times New Roman" w:hAnsi="Times New Roman"/>
              </w:rPr>
            </w:pPr>
            <w:r>
              <w:rPr>
                <w:rFonts w:ascii="Times New Roman" w:hAnsi="Times New Roman"/>
              </w:rPr>
              <w:t>Przepisy</w:t>
            </w:r>
            <w:r w:rsidRPr="009E2612">
              <w:rPr>
                <w:rFonts w:ascii="Times New Roman" w:hAnsi="Times New Roman"/>
              </w:rPr>
              <w:t xml:space="preserve"> </w:t>
            </w:r>
            <w:proofErr w:type="spellStart"/>
            <w:r>
              <w:rPr>
                <w:rFonts w:ascii="Times New Roman" w:hAnsi="Times New Roman"/>
              </w:rPr>
              <w:t>uP</w:t>
            </w:r>
            <w:r w:rsidRPr="009E2612">
              <w:rPr>
                <w:rFonts w:ascii="Times New Roman" w:hAnsi="Times New Roman"/>
              </w:rPr>
              <w:t>oś</w:t>
            </w:r>
            <w:proofErr w:type="spellEnd"/>
            <w:r w:rsidRPr="009E2612">
              <w:rPr>
                <w:rFonts w:ascii="Times New Roman" w:hAnsi="Times New Roman"/>
              </w:rPr>
              <w:t xml:space="preserve"> dotyczące wymogów dla przedstawicieli organizacji pozarządowych w radzie nadzorczej NFOŚiGW i</w:t>
            </w:r>
            <w:r w:rsidR="0043193B">
              <w:rPr>
                <w:rFonts w:ascii="Times New Roman" w:hAnsi="Times New Roman"/>
              </w:rPr>
              <w:t> </w:t>
            </w:r>
            <w:r w:rsidRPr="009E2612">
              <w:rPr>
                <w:rFonts w:ascii="Times New Roman" w:hAnsi="Times New Roman"/>
              </w:rPr>
              <w:t>w</w:t>
            </w:r>
            <w:r w:rsidR="0043193B">
              <w:rPr>
                <w:rFonts w:ascii="Times New Roman" w:hAnsi="Times New Roman"/>
              </w:rPr>
              <w:t> </w:t>
            </w:r>
            <w:r w:rsidRPr="009E2612">
              <w:rPr>
                <w:rFonts w:ascii="Times New Roman" w:hAnsi="Times New Roman"/>
              </w:rPr>
              <w:t xml:space="preserve">radach nadzorczych </w:t>
            </w:r>
            <w:proofErr w:type="spellStart"/>
            <w:r>
              <w:rPr>
                <w:rFonts w:ascii="Times New Roman" w:hAnsi="Times New Roman"/>
              </w:rPr>
              <w:t>wfośigw</w:t>
            </w:r>
            <w:proofErr w:type="spellEnd"/>
            <w:r w:rsidRPr="009E2612">
              <w:rPr>
                <w:rFonts w:ascii="Times New Roman" w:hAnsi="Times New Roman"/>
              </w:rPr>
              <w:t xml:space="preserve"> w obecnym brzmieniu nie są jednolite. </w:t>
            </w:r>
          </w:p>
          <w:p w14:paraId="1E12001A" w14:textId="1FB00417" w:rsidR="009E2612" w:rsidRPr="009E2612" w:rsidRDefault="009E2612" w:rsidP="009E2612">
            <w:pPr>
              <w:spacing w:before="120" w:after="120" w:line="240" w:lineRule="auto"/>
              <w:jc w:val="both"/>
              <w:rPr>
                <w:rFonts w:ascii="Times New Roman" w:hAnsi="Times New Roman"/>
              </w:rPr>
            </w:pPr>
            <w:r w:rsidRPr="009E2612">
              <w:rPr>
                <w:rFonts w:ascii="Times New Roman" w:hAnsi="Times New Roman"/>
              </w:rPr>
              <w:t xml:space="preserve">Art. 400d ust. 2 pkt 5 </w:t>
            </w:r>
            <w:proofErr w:type="spellStart"/>
            <w:r>
              <w:rPr>
                <w:rFonts w:ascii="Times New Roman" w:hAnsi="Times New Roman"/>
              </w:rPr>
              <w:t>uPoś</w:t>
            </w:r>
            <w:proofErr w:type="spellEnd"/>
            <w:r>
              <w:rPr>
                <w:rFonts w:ascii="Times New Roman" w:hAnsi="Times New Roman"/>
              </w:rPr>
              <w:t xml:space="preserve"> </w:t>
            </w:r>
            <w:r w:rsidRPr="009E2612">
              <w:rPr>
                <w:rFonts w:ascii="Times New Roman" w:hAnsi="Times New Roman"/>
              </w:rPr>
              <w:t>zawęża wybór organizacji, których przedstawiciel może być członkiem rady nadzorczej NFOŚiGW do organizacji ekologicznych, podczas gdy zasadnym jest, żeby działania takiej organizacji korespondowały z</w:t>
            </w:r>
            <w:r w:rsidR="00774F09">
              <w:rPr>
                <w:rFonts w:ascii="Times New Roman" w:hAnsi="Times New Roman"/>
              </w:rPr>
              <w:t> </w:t>
            </w:r>
            <w:r w:rsidRPr="009E2612">
              <w:rPr>
                <w:rFonts w:ascii="Times New Roman" w:hAnsi="Times New Roman"/>
              </w:rPr>
              <w:t>pełnym zakresem działań Ministra Klimatu i Środowiska.</w:t>
            </w:r>
          </w:p>
          <w:p w14:paraId="339AB0E6" w14:textId="5A7EA93E" w:rsidR="009E2612" w:rsidRPr="009E2612" w:rsidRDefault="009E2612" w:rsidP="009E2612">
            <w:pPr>
              <w:spacing w:before="120" w:after="120" w:line="240" w:lineRule="auto"/>
              <w:jc w:val="both"/>
              <w:rPr>
                <w:rFonts w:ascii="Times New Roman" w:hAnsi="Times New Roman"/>
              </w:rPr>
            </w:pPr>
            <w:r w:rsidRPr="009E2612">
              <w:rPr>
                <w:rFonts w:ascii="Times New Roman" w:hAnsi="Times New Roman"/>
              </w:rPr>
              <w:t xml:space="preserve">Organizacje ekologiczne zgłosiły </w:t>
            </w:r>
            <w:r>
              <w:rPr>
                <w:rFonts w:ascii="Times New Roman" w:hAnsi="Times New Roman"/>
              </w:rPr>
              <w:t xml:space="preserve">także </w:t>
            </w:r>
            <w:r w:rsidRPr="009E2612">
              <w:rPr>
                <w:rFonts w:ascii="Times New Roman" w:hAnsi="Times New Roman"/>
              </w:rPr>
              <w:t xml:space="preserve">wątpliwości interpretacyjne art. 400d ust. 2 pkt 5 </w:t>
            </w:r>
            <w:r>
              <w:rPr>
                <w:rFonts w:ascii="Times New Roman" w:hAnsi="Times New Roman"/>
              </w:rPr>
              <w:t xml:space="preserve">tej ustawy </w:t>
            </w:r>
            <w:r w:rsidRPr="009E2612">
              <w:rPr>
                <w:rFonts w:ascii="Times New Roman" w:hAnsi="Times New Roman"/>
              </w:rPr>
              <w:t>dot</w:t>
            </w:r>
            <w:r>
              <w:rPr>
                <w:rFonts w:ascii="Times New Roman" w:hAnsi="Times New Roman"/>
              </w:rPr>
              <w:t>yczące</w:t>
            </w:r>
            <w:r w:rsidRPr="009E2612">
              <w:rPr>
                <w:rFonts w:ascii="Times New Roman" w:hAnsi="Times New Roman"/>
              </w:rPr>
              <w:t xml:space="preserve"> wymogu posiadania przez nie struktur organizacyjnych na terenie całego kraju. </w:t>
            </w:r>
          </w:p>
          <w:p w14:paraId="50813E05" w14:textId="77777777" w:rsidR="009E2612" w:rsidRPr="009E2612" w:rsidRDefault="009E2612" w:rsidP="009E2612">
            <w:pPr>
              <w:spacing w:before="120" w:after="120" w:line="240" w:lineRule="auto"/>
              <w:jc w:val="both"/>
              <w:rPr>
                <w:rFonts w:ascii="Times New Roman" w:hAnsi="Times New Roman"/>
              </w:rPr>
            </w:pPr>
            <w:r w:rsidRPr="009E2612">
              <w:rPr>
                <w:rFonts w:ascii="Times New Roman" w:hAnsi="Times New Roman"/>
              </w:rPr>
              <w:t xml:space="preserve">Jednocześnie obecne brzmienie tego punktu nie doprecyzowuje sposobu postępowania w sytuacji uzyskania przez zgłoszonych kandydatów równej ilości głosów poparcia. </w:t>
            </w:r>
          </w:p>
          <w:p w14:paraId="33283182" w14:textId="7EF4A61E" w:rsidR="00F4724C" w:rsidRPr="00515165" w:rsidRDefault="009E2612" w:rsidP="00145F5E">
            <w:pPr>
              <w:spacing w:before="120" w:after="120" w:line="240" w:lineRule="auto"/>
              <w:jc w:val="both"/>
              <w:rPr>
                <w:rFonts w:ascii="Times New Roman" w:hAnsi="Times New Roman"/>
              </w:rPr>
            </w:pPr>
            <w:r w:rsidRPr="009E2612">
              <w:rPr>
                <w:rFonts w:ascii="Times New Roman" w:hAnsi="Times New Roman"/>
              </w:rPr>
              <w:t>Ponadto, w obecnym brzmieniu art. 400f ust. 2 pkt 1</w:t>
            </w:r>
            <w:r>
              <w:rPr>
                <w:rFonts w:ascii="Times New Roman" w:hAnsi="Times New Roman"/>
              </w:rPr>
              <w:t xml:space="preserve"> </w:t>
            </w:r>
            <w:proofErr w:type="spellStart"/>
            <w:r>
              <w:rPr>
                <w:rFonts w:ascii="Times New Roman" w:hAnsi="Times New Roman"/>
              </w:rPr>
              <w:t>uPoś</w:t>
            </w:r>
            <w:proofErr w:type="spellEnd"/>
            <w:r>
              <w:rPr>
                <w:rFonts w:ascii="Times New Roman" w:hAnsi="Times New Roman"/>
              </w:rPr>
              <w:t xml:space="preserve"> </w:t>
            </w:r>
            <w:r w:rsidRPr="009E2612">
              <w:rPr>
                <w:rFonts w:ascii="Times New Roman" w:hAnsi="Times New Roman"/>
              </w:rPr>
              <w:t xml:space="preserve">nie określa obszaru nauki ani zakresu działania organizacji pozarządowej, której przedstawiciel może zostać wyznaczony do składu rady nadzorczej </w:t>
            </w:r>
            <w:proofErr w:type="spellStart"/>
            <w:r w:rsidRPr="009E2612">
              <w:rPr>
                <w:rFonts w:ascii="Times New Roman" w:hAnsi="Times New Roman"/>
              </w:rPr>
              <w:t>w</w:t>
            </w:r>
            <w:r>
              <w:rPr>
                <w:rFonts w:ascii="Times New Roman" w:hAnsi="Times New Roman"/>
              </w:rPr>
              <w:t>fośigw</w:t>
            </w:r>
            <w:proofErr w:type="spellEnd"/>
            <w:r w:rsidRPr="009E2612">
              <w:rPr>
                <w:rFonts w:ascii="Times New Roman" w:hAnsi="Times New Roman"/>
              </w:rPr>
              <w:t xml:space="preserve">. Zasadnym jest doprecyzowanie, że w skład rady wchodzą wyznaczeni przez ministra właściwego do spraw klimatu przedstawiciele nauki lub organizacji pozarządowych działający w obszarze </w:t>
            </w:r>
            <w:r w:rsidR="00774F09">
              <w:rPr>
                <w:rFonts w:ascii="Times New Roman" w:hAnsi="Times New Roman"/>
              </w:rPr>
              <w:t>właściwości</w:t>
            </w:r>
            <w:r w:rsidRPr="009E2612">
              <w:rPr>
                <w:rFonts w:ascii="Times New Roman" w:hAnsi="Times New Roman"/>
              </w:rPr>
              <w:t xml:space="preserve"> Ministra Klimatu i Środowiska.</w:t>
            </w:r>
          </w:p>
        </w:tc>
      </w:tr>
      <w:tr w:rsidR="00A96B6E" w:rsidRPr="007A2509" w14:paraId="5428BD57" w14:textId="77777777" w:rsidTr="00515165">
        <w:trPr>
          <w:trHeight w:val="142"/>
        </w:trPr>
        <w:tc>
          <w:tcPr>
            <w:tcW w:w="10937" w:type="dxa"/>
            <w:gridSpan w:val="5"/>
            <w:shd w:val="clear" w:color="auto" w:fill="99CCFF"/>
            <w:vAlign w:val="center"/>
          </w:tcPr>
          <w:p w14:paraId="2616CFA5" w14:textId="77777777" w:rsidR="00A96B6E" w:rsidRPr="007A2509" w:rsidRDefault="00A96B6E" w:rsidP="00851A61">
            <w:pPr>
              <w:numPr>
                <w:ilvl w:val="0"/>
                <w:numId w:val="1"/>
              </w:numPr>
              <w:spacing w:line="240" w:lineRule="auto"/>
              <w:ind w:left="318" w:hanging="284"/>
              <w:jc w:val="both"/>
              <w:rPr>
                <w:rFonts w:ascii="Times New Roman" w:hAnsi="Times New Roman"/>
                <w:b/>
                <w:color w:val="000000"/>
              </w:rPr>
            </w:pPr>
            <w:r w:rsidRPr="007A2509">
              <w:rPr>
                <w:rFonts w:ascii="Times New Roman" w:hAnsi="Times New Roman"/>
                <w:b/>
                <w:color w:val="000000"/>
                <w:spacing w:val="-2"/>
              </w:rPr>
              <w:lastRenderedPageBreak/>
              <w:t>Rekomendowane rozwiązanie, w tym planowane narzędzia interwencji, i oczekiwany efekt</w:t>
            </w:r>
          </w:p>
        </w:tc>
      </w:tr>
      <w:tr w:rsidR="00A96B6E" w:rsidRPr="007A2509" w14:paraId="598B467C" w14:textId="77777777" w:rsidTr="00515165">
        <w:trPr>
          <w:trHeight w:val="142"/>
        </w:trPr>
        <w:tc>
          <w:tcPr>
            <w:tcW w:w="10937" w:type="dxa"/>
            <w:gridSpan w:val="5"/>
            <w:shd w:val="clear" w:color="auto" w:fill="auto"/>
          </w:tcPr>
          <w:p w14:paraId="7FDC9264" w14:textId="437E8001" w:rsidR="00E77EE2" w:rsidRDefault="00A96B6E" w:rsidP="006C3914">
            <w:pPr>
              <w:spacing w:before="120" w:after="120" w:line="240" w:lineRule="auto"/>
              <w:jc w:val="both"/>
              <w:rPr>
                <w:rFonts w:ascii="Times New Roman" w:hAnsi="Times New Roman"/>
                <w:color w:val="000000"/>
                <w:spacing w:val="-2"/>
              </w:rPr>
            </w:pPr>
            <w:r w:rsidRPr="00355F18">
              <w:rPr>
                <w:rFonts w:ascii="Times New Roman" w:hAnsi="Times New Roman"/>
                <w:color w:val="000000"/>
                <w:spacing w:val="-2"/>
              </w:rPr>
              <w:t xml:space="preserve">Celem niniejszej ustawy jest </w:t>
            </w:r>
            <w:r w:rsidR="004C215C" w:rsidRPr="00355F18">
              <w:rPr>
                <w:rFonts w:ascii="Times New Roman" w:hAnsi="Times New Roman"/>
                <w:color w:val="000000"/>
                <w:spacing w:val="-2"/>
              </w:rPr>
              <w:t xml:space="preserve">m.in. </w:t>
            </w:r>
            <w:r w:rsidR="005C45EB" w:rsidRPr="00355F18">
              <w:rPr>
                <w:rFonts w:ascii="Times New Roman" w:hAnsi="Times New Roman"/>
                <w:color w:val="000000"/>
                <w:spacing w:val="-2"/>
              </w:rPr>
              <w:t xml:space="preserve">wprowadzenie rozwiązań służących </w:t>
            </w:r>
            <w:r w:rsidR="00BB66E1" w:rsidRPr="00355F18">
              <w:rPr>
                <w:rFonts w:ascii="Times New Roman" w:hAnsi="Times New Roman"/>
                <w:color w:val="000000"/>
                <w:spacing w:val="-2"/>
              </w:rPr>
              <w:t xml:space="preserve">wzmocnieniu </w:t>
            </w:r>
            <w:r w:rsidR="004C215C" w:rsidRPr="00355F18">
              <w:rPr>
                <w:rFonts w:ascii="Times New Roman" w:hAnsi="Times New Roman"/>
                <w:color w:val="000000"/>
                <w:spacing w:val="-2"/>
              </w:rPr>
              <w:t>środowiskowego</w:t>
            </w:r>
            <w:r w:rsidR="00BB66E1" w:rsidRPr="00355F18">
              <w:rPr>
                <w:rFonts w:ascii="Times New Roman" w:hAnsi="Times New Roman"/>
                <w:color w:val="000000"/>
                <w:spacing w:val="-2"/>
              </w:rPr>
              <w:t xml:space="preserve"> wymiaru polityki miejskiej,</w:t>
            </w:r>
            <w:r w:rsidR="00BB66E1" w:rsidRPr="00537CC2">
              <w:rPr>
                <w:rFonts w:ascii="Times New Roman" w:hAnsi="Times New Roman"/>
                <w:color w:val="000000"/>
                <w:spacing w:val="-2"/>
              </w:rPr>
              <w:t xml:space="preserve"> w szczególności wzmocnienie aspektów transformacji ekologicznej miast</w:t>
            </w:r>
            <w:r w:rsidR="00C348B2" w:rsidRPr="00537CC2">
              <w:rPr>
                <w:rFonts w:ascii="Times New Roman" w:hAnsi="Times New Roman"/>
                <w:color w:val="000000"/>
                <w:spacing w:val="-2"/>
              </w:rPr>
              <w:t>, w tym poprawy jakości powietrza</w:t>
            </w:r>
            <w:r w:rsidR="00E77EE2">
              <w:rPr>
                <w:rFonts w:ascii="Times New Roman" w:hAnsi="Times New Roman"/>
                <w:color w:val="000000"/>
                <w:spacing w:val="-2"/>
              </w:rPr>
              <w:t xml:space="preserve">, dlatego </w:t>
            </w:r>
            <w:r w:rsidR="00D65186">
              <w:rPr>
                <w:rFonts w:ascii="Times New Roman" w:hAnsi="Times New Roman"/>
                <w:color w:val="000000"/>
                <w:spacing w:val="-2"/>
              </w:rPr>
              <w:t xml:space="preserve">jedynym </w:t>
            </w:r>
            <w:r w:rsidR="00E77EE2">
              <w:rPr>
                <w:rFonts w:ascii="Times New Roman" w:hAnsi="Times New Roman"/>
                <w:color w:val="000000"/>
                <w:spacing w:val="-2"/>
              </w:rPr>
              <w:t>rekomendowanym rozwiązaniem są zmiany w ustawie – Prawo ochrony środowiska oraz w niektórych innych ustawach</w:t>
            </w:r>
            <w:r w:rsidR="00C348B2" w:rsidRPr="00537CC2">
              <w:rPr>
                <w:rFonts w:ascii="Times New Roman" w:hAnsi="Times New Roman"/>
                <w:color w:val="000000"/>
                <w:spacing w:val="-2"/>
              </w:rPr>
              <w:t xml:space="preserve">. </w:t>
            </w:r>
          </w:p>
          <w:p w14:paraId="077A7795" w14:textId="68A3BAE2" w:rsidR="0086793D" w:rsidRPr="006C3914" w:rsidRDefault="005C45EB" w:rsidP="006C3914">
            <w:pPr>
              <w:spacing w:before="120" w:after="120" w:line="240" w:lineRule="auto"/>
              <w:jc w:val="both"/>
              <w:rPr>
                <w:rFonts w:ascii="Times New Roman" w:hAnsi="Times New Roman"/>
                <w:bCs/>
                <w:color w:val="000000"/>
                <w:spacing w:val="-2"/>
              </w:rPr>
            </w:pPr>
            <w:r w:rsidRPr="007A2509">
              <w:rPr>
                <w:rFonts w:ascii="Times New Roman" w:hAnsi="Times New Roman"/>
                <w:color w:val="000000"/>
                <w:spacing w:val="-2"/>
              </w:rPr>
              <w:t>Projektowane narzędzia interwencji polegają na wprowadzeniu obligatoryjnego opracowywania dla miast</w:t>
            </w:r>
            <w:r w:rsidR="00E51E8B">
              <w:rPr>
                <w:rFonts w:ascii="Times New Roman" w:hAnsi="Times New Roman"/>
                <w:color w:val="000000"/>
                <w:spacing w:val="-2"/>
              </w:rPr>
              <w:t xml:space="preserve"> o liczbie mieszkańców równej i większej niż </w:t>
            </w:r>
            <w:r w:rsidRPr="007A2509">
              <w:rPr>
                <w:rFonts w:ascii="Times New Roman" w:hAnsi="Times New Roman"/>
                <w:color w:val="000000"/>
                <w:spacing w:val="-2"/>
              </w:rPr>
              <w:t xml:space="preserve">20 </w:t>
            </w:r>
            <w:r w:rsidR="003B2433">
              <w:rPr>
                <w:rFonts w:ascii="Times New Roman" w:hAnsi="Times New Roman"/>
                <w:color w:val="000000"/>
                <w:spacing w:val="-2"/>
              </w:rPr>
              <w:t>tys.</w:t>
            </w:r>
            <w:r w:rsidR="003B2433" w:rsidRPr="007A2509">
              <w:rPr>
                <w:rFonts w:ascii="Times New Roman" w:hAnsi="Times New Roman"/>
                <w:color w:val="000000"/>
                <w:spacing w:val="-2"/>
              </w:rPr>
              <w:t xml:space="preserve"> </w:t>
            </w:r>
            <w:r w:rsidRPr="007A2509">
              <w:rPr>
                <w:rFonts w:ascii="Times New Roman" w:hAnsi="Times New Roman"/>
                <w:color w:val="000000"/>
                <w:spacing w:val="-2"/>
              </w:rPr>
              <w:t xml:space="preserve">planu adaptacji do zmian klimatu oraz </w:t>
            </w:r>
            <w:r w:rsidR="0027110E" w:rsidRPr="007A2509">
              <w:rPr>
                <w:rFonts w:ascii="Times New Roman" w:hAnsi="Times New Roman"/>
                <w:color w:val="000000"/>
                <w:spacing w:val="-2"/>
              </w:rPr>
              <w:t xml:space="preserve">uwzględniania </w:t>
            </w:r>
            <w:r w:rsidRPr="007A2509">
              <w:rPr>
                <w:rFonts w:ascii="Times New Roman" w:hAnsi="Times New Roman"/>
                <w:color w:val="000000"/>
                <w:spacing w:val="-2"/>
              </w:rPr>
              <w:t xml:space="preserve">aspektu adaptacji do zmian klimatu w dokumentach o charakterze strategicznym, w tym dotyczących planowania przestrzennego miast. Kolejnym elementem interwencji jest </w:t>
            </w:r>
            <w:r w:rsidR="005D6D71" w:rsidRPr="007A2509">
              <w:rPr>
                <w:rFonts w:ascii="Times New Roman" w:hAnsi="Times New Roman"/>
                <w:color w:val="000000"/>
                <w:spacing w:val="-2"/>
              </w:rPr>
              <w:t xml:space="preserve">wzmocnienie polityki prowadzonej przez samorząd </w:t>
            </w:r>
            <w:r w:rsidR="00007E43">
              <w:rPr>
                <w:rFonts w:ascii="Times New Roman" w:hAnsi="Times New Roman"/>
                <w:color w:val="000000"/>
                <w:spacing w:val="-2"/>
              </w:rPr>
              <w:t xml:space="preserve">gminy i </w:t>
            </w:r>
            <w:r w:rsidR="005D6D71" w:rsidRPr="007A2509">
              <w:rPr>
                <w:rFonts w:ascii="Times New Roman" w:hAnsi="Times New Roman"/>
                <w:color w:val="000000"/>
                <w:spacing w:val="-2"/>
              </w:rPr>
              <w:t>województwa</w:t>
            </w:r>
            <w:r w:rsidR="00007E43">
              <w:rPr>
                <w:rFonts w:ascii="Times New Roman" w:hAnsi="Times New Roman"/>
                <w:color w:val="000000"/>
                <w:spacing w:val="-2"/>
              </w:rPr>
              <w:t>, a także polityki krajowej</w:t>
            </w:r>
            <w:r w:rsidR="005D6D71" w:rsidRPr="007A2509">
              <w:rPr>
                <w:rFonts w:ascii="Times New Roman" w:hAnsi="Times New Roman"/>
                <w:color w:val="000000"/>
                <w:spacing w:val="-2"/>
              </w:rPr>
              <w:t xml:space="preserve"> o kontekst adaptacji do zmian klimatu, a także doprecyzowanie przepisów</w:t>
            </w:r>
            <w:r w:rsidR="0027110E" w:rsidRPr="007A2509">
              <w:rPr>
                <w:rFonts w:ascii="Times New Roman" w:hAnsi="Times New Roman"/>
                <w:bCs/>
                <w:i/>
                <w:color w:val="000000"/>
                <w:spacing w:val="-2"/>
              </w:rPr>
              <w:t xml:space="preserve"> </w:t>
            </w:r>
            <w:proofErr w:type="spellStart"/>
            <w:r w:rsidR="0027110E" w:rsidRPr="007A2509">
              <w:rPr>
                <w:rFonts w:ascii="Times New Roman" w:hAnsi="Times New Roman"/>
                <w:bCs/>
                <w:color w:val="000000"/>
                <w:spacing w:val="-2"/>
              </w:rPr>
              <w:t>Uooś</w:t>
            </w:r>
            <w:proofErr w:type="spellEnd"/>
            <w:r w:rsidR="005D6D71" w:rsidRPr="007A2509">
              <w:rPr>
                <w:rFonts w:ascii="Times New Roman" w:hAnsi="Times New Roman"/>
                <w:bCs/>
                <w:color w:val="000000"/>
                <w:spacing w:val="-2"/>
              </w:rPr>
              <w:t xml:space="preserve"> w</w:t>
            </w:r>
            <w:r w:rsidR="00F454EE">
              <w:rPr>
                <w:rFonts w:ascii="Times New Roman" w:hAnsi="Times New Roman"/>
                <w:bCs/>
                <w:color w:val="000000"/>
                <w:spacing w:val="-2"/>
              </w:rPr>
              <w:t> </w:t>
            </w:r>
            <w:r w:rsidR="005D6D71" w:rsidRPr="007A2509">
              <w:rPr>
                <w:rFonts w:ascii="Times New Roman" w:hAnsi="Times New Roman"/>
                <w:bCs/>
                <w:color w:val="000000"/>
                <w:spacing w:val="-2"/>
              </w:rPr>
              <w:t>zakresie analizy podatności przedsięwzięcia na zmiany klimatu.</w:t>
            </w:r>
            <w:r w:rsidR="00364BE4">
              <w:rPr>
                <w:rFonts w:ascii="Times New Roman" w:hAnsi="Times New Roman"/>
                <w:bCs/>
                <w:color w:val="000000"/>
                <w:spacing w:val="-2"/>
              </w:rPr>
              <w:t xml:space="preserve"> </w:t>
            </w:r>
            <w:r w:rsidR="00D37E89" w:rsidRPr="00D37E89">
              <w:rPr>
                <w:rFonts w:ascii="Times New Roman" w:hAnsi="Times New Roman"/>
                <w:bCs/>
                <w:color w:val="000000"/>
                <w:spacing w:val="-2"/>
              </w:rPr>
              <w:t xml:space="preserve">Jednocześnie w ramach celu ustawy wprowadzono także dodatkowe mechanizmy wspierające realizację przedsięwzięć proekologicznych w miastach oraz pozostałych obszarach kraju, w których </w:t>
            </w:r>
            <w:r w:rsidR="00A551C6" w:rsidRPr="00D37E89">
              <w:rPr>
                <w:rFonts w:ascii="Times New Roman" w:hAnsi="Times New Roman"/>
                <w:bCs/>
                <w:color w:val="000000"/>
                <w:spacing w:val="-2"/>
              </w:rPr>
              <w:t xml:space="preserve">są </w:t>
            </w:r>
            <w:r w:rsidR="00D37E89" w:rsidRPr="00D37E89">
              <w:rPr>
                <w:rFonts w:ascii="Times New Roman" w:hAnsi="Times New Roman"/>
                <w:bCs/>
                <w:color w:val="000000"/>
                <w:spacing w:val="-2"/>
              </w:rPr>
              <w:t xml:space="preserve">stwierdzane przekroczenia poziomów dopuszczalnych i docelowych dla substancji objętych systemem monitoringu jakości powietrza, nie tylko przez wydłużenie czasu na realizację działań naprawczych określonych w programach ochrony powietrza, ale także uatrakcyjnienie warunków realizacji Programu „Stop Smog” oraz Programu Priorytetowego „Czyste Powietrze”, które </w:t>
            </w:r>
            <w:r w:rsidR="00A551C6" w:rsidRPr="00D37E89">
              <w:rPr>
                <w:rFonts w:ascii="Times New Roman" w:hAnsi="Times New Roman"/>
                <w:bCs/>
                <w:color w:val="000000"/>
                <w:spacing w:val="-2"/>
              </w:rPr>
              <w:t xml:space="preserve">są </w:t>
            </w:r>
            <w:r w:rsidR="00D37E89" w:rsidRPr="00D37E89">
              <w:rPr>
                <w:rFonts w:ascii="Times New Roman" w:hAnsi="Times New Roman"/>
                <w:bCs/>
                <w:color w:val="000000"/>
                <w:spacing w:val="-2"/>
              </w:rPr>
              <w:t>dedykowane dofinansowaniu m.in. wymiany urządzeń lub systemów grzewczych na spełniające standardy niskoemisyjne</w:t>
            </w:r>
            <w:r w:rsidR="00D15EDB">
              <w:rPr>
                <w:rFonts w:ascii="Times New Roman" w:hAnsi="Times New Roman"/>
                <w:bCs/>
                <w:color w:val="000000"/>
                <w:spacing w:val="-2"/>
              </w:rPr>
              <w:t>,</w:t>
            </w:r>
            <w:r w:rsidR="00D15EDB" w:rsidRPr="00D37E89">
              <w:rPr>
                <w:rFonts w:ascii="Times New Roman" w:hAnsi="Times New Roman"/>
                <w:bCs/>
                <w:color w:val="000000"/>
                <w:spacing w:val="-2"/>
              </w:rPr>
              <w:t xml:space="preserve"> </w:t>
            </w:r>
            <w:r w:rsidR="00D37E89" w:rsidRPr="00D37E89">
              <w:rPr>
                <w:rFonts w:ascii="Times New Roman" w:hAnsi="Times New Roman"/>
                <w:bCs/>
                <w:color w:val="000000"/>
                <w:spacing w:val="-2"/>
              </w:rPr>
              <w:t>likwidacji urządzeń lub systemów grzewczych oraz przyłączaniu do sieci ciepłowniczej</w:t>
            </w:r>
            <w:r w:rsidR="00D15EDB">
              <w:rPr>
                <w:rFonts w:ascii="Times New Roman" w:hAnsi="Times New Roman"/>
                <w:bCs/>
                <w:color w:val="000000"/>
                <w:spacing w:val="-2"/>
              </w:rPr>
              <w:t>,</w:t>
            </w:r>
            <w:r w:rsidR="00D37E89" w:rsidRPr="00D37E89">
              <w:rPr>
                <w:rFonts w:ascii="Times New Roman" w:hAnsi="Times New Roman"/>
                <w:bCs/>
                <w:color w:val="000000"/>
                <w:spacing w:val="-2"/>
              </w:rPr>
              <w:t xml:space="preserve"> elektroenergetycznej lub gazowej oraz kompleksowej termomodernizacji </w:t>
            </w:r>
            <w:r w:rsidR="00065CD6">
              <w:rPr>
                <w:rFonts w:ascii="Times New Roman" w:hAnsi="Times New Roman"/>
                <w:bCs/>
                <w:color w:val="000000"/>
                <w:spacing w:val="-2"/>
              </w:rPr>
              <w:t xml:space="preserve">jednorodzinnych </w:t>
            </w:r>
            <w:r w:rsidR="00D37E89" w:rsidRPr="00D37E89">
              <w:rPr>
                <w:rFonts w:ascii="Times New Roman" w:hAnsi="Times New Roman"/>
                <w:bCs/>
                <w:color w:val="000000"/>
                <w:spacing w:val="-2"/>
              </w:rPr>
              <w:t>budynków mieszkalnych. W</w:t>
            </w:r>
            <w:r w:rsidR="00410BE8">
              <w:rPr>
                <w:rFonts w:ascii="Times New Roman" w:hAnsi="Times New Roman"/>
                <w:bCs/>
                <w:color w:val="000000"/>
                <w:spacing w:val="-2"/>
              </w:rPr>
              <w:t> </w:t>
            </w:r>
            <w:r w:rsidR="00D37E89" w:rsidRPr="00D37E89">
              <w:rPr>
                <w:rFonts w:ascii="Times New Roman" w:hAnsi="Times New Roman"/>
                <w:bCs/>
                <w:color w:val="000000"/>
                <w:spacing w:val="-2"/>
              </w:rPr>
              <w:t>wyniku w</w:t>
            </w:r>
            <w:r w:rsidR="00B57C90">
              <w:rPr>
                <w:rFonts w:ascii="Times New Roman" w:hAnsi="Times New Roman"/>
                <w:bCs/>
                <w:color w:val="000000"/>
                <w:spacing w:val="-2"/>
              </w:rPr>
              <w:t>drożenia działań wynikających z w</w:t>
            </w:r>
            <w:r w:rsidR="00D37E89" w:rsidRPr="00D37E89">
              <w:rPr>
                <w:rFonts w:ascii="Times New Roman" w:hAnsi="Times New Roman"/>
                <w:bCs/>
                <w:color w:val="000000"/>
                <w:spacing w:val="-2"/>
              </w:rPr>
              <w:t xml:space="preserve">ejścia </w:t>
            </w:r>
            <w:r w:rsidR="006D3D79">
              <w:rPr>
                <w:rFonts w:ascii="Times New Roman" w:hAnsi="Times New Roman"/>
                <w:bCs/>
                <w:color w:val="000000"/>
                <w:spacing w:val="-2"/>
              </w:rPr>
              <w:t xml:space="preserve">w życie </w:t>
            </w:r>
            <w:r w:rsidR="00D37E89" w:rsidRPr="00D37E89">
              <w:rPr>
                <w:rFonts w:ascii="Times New Roman" w:hAnsi="Times New Roman"/>
                <w:bCs/>
                <w:color w:val="000000"/>
                <w:spacing w:val="-2"/>
              </w:rPr>
              <w:t xml:space="preserve">przepisów ustawy </w:t>
            </w:r>
            <w:r w:rsidR="00B57C90">
              <w:rPr>
                <w:rFonts w:ascii="Times New Roman" w:hAnsi="Times New Roman"/>
                <w:bCs/>
                <w:color w:val="000000"/>
                <w:spacing w:val="-2"/>
              </w:rPr>
              <w:t xml:space="preserve">możliwe będzie przyśpieszenie procesu </w:t>
            </w:r>
            <w:r w:rsidR="00D37E89" w:rsidRPr="00D37E89">
              <w:rPr>
                <w:rFonts w:ascii="Times New Roman" w:hAnsi="Times New Roman"/>
                <w:bCs/>
                <w:color w:val="000000"/>
                <w:spacing w:val="-2"/>
              </w:rPr>
              <w:t xml:space="preserve"> nie tylko </w:t>
            </w:r>
            <w:r w:rsidR="00B57C90" w:rsidRPr="00D37E89">
              <w:rPr>
                <w:rFonts w:ascii="Times New Roman" w:hAnsi="Times New Roman"/>
                <w:bCs/>
                <w:color w:val="000000"/>
                <w:spacing w:val="-2"/>
              </w:rPr>
              <w:t>popraw</w:t>
            </w:r>
            <w:r w:rsidR="00B57C90">
              <w:rPr>
                <w:rFonts w:ascii="Times New Roman" w:hAnsi="Times New Roman"/>
                <w:bCs/>
                <w:color w:val="000000"/>
                <w:spacing w:val="-2"/>
              </w:rPr>
              <w:t>y</w:t>
            </w:r>
            <w:r w:rsidR="00B57C90" w:rsidRPr="00D37E89">
              <w:rPr>
                <w:rFonts w:ascii="Times New Roman" w:hAnsi="Times New Roman"/>
                <w:bCs/>
                <w:color w:val="000000"/>
                <w:spacing w:val="-2"/>
              </w:rPr>
              <w:t xml:space="preserve"> </w:t>
            </w:r>
            <w:r w:rsidR="00D37E89" w:rsidRPr="00D37E89">
              <w:rPr>
                <w:rFonts w:ascii="Times New Roman" w:hAnsi="Times New Roman"/>
                <w:bCs/>
                <w:color w:val="000000"/>
                <w:spacing w:val="-2"/>
              </w:rPr>
              <w:t>stanu powietrza, ale także ograniczeni</w:t>
            </w:r>
            <w:r w:rsidR="00B57C90">
              <w:rPr>
                <w:rFonts w:ascii="Times New Roman" w:hAnsi="Times New Roman"/>
                <w:bCs/>
                <w:color w:val="000000"/>
                <w:spacing w:val="-2"/>
              </w:rPr>
              <w:t>a</w:t>
            </w:r>
            <w:r w:rsidR="00D37E89" w:rsidRPr="00D37E89">
              <w:rPr>
                <w:rFonts w:ascii="Times New Roman" w:hAnsi="Times New Roman"/>
                <w:bCs/>
                <w:color w:val="000000"/>
                <w:spacing w:val="-2"/>
              </w:rPr>
              <w:t xml:space="preserve"> wielkości emisji gazów cieplarnianych do powietrza. </w:t>
            </w:r>
            <w:r w:rsidR="00F3458D">
              <w:rPr>
                <w:rFonts w:ascii="Times New Roman" w:hAnsi="Times New Roman"/>
                <w:bCs/>
                <w:color w:val="000000"/>
                <w:spacing w:val="-2"/>
              </w:rPr>
              <w:t xml:space="preserve">Proponowane działania </w:t>
            </w:r>
            <w:r w:rsidR="00B57C90">
              <w:rPr>
                <w:rFonts w:ascii="Times New Roman" w:hAnsi="Times New Roman"/>
                <w:bCs/>
                <w:color w:val="000000"/>
                <w:spacing w:val="-2"/>
              </w:rPr>
              <w:t xml:space="preserve">wynikające z przepisów </w:t>
            </w:r>
            <w:r w:rsidR="00F3458D">
              <w:rPr>
                <w:rFonts w:ascii="Times New Roman" w:hAnsi="Times New Roman"/>
                <w:bCs/>
                <w:color w:val="000000"/>
                <w:spacing w:val="-2"/>
              </w:rPr>
              <w:t xml:space="preserve">usprawnią niektóre </w:t>
            </w:r>
            <w:r w:rsidR="00F577B4">
              <w:rPr>
                <w:rFonts w:ascii="Times New Roman" w:hAnsi="Times New Roman"/>
                <w:bCs/>
                <w:color w:val="000000"/>
                <w:spacing w:val="-2"/>
              </w:rPr>
              <w:t>procesy</w:t>
            </w:r>
            <w:r w:rsidR="00F3458D">
              <w:rPr>
                <w:rFonts w:ascii="Times New Roman" w:hAnsi="Times New Roman"/>
                <w:bCs/>
                <w:color w:val="000000"/>
                <w:spacing w:val="-2"/>
              </w:rPr>
              <w:t xml:space="preserve"> administracyjne i przełożą się na możliwość pozyskania przez jednostki samorządowe większ</w:t>
            </w:r>
            <w:r w:rsidR="005E5BEF">
              <w:rPr>
                <w:rFonts w:ascii="Times New Roman" w:hAnsi="Times New Roman"/>
                <w:bCs/>
                <w:color w:val="000000"/>
                <w:spacing w:val="-2"/>
              </w:rPr>
              <w:t>ych</w:t>
            </w:r>
            <w:r w:rsidR="00F3458D">
              <w:rPr>
                <w:rFonts w:ascii="Times New Roman" w:hAnsi="Times New Roman"/>
                <w:bCs/>
                <w:color w:val="000000"/>
                <w:spacing w:val="-2"/>
              </w:rPr>
              <w:t xml:space="preserve"> środków finansowych na poprawę jakości powietrza czy </w:t>
            </w:r>
            <w:r w:rsidR="00065CD6">
              <w:rPr>
                <w:rFonts w:ascii="Times New Roman" w:hAnsi="Times New Roman"/>
                <w:bCs/>
                <w:color w:val="000000"/>
                <w:spacing w:val="-2"/>
              </w:rPr>
              <w:t xml:space="preserve">też </w:t>
            </w:r>
            <w:r w:rsidR="00F3458D">
              <w:rPr>
                <w:rFonts w:ascii="Times New Roman" w:hAnsi="Times New Roman"/>
                <w:bCs/>
                <w:color w:val="000000"/>
                <w:spacing w:val="-2"/>
              </w:rPr>
              <w:t>odporności miast na zmiany klimatu.</w:t>
            </w:r>
          </w:p>
          <w:p w14:paraId="004A30C7" w14:textId="1296AB17" w:rsidR="00E8520D" w:rsidRDefault="00E8520D" w:rsidP="00723662">
            <w:pPr>
              <w:numPr>
                <w:ilvl w:val="0"/>
                <w:numId w:val="3"/>
              </w:numPr>
              <w:tabs>
                <w:tab w:val="left" w:pos="320"/>
              </w:tabs>
              <w:spacing w:line="240" w:lineRule="auto"/>
              <w:jc w:val="both"/>
              <w:rPr>
                <w:rFonts w:ascii="Times New Roman" w:hAnsi="Times New Roman"/>
                <w:b/>
                <w:bCs/>
                <w:color w:val="000000"/>
                <w:u w:val="single"/>
              </w:rPr>
            </w:pPr>
            <w:r w:rsidRPr="007A2509">
              <w:rPr>
                <w:rFonts w:ascii="Times New Roman" w:hAnsi="Times New Roman"/>
                <w:b/>
                <w:bCs/>
                <w:color w:val="000000"/>
                <w:u w:val="single"/>
              </w:rPr>
              <w:t xml:space="preserve">Uwzględnienie kwestii adaptacji do zmian klimatu </w:t>
            </w:r>
            <w:r w:rsidR="00333A4B">
              <w:rPr>
                <w:rFonts w:ascii="Times New Roman" w:hAnsi="Times New Roman"/>
                <w:b/>
                <w:bCs/>
                <w:color w:val="000000"/>
                <w:u w:val="single"/>
              </w:rPr>
              <w:t xml:space="preserve">i zielonej transformacji </w:t>
            </w:r>
            <w:r w:rsidRPr="007A2509">
              <w:rPr>
                <w:rFonts w:ascii="Times New Roman" w:hAnsi="Times New Roman"/>
                <w:b/>
                <w:bCs/>
                <w:color w:val="000000"/>
                <w:u w:val="single"/>
              </w:rPr>
              <w:t xml:space="preserve">w polityce rozwoju </w:t>
            </w:r>
            <w:r>
              <w:rPr>
                <w:rFonts w:ascii="Times New Roman" w:hAnsi="Times New Roman"/>
                <w:b/>
                <w:bCs/>
                <w:color w:val="000000"/>
                <w:u w:val="single"/>
              </w:rPr>
              <w:t xml:space="preserve">gminy, </w:t>
            </w:r>
            <w:r w:rsidRPr="007A2509">
              <w:rPr>
                <w:rFonts w:ascii="Times New Roman" w:hAnsi="Times New Roman"/>
                <w:b/>
                <w:bCs/>
                <w:color w:val="000000"/>
                <w:u w:val="single"/>
              </w:rPr>
              <w:t>województwa</w:t>
            </w:r>
            <w:r>
              <w:rPr>
                <w:rFonts w:ascii="Times New Roman" w:hAnsi="Times New Roman"/>
                <w:b/>
                <w:bCs/>
                <w:color w:val="000000"/>
                <w:u w:val="single"/>
              </w:rPr>
              <w:t xml:space="preserve"> oraz kraju</w:t>
            </w:r>
          </w:p>
          <w:p w14:paraId="393DE4C3" w14:textId="690E95EE" w:rsidR="002A4E46" w:rsidRDefault="00E8520D" w:rsidP="00CC2517">
            <w:pPr>
              <w:spacing w:line="240" w:lineRule="auto"/>
              <w:jc w:val="both"/>
              <w:rPr>
                <w:rFonts w:ascii="Times New Roman" w:hAnsi="Times New Roman"/>
                <w:color w:val="000000"/>
                <w:spacing w:val="-2"/>
              </w:rPr>
            </w:pPr>
            <w:r w:rsidRPr="007A2509">
              <w:rPr>
                <w:rFonts w:ascii="Times New Roman" w:hAnsi="Times New Roman"/>
                <w:color w:val="000000"/>
                <w:spacing w:val="-2"/>
              </w:rPr>
              <w:lastRenderedPageBreak/>
              <w:t xml:space="preserve">Projektowana ustawa wprowadza </w:t>
            </w:r>
            <w:r w:rsidR="00753070" w:rsidRPr="007A2509">
              <w:rPr>
                <w:rFonts w:ascii="Times New Roman" w:hAnsi="Times New Roman"/>
                <w:color w:val="000000"/>
                <w:spacing w:val="-2"/>
              </w:rPr>
              <w:t>zmian</w:t>
            </w:r>
            <w:r w:rsidR="00753070">
              <w:rPr>
                <w:rFonts w:ascii="Times New Roman" w:hAnsi="Times New Roman"/>
                <w:color w:val="000000"/>
                <w:spacing w:val="-2"/>
              </w:rPr>
              <w:t>y</w:t>
            </w:r>
            <w:r w:rsidR="00753070" w:rsidRPr="007A2509">
              <w:rPr>
                <w:rFonts w:ascii="Times New Roman" w:hAnsi="Times New Roman"/>
                <w:color w:val="000000"/>
                <w:spacing w:val="-2"/>
              </w:rPr>
              <w:t xml:space="preserve"> </w:t>
            </w:r>
            <w:r w:rsidRPr="007A2509">
              <w:rPr>
                <w:rFonts w:ascii="Times New Roman" w:hAnsi="Times New Roman"/>
                <w:color w:val="000000"/>
                <w:spacing w:val="-2"/>
              </w:rPr>
              <w:t>w ustaw</w:t>
            </w:r>
            <w:r>
              <w:rPr>
                <w:rFonts w:ascii="Times New Roman" w:hAnsi="Times New Roman"/>
                <w:color w:val="000000"/>
                <w:spacing w:val="-2"/>
              </w:rPr>
              <w:t>ach</w:t>
            </w:r>
            <w:r w:rsidR="00681A08">
              <w:rPr>
                <w:rFonts w:ascii="Times New Roman" w:hAnsi="Times New Roman"/>
                <w:color w:val="000000"/>
                <w:spacing w:val="-2"/>
              </w:rPr>
              <w:t>:</w:t>
            </w:r>
            <w:r>
              <w:rPr>
                <w:rFonts w:ascii="Times New Roman" w:hAnsi="Times New Roman"/>
                <w:color w:val="000000"/>
                <w:spacing w:val="-2"/>
              </w:rPr>
              <w:t xml:space="preserve"> </w:t>
            </w:r>
            <w:r w:rsidRPr="00E8520D">
              <w:rPr>
                <w:rFonts w:ascii="Times New Roman" w:hAnsi="Times New Roman"/>
                <w:color w:val="000000"/>
                <w:spacing w:val="-2"/>
              </w:rPr>
              <w:t xml:space="preserve">z dnia 8 marca 1990 r. </w:t>
            </w:r>
            <w:r w:rsidRPr="00804C6F">
              <w:rPr>
                <w:rFonts w:ascii="Times New Roman" w:hAnsi="Times New Roman"/>
                <w:i/>
                <w:iCs/>
                <w:color w:val="000000"/>
                <w:spacing w:val="-2"/>
              </w:rPr>
              <w:t>o samorządzie gminnym</w:t>
            </w:r>
            <w:r w:rsidR="00753070">
              <w:rPr>
                <w:rFonts w:ascii="Times New Roman" w:hAnsi="Times New Roman"/>
                <w:color w:val="000000"/>
                <w:spacing w:val="-2"/>
              </w:rPr>
              <w:t xml:space="preserve"> (Dz. U. </w:t>
            </w:r>
            <w:r w:rsidR="00F1492B" w:rsidRPr="00F1492B">
              <w:rPr>
                <w:rFonts w:ascii="Times New Roman" w:hAnsi="Times New Roman"/>
                <w:color w:val="000000"/>
                <w:spacing w:val="-2"/>
              </w:rPr>
              <w:t>z 202</w:t>
            </w:r>
            <w:r w:rsidR="000F56DA">
              <w:rPr>
                <w:rFonts w:ascii="Times New Roman" w:hAnsi="Times New Roman"/>
                <w:color w:val="000000"/>
                <w:spacing w:val="-2"/>
              </w:rPr>
              <w:t>4</w:t>
            </w:r>
            <w:r w:rsidR="00F1492B" w:rsidRPr="00F1492B">
              <w:rPr>
                <w:rFonts w:ascii="Times New Roman" w:hAnsi="Times New Roman"/>
                <w:color w:val="000000"/>
                <w:spacing w:val="-2"/>
              </w:rPr>
              <w:t xml:space="preserve"> r. poz.</w:t>
            </w:r>
            <w:r w:rsidR="003D4AC2">
              <w:rPr>
                <w:rFonts w:ascii="Times New Roman" w:hAnsi="Times New Roman"/>
                <w:color w:val="000000"/>
                <w:spacing w:val="-2"/>
              </w:rPr>
              <w:t> </w:t>
            </w:r>
            <w:r w:rsidR="000F56DA">
              <w:rPr>
                <w:rFonts w:ascii="Times New Roman" w:hAnsi="Times New Roman"/>
                <w:color w:val="000000"/>
                <w:spacing w:val="-2"/>
              </w:rPr>
              <w:t>609</w:t>
            </w:r>
            <w:r w:rsidR="00753070">
              <w:rPr>
                <w:rFonts w:ascii="Times New Roman" w:hAnsi="Times New Roman"/>
                <w:color w:val="000000"/>
                <w:spacing w:val="-2"/>
              </w:rPr>
              <w:t>)</w:t>
            </w:r>
            <w:r>
              <w:rPr>
                <w:rFonts w:ascii="Times New Roman" w:hAnsi="Times New Roman"/>
                <w:color w:val="000000"/>
                <w:spacing w:val="-2"/>
              </w:rPr>
              <w:t>,</w:t>
            </w:r>
            <w:r w:rsidRPr="007A2509">
              <w:rPr>
                <w:rFonts w:ascii="Times New Roman" w:hAnsi="Times New Roman"/>
                <w:color w:val="000000"/>
                <w:spacing w:val="-2"/>
              </w:rPr>
              <w:t xml:space="preserve"> z dnia 5 czerwca 1998 r. </w:t>
            </w:r>
            <w:r w:rsidRPr="00804C6F">
              <w:rPr>
                <w:rFonts w:ascii="Times New Roman" w:hAnsi="Times New Roman"/>
                <w:i/>
                <w:iCs/>
                <w:color w:val="000000"/>
                <w:spacing w:val="-2"/>
              </w:rPr>
              <w:t>o samorządzie województwa</w:t>
            </w:r>
            <w:r w:rsidR="00753070">
              <w:rPr>
                <w:rFonts w:ascii="Times New Roman" w:hAnsi="Times New Roman"/>
                <w:color w:val="000000"/>
                <w:spacing w:val="-2"/>
              </w:rPr>
              <w:t xml:space="preserve"> (Dz. U. </w:t>
            </w:r>
            <w:r w:rsidR="00F1492B" w:rsidRPr="00F1492B">
              <w:rPr>
                <w:rFonts w:ascii="Times New Roman" w:hAnsi="Times New Roman"/>
                <w:color w:val="000000"/>
                <w:spacing w:val="-2"/>
              </w:rPr>
              <w:t>z 202</w:t>
            </w:r>
            <w:r w:rsidR="000F56DA">
              <w:rPr>
                <w:rFonts w:ascii="Times New Roman" w:hAnsi="Times New Roman"/>
                <w:color w:val="000000"/>
                <w:spacing w:val="-2"/>
              </w:rPr>
              <w:t>4</w:t>
            </w:r>
            <w:r w:rsidR="00F1492B" w:rsidRPr="00F1492B">
              <w:rPr>
                <w:rFonts w:ascii="Times New Roman" w:hAnsi="Times New Roman"/>
                <w:color w:val="000000"/>
                <w:spacing w:val="-2"/>
              </w:rPr>
              <w:t xml:space="preserve"> r. poz. </w:t>
            </w:r>
            <w:r w:rsidR="000F56DA">
              <w:rPr>
                <w:rFonts w:ascii="Times New Roman" w:hAnsi="Times New Roman"/>
                <w:color w:val="000000"/>
                <w:spacing w:val="-2"/>
              </w:rPr>
              <w:t>566</w:t>
            </w:r>
            <w:r w:rsidR="00753070">
              <w:rPr>
                <w:rFonts w:ascii="Times New Roman" w:hAnsi="Times New Roman"/>
                <w:color w:val="000000"/>
                <w:spacing w:val="-2"/>
              </w:rPr>
              <w:t>)</w:t>
            </w:r>
            <w:r>
              <w:rPr>
                <w:rFonts w:ascii="Times New Roman" w:hAnsi="Times New Roman"/>
                <w:color w:val="000000"/>
                <w:spacing w:val="-2"/>
              </w:rPr>
              <w:t xml:space="preserve"> oraz</w:t>
            </w:r>
            <w:r w:rsidRPr="007A2509">
              <w:rPr>
                <w:rFonts w:ascii="Times New Roman" w:hAnsi="Times New Roman"/>
                <w:color w:val="000000"/>
                <w:spacing w:val="-2"/>
              </w:rPr>
              <w:t xml:space="preserve"> </w:t>
            </w:r>
            <w:r w:rsidRPr="00E8520D">
              <w:rPr>
                <w:rFonts w:ascii="Times New Roman" w:hAnsi="Times New Roman"/>
                <w:color w:val="000000"/>
                <w:spacing w:val="-2"/>
              </w:rPr>
              <w:t xml:space="preserve">z dnia 6 grudnia 2006 r. </w:t>
            </w:r>
            <w:r w:rsidRPr="00804C6F">
              <w:rPr>
                <w:rFonts w:ascii="Times New Roman" w:hAnsi="Times New Roman"/>
                <w:i/>
                <w:iCs/>
                <w:color w:val="000000"/>
                <w:spacing w:val="-2"/>
              </w:rPr>
              <w:t>o</w:t>
            </w:r>
            <w:r w:rsidR="000F56DA">
              <w:rPr>
                <w:rFonts w:ascii="Times New Roman" w:hAnsi="Times New Roman"/>
                <w:i/>
                <w:iCs/>
                <w:color w:val="000000"/>
                <w:spacing w:val="-2"/>
              </w:rPr>
              <w:t> </w:t>
            </w:r>
            <w:r w:rsidRPr="00804C6F">
              <w:rPr>
                <w:rFonts w:ascii="Times New Roman" w:hAnsi="Times New Roman"/>
                <w:i/>
                <w:iCs/>
                <w:color w:val="000000"/>
                <w:spacing w:val="-2"/>
              </w:rPr>
              <w:t>zasadach prowadzenia polityki rozwoju</w:t>
            </w:r>
            <w:r w:rsidRPr="007A2509">
              <w:rPr>
                <w:rFonts w:ascii="Times New Roman" w:hAnsi="Times New Roman"/>
                <w:color w:val="000000"/>
                <w:spacing w:val="-2"/>
              </w:rPr>
              <w:t xml:space="preserve">, </w:t>
            </w:r>
            <w:bookmarkStart w:id="25" w:name="_Hlk157679114"/>
            <w:r w:rsidR="00753070" w:rsidRPr="007A2509">
              <w:rPr>
                <w:rFonts w:ascii="Times New Roman" w:hAnsi="Times New Roman"/>
                <w:color w:val="000000"/>
                <w:spacing w:val="-2"/>
              </w:rPr>
              <w:t>polegając</w:t>
            </w:r>
            <w:r w:rsidR="00753070">
              <w:rPr>
                <w:rFonts w:ascii="Times New Roman" w:hAnsi="Times New Roman"/>
                <w:color w:val="000000"/>
                <w:spacing w:val="-2"/>
              </w:rPr>
              <w:t>e</w:t>
            </w:r>
            <w:r w:rsidR="00753070" w:rsidRPr="007A2509">
              <w:rPr>
                <w:rFonts w:ascii="Times New Roman" w:hAnsi="Times New Roman"/>
                <w:color w:val="000000"/>
                <w:spacing w:val="-2"/>
              </w:rPr>
              <w:t xml:space="preserve"> </w:t>
            </w:r>
            <w:r w:rsidRPr="007A2509">
              <w:rPr>
                <w:rFonts w:ascii="Times New Roman" w:hAnsi="Times New Roman"/>
                <w:color w:val="000000"/>
                <w:spacing w:val="-2"/>
              </w:rPr>
              <w:t xml:space="preserve">na uwzględnieniu komponentu </w:t>
            </w:r>
            <w:r w:rsidR="002A4E46">
              <w:rPr>
                <w:rFonts w:ascii="Times New Roman" w:hAnsi="Times New Roman"/>
                <w:color w:val="000000"/>
                <w:spacing w:val="-2"/>
              </w:rPr>
              <w:t>klimatyczno-środowiskowego</w:t>
            </w:r>
            <w:r w:rsidRPr="007A2509">
              <w:rPr>
                <w:rFonts w:ascii="Times New Roman" w:hAnsi="Times New Roman"/>
                <w:color w:val="000000"/>
                <w:spacing w:val="-2"/>
              </w:rPr>
              <w:t xml:space="preserve"> w</w:t>
            </w:r>
            <w:r w:rsidR="000F56DA">
              <w:rPr>
                <w:rFonts w:ascii="Times New Roman" w:hAnsi="Times New Roman"/>
                <w:color w:val="000000"/>
                <w:spacing w:val="-2"/>
              </w:rPr>
              <w:t> </w:t>
            </w:r>
            <w:r w:rsidR="002A4E46">
              <w:rPr>
                <w:rFonts w:ascii="Times New Roman" w:hAnsi="Times New Roman"/>
                <w:color w:val="000000"/>
                <w:spacing w:val="-2"/>
              </w:rPr>
              <w:t>strategiach</w:t>
            </w:r>
            <w:r w:rsidRPr="007A2509">
              <w:rPr>
                <w:rFonts w:ascii="Times New Roman" w:hAnsi="Times New Roman"/>
                <w:color w:val="000000"/>
                <w:spacing w:val="-2"/>
              </w:rPr>
              <w:t xml:space="preserve"> rozwoju</w:t>
            </w:r>
            <w:r w:rsidR="002A4E46">
              <w:rPr>
                <w:rFonts w:ascii="Times New Roman" w:hAnsi="Times New Roman"/>
                <w:color w:val="000000"/>
                <w:spacing w:val="-2"/>
              </w:rPr>
              <w:t xml:space="preserve"> gmin, </w:t>
            </w:r>
            <w:r w:rsidRPr="007A2509">
              <w:rPr>
                <w:rFonts w:ascii="Times New Roman" w:hAnsi="Times New Roman"/>
                <w:color w:val="000000"/>
                <w:spacing w:val="-2"/>
              </w:rPr>
              <w:t>województw</w:t>
            </w:r>
            <w:r w:rsidR="002A4E46">
              <w:rPr>
                <w:rFonts w:ascii="Times New Roman" w:hAnsi="Times New Roman"/>
                <w:color w:val="000000"/>
                <w:spacing w:val="-2"/>
              </w:rPr>
              <w:t xml:space="preserve"> i kraju</w:t>
            </w:r>
            <w:bookmarkEnd w:id="25"/>
            <w:r w:rsidR="00BD6F1D" w:rsidRPr="00BD6F1D">
              <w:rPr>
                <w:rFonts w:ascii="Times New Roman" w:hAnsi="Times New Roman"/>
                <w:color w:val="000000"/>
                <w:spacing w:val="-2"/>
              </w:rPr>
              <w:t xml:space="preserve"> oraz strategiach rozwoju ponadlokalnego</w:t>
            </w:r>
            <w:r w:rsidRPr="007A2509">
              <w:rPr>
                <w:rFonts w:ascii="Times New Roman" w:hAnsi="Times New Roman"/>
                <w:color w:val="000000"/>
                <w:spacing w:val="-2"/>
              </w:rPr>
              <w:t xml:space="preserve">. </w:t>
            </w:r>
          </w:p>
          <w:p w14:paraId="167DD599" w14:textId="0207E7F1" w:rsidR="00E8520D" w:rsidRDefault="00C26D3C" w:rsidP="00E8520D">
            <w:pPr>
              <w:spacing w:line="240" w:lineRule="auto"/>
              <w:jc w:val="both"/>
              <w:rPr>
                <w:rFonts w:ascii="Times New Roman" w:hAnsi="Times New Roman"/>
                <w:color w:val="000000"/>
                <w:spacing w:val="-2"/>
              </w:rPr>
            </w:pPr>
            <w:r>
              <w:rPr>
                <w:rFonts w:ascii="Times New Roman" w:hAnsi="Times New Roman"/>
                <w:color w:val="000000"/>
                <w:spacing w:val="-2"/>
              </w:rPr>
              <w:t>K</w:t>
            </w:r>
            <w:r w:rsidR="002A4E46">
              <w:rPr>
                <w:rFonts w:ascii="Times New Roman" w:hAnsi="Times New Roman"/>
                <w:color w:val="000000"/>
                <w:spacing w:val="-2"/>
              </w:rPr>
              <w:t xml:space="preserve">westie adaptacyjne zostaną </w:t>
            </w:r>
            <w:r>
              <w:rPr>
                <w:rFonts w:ascii="Times New Roman" w:hAnsi="Times New Roman"/>
                <w:color w:val="000000"/>
                <w:spacing w:val="-2"/>
              </w:rPr>
              <w:t xml:space="preserve">też </w:t>
            </w:r>
            <w:r w:rsidR="002A4E46">
              <w:rPr>
                <w:rFonts w:ascii="Times New Roman" w:hAnsi="Times New Roman"/>
                <w:color w:val="000000"/>
                <w:spacing w:val="-2"/>
              </w:rPr>
              <w:t xml:space="preserve">bardziej podkreślone w polityce rozwoju województwa. </w:t>
            </w:r>
            <w:r w:rsidR="00E8520D" w:rsidRPr="007A2509">
              <w:rPr>
                <w:rFonts w:ascii="Times New Roman" w:hAnsi="Times New Roman"/>
                <w:color w:val="000000"/>
                <w:spacing w:val="-2"/>
              </w:rPr>
              <w:t xml:space="preserve">Korzyścią będzie zobowiązanie samorządu województwa do tworzenia warunków dla prowadzenia działań na rzecz </w:t>
            </w:r>
            <w:r w:rsidR="002A4E46" w:rsidRPr="002A4E46">
              <w:rPr>
                <w:rFonts w:ascii="Times New Roman" w:hAnsi="Times New Roman"/>
                <w:color w:val="000000"/>
                <w:spacing w:val="-2"/>
              </w:rPr>
              <w:t>ochrony klimatu oraz działań adaptacyjnych, zmniejszających podatność na zmiany klimatu</w:t>
            </w:r>
            <w:r w:rsidR="00E8520D" w:rsidRPr="007A2509">
              <w:rPr>
                <w:rFonts w:ascii="Times New Roman" w:hAnsi="Times New Roman"/>
                <w:color w:val="000000"/>
                <w:spacing w:val="-2"/>
              </w:rPr>
              <w:t xml:space="preserve">. Rola samorządu województwa jest kluczowa m.in. w zakresie programowania i wdrażania </w:t>
            </w:r>
            <w:r w:rsidR="00D6413B">
              <w:rPr>
                <w:rFonts w:ascii="Times New Roman" w:hAnsi="Times New Roman"/>
                <w:color w:val="000000"/>
                <w:spacing w:val="-2"/>
              </w:rPr>
              <w:t>obecnej</w:t>
            </w:r>
            <w:r w:rsidR="00D6413B" w:rsidRPr="007A2509">
              <w:rPr>
                <w:rFonts w:ascii="Times New Roman" w:hAnsi="Times New Roman"/>
                <w:color w:val="000000"/>
                <w:spacing w:val="-2"/>
              </w:rPr>
              <w:t xml:space="preserve"> </w:t>
            </w:r>
            <w:r w:rsidR="00E8520D" w:rsidRPr="007A2509">
              <w:rPr>
                <w:rFonts w:ascii="Times New Roman" w:hAnsi="Times New Roman"/>
                <w:color w:val="000000"/>
                <w:spacing w:val="-2"/>
              </w:rPr>
              <w:t xml:space="preserve">perspektywy finansowej UE, w której kontekst adaptacji do zmian klimatu </w:t>
            </w:r>
            <w:r w:rsidR="00D6413B">
              <w:rPr>
                <w:rFonts w:ascii="Times New Roman" w:hAnsi="Times New Roman"/>
                <w:color w:val="000000"/>
                <w:spacing w:val="-2"/>
              </w:rPr>
              <w:t>jest</w:t>
            </w:r>
            <w:r w:rsidR="002C6FD6">
              <w:rPr>
                <w:rFonts w:ascii="Times New Roman" w:hAnsi="Times New Roman"/>
                <w:color w:val="000000"/>
                <w:spacing w:val="-2"/>
              </w:rPr>
              <w:t xml:space="preserve"> </w:t>
            </w:r>
            <w:r w:rsidR="00E8520D" w:rsidRPr="007A2509">
              <w:rPr>
                <w:rFonts w:ascii="Times New Roman" w:hAnsi="Times New Roman"/>
                <w:color w:val="000000"/>
                <w:spacing w:val="-2"/>
              </w:rPr>
              <w:t xml:space="preserve">działaniem horyzontalnym, w związku z tym włączenie tych kwestii do polityki rozwoju województwa jest wysoce uzasadnione. Jedynie działania na wszystkich szczeblach rządowych, jak i samorządowych zapewnią kompleksowość działań na rzecz wzmacniania polityki adaptacyjnej, zwłaszcza w kontekście sektorów i obszarów wrażliwych na zmiany klimatu. </w:t>
            </w:r>
          </w:p>
          <w:p w14:paraId="3F40B997" w14:textId="157B48C7" w:rsidR="00E8520D" w:rsidRDefault="00E8520D" w:rsidP="006C3914">
            <w:pPr>
              <w:spacing w:before="120" w:after="120" w:line="240" w:lineRule="auto"/>
              <w:jc w:val="both"/>
              <w:rPr>
                <w:rFonts w:ascii="Times New Roman" w:hAnsi="Times New Roman"/>
                <w:color w:val="000000"/>
                <w:spacing w:val="-2"/>
              </w:rPr>
            </w:pPr>
            <w:bookmarkStart w:id="26" w:name="_Hlk89429363"/>
            <w:r w:rsidRPr="00B83D3D">
              <w:rPr>
                <w:rFonts w:ascii="Times New Roman" w:hAnsi="Times New Roman"/>
                <w:color w:val="000000"/>
                <w:spacing w:val="-2"/>
              </w:rPr>
              <w:t>Mając na uwadze, że plan zagospodarowania przestrzennego województwa stanowi integralną częś</w:t>
            </w:r>
            <w:r w:rsidR="00596F0E" w:rsidRPr="00B83D3D">
              <w:rPr>
                <w:rFonts w:ascii="Times New Roman" w:hAnsi="Times New Roman"/>
                <w:color w:val="000000"/>
                <w:spacing w:val="-2"/>
              </w:rPr>
              <w:t>ć</w:t>
            </w:r>
            <w:r w:rsidRPr="00B83D3D">
              <w:rPr>
                <w:rFonts w:ascii="Times New Roman" w:hAnsi="Times New Roman"/>
                <w:color w:val="000000"/>
                <w:spacing w:val="-2"/>
              </w:rPr>
              <w:t xml:space="preserve"> polityki rozwoju województwa</w:t>
            </w:r>
            <w:r w:rsidR="00C26D3C" w:rsidRPr="00B83D3D">
              <w:rPr>
                <w:rFonts w:ascii="Times New Roman" w:hAnsi="Times New Roman"/>
                <w:color w:val="000000"/>
                <w:spacing w:val="-2"/>
              </w:rPr>
              <w:t xml:space="preserve">, </w:t>
            </w:r>
            <w:r w:rsidRPr="00B83D3D">
              <w:rPr>
                <w:rFonts w:ascii="Times New Roman" w:hAnsi="Times New Roman"/>
                <w:color w:val="000000"/>
                <w:spacing w:val="-2"/>
              </w:rPr>
              <w:t xml:space="preserve">zasadne </w:t>
            </w:r>
            <w:r w:rsidR="00BD6F1D" w:rsidRPr="00B83D3D">
              <w:rPr>
                <w:rFonts w:ascii="Times New Roman" w:hAnsi="Times New Roman"/>
                <w:color w:val="000000"/>
                <w:spacing w:val="-2"/>
              </w:rPr>
              <w:t xml:space="preserve">jest </w:t>
            </w:r>
            <w:r w:rsidRPr="00B83D3D">
              <w:rPr>
                <w:rFonts w:ascii="Times New Roman" w:hAnsi="Times New Roman"/>
                <w:color w:val="000000"/>
                <w:spacing w:val="-2"/>
              </w:rPr>
              <w:t>doprecyzowan</w:t>
            </w:r>
            <w:r w:rsidR="00A551C6" w:rsidRPr="00B83D3D">
              <w:rPr>
                <w:rFonts w:ascii="Times New Roman" w:hAnsi="Times New Roman"/>
                <w:color w:val="000000"/>
                <w:spacing w:val="-2"/>
              </w:rPr>
              <w:t>i</w:t>
            </w:r>
            <w:r w:rsidRPr="00B83D3D">
              <w:rPr>
                <w:rFonts w:ascii="Times New Roman" w:hAnsi="Times New Roman"/>
                <w:color w:val="000000"/>
                <w:spacing w:val="-2"/>
              </w:rPr>
              <w:t xml:space="preserve">e przedmiotowych </w:t>
            </w:r>
            <w:r w:rsidR="00BD6F1D" w:rsidRPr="00B83D3D">
              <w:rPr>
                <w:rFonts w:ascii="Times New Roman" w:hAnsi="Times New Roman"/>
                <w:color w:val="000000"/>
                <w:spacing w:val="-2"/>
              </w:rPr>
              <w:t xml:space="preserve">kwestii </w:t>
            </w:r>
            <w:r w:rsidRPr="00B83D3D">
              <w:rPr>
                <w:rFonts w:ascii="Times New Roman" w:hAnsi="Times New Roman"/>
                <w:color w:val="000000"/>
                <w:spacing w:val="-2"/>
              </w:rPr>
              <w:t>również w przygotowywanym przez samorząd województwa planie regionalnym</w:t>
            </w:r>
            <w:r w:rsidR="002A4E46" w:rsidRPr="00B83D3D">
              <w:rPr>
                <w:rFonts w:ascii="Times New Roman" w:hAnsi="Times New Roman"/>
                <w:color w:val="000000"/>
                <w:spacing w:val="-2"/>
              </w:rPr>
              <w:t xml:space="preserve">, </w:t>
            </w:r>
            <w:r w:rsidR="00C26D3C" w:rsidRPr="00B83D3D">
              <w:rPr>
                <w:rFonts w:ascii="Times New Roman" w:hAnsi="Times New Roman"/>
                <w:color w:val="000000"/>
                <w:spacing w:val="-2"/>
              </w:rPr>
              <w:t xml:space="preserve">dlatego też </w:t>
            </w:r>
            <w:r w:rsidRPr="00B83D3D">
              <w:rPr>
                <w:rFonts w:ascii="Times New Roman" w:hAnsi="Times New Roman"/>
                <w:color w:val="000000"/>
                <w:spacing w:val="-2"/>
              </w:rPr>
              <w:t>proponuje się analogiczną zmianę w ustawie z dnia 27 marca 2003</w:t>
            </w:r>
            <w:r w:rsidR="00681A08" w:rsidRPr="00B83D3D">
              <w:rPr>
                <w:rFonts w:ascii="Times New Roman" w:hAnsi="Times New Roman"/>
                <w:color w:val="000000"/>
                <w:spacing w:val="-2"/>
              </w:rPr>
              <w:t> </w:t>
            </w:r>
            <w:r w:rsidRPr="00B83D3D">
              <w:rPr>
                <w:rFonts w:ascii="Times New Roman" w:hAnsi="Times New Roman"/>
                <w:color w:val="000000"/>
                <w:spacing w:val="-2"/>
              </w:rPr>
              <w:t xml:space="preserve">r. </w:t>
            </w:r>
            <w:r w:rsidRPr="00B83D3D">
              <w:rPr>
                <w:rFonts w:ascii="Times New Roman" w:hAnsi="Times New Roman"/>
                <w:i/>
                <w:iCs/>
                <w:color w:val="000000"/>
                <w:spacing w:val="-2"/>
              </w:rPr>
              <w:t>o</w:t>
            </w:r>
            <w:r w:rsidR="000136D4" w:rsidRPr="00B83D3D">
              <w:rPr>
                <w:rFonts w:ascii="Times New Roman" w:hAnsi="Times New Roman"/>
                <w:i/>
                <w:iCs/>
                <w:color w:val="000000"/>
                <w:spacing w:val="-2"/>
              </w:rPr>
              <w:t> </w:t>
            </w:r>
            <w:r w:rsidRPr="00B83D3D">
              <w:rPr>
                <w:rFonts w:ascii="Times New Roman" w:hAnsi="Times New Roman"/>
                <w:i/>
                <w:iCs/>
                <w:color w:val="000000"/>
                <w:spacing w:val="-2"/>
              </w:rPr>
              <w:t>planowaniu i zagospodarowaniu przestrzennym</w:t>
            </w:r>
            <w:r w:rsidR="00753070" w:rsidRPr="00B83D3D">
              <w:rPr>
                <w:rFonts w:ascii="Times New Roman" w:hAnsi="Times New Roman"/>
                <w:color w:val="000000"/>
                <w:spacing w:val="-2"/>
              </w:rPr>
              <w:t xml:space="preserve"> (Dz. U. </w:t>
            </w:r>
            <w:r w:rsidR="00057F5D" w:rsidRPr="00B83D3D">
              <w:rPr>
                <w:rFonts w:ascii="Times New Roman" w:hAnsi="Times New Roman"/>
                <w:color w:val="000000"/>
                <w:spacing w:val="-2"/>
              </w:rPr>
              <w:t xml:space="preserve">z 2023 r. poz. 977, </w:t>
            </w:r>
            <w:r w:rsidR="00416ABB" w:rsidRPr="00B83D3D">
              <w:rPr>
                <w:rFonts w:ascii="Times New Roman" w:hAnsi="Times New Roman"/>
                <w:color w:val="000000"/>
                <w:spacing w:val="-2"/>
              </w:rPr>
              <w:t xml:space="preserve">z </w:t>
            </w:r>
            <w:proofErr w:type="spellStart"/>
            <w:r w:rsidR="00416ABB" w:rsidRPr="00B83D3D">
              <w:rPr>
                <w:rFonts w:ascii="Times New Roman" w:hAnsi="Times New Roman"/>
                <w:color w:val="000000"/>
                <w:spacing w:val="-2"/>
              </w:rPr>
              <w:t>późn</w:t>
            </w:r>
            <w:proofErr w:type="spellEnd"/>
            <w:r w:rsidR="00416ABB" w:rsidRPr="00B83D3D">
              <w:rPr>
                <w:rFonts w:ascii="Times New Roman" w:hAnsi="Times New Roman"/>
                <w:color w:val="000000"/>
                <w:spacing w:val="-2"/>
              </w:rPr>
              <w:t>. zm.</w:t>
            </w:r>
            <w:r w:rsidR="00753070" w:rsidRPr="00B83D3D">
              <w:rPr>
                <w:rFonts w:ascii="Times New Roman" w:hAnsi="Times New Roman"/>
                <w:color w:val="000000"/>
                <w:spacing w:val="-2"/>
              </w:rPr>
              <w:t>)</w:t>
            </w:r>
            <w:r w:rsidR="002A4E46" w:rsidRPr="00B83D3D">
              <w:rPr>
                <w:rFonts w:ascii="Times New Roman" w:hAnsi="Times New Roman"/>
                <w:color w:val="000000"/>
                <w:spacing w:val="-2"/>
              </w:rPr>
              <w:t>.</w:t>
            </w:r>
            <w:bookmarkEnd w:id="26"/>
          </w:p>
          <w:p w14:paraId="096AA62A" w14:textId="2BD379DF" w:rsidR="00BF0D67" w:rsidRPr="00B83D3D" w:rsidRDefault="00557E1B" w:rsidP="00E55CB1">
            <w:pPr>
              <w:pStyle w:val="Akapitzlist"/>
              <w:numPr>
                <w:ilvl w:val="0"/>
                <w:numId w:val="3"/>
              </w:numPr>
              <w:autoSpaceDE w:val="0"/>
              <w:autoSpaceDN w:val="0"/>
              <w:adjustRightInd w:val="0"/>
              <w:spacing w:line="240" w:lineRule="auto"/>
              <w:jc w:val="both"/>
              <w:rPr>
                <w:rFonts w:ascii="Times New Roman" w:hAnsi="Times New Roman"/>
                <w:b/>
                <w:bCs/>
                <w:u w:val="single"/>
                <w:lang w:eastAsia="pl-PL"/>
              </w:rPr>
            </w:pPr>
            <w:r w:rsidRPr="00B83D3D">
              <w:rPr>
                <w:rFonts w:ascii="Times New Roman" w:hAnsi="Times New Roman"/>
                <w:b/>
                <w:bCs/>
                <w:lang w:eastAsia="pl-PL"/>
              </w:rPr>
              <w:t>W</w:t>
            </w:r>
            <w:r w:rsidR="00BF0D67" w:rsidRPr="00B83D3D">
              <w:rPr>
                <w:rFonts w:ascii="Times New Roman" w:hAnsi="Times New Roman"/>
                <w:b/>
                <w:bCs/>
                <w:u w:val="single"/>
                <w:lang w:eastAsia="pl-PL"/>
              </w:rPr>
              <w:t>prowadzenie rozwiązań prawnych oraz organizacyjno-instytucjonalnych mających na celu przyśpieszenie</w:t>
            </w:r>
            <w:r w:rsidR="006C3914" w:rsidRPr="00B83D3D">
              <w:rPr>
                <w:rFonts w:ascii="Times New Roman" w:hAnsi="Times New Roman"/>
                <w:b/>
                <w:bCs/>
                <w:u w:val="single"/>
                <w:lang w:eastAsia="pl-PL"/>
              </w:rPr>
              <w:t> </w:t>
            </w:r>
            <w:r w:rsidR="00BF0D67" w:rsidRPr="00B83D3D">
              <w:rPr>
                <w:rFonts w:ascii="Times New Roman" w:hAnsi="Times New Roman"/>
                <w:b/>
                <w:bCs/>
                <w:u w:val="single"/>
                <w:lang w:eastAsia="pl-PL"/>
              </w:rPr>
              <w:t>procesu zielonej transformacji miast w Polsce (kamień milowy KPO B24L)</w:t>
            </w:r>
          </w:p>
          <w:p w14:paraId="5B754A42" w14:textId="77777777" w:rsidR="00BF0D67" w:rsidRPr="00712B14" w:rsidRDefault="00BF0D67" w:rsidP="006C3914">
            <w:pPr>
              <w:autoSpaceDE w:val="0"/>
              <w:autoSpaceDN w:val="0"/>
              <w:adjustRightInd w:val="0"/>
              <w:spacing w:before="120" w:after="120" w:line="240" w:lineRule="auto"/>
              <w:jc w:val="both"/>
              <w:rPr>
                <w:rFonts w:ascii="Times New Roman" w:hAnsi="Times New Roman"/>
                <w:lang w:eastAsia="pl-PL"/>
              </w:rPr>
            </w:pPr>
            <w:r w:rsidRPr="00712B14">
              <w:rPr>
                <w:rFonts w:ascii="Times New Roman" w:hAnsi="Times New Roman"/>
                <w:lang w:eastAsia="pl-PL"/>
              </w:rPr>
              <w:t>Proponowanym rozwiązaniem jest stworzenie trwałego, systemowego rozwiązania instytucjonalnego na rzecz wsparcia zielonej transformacji obszarów miejskich.</w:t>
            </w:r>
          </w:p>
          <w:p w14:paraId="3DAEBE3D" w14:textId="6AF71762" w:rsidR="00BF0D67" w:rsidRPr="00145F5E" w:rsidRDefault="00BF0D67" w:rsidP="006C3914">
            <w:pPr>
              <w:autoSpaceDE w:val="0"/>
              <w:autoSpaceDN w:val="0"/>
              <w:adjustRightInd w:val="0"/>
              <w:spacing w:after="120" w:line="240" w:lineRule="auto"/>
              <w:jc w:val="both"/>
              <w:rPr>
                <w:rFonts w:ascii="Times New Roman" w:hAnsi="Times New Roman"/>
                <w:lang w:eastAsia="pl-PL"/>
              </w:rPr>
            </w:pPr>
            <w:r w:rsidRPr="00712B14">
              <w:rPr>
                <w:rFonts w:ascii="Times New Roman" w:hAnsi="Times New Roman"/>
                <w:lang w:eastAsia="pl-PL"/>
              </w:rPr>
              <w:t xml:space="preserve">Celem ustawy jest </w:t>
            </w:r>
            <w:bookmarkStart w:id="27" w:name="_Hlk157679139"/>
            <w:r w:rsidRPr="00712B14">
              <w:rPr>
                <w:rFonts w:ascii="Times New Roman" w:hAnsi="Times New Roman"/>
                <w:lang w:eastAsia="pl-PL"/>
              </w:rPr>
              <w:t>zwiększenie możliwości oferowanego wsparcia Funduszu Rozwoju Regionalnego</w:t>
            </w:r>
            <w:r w:rsidR="001029EF" w:rsidRPr="00712B14">
              <w:rPr>
                <w:rFonts w:ascii="Times New Roman" w:hAnsi="Times New Roman"/>
                <w:lang w:eastAsia="pl-PL"/>
              </w:rPr>
              <w:t xml:space="preserve"> (FRR)</w:t>
            </w:r>
            <w:r w:rsidRPr="00712B14">
              <w:rPr>
                <w:rFonts w:ascii="Times New Roman" w:hAnsi="Times New Roman"/>
                <w:lang w:eastAsia="pl-PL"/>
              </w:rPr>
              <w:t xml:space="preserve"> o działania na</w:t>
            </w:r>
            <w:r w:rsidR="006D0E1E" w:rsidRPr="00712B14">
              <w:rPr>
                <w:rFonts w:ascii="Times New Roman" w:hAnsi="Times New Roman"/>
                <w:lang w:eastAsia="pl-PL"/>
              </w:rPr>
              <w:t xml:space="preserve"> </w:t>
            </w:r>
            <w:r w:rsidRPr="00712B14">
              <w:rPr>
                <w:rFonts w:ascii="Times New Roman" w:hAnsi="Times New Roman"/>
                <w:lang w:eastAsia="pl-PL"/>
              </w:rPr>
              <w:t>rzecz zielonej transformacji w miastach</w:t>
            </w:r>
            <w:bookmarkEnd w:id="27"/>
            <w:r w:rsidRPr="00712B14">
              <w:rPr>
                <w:rFonts w:ascii="Times New Roman" w:hAnsi="Times New Roman"/>
                <w:lang w:eastAsia="pl-PL"/>
              </w:rPr>
              <w:t xml:space="preserve">. </w:t>
            </w:r>
            <w:r w:rsidR="00D15EDB" w:rsidRPr="00712B14">
              <w:rPr>
                <w:rFonts w:ascii="Times New Roman" w:hAnsi="Times New Roman"/>
                <w:lang w:eastAsia="pl-PL"/>
              </w:rPr>
              <w:t xml:space="preserve">Zmiany w rozdziale 4b </w:t>
            </w:r>
            <w:r w:rsidRPr="00712B14">
              <w:rPr>
                <w:rFonts w:ascii="Times New Roman" w:hAnsi="Times New Roman"/>
                <w:lang w:eastAsia="pl-PL"/>
              </w:rPr>
              <w:t xml:space="preserve">w ustawie z dnia 6 grudnia 2006 r. </w:t>
            </w:r>
            <w:r w:rsidRPr="00712B14">
              <w:rPr>
                <w:rFonts w:ascii="Times New Roman" w:hAnsi="Times New Roman"/>
                <w:i/>
                <w:iCs/>
                <w:lang w:eastAsia="pl-PL"/>
              </w:rPr>
              <w:t>o zasadach</w:t>
            </w:r>
            <w:r w:rsidR="00CC2517" w:rsidRPr="00712B14">
              <w:rPr>
                <w:rFonts w:ascii="Times New Roman" w:hAnsi="Times New Roman"/>
                <w:i/>
                <w:iCs/>
                <w:lang w:eastAsia="pl-PL"/>
              </w:rPr>
              <w:t xml:space="preserve"> </w:t>
            </w:r>
            <w:r w:rsidRPr="00712B14">
              <w:rPr>
                <w:rFonts w:ascii="Times New Roman" w:hAnsi="Times New Roman"/>
                <w:i/>
                <w:iCs/>
                <w:lang w:eastAsia="pl-PL"/>
              </w:rPr>
              <w:t xml:space="preserve">prowadzenia polityki rozwoju </w:t>
            </w:r>
            <w:r w:rsidRPr="00712B14">
              <w:rPr>
                <w:rFonts w:ascii="Times New Roman" w:hAnsi="Times New Roman"/>
                <w:lang w:eastAsia="pl-PL"/>
              </w:rPr>
              <w:t>mają na celu</w:t>
            </w:r>
            <w:r w:rsidR="00CC2517" w:rsidRPr="00712B14">
              <w:rPr>
                <w:rFonts w:ascii="Times New Roman" w:hAnsi="Times New Roman"/>
                <w:lang w:eastAsia="pl-PL"/>
              </w:rPr>
              <w:t xml:space="preserve"> </w:t>
            </w:r>
            <w:r w:rsidRPr="00712B14">
              <w:rPr>
                <w:rFonts w:ascii="Times New Roman" w:hAnsi="Times New Roman"/>
                <w:lang w:eastAsia="pl-PL"/>
              </w:rPr>
              <w:t>wzmocnienie prowadzenia polityki miejskiej o działania na rzecz zielonej transformacji miast. Zakres interwencji</w:t>
            </w:r>
            <w:r w:rsidR="00CC2517" w:rsidRPr="00712B14">
              <w:rPr>
                <w:rFonts w:ascii="Times New Roman" w:hAnsi="Times New Roman"/>
                <w:lang w:eastAsia="pl-PL"/>
              </w:rPr>
              <w:t xml:space="preserve"> </w:t>
            </w:r>
            <w:r w:rsidRPr="00712B14">
              <w:rPr>
                <w:rFonts w:ascii="Times New Roman" w:hAnsi="Times New Roman"/>
                <w:lang w:eastAsia="pl-PL"/>
              </w:rPr>
              <w:t xml:space="preserve">istniejącego już Funduszu Rozwoju Regionalnego </w:t>
            </w:r>
            <w:r w:rsidR="00B54D43" w:rsidRPr="00712B14">
              <w:rPr>
                <w:rFonts w:ascii="Times New Roman" w:hAnsi="Times New Roman"/>
                <w:lang w:eastAsia="pl-PL"/>
              </w:rPr>
              <w:t>zo</w:t>
            </w:r>
            <w:r w:rsidRPr="00712B14">
              <w:rPr>
                <w:rFonts w:ascii="Times New Roman" w:hAnsi="Times New Roman"/>
                <w:lang w:eastAsia="pl-PL"/>
              </w:rPr>
              <w:t>sta</w:t>
            </w:r>
            <w:r w:rsidR="00BD6F1D" w:rsidRPr="00712B14">
              <w:rPr>
                <w:rFonts w:ascii="Times New Roman" w:hAnsi="Times New Roman"/>
                <w:lang w:eastAsia="pl-PL"/>
              </w:rPr>
              <w:t>nie</w:t>
            </w:r>
            <w:r w:rsidRPr="00712B14">
              <w:rPr>
                <w:rFonts w:ascii="Times New Roman" w:hAnsi="Times New Roman"/>
                <w:lang w:eastAsia="pl-PL"/>
              </w:rPr>
              <w:t xml:space="preserve"> rozszerzony o inwestycje służące zielonej transformacji</w:t>
            </w:r>
            <w:r w:rsidR="00CC2517" w:rsidRPr="00712B14">
              <w:rPr>
                <w:rFonts w:ascii="Times New Roman" w:hAnsi="Times New Roman"/>
                <w:lang w:eastAsia="pl-PL"/>
              </w:rPr>
              <w:t xml:space="preserve"> </w:t>
            </w:r>
            <w:r w:rsidRPr="00712B14">
              <w:rPr>
                <w:rFonts w:ascii="Times New Roman" w:hAnsi="Times New Roman"/>
                <w:lang w:eastAsia="pl-PL"/>
              </w:rPr>
              <w:t>miast i ich obszarów funkcjonalnych. Będzie on również umożliwiał wdrożenie projektów lub ich rezultatów</w:t>
            </w:r>
            <w:r w:rsidR="00CC2517" w:rsidRPr="00712B14">
              <w:rPr>
                <w:rFonts w:ascii="Times New Roman" w:hAnsi="Times New Roman"/>
                <w:lang w:eastAsia="pl-PL"/>
              </w:rPr>
              <w:t xml:space="preserve"> </w:t>
            </w:r>
            <w:r w:rsidRPr="00712B14">
              <w:rPr>
                <w:rFonts w:ascii="Times New Roman" w:hAnsi="Times New Roman"/>
                <w:lang w:eastAsia="pl-PL"/>
              </w:rPr>
              <w:t>wynikających z kluczowych dokumentów strategicznych</w:t>
            </w:r>
            <w:r w:rsidRPr="00145F5E">
              <w:rPr>
                <w:rFonts w:ascii="Times New Roman" w:hAnsi="Times New Roman"/>
                <w:lang w:eastAsia="pl-PL"/>
              </w:rPr>
              <w:t xml:space="preserve"> w obszarze krajowej polityki regionalnej i polityki</w:t>
            </w:r>
            <w:r w:rsidR="00CC2517" w:rsidRPr="00145F5E">
              <w:rPr>
                <w:rFonts w:ascii="Times New Roman" w:hAnsi="Times New Roman"/>
                <w:lang w:eastAsia="pl-PL"/>
              </w:rPr>
              <w:t xml:space="preserve"> </w:t>
            </w:r>
            <w:r w:rsidRPr="00145F5E">
              <w:rPr>
                <w:rFonts w:ascii="Times New Roman" w:hAnsi="Times New Roman"/>
                <w:lang w:eastAsia="pl-PL"/>
              </w:rPr>
              <w:t>miejskiej.</w:t>
            </w:r>
          </w:p>
          <w:p w14:paraId="73C4F217" w14:textId="77777777" w:rsidR="00F265D5" w:rsidRPr="00145F5E" w:rsidRDefault="00BF0D67" w:rsidP="00145F5E">
            <w:pPr>
              <w:autoSpaceDE w:val="0"/>
              <w:autoSpaceDN w:val="0"/>
              <w:adjustRightInd w:val="0"/>
              <w:spacing w:after="120" w:line="240" w:lineRule="auto"/>
              <w:jc w:val="both"/>
              <w:rPr>
                <w:rFonts w:ascii="Times New Roman" w:hAnsi="Times New Roman"/>
                <w:lang w:eastAsia="pl-PL"/>
              </w:rPr>
            </w:pPr>
            <w:r w:rsidRPr="00145F5E">
              <w:rPr>
                <w:rFonts w:ascii="Times New Roman" w:hAnsi="Times New Roman"/>
                <w:lang w:eastAsia="pl-PL"/>
              </w:rPr>
              <w:t>Nowelizacja ustawy o zasadach prowadzenia polityki rozwoju wprowadza również definicję zielonej transformacji, którą</w:t>
            </w:r>
            <w:r w:rsidR="00CC2517" w:rsidRPr="00145F5E">
              <w:rPr>
                <w:rFonts w:ascii="Times New Roman" w:hAnsi="Times New Roman"/>
                <w:lang w:eastAsia="pl-PL"/>
              </w:rPr>
              <w:t xml:space="preserve"> </w:t>
            </w:r>
            <w:r w:rsidRPr="00145F5E">
              <w:rPr>
                <w:rFonts w:ascii="Times New Roman" w:hAnsi="Times New Roman"/>
                <w:lang w:eastAsia="pl-PL"/>
              </w:rPr>
              <w:t>należy rozumieć jako „proces prowadzący do zwiększania neutralności klimatycznej, przy jednoczesnej dbałości o jakość</w:t>
            </w:r>
            <w:r w:rsidR="00CC2517" w:rsidRPr="00145F5E">
              <w:rPr>
                <w:rFonts w:ascii="Times New Roman" w:hAnsi="Times New Roman"/>
                <w:lang w:eastAsia="pl-PL"/>
              </w:rPr>
              <w:t xml:space="preserve"> </w:t>
            </w:r>
            <w:r w:rsidRPr="00145F5E">
              <w:rPr>
                <w:rFonts w:ascii="Times New Roman" w:hAnsi="Times New Roman"/>
                <w:lang w:eastAsia="pl-PL"/>
              </w:rPr>
              <w:t>środowiska przyrodniczego i nie ograniczający potencjału do rozwoju społeczno-gospodarczego”.</w:t>
            </w:r>
          </w:p>
          <w:p w14:paraId="65884494" w14:textId="77777777" w:rsidR="009625AC" w:rsidRPr="007A2509" w:rsidRDefault="007474ED" w:rsidP="00723662">
            <w:pPr>
              <w:numPr>
                <w:ilvl w:val="0"/>
                <w:numId w:val="3"/>
              </w:numPr>
              <w:spacing w:line="240" w:lineRule="auto"/>
              <w:jc w:val="both"/>
              <w:rPr>
                <w:rFonts w:ascii="Times New Roman" w:hAnsi="Times New Roman"/>
                <w:b/>
                <w:bCs/>
                <w:color w:val="000000"/>
                <w:u w:val="single"/>
              </w:rPr>
            </w:pPr>
            <w:r w:rsidRPr="007A2509">
              <w:rPr>
                <w:rFonts w:ascii="Times New Roman" w:hAnsi="Times New Roman"/>
                <w:b/>
                <w:bCs/>
                <w:color w:val="000000"/>
                <w:u w:val="single"/>
              </w:rPr>
              <w:t>Miejskie plany adaptacji do zmian klimatu</w:t>
            </w:r>
          </w:p>
          <w:p w14:paraId="37BBD515" w14:textId="1CC6A57C" w:rsidR="00FF2D00" w:rsidRPr="007A2509" w:rsidRDefault="00875AFD" w:rsidP="006C3914">
            <w:pPr>
              <w:spacing w:line="240" w:lineRule="auto"/>
              <w:ind w:left="34"/>
              <w:jc w:val="both"/>
              <w:rPr>
                <w:rFonts w:ascii="Times New Roman" w:hAnsi="Times New Roman"/>
                <w:color w:val="000000"/>
              </w:rPr>
            </w:pPr>
            <w:r w:rsidRPr="007A2509">
              <w:rPr>
                <w:rFonts w:ascii="Times New Roman" w:hAnsi="Times New Roman"/>
                <w:color w:val="000000"/>
              </w:rPr>
              <w:t>I</w:t>
            </w:r>
            <w:r w:rsidR="00FF2D00" w:rsidRPr="007A2509">
              <w:rPr>
                <w:rFonts w:ascii="Times New Roman" w:hAnsi="Times New Roman"/>
                <w:color w:val="000000"/>
              </w:rPr>
              <w:t>stnieje potrzeba wprowadzenia przepisami ustawy rozwiązań</w:t>
            </w:r>
            <w:r w:rsidR="0027110E" w:rsidRPr="007A2509">
              <w:rPr>
                <w:rFonts w:ascii="Times New Roman" w:hAnsi="Times New Roman"/>
                <w:color w:val="000000"/>
              </w:rPr>
              <w:t xml:space="preserve"> systemowych</w:t>
            </w:r>
            <w:r w:rsidR="00FF2D00" w:rsidRPr="007A2509">
              <w:rPr>
                <w:rFonts w:ascii="Times New Roman" w:hAnsi="Times New Roman"/>
                <w:color w:val="000000"/>
              </w:rPr>
              <w:t xml:space="preserve">, które </w:t>
            </w:r>
            <w:bookmarkStart w:id="28" w:name="_Hlk157679564"/>
            <w:r w:rsidR="00FF2D00" w:rsidRPr="007A2509">
              <w:rPr>
                <w:rFonts w:ascii="Times New Roman" w:hAnsi="Times New Roman"/>
                <w:color w:val="000000"/>
              </w:rPr>
              <w:t xml:space="preserve">zapewnią planowanie działań adaptacyjnych, zwiększenie ilości zieleni w miastach, a co za tym idzie zwiększenie retencji wód w tych obszarach. </w:t>
            </w:r>
            <w:bookmarkEnd w:id="28"/>
            <w:r w:rsidR="00FF2D00" w:rsidRPr="007A2509">
              <w:rPr>
                <w:rFonts w:ascii="Times New Roman" w:hAnsi="Times New Roman"/>
                <w:color w:val="000000"/>
              </w:rPr>
              <w:t xml:space="preserve">Wprowadzenie </w:t>
            </w:r>
            <w:r w:rsidR="00BF4A1E" w:rsidRPr="007A2509">
              <w:rPr>
                <w:rFonts w:ascii="Times New Roman" w:hAnsi="Times New Roman"/>
                <w:color w:val="000000"/>
              </w:rPr>
              <w:t>tych</w:t>
            </w:r>
            <w:r w:rsidR="00FF2D00" w:rsidRPr="007A2509">
              <w:rPr>
                <w:rFonts w:ascii="Times New Roman" w:hAnsi="Times New Roman"/>
                <w:color w:val="000000"/>
              </w:rPr>
              <w:t xml:space="preserve"> działań do porządku prawnego wiąże się ze zmianą przepisów</w:t>
            </w:r>
            <w:r w:rsidR="002753E2" w:rsidRPr="007A2509">
              <w:rPr>
                <w:rFonts w:ascii="Times New Roman" w:hAnsi="Times New Roman"/>
                <w:color w:val="000000"/>
              </w:rPr>
              <w:t xml:space="preserve"> </w:t>
            </w:r>
            <w:proofErr w:type="spellStart"/>
            <w:r w:rsidRPr="007A2509">
              <w:rPr>
                <w:rFonts w:ascii="Times New Roman" w:hAnsi="Times New Roman"/>
                <w:color w:val="000000"/>
              </w:rPr>
              <w:t>uPoś</w:t>
            </w:r>
            <w:proofErr w:type="spellEnd"/>
            <w:r w:rsidRPr="007A2509">
              <w:rPr>
                <w:rFonts w:ascii="Times New Roman" w:hAnsi="Times New Roman"/>
                <w:color w:val="000000"/>
              </w:rPr>
              <w:t>.</w:t>
            </w:r>
          </w:p>
          <w:p w14:paraId="3BEA4F03" w14:textId="783B15B7" w:rsidR="00352F32" w:rsidRDefault="002753E2" w:rsidP="006C3914">
            <w:pPr>
              <w:spacing w:before="120" w:line="240" w:lineRule="auto"/>
              <w:jc w:val="both"/>
              <w:rPr>
                <w:rFonts w:ascii="Times New Roman" w:hAnsi="Times New Roman"/>
                <w:color w:val="000000"/>
                <w:spacing w:val="-2"/>
              </w:rPr>
            </w:pPr>
            <w:r w:rsidRPr="007A2509">
              <w:rPr>
                <w:rFonts w:ascii="Times New Roman" w:hAnsi="Times New Roman"/>
                <w:color w:val="000000"/>
                <w:spacing w:val="-2"/>
              </w:rPr>
              <w:t>Miejskie plany adaptacji</w:t>
            </w:r>
            <w:r w:rsidR="00A96B6E" w:rsidRPr="007A2509">
              <w:rPr>
                <w:rFonts w:ascii="Times New Roman" w:hAnsi="Times New Roman"/>
                <w:color w:val="000000"/>
                <w:spacing w:val="-2"/>
              </w:rPr>
              <w:t xml:space="preserve"> </w:t>
            </w:r>
            <w:r w:rsidR="00B468EC" w:rsidRPr="007A2509">
              <w:rPr>
                <w:rFonts w:ascii="Times New Roman" w:hAnsi="Times New Roman"/>
                <w:color w:val="000000"/>
                <w:spacing w:val="-2"/>
              </w:rPr>
              <w:t>przygotowywane</w:t>
            </w:r>
            <w:r w:rsidR="00A96B6E" w:rsidRPr="007A2509">
              <w:rPr>
                <w:rFonts w:ascii="Times New Roman" w:hAnsi="Times New Roman"/>
                <w:color w:val="000000"/>
                <w:spacing w:val="-2"/>
              </w:rPr>
              <w:t xml:space="preserve"> przez </w:t>
            </w:r>
            <w:r w:rsidR="00F9721C" w:rsidRPr="007A2509">
              <w:rPr>
                <w:rFonts w:ascii="Times New Roman" w:hAnsi="Times New Roman"/>
                <w:color w:val="000000"/>
                <w:spacing w:val="-2"/>
              </w:rPr>
              <w:t>burmistrza albo prezydenta miasta</w:t>
            </w:r>
            <w:r w:rsidR="00831523" w:rsidRPr="007A2509">
              <w:rPr>
                <w:rFonts w:ascii="Times New Roman" w:hAnsi="Times New Roman"/>
                <w:color w:val="000000"/>
                <w:spacing w:val="-2"/>
              </w:rPr>
              <w:t xml:space="preserve"> </w:t>
            </w:r>
            <w:r w:rsidR="00D71992" w:rsidRPr="007A2509">
              <w:rPr>
                <w:rFonts w:ascii="Times New Roman" w:hAnsi="Times New Roman"/>
                <w:color w:val="000000"/>
                <w:spacing w:val="-2"/>
              </w:rPr>
              <w:t xml:space="preserve">o liczbie mieszkańców </w:t>
            </w:r>
            <w:r w:rsidR="00E51E8B">
              <w:rPr>
                <w:rFonts w:ascii="Times New Roman" w:hAnsi="Times New Roman"/>
                <w:color w:val="000000"/>
                <w:spacing w:val="-2"/>
              </w:rPr>
              <w:t xml:space="preserve">równej lub </w:t>
            </w:r>
            <w:r w:rsidR="00D71992" w:rsidRPr="007A2509">
              <w:rPr>
                <w:rFonts w:ascii="Times New Roman" w:hAnsi="Times New Roman"/>
                <w:color w:val="000000"/>
                <w:spacing w:val="-2"/>
              </w:rPr>
              <w:t>większe</w:t>
            </w:r>
            <w:r w:rsidR="003C74A1" w:rsidRPr="007A2509">
              <w:rPr>
                <w:rFonts w:ascii="Times New Roman" w:hAnsi="Times New Roman"/>
                <w:color w:val="000000"/>
                <w:spacing w:val="-2"/>
              </w:rPr>
              <w:t>j</w:t>
            </w:r>
            <w:r w:rsidR="00D71992" w:rsidRPr="007A2509">
              <w:rPr>
                <w:rFonts w:ascii="Times New Roman" w:hAnsi="Times New Roman"/>
                <w:color w:val="000000"/>
                <w:spacing w:val="-2"/>
              </w:rPr>
              <w:t xml:space="preserve"> niż </w:t>
            </w:r>
            <w:r w:rsidR="00A96B6E" w:rsidRPr="007A2509">
              <w:rPr>
                <w:rFonts w:ascii="Times New Roman" w:hAnsi="Times New Roman"/>
                <w:color w:val="000000"/>
                <w:spacing w:val="-2"/>
              </w:rPr>
              <w:t>20</w:t>
            </w:r>
            <w:r w:rsidR="000136D4">
              <w:rPr>
                <w:rFonts w:ascii="Times New Roman" w:hAnsi="Times New Roman"/>
                <w:color w:val="000000"/>
                <w:spacing w:val="-2"/>
              </w:rPr>
              <w:t> tys.</w:t>
            </w:r>
            <w:r w:rsidR="00BA23BB" w:rsidRPr="007A2509">
              <w:rPr>
                <w:rStyle w:val="Odwoanieprzypisudolnego"/>
                <w:rFonts w:ascii="Times New Roman" w:hAnsi="Times New Roman"/>
                <w:color w:val="000000"/>
                <w:spacing w:val="-2"/>
              </w:rPr>
              <w:footnoteReference w:id="3"/>
            </w:r>
            <w:r w:rsidR="008703FA" w:rsidRPr="007A2509">
              <w:rPr>
                <w:rFonts w:ascii="Times New Roman" w:hAnsi="Times New Roman"/>
                <w:color w:val="000000"/>
                <w:spacing w:val="-2"/>
                <w:vertAlign w:val="superscript"/>
              </w:rPr>
              <w:t>)</w:t>
            </w:r>
            <w:r w:rsidR="00F9721C" w:rsidRPr="007A2509">
              <w:rPr>
                <w:rFonts w:ascii="Times New Roman" w:hAnsi="Times New Roman"/>
                <w:color w:val="000000"/>
                <w:spacing w:val="-2"/>
              </w:rPr>
              <w:t>,</w:t>
            </w:r>
            <w:r w:rsidR="00433114" w:rsidRPr="007A2509">
              <w:rPr>
                <w:rFonts w:ascii="Times New Roman" w:hAnsi="Times New Roman"/>
                <w:color w:val="000000"/>
                <w:spacing w:val="-2"/>
              </w:rPr>
              <w:t xml:space="preserve"> </w:t>
            </w:r>
            <w:r w:rsidR="00A96B6E" w:rsidRPr="007A2509">
              <w:rPr>
                <w:rFonts w:ascii="Times New Roman" w:hAnsi="Times New Roman"/>
                <w:color w:val="000000"/>
                <w:spacing w:val="-2"/>
              </w:rPr>
              <w:t xml:space="preserve">mają na celu </w:t>
            </w:r>
            <w:r w:rsidR="00F9721C" w:rsidRPr="007A2509">
              <w:rPr>
                <w:rFonts w:ascii="Times New Roman" w:hAnsi="Times New Roman"/>
                <w:color w:val="000000"/>
                <w:spacing w:val="-2"/>
              </w:rPr>
              <w:t xml:space="preserve">przygotowanie </w:t>
            </w:r>
            <w:r w:rsidR="00A96B6E" w:rsidRPr="007A2509">
              <w:rPr>
                <w:rFonts w:ascii="Times New Roman" w:hAnsi="Times New Roman"/>
                <w:color w:val="000000"/>
                <w:spacing w:val="-2"/>
              </w:rPr>
              <w:t xml:space="preserve">miast do zmian klimatu, zmniejszenie ich podatności na zjawiska ekstremalne oraz zwiększenie potencjału do przeciwdziałania i zwalczania skutków tych zjawisk i ich pochodnych. </w:t>
            </w:r>
            <w:r w:rsidR="00E67CE7">
              <w:rPr>
                <w:rFonts w:ascii="Times New Roman" w:hAnsi="Times New Roman"/>
                <w:color w:val="000000"/>
                <w:spacing w:val="-2"/>
              </w:rPr>
              <w:t>P</w:t>
            </w:r>
            <w:r w:rsidR="00E67CE7" w:rsidRPr="00E67CE7">
              <w:rPr>
                <w:rFonts w:ascii="Times New Roman" w:hAnsi="Times New Roman"/>
                <w:color w:val="000000"/>
                <w:spacing w:val="-2"/>
              </w:rPr>
              <w:t xml:space="preserve">lan będzie opracowywany </w:t>
            </w:r>
            <w:r w:rsidR="00E67CE7" w:rsidRPr="00613DB9">
              <w:rPr>
                <w:rFonts w:ascii="Times New Roman" w:hAnsi="Times New Roman"/>
                <w:color w:val="000000"/>
                <w:spacing w:val="-2"/>
              </w:rPr>
              <w:t>przy zapewnieniu możliwoś</w:t>
            </w:r>
            <w:r w:rsidR="00233C2C" w:rsidRPr="00613DB9">
              <w:rPr>
                <w:rFonts w:ascii="Times New Roman" w:hAnsi="Times New Roman"/>
                <w:color w:val="000000"/>
                <w:spacing w:val="-2"/>
              </w:rPr>
              <w:t>ci</w:t>
            </w:r>
            <w:r w:rsidR="00E67CE7" w:rsidRPr="00613DB9">
              <w:rPr>
                <w:rFonts w:ascii="Times New Roman" w:hAnsi="Times New Roman"/>
                <w:color w:val="000000"/>
                <w:spacing w:val="-2"/>
              </w:rPr>
              <w:t xml:space="preserve"> udziału w jego przygotowaniu społeczeństwa, na zasadach i w trybie określonych w </w:t>
            </w:r>
            <w:proofErr w:type="spellStart"/>
            <w:r w:rsidR="00100788">
              <w:rPr>
                <w:rFonts w:ascii="Times New Roman" w:hAnsi="Times New Roman"/>
                <w:color w:val="000000"/>
                <w:spacing w:val="-2"/>
              </w:rPr>
              <w:t>Uooś</w:t>
            </w:r>
            <w:proofErr w:type="spellEnd"/>
            <w:r w:rsidR="00E67CE7" w:rsidRPr="00613DB9">
              <w:rPr>
                <w:rFonts w:ascii="Times New Roman" w:hAnsi="Times New Roman"/>
                <w:color w:val="000000"/>
                <w:spacing w:val="-2"/>
              </w:rPr>
              <w:t>.</w:t>
            </w:r>
            <w:r w:rsidR="00EC47FA">
              <w:rPr>
                <w:rFonts w:ascii="Times New Roman" w:hAnsi="Times New Roman"/>
                <w:color w:val="000000"/>
                <w:spacing w:val="-2"/>
              </w:rPr>
              <w:t xml:space="preserve"> </w:t>
            </w:r>
            <w:r w:rsidR="00596F0E">
              <w:rPr>
                <w:rFonts w:ascii="Times New Roman" w:hAnsi="Times New Roman"/>
                <w:color w:val="000000"/>
                <w:spacing w:val="-2"/>
              </w:rPr>
              <w:t xml:space="preserve">Miejskie plany </w:t>
            </w:r>
            <w:r w:rsidR="00E1532D">
              <w:rPr>
                <w:rFonts w:ascii="Times New Roman" w:hAnsi="Times New Roman"/>
                <w:color w:val="000000"/>
                <w:spacing w:val="-2"/>
              </w:rPr>
              <w:t xml:space="preserve">adaptacji </w:t>
            </w:r>
            <w:r w:rsidR="00596F0E">
              <w:rPr>
                <w:rFonts w:ascii="Times New Roman" w:hAnsi="Times New Roman"/>
                <w:color w:val="000000"/>
                <w:spacing w:val="-2"/>
              </w:rPr>
              <w:t>nie będą aktami prawa miejscowego.</w:t>
            </w:r>
          </w:p>
          <w:p w14:paraId="26E5EB66" w14:textId="67FF7CD5" w:rsidR="00C21557" w:rsidRDefault="00715DB8" w:rsidP="006C3914">
            <w:pPr>
              <w:spacing w:before="120" w:line="240" w:lineRule="auto"/>
              <w:jc w:val="both"/>
              <w:rPr>
                <w:rFonts w:ascii="Times New Roman" w:hAnsi="Times New Roman"/>
                <w:color w:val="000000"/>
              </w:rPr>
            </w:pPr>
            <w:bookmarkStart w:id="29" w:name="_Hlk157679580"/>
            <w:r w:rsidRPr="007A2509">
              <w:rPr>
                <w:rFonts w:ascii="Times New Roman" w:hAnsi="Times New Roman"/>
                <w:color w:val="000000"/>
                <w:spacing w:val="-2"/>
              </w:rPr>
              <w:t>M</w:t>
            </w:r>
            <w:r w:rsidR="00982A2E" w:rsidRPr="007A2509">
              <w:rPr>
                <w:rFonts w:ascii="Times New Roman" w:hAnsi="Times New Roman"/>
                <w:color w:val="000000"/>
                <w:spacing w:val="-2"/>
              </w:rPr>
              <w:t xml:space="preserve">iasta </w:t>
            </w:r>
            <w:r w:rsidR="00E51E8B">
              <w:rPr>
                <w:rFonts w:ascii="Times New Roman" w:hAnsi="Times New Roman"/>
                <w:color w:val="000000"/>
                <w:spacing w:val="-2"/>
              </w:rPr>
              <w:t>liczące co najmniej</w:t>
            </w:r>
            <w:r w:rsidR="00982A2E" w:rsidRPr="007A2509">
              <w:rPr>
                <w:rFonts w:ascii="Times New Roman" w:hAnsi="Times New Roman"/>
                <w:color w:val="000000"/>
                <w:spacing w:val="-2"/>
              </w:rPr>
              <w:t xml:space="preserve"> 20 </w:t>
            </w:r>
            <w:r w:rsidR="0019767E">
              <w:rPr>
                <w:rFonts w:ascii="Times New Roman" w:hAnsi="Times New Roman"/>
                <w:color w:val="000000"/>
                <w:spacing w:val="-2"/>
              </w:rPr>
              <w:t>tys.</w:t>
            </w:r>
            <w:r w:rsidR="0019767E" w:rsidRPr="007A2509">
              <w:rPr>
                <w:rFonts w:ascii="Times New Roman" w:hAnsi="Times New Roman"/>
                <w:color w:val="000000"/>
                <w:spacing w:val="-2"/>
              </w:rPr>
              <w:t xml:space="preserve"> </w:t>
            </w:r>
            <w:r w:rsidR="00982A2E" w:rsidRPr="007A2509">
              <w:rPr>
                <w:rFonts w:ascii="Times New Roman" w:hAnsi="Times New Roman"/>
                <w:color w:val="000000"/>
                <w:spacing w:val="-2"/>
              </w:rPr>
              <w:t>mieszkańców</w:t>
            </w:r>
            <w:r w:rsidR="00326AE4" w:rsidRPr="007A2509">
              <w:rPr>
                <w:rFonts w:ascii="Times New Roman" w:hAnsi="Times New Roman"/>
                <w:color w:val="000000"/>
                <w:spacing w:val="-2"/>
              </w:rPr>
              <w:t>, które jeszcze nie mają opracowanych MPA,</w:t>
            </w:r>
            <w:r w:rsidR="00982A2E" w:rsidRPr="007A2509">
              <w:rPr>
                <w:rFonts w:ascii="Times New Roman" w:hAnsi="Times New Roman"/>
                <w:color w:val="000000"/>
                <w:spacing w:val="-2"/>
              </w:rPr>
              <w:t xml:space="preserve"> będą </w:t>
            </w:r>
            <w:r w:rsidR="00F9721C" w:rsidRPr="00215FDC">
              <w:rPr>
                <w:rFonts w:ascii="Times New Roman" w:hAnsi="Times New Roman"/>
                <w:color w:val="000000"/>
                <w:spacing w:val="-2"/>
              </w:rPr>
              <w:t>do ich</w:t>
            </w:r>
            <w:r w:rsidR="00082ABC" w:rsidRPr="00215FDC">
              <w:rPr>
                <w:rFonts w:ascii="Times New Roman" w:hAnsi="Times New Roman"/>
                <w:color w:val="000000"/>
                <w:spacing w:val="-2"/>
              </w:rPr>
              <w:t xml:space="preserve"> opracowa</w:t>
            </w:r>
            <w:r w:rsidR="00F9721C" w:rsidRPr="00215FDC">
              <w:rPr>
                <w:rFonts w:ascii="Times New Roman" w:hAnsi="Times New Roman"/>
                <w:color w:val="000000"/>
                <w:spacing w:val="-2"/>
              </w:rPr>
              <w:t>nia</w:t>
            </w:r>
            <w:r w:rsidR="003968C1" w:rsidRPr="00215FDC">
              <w:rPr>
                <w:rFonts w:ascii="Times New Roman" w:hAnsi="Times New Roman"/>
                <w:color w:val="000000"/>
                <w:spacing w:val="-2"/>
              </w:rPr>
              <w:t xml:space="preserve"> i</w:t>
            </w:r>
            <w:r w:rsidR="00774F09">
              <w:rPr>
                <w:rFonts w:ascii="Times New Roman" w:hAnsi="Times New Roman"/>
                <w:color w:val="000000"/>
                <w:spacing w:val="-2"/>
              </w:rPr>
              <w:t> </w:t>
            </w:r>
            <w:r w:rsidR="003968C1" w:rsidRPr="00215FDC">
              <w:rPr>
                <w:rFonts w:ascii="Times New Roman" w:hAnsi="Times New Roman"/>
                <w:color w:val="000000"/>
                <w:spacing w:val="-2"/>
              </w:rPr>
              <w:t>uchwal</w:t>
            </w:r>
            <w:r w:rsidR="00F9721C" w:rsidRPr="00215FDC">
              <w:rPr>
                <w:rFonts w:ascii="Times New Roman" w:hAnsi="Times New Roman"/>
                <w:color w:val="000000"/>
                <w:spacing w:val="-2"/>
              </w:rPr>
              <w:t>enia</w:t>
            </w:r>
            <w:r w:rsidR="00187F67" w:rsidRPr="00187F67">
              <w:rPr>
                <w:rFonts w:ascii="Times New Roman" w:hAnsi="Times New Roman"/>
                <w:color w:val="000000"/>
                <w:spacing w:val="-2"/>
              </w:rPr>
              <w:t xml:space="preserve"> </w:t>
            </w:r>
            <w:r w:rsidR="005D18C9">
              <w:rPr>
                <w:rFonts w:ascii="Times New Roman" w:hAnsi="Times New Roman"/>
                <w:color w:val="000000"/>
                <w:spacing w:val="-2"/>
              </w:rPr>
              <w:t xml:space="preserve">zobowiązane </w:t>
            </w:r>
            <w:r w:rsidR="00187F67" w:rsidRPr="00187F67">
              <w:rPr>
                <w:rFonts w:ascii="Times New Roman" w:hAnsi="Times New Roman"/>
                <w:color w:val="000000"/>
                <w:spacing w:val="-2"/>
              </w:rPr>
              <w:t>najpóźniej do dnia 2 stycznia 2028 r</w:t>
            </w:r>
            <w:r w:rsidR="002D417E">
              <w:rPr>
                <w:rFonts w:ascii="Times New Roman" w:hAnsi="Times New Roman"/>
                <w:color w:val="000000"/>
                <w:spacing w:val="-2"/>
              </w:rPr>
              <w:t>.</w:t>
            </w:r>
            <w:bookmarkEnd w:id="29"/>
            <w:r w:rsidR="00982A2E" w:rsidRPr="008870C1">
              <w:rPr>
                <w:rFonts w:ascii="Times New Roman" w:hAnsi="Times New Roman"/>
                <w:color w:val="000000"/>
                <w:spacing w:val="-2"/>
              </w:rPr>
              <w:t xml:space="preserve"> </w:t>
            </w:r>
            <w:r w:rsidR="000B415C" w:rsidRPr="004E3E9A">
              <w:rPr>
                <w:rFonts w:ascii="Times New Roman" w:hAnsi="Times New Roman"/>
                <w:color w:val="000000"/>
                <w:spacing w:val="-2"/>
              </w:rPr>
              <w:t>Zasadnicze części składowe planu zostaną przedstawione w</w:t>
            </w:r>
            <w:r w:rsidR="00774F09">
              <w:rPr>
                <w:rFonts w:ascii="Times New Roman" w:hAnsi="Times New Roman"/>
                <w:color w:val="000000"/>
                <w:spacing w:val="-2"/>
              </w:rPr>
              <w:t> </w:t>
            </w:r>
            <w:r w:rsidR="000B415C" w:rsidRPr="004E3E9A">
              <w:rPr>
                <w:rFonts w:ascii="Times New Roman" w:hAnsi="Times New Roman"/>
                <w:color w:val="000000"/>
                <w:spacing w:val="-2"/>
              </w:rPr>
              <w:t xml:space="preserve">projekcie ustawy. </w:t>
            </w:r>
            <w:r w:rsidR="00993BB8">
              <w:rPr>
                <w:rFonts w:ascii="Times New Roman" w:hAnsi="Times New Roman"/>
              </w:rPr>
              <w:t>Składową MPA będzie również koncepcja zazieleniania miasta</w:t>
            </w:r>
            <w:r w:rsidR="00734AFC">
              <w:rPr>
                <w:rFonts w:ascii="Times New Roman" w:hAnsi="Times New Roman"/>
              </w:rPr>
              <w:t xml:space="preserve">, </w:t>
            </w:r>
            <w:r w:rsidR="00734AFC" w:rsidRPr="00734AFC">
              <w:rPr>
                <w:rFonts w:ascii="Times New Roman" w:hAnsi="Times New Roman"/>
              </w:rPr>
              <w:t xml:space="preserve">w tym zwiększania powierzchni terenów zieleni i </w:t>
            </w:r>
            <w:proofErr w:type="spellStart"/>
            <w:r w:rsidR="00734AFC" w:rsidRPr="00734AFC">
              <w:rPr>
                <w:rFonts w:ascii="Times New Roman" w:hAnsi="Times New Roman"/>
              </w:rPr>
              <w:t>zadrzewień</w:t>
            </w:r>
            <w:proofErr w:type="spellEnd"/>
            <w:r w:rsidR="00734AFC">
              <w:rPr>
                <w:rFonts w:ascii="Times New Roman" w:hAnsi="Times New Roman"/>
              </w:rPr>
              <w:t>,</w:t>
            </w:r>
            <w:r w:rsidR="00993BB8">
              <w:rPr>
                <w:rFonts w:ascii="Times New Roman" w:hAnsi="Times New Roman"/>
              </w:rPr>
              <w:t xml:space="preserve"> oraz koncepcja zagospodarowania wód opadowych i roztopowych. </w:t>
            </w:r>
            <w:r w:rsidR="0097169F" w:rsidRPr="00575792">
              <w:rPr>
                <w:rFonts w:ascii="Times New Roman" w:hAnsi="Times New Roman"/>
                <w:color w:val="000000"/>
                <w:spacing w:val="-2"/>
              </w:rPr>
              <w:t xml:space="preserve">Obowiązujące przed wejściem w życie </w:t>
            </w:r>
            <w:r w:rsidR="00187F67" w:rsidRPr="00187F67">
              <w:rPr>
                <w:rFonts w:ascii="Times New Roman" w:hAnsi="Times New Roman"/>
                <w:color w:val="000000"/>
                <w:spacing w:val="-2"/>
              </w:rPr>
              <w:t>projektowanej</w:t>
            </w:r>
            <w:r w:rsidR="0097169F" w:rsidRPr="00575792">
              <w:rPr>
                <w:rFonts w:ascii="Times New Roman" w:hAnsi="Times New Roman"/>
                <w:color w:val="000000"/>
                <w:spacing w:val="-2"/>
              </w:rPr>
              <w:t xml:space="preserve"> ustawy </w:t>
            </w:r>
            <w:r w:rsidR="000B415C" w:rsidRPr="000B415C">
              <w:rPr>
                <w:rFonts w:ascii="Times New Roman" w:hAnsi="Times New Roman"/>
                <w:color w:val="000000"/>
                <w:spacing w:val="-2"/>
              </w:rPr>
              <w:t xml:space="preserve">dokumenty o charakterze </w:t>
            </w:r>
            <w:proofErr w:type="spellStart"/>
            <w:r w:rsidR="000B415C" w:rsidRPr="000B415C">
              <w:rPr>
                <w:rFonts w:ascii="Times New Roman" w:hAnsi="Times New Roman"/>
                <w:color w:val="000000"/>
                <w:spacing w:val="-2"/>
              </w:rPr>
              <w:t>strategiczno</w:t>
            </w:r>
            <w:proofErr w:type="spellEnd"/>
            <w:r w:rsidR="000B415C" w:rsidRPr="000B415C">
              <w:rPr>
                <w:rFonts w:ascii="Times New Roman" w:hAnsi="Times New Roman"/>
                <w:color w:val="000000"/>
                <w:spacing w:val="-2"/>
              </w:rPr>
              <w:t xml:space="preserve">-wdrożeniowym, niebędące aktami prawa miejscowego, które realizują cel </w:t>
            </w:r>
            <w:r w:rsidR="00DE2485">
              <w:rPr>
                <w:rFonts w:ascii="Times New Roman" w:hAnsi="Times New Roman"/>
                <w:color w:val="000000"/>
                <w:spacing w:val="-2"/>
              </w:rPr>
              <w:t>z</w:t>
            </w:r>
            <w:r w:rsidR="00DE2485" w:rsidRPr="000B415C">
              <w:rPr>
                <w:rFonts w:ascii="Times New Roman" w:hAnsi="Times New Roman"/>
                <w:color w:val="000000"/>
                <w:spacing w:val="-2"/>
              </w:rPr>
              <w:t>mniejszenia</w:t>
            </w:r>
            <w:r w:rsidR="00187F67" w:rsidRPr="000B415C">
              <w:rPr>
                <w:rFonts w:ascii="Times New Roman" w:hAnsi="Times New Roman"/>
                <w:color w:val="000000"/>
                <w:spacing w:val="-2"/>
              </w:rPr>
              <w:t xml:space="preserve"> </w:t>
            </w:r>
            <w:r w:rsidR="000B415C" w:rsidRPr="000B415C">
              <w:rPr>
                <w:rFonts w:ascii="Times New Roman" w:hAnsi="Times New Roman"/>
                <w:color w:val="000000"/>
                <w:spacing w:val="-2"/>
              </w:rPr>
              <w:t>podatności miasta na zmiany klimatu, w tym poprawę zdolności przystosowania miasta do zmian klimatu</w:t>
            </w:r>
            <w:r w:rsidR="000B415C" w:rsidRPr="000B415C" w:rsidDel="000B415C">
              <w:rPr>
                <w:rFonts w:ascii="Times New Roman" w:hAnsi="Times New Roman"/>
                <w:color w:val="000000"/>
                <w:spacing w:val="-2"/>
              </w:rPr>
              <w:t xml:space="preserve"> </w:t>
            </w:r>
            <w:r w:rsidR="008703FA" w:rsidRPr="00575792">
              <w:rPr>
                <w:rFonts w:ascii="Times New Roman" w:hAnsi="Times New Roman"/>
                <w:color w:val="000000"/>
                <w:spacing w:val="-2"/>
              </w:rPr>
              <w:t>(</w:t>
            </w:r>
            <w:r w:rsidRPr="00575792">
              <w:rPr>
                <w:rFonts w:ascii="Times New Roman" w:hAnsi="Times New Roman"/>
                <w:color w:val="000000"/>
                <w:spacing w:val="-2"/>
              </w:rPr>
              <w:t xml:space="preserve">w miastach </w:t>
            </w:r>
            <w:r w:rsidR="00E51E8B">
              <w:rPr>
                <w:rFonts w:ascii="Times New Roman" w:hAnsi="Times New Roman"/>
                <w:color w:val="000000"/>
                <w:spacing w:val="-2"/>
              </w:rPr>
              <w:t xml:space="preserve">liczących co najmniej </w:t>
            </w:r>
            <w:r w:rsidRPr="00575792">
              <w:rPr>
                <w:rFonts w:ascii="Times New Roman" w:hAnsi="Times New Roman"/>
                <w:color w:val="000000"/>
                <w:spacing w:val="-2"/>
              </w:rPr>
              <w:t>20</w:t>
            </w:r>
            <w:r w:rsidR="00774F09">
              <w:rPr>
                <w:rFonts w:ascii="Times New Roman" w:hAnsi="Times New Roman"/>
                <w:color w:val="000000"/>
                <w:spacing w:val="-2"/>
              </w:rPr>
              <w:t> </w:t>
            </w:r>
            <w:r w:rsidR="0019767E">
              <w:rPr>
                <w:rFonts w:ascii="Times New Roman" w:hAnsi="Times New Roman"/>
                <w:color w:val="000000"/>
                <w:spacing w:val="-2"/>
              </w:rPr>
              <w:t>tys.</w:t>
            </w:r>
            <w:r w:rsidR="0019767E" w:rsidRPr="00575792">
              <w:rPr>
                <w:rFonts w:ascii="Times New Roman" w:hAnsi="Times New Roman"/>
                <w:color w:val="000000"/>
                <w:spacing w:val="-2"/>
              </w:rPr>
              <w:t xml:space="preserve"> </w:t>
            </w:r>
            <w:r w:rsidRPr="00575792">
              <w:rPr>
                <w:rFonts w:ascii="Times New Roman" w:hAnsi="Times New Roman"/>
                <w:color w:val="000000"/>
                <w:spacing w:val="-2"/>
              </w:rPr>
              <w:t>mieszkańców</w:t>
            </w:r>
            <w:r w:rsidR="008703FA" w:rsidRPr="00575792">
              <w:rPr>
                <w:rFonts w:ascii="Times New Roman" w:hAnsi="Times New Roman"/>
                <w:color w:val="000000"/>
                <w:spacing w:val="-2"/>
              </w:rPr>
              <w:t>)</w:t>
            </w:r>
            <w:r w:rsidR="0097169F" w:rsidRPr="00575792">
              <w:rPr>
                <w:rFonts w:ascii="Times New Roman" w:hAnsi="Times New Roman"/>
                <w:color w:val="000000"/>
                <w:spacing w:val="-2"/>
              </w:rPr>
              <w:t xml:space="preserve"> </w:t>
            </w:r>
            <w:r w:rsidR="00F11BA7">
              <w:rPr>
                <w:rFonts w:ascii="Times New Roman" w:hAnsi="Times New Roman"/>
                <w:color w:val="000000"/>
                <w:spacing w:val="-2"/>
              </w:rPr>
              <w:t xml:space="preserve">zachowają moc i </w:t>
            </w:r>
            <w:r w:rsidR="00187F67">
              <w:rPr>
                <w:rFonts w:ascii="Times New Roman" w:hAnsi="Times New Roman"/>
                <w:color w:val="000000"/>
                <w:spacing w:val="-2"/>
              </w:rPr>
              <w:t xml:space="preserve">będą </w:t>
            </w:r>
            <w:r w:rsidR="00F11BA7">
              <w:rPr>
                <w:rFonts w:ascii="Times New Roman" w:hAnsi="Times New Roman"/>
                <w:color w:val="000000"/>
                <w:spacing w:val="-2"/>
              </w:rPr>
              <w:t>mog</w:t>
            </w:r>
            <w:r w:rsidR="00187F67">
              <w:rPr>
                <w:rFonts w:ascii="Times New Roman" w:hAnsi="Times New Roman"/>
                <w:color w:val="000000"/>
                <w:spacing w:val="-2"/>
              </w:rPr>
              <w:t xml:space="preserve">ły </w:t>
            </w:r>
            <w:r w:rsidR="00F11BA7">
              <w:rPr>
                <w:rFonts w:ascii="Times New Roman" w:hAnsi="Times New Roman"/>
                <w:color w:val="000000"/>
                <w:spacing w:val="-2"/>
              </w:rPr>
              <w:t>być zmieniane</w:t>
            </w:r>
            <w:r w:rsidR="00B54D43">
              <w:rPr>
                <w:rFonts w:ascii="Times New Roman" w:hAnsi="Times New Roman"/>
                <w:color w:val="000000"/>
                <w:spacing w:val="-2"/>
              </w:rPr>
              <w:t xml:space="preserve"> lub </w:t>
            </w:r>
            <w:r w:rsidR="00F11BA7">
              <w:rPr>
                <w:rFonts w:ascii="Times New Roman" w:hAnsi="Times New Roman"/>
                <w:color w:val="000000"/>
                <w:spacing w:val="-2"/>
              </w:rPr>
              <w:t>aktualizowane</w:t>
            </w:r>
            <w:r w:rsidR="007A7322" w:rsidRPr="007A2509">
              <w:rPr>
                <w:rFonts w:ascii="Times New Roman" w:hAnsi="Times New Roman"/>
                <w:color w:val="000000"/>
                <w:spacing w:val="-2"/>
              </w:rPr>
              <w:t>.</w:t>
            </w:r>
            <w:r w:rsidR="00C21557">
              <w:rPr>
                <w:rFonts w:ascii="Times New Roman" w:hAnsi="Times New Roman"/>
                <w:color w:val="000000"/>
                <w:spacing w:val="-2"/>
              </w:rPr>
              <w:t xml:space="preserve"> </w:t>
            </w:r>
            <w:bookmarkStart w:id="30" w:name="_Hlk132630120"/>
            <w:r w:rsidR="00D01738">
              <w:rPr>
                <w:rFonts w:ascii="Times New Roman" w:hAnsi="Times New Roman"/>
                <w:color w:val="000000"/>
                <w:spacing w:val="-2"/>
              </w:rPr>
              <w:t xml:space="preserve">Aktualizacja </w:t>
            </w:r>
            <w:r w:rsidR="00A16978">
              <w:rPr>
                <w:rFonts w:ascii="Times New Roman" w:hAnsi="Times New Roman"/>
                <w:color w:val="000000"/>
                <w:spacing w:val="-2"/>
              </w:rPr>
              <w:t xml:space="preserve">będzie się </w:t>
            </w:r>
            <w:r w:rsidR="00D01738">
              <w:rPr>
                <w:rFonts w:ascii="Times New Roman" w:hAnsi="Times New Roman"/>
                <w:color w:val="000000"/>
                <w:spacing w:val="-2"/>
              </w:rPr>
              <w:t>odbywa</w:t>
            </w:r>
            <w:r w:rsidR="00A16978">
              <w:rPr>
                <w:rFonts w:ascii="Times New Roman" w:hAnsi="Times New Roman"/>
                <w:color w:val="000000"/>
                <w:spacing w:val="-2"/>
              </w:rPr>
              <w:t xml:space="preserve">ć </w:t>
            </w:r>
            <w:r w:rsidR="00D01738">
              <w:rPr>
                <w:rFonts w:ascii="Times New Roman" w:hAnsi="Times New Roman"/>
                <w:color w:val="000000"/>
                <w:spacing w:val="-2"/>
              </w:rPr>
              <w:t xml:space="preserve">przynajmniej raz na 6 lat </w:t>
            </w:r>
            <w:r w:rsidR="00D01738" w:rsidRPr="00D01738">
              <w:rPr>
                <w:rFonts w:ascii="Times New Roman" w:hAnsi="Times New Roman"/>
                <w:color w:val="000000"/>
                <w:spacing w:val="-2"/>
              </w:rPr>
              <w:t>uwzględniając</w:t>
            </w:r>
            <w:r w:rsidR="00094258">
              <w:rPr>
                <w:rFonts w:ascii="Times New Roman" w:hAnsi="Times New Roman"/>
                <w:color w:val="000000"/>
                <w:spacing w:val="-2"/>
              </w:rPr>
              <w:t xml:space="preserve"> </w:t>
            </w:r>
            <w:r w:rsidR="00D01738" w:rsidRPr="00D01738">
              <w:rPr>
                <w:rFonts w:ascii="Times New Roman" w:hAnsi="Times New Roman"/>
                <w:color w:val="000000"/>
                <w:spacing w:val="-2"/>
              </w:rPr>
              <w:t>sprawozdania z monitorowania</w:t>
            </w:r>
            <w:r w:rsidR="00D01738">
              <w:rPr>
                <w:rFonts w:ascii="Times New Roman" w:hAnsi="Times New Roman"/>
                <w:color w:val="000000"/>
                <w:spacing w:val="-2"/>
              </w:rPr>
              <w:t>, natomiast zmiana dokumentów</w:t>
            </w:r>
            <w:r w:rsidR="00A825FD">
              <w:rPr>
                <w:rFonts w:ascii="Times New Roman" w:hAnsi="Times New Roman"/>
                <w:color w:val="000000"/>
                <w:spacing w:val="-2"/>
              </w:rPr>
              <w:t xml:space="preserve"> może</w:t>
            </w:r>
            <w:r w:rsidR="00D01738">
              <w:rPr>
                <w:rFonts w:ascii="Times New Roman" w:hAnsi="Times New Roman"/>
                <w:color w:val="000000"/>
                <w:spacing w:val="-2"/>
              </w:rPr>
              <w:t xml:space="preserve"> nie wynika</w:t>
            </w:r>
            <w:r w:rsidR="00A825FD">
              <w:rPr>
                <w:rFonts w:ascii="Times New Roman" w:hAnsi="Times New Roman"/>
                <w:color w:val="000000"/>
                <w:spacing w:val="-2"/>
              </w:rPr>
              <w:t>ć</w:t>
            </w:r>
            <w:r w:rsidR="00D01738">
              <w:rPr>
                <w:rFonts w:ascii="Times New Roman" w:hAnsi="Times New Roman"/>
                <w:color w:val="000000"/>
                <w:spacing w:val="-2"/>
              </w:rPr>
              <w:t xml:space="preserve"> z aktualizacji. </w:t>
            </w:r>
            <w:bookmarkEnd w:id="30"/>
            <w:r w:rsidR="00C21557" w:rsidRPr="008870C1">
              <w:rPr>
                <w:rFonts w:ascii="Times New Roman" w:hAnsi="Times New Roman"/>
                <w:color w:val="000000"/>
                <w:spacing w:val="-2"/>
              </w:rPr>
              <w:t xml:space="preserve">Miasta </w:t>
            </w:r>
            <w:r w:rsidR="00A16978">
              <w:rPr>
                <w:rFonts w:ascii="Times New Roman" w:hAnsi="Times New Roman"/>
                <w:color w:val="000000"/>
                <w:spacing w:val="-2"/>
              </w:rPr>
              <w:t>mają</w:t>
            </w:r>
            <w:r w:rsidR="00C21557" w:rsidRPr="008870C1">
              <w:rPr>
                <w:rFonts w:ascii="Times New Roman" w:hAnsi="Times New Roman"/>
                <w:color w:val="000000"/>
                <w:spacing w:val="-2"/>
              </w:rPr>
              <w:t xml:space="preserve"> możliwość sfinansowania </w:t>
            </w:r>
            <w:r w:rsidR="00F11BA7">
              <w:rPr>
                <w:rFonts w:ascii="Times New Roman" w:hAnsi="Times New Roman"/>
                <w:color w:val="000000"/>
                <w:spacing w:val="-2"/>
              </w:rPr>
              <w:t>opracowania i wdrażania</w:t>
            </w:r>
            <w:r w:rsidR="00C21557">
              <w:rPr>
                <w:rFonts w:ascii="Times New Roman" w:hAnsi="Times New Roman"/>
                <w:color w:val="000000"/>
                <w:spacing w:val="-2"/>
              </w:rPr>
              <w:t xml:space="preserve"> MPA</w:t>
            </w:r>
            <w:r w:rsidR="00C21557" w:rsidRPr="00575792">
              <w:rPr>
                <w:rFonts w:ascii="Times New Roman" w:hAnsi="Times New Roman"/>
                <w:color w:val="000000"/>
                <w:spacing w:val="-2"/>
              </w:rPr>
              <w:t xml:space="preserve"> z</w:t>
            </w:r>
            <w:r w:rsidR="00C21557">
              <w:rPr>
                <w:rFonts w:ascii="Times New Roman" w:hAnsi="Times New Roman"/>
                <w:color w:val="000000"/>
                <w:spacing w:val="-2"/>
              </w:rPr>
              <w:t>e</w:t>
            </w:r>
            <w:r w:rsidR="00C21557" w:rsidRPr="00575792">
              <w:rPr>
                <w:rFonts w:ascii="Times New Roman" w:hAnsi="Times New Roman"/>
                <w:color w:val="000000"/>
                <w:spacing w:val="-2"/>
              </w:rPr>
              <w:t xml:space="preserve"> środków </w:t>
            </w:r>
            <w:r w:rsidR="0024340D">
              <w:rPr>
                <w:rFonts w:ascii="Times New Roman" w:hAnsi="Times New Roman"/>
                <w:color w:val="000000"/>
                <w:spacing w:val="-2"/>
              </w:rPr>
              <w:t>obecnej</w:t>
            </w:r>
            <w:r w:rsidR="0024340D" w:rsidRPr="00575792">
              <w:rPr>
                <w:rFonts w:ascii="Times New Roman" w:hAnsi="Times New Roman"/>
                <w:color w:val="000000"/>
                <w:spacing w:val="-2"/>
              </w:rPr>
              <w:t xml:space="preserve"> </w:t>
            </w:r>
            <w:r w:rsidR="00C21557" w:rsidRPr="00575792">
              <w:rPr>
                <w:rFonts w:ascii="Times New Roman" w:hAnsi="Times New Roman"/>
                <w:color w:val="000000"/>
                <w:spacing w:val="-2"/>
              </w:rPr>
              <w:t xml:space="preserve">perspektywy finansowej UE. Dokumenty będą mogły być również opracowane samodzielnie </w:t>
            </w:r>
            <w:r w:rsidR="00C21557" w:rsidRPr="00575792">
              <w:rPr>
                <w:rFonts w:ascii="Times New Roman" w:hAnsi="Times New Roman"/>
                <w:color w:val="000000"/>
              </w:rPr>
              <w:t xml:space="preserve">na podstawie </w:t>
            </w:r>
            <w:r w:rsidR="008E3D3F" w:rsidRPr="008E3D3F">
              <w:rPr>
                <w:rFonts w:ascii="Times New Roman" w:hAnsi="Times New Roman"/>
                <w:color w:val="000000"/>
              </w:rPr>
              <w:t>„Podręcznik</w:t>
            </w:r>
            <w:r w:rsidR="00187F67">
              <w:rPr>
                <w:rFonts w:ascii="Times New Roman" w:hAnsi="Times New Roman"/>
                <w:color w:val="000000"/>
              </w:rPr>
              <w:t>a</w:t>
            </w:r>
            <w:r w:rsidR="008E3D3F" w:rsidRPr="008E3D3F">
              <w:rPr>
                <w:rFonts w:ascii="Times New Roman" w:hAnsi="Times New Roman"/>
                <w:color w:val="000000"/>
              </w:rPr>
              <w:t xml:space="preserve"> adaptacji dla miast </w:t>
            </w:r>
            <w:r w:rsidR="00D3522B">
              <w:rPr>
                <w:rFonts w:ascii="Times New Roman" w:hAnsi="Times New Roman"/>
                <w:color w:val="000000"/>
              </w:rPr>
              <w:t>−</w:t>
            </w:r>
            <w:r w:rsidR="008E3D3F" w:rsidRPr="008E3D3F">
              <w:rPr>
                <w:rFonts w:ascii="Times New Roman" w:hAnsi="Times New Roman"/>
                <w:color w:val="000000"/>
              </w:rPr>
              <w:t xml:space="preserve"> wytyczne do przygotowania Miejskiego Planu Adaptacji do zmian klimatu”</w:t>
            </w:r>
            <w:r w:rsidR="008E3D3F">
              <w:rPr>
                <w:rFonts w:ascii="Times New Roman" w:hAnsi="Times New Roman"/>
                <w:color w:val="000000"/>
              </w:rPr>
              <w:t xml:space="preserve">, w którym </w:t>
            </w:r>
            <w:r w:rsidR="00A80F3A" w:rsidRPr="008E3D3F">
              <w:rPr>
                <w:rFonts w:ascii="Times New Roman" w:hAnsi="Times New Roman"/>
                <w:color w:val="000000"/>
              </w:rPr>
              <w:t>okreś</w:t>
            </w:r>
            <w:r w:rsidR="00A80F3A">
              <w:rPr>
                <w:rFonts w:ascii="Times New Roman" w:hAnsi="Times New Roman"/>
                <w:color w:val="000000"/>
              </w:rPr>
              <w:t>lono</w:t>
            </w:r>
            <w:r w:rsidR="008E3D3F" w:rsidRPr="008E3D3F">
              <w:rPr>
                <w:rFonts w:ascii="Times New Roman" w:hAnsi="Times New Roman"/>
                <w:color w:val="000000"/>
              </w:rPr>
              <w:t xml:space="preserve"> metodologię sporządzania MPA</w:t>
            </w:r>
            <w:r w:rsidR="00C21557" w:rsidRPr="00575792">
              <w:rPr>
                <w:rFonts w:ascii="Times New Roman" w:hAnsi="Times New Roman"/>
                <w:color w:val="000000"/>
              </w:rPr>
              <w:t xml:space="preserve">. </w:t>
            </w:r>
            <w:r w:rsidR="008E3D3F">
              <w:rPr>
                <w:rFonts w:ascii="Times New Roman" w:hAnsi="Times New Roman"/>
                <w:color w:val="000000"/>
              </w:rPr>
              <w:t xml:space="preserve">Podręcznik </w:t>
            </w:r>
            <w:r w:rsidR="009D727C">
              <w:rPr>
                <w:rFonts w:ascii="Times New Roman" w:hAnsi="Times New Roman"/>
                <w:color w:val="000000"/>
              </w:rPr>
              <w:t>został</w:t>
            </w:r>
            <w:r w:rsidR="008E3D3F">
              <w:rPr>
                <w:rFonts w:ascii="Times New Roman" w:hAnsi="Times New Roman"/>
                <w:color w:val="000000"/>
              </w:rPr>
              <w:t xml:space="preserve"> zaktualizowany </w:t>
            </w:r>
            <w:r w:rsidR="009D727C">
              <w:rPr>
                <w:rFonts w:ascii="Times New Roman" w:hAnsi="Times New Roman"/>
                <w:color w:val="000000"/>
              </w:rPr>
              <w:t xml:space="preserve">w 2023 r. </w:t>
            </w:r>
            <w:r w:rsidR="008E3D3F">
              <w:rPr>
                <w:rFonts w:ascii="Times New Roman" w:hAnsi="Times New Roman"/>
                <w:color w:val="000000"/>
              </w:rPr>
              <w:t>przez IOŚ-PIB</w:t>
            </w:r>
            <w:r w:rsidR="00804C6F">
              <w:rPr>
                <w:rFonts w:ascii="Times New Roman" w:hAnsi="Times New Roman"/>
                <w:color w:val="000000"/>
              </w:rPr>
              <w:t>.</w:t>
            </w:r>
          </w:p>
          <w:p w14:paraId="5239D42C" w14:textId="0A64C3AD" w:rsidR="001D3B6C" w:rsidRPr="00284FFD" w:rsidRDefault="001D3B6C" w:rsidP="006C3914">
            <w:pPr>
              <w:spacing w:before="120" w:line="240" w:lineRule="auto"/>
              <w:jc w:val="both"/>
              <w:rPr>
                <w:rFonts w:ascii="Times New Roman" w:hAnsi="Times New Roman"/>
                <w:color w:val="000000"/>
                <w:spacing w:val="-2"/>
              </w:rPr>
            </w:pPr>
            <w:r>
              <w:rPr>
                <w:rFonts w:ascii="Times New Roman" w:hAnsi="Times New Roman"/>
                <w:color w:val="000000"/>
              </w:rPr>
              <w:lastRenderedPageBreak/>
              <w:t>Miejskie p</w:t>
            </w:r>
            <w:r w:rsidRPr="007A2509">
              <w:rPr>
                <w:rFonts w:ascii="Times New Roman" w:hAnsi="Times New Roman"/>
                <w:color w:val="000000"/>
              </w:rPr>
              <w:t xml:space="preserve">lany powinny obejmować środki służące tworzeniu różnorodnych biologicznie i dostępnych lasów miejskich, parków i ogrodów, miejskich gospodarstw rolnych, zielonych dachów i ścian, ulic obsadzonych drzewami, łąk miejskich oraz żywopłotów miejskich. Realizacja takich planów powinna przyczynić się również do poprawy połączeń między terenami zielonymi, wyeliminowania stosowania pestycydów i ograniczenia nadmiernego koszenia zielonych przestrzeni miejskich, a także wyeliminowania stosowania innych praktyk szkodliwych dla różnorodności biologicznej. </w:t>
            </w:r>
          </w:p>
          <w:p w14:paraId="2C8D0FFA" w14:textId="16F27005" w:rsidR="00C92DB9" w:rsidRDefault="00596F0E" w:rsidP="0091616F">
            <w:pPr>
              <w:spacing w:before="120" w:line="240" w:lineRule="auto"/>
              <w:jc w:val="both"/>
              <w:rPr>
                <w:rFonts w:ascii="Times New Roman" w:hAnsi="Times New Roman"/>
                <w:color w:val="000000"/>
                <w:spacing w:val="-2"/>
              </w:rPr>
            </w:pPr>
            <w:r>
              <w:rPr>
                <w:rFonts w:ascii="Times New Roman" w:hAnsi="Times New Roman"/>
                <w:color w:val="000000"/>
                <w:spacing w:val="-2"/>
              </w:rPr>
              <w:t>MPA</w:t>
            </w:r>
            <w:r w:rsidR="00E67CE7">
              <w:rPr>
                <w:rFonts w:ascii="Times New Roman" w:hAnsi="Times New Roman"/>
                <w:color w:val="000000"/>
                <w:spacing w:val="-2"/>
              </w:rPr>
              <w:t xml:space="preserve"> ma być uchwalany przez radę miasta. Za wykonanie MPA, w tym jego monitorowanie i aktualizację</w:t>
            </w:r>
            <w:r w:rsidR="002D417E">
              <w:rPr>
                <w:rFonts w:ascii="Times New Roman" w:hAnsi="Times New Roman"/>
                <w:color w:val="000000"/>
                <w:spacing w:val="-2"/>
              </w:rPr>
              <w:t>,</w:t>
            </w:r>
            <w:r w:rsidR="00E67CE7">
              <w:rPr>
                <w:rFonts w:ascii="Times New Roman" w:hAnsi="Times New Roman"/>
                <w:color w:val="000000"/>
                <w:spacing w:val="-2"/>
              </w:rPr>
              <w:t xml:space="preserve"> odpowiedzialny będzie burmistrz </w:t>
            </w:r>
            <w:r w:rsidR="00B54D43">
              <w:rPr>
                <w:rFonts w:ascii="Times New Roman" w:hAnsi="Times New Roman"/>
                <w:color w:val="000000"/>
                <w:spacing w:val="-2"/>
              </w:rPr>
              <w:t>albo</w:t>
            </w:r>
            <w:r w:rsidR="00E67CE7">
              <w:rPr>
                <w:rFonts w:ascii="Times New Roman" w:hAnsi="Times New Roman"/>
                <w:color w:val="000000"/>
                <w:spacing w:val="-2"/>
              </w:rPr>
              <w:t xml:space="preserve"> prezydent miasta.</w:t>
            </w:r>
            <w:r w:rsidR="00E67CE7">
              <w:t xml:space="preserve"> </w:t>
            </w:r>
            <w:r w:rsidR="00E67CE7">
              <w:rPr>
                <w:rFonts w:ascii="Times New Roman" w:hAnsi="Times New Roman"/>
                <w:color w:val="000000"/>
                <w:spacing w:val="-2"/>
              </w:rPr>
              <w:t>Z</w:t>
            </w:r>
            <w:r w:rsidR="00E67CE7" w:rsidRPr="00E67CE7">
              <w:rPr>
                <w:rFonts w:ascii="Times New Roman" w:hAnsi="Times New Roman"/>
                <w:color w:val="000000"/>
                <w:spacing w:val="-2"/>
              </w:rPr>
              <w:t xml:space="preserve"> analiz </w:t>
            </w:r>
            <w:proofErr w:type="spellStart"/>
            <w:r w:rsidR="00E67CE7" w:rsidRPr="00E67CE7">
              <w:rPr>
                <w:rFonts w:ascii="Times New Roman" w:hAnsi="Times New Roman"/>
                <w:color w:val="000000"/>
                <w:spacing w:val="-2"/>
              </w:rPr>
              <w:t>MKiŚ</w:t>
            </w:r>
            <w:proofErr w:type="spellEnd"/>
            <w:r w:rsidR="00E67CE7" w:rsidRPr="00E67CE7">
              <w:rPr>
                <w:rFonts w:ascii="Times New Roman" w:hAnsi="Times New Roman"/>
                <w:color w:val="000000"/>
                <w:spacing w:val="-2"/>
              </w:rPr>
              <w:t xml:space="preserve">, bazujących na zrealizowanym przez </w:t>
            </w:r>
            <w:proofErr w:type="spellStart"/>
            <w:r w:rsidR="00B54D43">
              <w:rPr>
                <w:rFonts w:ascii="Times New Roman" w:hAnsi="Times New Roman"/>
                <w:color w:val="000000"/>
                <w:spacing w:val="-2"/>
              </w:rPr>
              <w:t>MKiŚ</w:t>
            </w:r>
            <w:proofErr w:type="spellEnd"/>
            <w:r w:rsidR="00E67CE7" w:rsidRPr="00E67CE7">
              <w:rPr>
                <w:rFonts w:ascii="Times New Roman" w:hAnsi="Times New Roman"/>
                <w:color w:val="000000"/>
                <w:spacing w:val="-2"/>
              </w:rPr>
              <w:t xml:space="preserve"> w latach 2017</w:t>
            </w:r>
            <w:r w:rsidR="00774F09">
              <w:rPr>
                <w:rFonts w:ascii="Times New Roman" w:hAnsi="Times New Roman"/>
                <w:color w:val="000000"/>
                <w:spacing w:val="-2"/>
              </w:rPr>
              <w:t>–</w:t>
            </w:r>
            <w:r w:rsidR="00E67CE7" w:rsidRPr="00E67CE7">
              <w:rPr>
                <w:rFonts w:ascii="Times New Roman" w:hAnsi="Times New Roman"/>
                <w:color w:val="000000"/>
                <w:spacing w:val="-2"/>
              </w:rPr>
              <w:t xml:space="preserve">2019 projekcie </w:t>
            </w:r>
            <w:r w:rsidR="00E67CE7">
              <w:rPr>
                <w:rFonts w:ascii="Times New Roman" w:hAnsi="Times New Roman"/>
                <w:color w:val="000000"/>
                <w:spacing w:val="-2"/>
              </w:rPr>
              <w:t>„</w:t>
            </w:r>
            <w:r w:rsidR="00E67CE7" w:rsidRPr="00E67CE7">
              <w:rPr>
                <w:rFonts w:ascii="Times New Roman" w:hAnsi="Times New Roman"/>
                <w:color w:val="000000"/>
                <w:spacing w:val="-2"/>
              </w:rPr>
              <w:t xml:space="preserve">Opracowanie planów adaptacji do zmian klimatu w miastach powyżej 100 tys. </w:t>
            </w:r>
            <w:r w:rsidR="00E67CE7">
              <w:rPr>
                <w:rFonts w:ascii="Times New Roman" w:hAnsi="Times New Roman"/>
                <w:color w:val="000000"/>
                <w:spacing w:val="-2"/>
              </w:rPr>
              <w:t>m</w:t>
            </w:r>
            <w:r w:rsidR="00E67CE7" w:rsidRPr="00E67CE7">
              <w:rPr>
                <w:rFonts w:ascii="Times New Roman" w:hAnsi="Times New Roman"/>
                <w:color w:val="000000"/>
                <w:spacing w:val="-2"/>
              </w:rPr>
              <w:t>ieszkańców</w:t>
            </w:r>
            <w:r w:rsidR="00E67CE7">
              <w:rPr>
                <w:rFonts w:ascii="Times New Roman" w:hAnsi="Times New Roman"/>
                <w:color w:val="000000"/>
                <w:spacing w:val="-2"/>
              </w:rPr>
              <w:t>”</w:t>
            </w:r>
            <w:r w:rsidR="00E67CE7" w:rsidRPr="00E67CE7">
              <w:rPr>
                <w:rFonts w:ascii="Times New Roman" w:hAnsi="Times New Roman"/>
                <w:color w:val="000000"/>
                <w:spacing w:val="-2"/>
              </w:rPr>
              <w:t xml:space="preserve"> </w:t>
            </w:r>
            <w:r w:rsidR="00B54D43">
              <w:rPr>
                <w:rFonts w:ascii="Times New Roman" w:hAnsi="Times New Roman"/>
                <w:color w:val="000000"/>
                <w:spacing w:val="-2"/>
              </w:rPr>
              <w:t>(</w:t>
            </w:r>
            <w:r w:rsidR="00E67CE7" w:rsidRPr="00E67CE7">
              <w:rPr>
                <w:rFonts w:ascii="Times New Roman" w:hAnsi="Times New Roman"/>
                <w:color w:val="000000"/>
                <w:spacing w:val="-2"/>
              </w:rPr>
              <w:t>dla 44 miast</w:t>
            </w:r>
            <w:r w:rsidR="00B54D43">
              <w:rPr>
                <w:rFonts w:ascii="Times New Roman" w:hAnsi="Times New Roman"/>
                <w:color w:val="000000"/>
                <w:spacing w:val="-2"/>
              </w:rPr>
              <w:t>)</w:t>
            </w:r>
            <w:r w:rsidR="00E67CE7" w:rsidRPr="00E67CE7">
              <w:rPr>
                <w:rFonts w:ascii="Times New Roman" w:hAnsi="Times New Roman"/>
                <w:color w:val="000000"/>
                <w:spacing w:val="-2"/>
              </w:rPr>
              <w:t xml:space="preserve">, wynika, że opracowany przez burmistrza albo prezydenta miasta MPA </w:t>
            </w:r>
            <w:r w:rsidR="00B54D43" w:rsidRPr="00E67CE7">
              <w:rPr>
                <w:rFonts w:ascii="Times New Roman" w:hAnsi="Times New Roman"/>
                <w:color w:val="000000"/>
                <w:spacing w:val="-2"/>
              </w:rPr>
              <w:t xml:space="preserve">jest </w:t>
            </w:r>
            <w:r w:rsidR="00E67CE7" w:rsidRPr="00E67CE7">
              <w:rPr>
                <w:rFonts w:ascii="Times New Roman" w:hAnsi="Times New Roman"/>
                <w:color w:val="000000"/>
                <w:spacing w:val="-2"/>
              </w:rPr>
              <w:t xml:space="preserve">przyjmowany przez radę miasta w drodze uchwały na podstawie art. 18 ust. 2 pkt 6 w związku z art. 7 ust. 1 pkt 1 ustawy z dnia 8 marca 1990 r. </w:t>
            </w:r>
            <w:r w:rsidR="00E67CE7" w:rsidRPr="00FF24EE">
              <w:rPr>
                <w:rFonts w:ascii="Times New Roman" w:hAnsi="Times New Roman"/>
                <w:i/>
                <w:iCs/>
                <w:color w:val="000000"/>
                <w:spacing w:val="-2"/>
              </w:rPr>
              <w:t>o samorządzie gminnym</w:t>
            </w:r>
            <w:r w:rsidR="00E67CE7" w:rsidRPr="00E67CE7">
              <w:rPr>
                <w:rFonts w:ascii="Times New Roman" w:hAnsi="Times New Roman"/>
                <w:color w:val="000000"/>
                <w:spacing w:val="-2"/>
              </w:rPr>
              <w:t xml:space="preserve"> – tym samym dokument ma charakter programu rozwoju określon</w:t>
            </w:r>
            <w:r w:rsidR="00187F67">
              <w:rPr>
                <w:rFonts w:ascii="Times New Roman" w:hAnsi="Times New Roman"/>
                <w:color w:val="000000"/>
                <w:spacing w:val="-2"/>
              </w:rPr>
              <w:t>ego</w:t>
            </w:r>
            <w:r w:rsidR="00E67CE7" w:rsidRPr="00E67CE7">
              <w:rPr>
                <w:rFonts w:ascii="Times New Roman" w:hAnsi="Times New Roman"/>
                <w:color w:val="000000"/>
                <w:spacing w:val="-2"/>
              </w:rPr>
              <w:t xml:space="preserve"> w przepisach o zasadach prowadzenia polityki rozwoju</w:t>
            </w:r>
            <w:r w:rsidR="00E67CE7">
              <w:rPr>
                <w:rFonts w:ascii="Times New Roman" w:hAnsi="Times New Roman"/>
                <w:color w:val="000000"/>
                <w:spacing w:val="-2"/>
              </w:rPr>
              <w:t>.</w:t>
            </w:r>
            <w:r w:rsidR="00A4009A">
              <w:rPr>
                <w:rFonts w:ascii="Times New Roman" w:hAnsi="Times New Roman"/>
                <w:color w:val="000000"/>
                <w:spacing w:val="-2"/>
              </w:rPr>
              <w:t xml:space="preserve"> </w:t>
            </w:r>
            <w:bookmarkStart w:id="31" w:name="_Hlk104460655"/>
            <w:r w:rsidR="004E3E9A" w:rsidRPr="004E3E9A">
              <w:rPr>
                <w:rFonts w:ascii="Times New Roman" w:hAnsi="Times New Roman"/>
                <w:color w:val="000000"/>
                <w:spacing w:val="-2"/>
              </w:rPr>
              <w:t>Co dwa lata</w:t>
            </w:r>
            <w:r w:rsidR="001A7774">
              <w:rPr>
                <w:rFonts w:ascii="Times New Roman" w:hAnsi="Times New Roman"/>
                <w:color w:val="000000"/>
                <w:spacing w:val="-2"/>
              </w:rPr>
              <w:t>,</w:t>
            </w:r>
            <w:r w:rsidR="004E3E9A" w:rsidRPr="004E3E9A">
              <w:rPr>
                <w:rFonts w:ascii="Times New Roman" w:hAnsi="Times New Roman"/>
                <w:color w:val="000000"/>
                <w:spacing w:val="-2"/>
              </w:rPr>
              <w:t xml:space="preserve"> </w:t>
            </w:r>
            <w:r w:rsidR="009E4445" w:rsidRPr="009E4445">
              <w:rPr>
                <w:rFonts w:ascii="Times New Roman" w:hAnsi="Times New Roman"/>
                <w:color w:val="000000"/>
                <w:spacing w:val="-2"/>
              </w:rPr>
              <w:t xml:space="preserve">do 30 czerwca roku </w:t>
            </w:r>
            <w:r w:rsidR="000B415C" w:rsidRPr="000B415C">
              <w:rPr>
                <w:rFonts w:ascii="Times New Roman" w:hAnsi="Times New Roman"/>
                <w:color w:val="000000"/>
                <w:spacing w:val="-2"/>
              </w:rPr>
              <w:t>następującego po okresie, którego dotyczy</w:t>
            </w:r>
            <w:r w:rsidR="003C647E">
              <w:rPr>
                <w:rFonts w:ascii="Times New Roman" w:hAnsi="Times New Roman"/>
                <w:color w:val="000000"/>
                <w:spacing w:val="-2"/>
              </w:rPr>
              <w:t xml:space="preserve"> sprawozdanie</w:t>
            </w:r>
            <w:r w:rsidR="000B415C">
              <w:rPr>
                <w:rFonts w:ascii="Times New Roman" w:hAnsi="Times New Roman"/>
                <w:color w:val="000000"/>
                <w:spacing w:val="-2"/>
              </w:rPr>
              <w:t>,</w:t>
            </w:r>
            <w:r w:rsidR="009E4445" w:rsidRPr="009E4445">
              <w:rPr>
                <w:rFonts w:ascii="Times New Roman" w:hAnsi="Times New Roman"/>
                <w:color w:val="000000"/>
                <w:spacing w:val="-2"/>
              </w:rPr>
              <w:t xml:space="preserve"> </w:t>
            </w:r>
            <w:r w:rsidR="00E51E8B">
              <w:rPr>
                <w:rFonts w:ascii="Times New Roman" w:hAnsi="Times New Roman"/>
                <w:color w:val="000000"/>
                <w:spacing w:val="-2"/>
              </w:rPr>
              <w:t xml:space="preserve">burmistrz lub prezydent </w:t>
            </w:r>
            <w:r w:rsidR="004E3E9A" w:rsidRPr="004E3E9A">
              <w:rPr>
                <w:rFonts w:ascii="Times New Roman" w:hAnsi="Times New Roman"/>
                <w:color w:val="000000"/>
                <w:spacing w:val="-2"/>
              </w:rPr>
              <w:t xml:space="preserve">miasta </w:t>
            </w:r>
            <w:r w:rsidR="00223773">
              <w:rPr>
                <w:rFonts w:ascii="Times New Roman" w:hAnsi="Times New Roman"/>
                <w:color w:val="000000"/>
                <w:spacing w:val="-2"/>
              </w:rPr>
              <w:t>o</w:t>
            </w:r>
            <w:r w:rsidR="00774F09">
              <w:rPr>
                <w:rFonts w:ascii="Times New Roman" w:hAnsi="Times New Roman"/>
                <w:color w:val="000000"/>
                <w:spacing w:val="-2"/>
              </w:rPr>
              <w:t> </w:t>
            </w:r>
            <w:r w:rsidR="00223773">
              <w:rPr>
                <w:rFonts w:ascii="Times New Roman" w:hAnsi="Times New Roman"/>
                <w:color w:val="000000"/>
                <w:spacing w:val="-2"/>
              </w:rPr>
              <w:t xml:space="preserve">liczbie mieszkańców równej lub </w:t>
            </w:r>
            <w:r w:rsidR="00B54D43">
              <w:rPr>
                <w:rFonts w:ascii="Times New Roman" w:hAnsi="Times New Roman"/>
                <w:color w:val="000000"/>
                <w:spacing w:val="-2"/>
              </w:rPr>
              <w:t>większej</w:t>
            </w:r>
            <w:r w:rsidR="00223773">
              <w:rPr>
                <w:rFonts w:ascii="Times New Roman" w:hAnsi="Times New Roman"/>
                <w:color w:val="000000"/>
                <w:spacing w:val="-2"/>
              </w:rPr>
              <w:t xml:space="preserve"> 20 tys. </w:t>
            </w:r>
            <w:r w:rsidR="004E3E9A" w:rsidRPr="004E3E9A">
              <w:rPr>
                <w:rFonts w:ascii="Times New Roman" w:hAnsi="Times New Roman"/>
                <w:color w:val="000000"/>
                <w:spacing w:val="-2"/>
              </w:rPr>
              <w:t>będ</w:t>
            </w:r>
            <w:r w:rsidR="00D64FA6">
              <w:rPr>
                <w:rFonts w:ascii="Times New Roman" w:hAnsi="Times New Roman"/>
                <w:color w:val="000000"/>
                <w:spacing w:val="-2"/>
              </w:rPr>
              <w:t>zie</w:t>
            </w:r>
            <w:r w:rsidR="004E3E9A" w:rsidRPr="004E3E9A">
              <w:rPr>
                <w:rFonts w:ascii="Times New Roman" w:hAnsi="Times New Roman"/>
                <w:color w:val="000000"/>
                <w:spacing w:val="-2"/>
              </w:rPr>
              <w:t xml:space="preserve"> miał obowiązek przekazywania sprawozdań z </w:t>
            </w:r>
            <w:r w:rsidR="000B415C" w:rsidRPr="004E3E9A">
              <w:rPr>
                <w:rFonts w:ascii="Times New Roman" w:hAnsi="Times New Roman"/>
                <w:color w:val="000000"/>
                <w:spacing w:val="-2"/>
              </w:rPr>
              <w:t>monitor</w:t>
            </w:r>
            <w:r w:rsidR="000B415C">
              <w:rPr>
                <w:rFonts w:ascii="Times New Roman" w:hAnsi="Times New Roman"/>
                <w:color w:val="000000"/>
                <w:spacing w:val="-2"/>
              </w:rPr>
              <w:t>owania</w:t>
            </w:r>
            <w:r w:rsidR="000B415C" w:rsidRPr="004E3E9A">
              <w:rPr>
                <w:rFonts w:ascii="Times New Roman" w:hAnsi="Times New Roman"/>
                <w:color w:val="000000"/>
                <w:spacing w:val="-2"/>
              </w:rPr>
              <w:t xml:space="preserve"> </w:t>
            </w:r>
            <w:r w:rsidR="004E3E9A" w:rsidRPr="004E3E9A">
              <w:rPr>
                <w:rFonts w:ascii="Times New Roman" w:hAnsi="Times New Roman"/>
                <w:color w:val="000000"/>
                <w:spacing w:val="-2"/>
              </w:rPr>
              <w:t xml:space="preserve">wdrażania działań adaptacyjnych zawartych w </w:t>
            </w:r>
            <w:r w:rsidR="00187F67">
              <w:rPr>
                <w:rFonts w:ascii="Times New Roman" w:hAnsi="Times New Roman"/>
                <w:color w:val="000000"/>
                <w:spacing w:val="-2"/>
              </w:rPr>
              <w:t>MPA</w:t>
            </w:r>
            <w:r w:rsidR="00187F67" w:rsidRPr="004E3E9A">
              <w:rPr>
                <w:rFonts w:ascii="Times New Roman" w:hAnsi="Times New Roman"/>
                <w:color w:val="000000"/>
                <w:spacing w:val="-2"/>
              </w:rPr>
              <w:t xml:space="preserve"> </w:t>
            </w:r>
            <w:r w:rsidR="00C80835">
              <w:rPr>
                <w:rFonts w:ascii="Times New Roman" w:hAnsi="Times New Roman"/>
                <w:color w:val="000000"/>
                <w:spacing w:val="-2"/>
              </w:rPr>
              <w:t xml:space="preserve">do </w:t>
            </w:r>
            <w:r w:rsidR="00187F67">
              <w:rPr>
                <w:rFonts w:ascii="Times New Roman" w:hAnsi="Times New Roman"/>
                <w:color w:val="000000"/>
                <w:spacing w:val="-2"/>
              </w:rPr>
              <w:t>IOŚ-PIB</w:t>
            </w:r>
            <w:r w:rsidR="000B415C" w:rsidRPr="000B415C">
              <w:rPr>
                <w:rFonts w:ascii="Times New Roman" w:hAnsi="Times New Roman"/>
                <w:color w:val="000000"/>
                <w:spacing w:val="-2"/>
              </w:rPr>
              <w:t xml:space="preserve">, za pośrednictwem systemu elektronicznego udostępnianego przez </w:t>
            </w:r>
            <w:r w:rsidR="00187F67" w:rsidRPr="00187F67">
              <w:rPr>
                <w:rFonts w:ascii="Times New Roman" w:hAnsi="Times New Roman"/>
                <w:color w:val="000000"/>
                <w:spacing w:val="-2"/>
              </w:rPr>
              <w:t>IOŚ-PIB</w:t>
            </w:r>
            <w:r w:rsidR="000B415C">
              <w:rPr>
                <w:rFonts w:ascii="Times New Roman" w:hAnsi="Times New Roman"/>
                <w:color w:val="000000"/>
                <w:spacing w:val="-2"/>
              </w:rPr>
              <w:t>.</w:t>
            </w:r>
          </w:p>
          <w:p w14:paraId="5E76ABCC" w14:textId="7F8F807C" w:rsidR="0091616F" w:rsidRDefault="004E3E9A" w:rsidP="00B767DE">
            <w:pPr>
              <w:spacing w:before="240" w:line="240" w:lineRule="auto"/>
              <w:jc w:val="both"/>
              <w:rPr>
                <w:rFonts w:ascii="Times New Roman" w:hAnsi="Times New Roman"/>
                <w:color w:val="000000"/>
                <w:spacing w:val="-2"/>
              </w:rPr>
            </w:pPr>
            <w:r w:rsidRPr="004E3E9A">
              <w:rPr>
                <w:rFonts w:ascii="Times New Roman" w:hAnsi="Times New Roman"/>
                <w:color w:val="000000"/>
                <w:spacing w:val="-2"/>
              </w:rPr>
              <w:t>Do zadań IOŚ</w:t>
            </w:r>
            <w:r w:rsidR="007335CA">
              <w:rPr>
                <w:rFonts w:ascii="Times New Roman" w:hAnsi="Times New Roman"/>
                <w:color w:val="000000"/>
                <w:spacing w:val="-2"/>
              </w:rPr>
              <w:t>-PIB</w:t>
            </w:r>
            <w:r w:rsidRPr="004E3E9A">
              <w:rPr>
                <w:rFonts w:ascii="Times New Roman" w:hAnsi="Times New Roman"/>
                <w:color w:val="000000"/>
                <w:spacing w:val="-2"/>
              </w:rPr>
              <w:t xml:space="preserve"> będzie należała weryfikacja</w:t>
            </w:r>
            <w:r w:rsidR="000B415C">
              <w:rPr>
                <w:rFonts w:ascii="Times New Roman" w:hAnsi="Times New Roman"/>
                <w:color w:val="000000"/>
                <w:spacing w:val="-2"/>
              </w:rPr>
              <w:t xml:space="preserve"> i</w:t>
            </w:r>
            <w:r w:rsidRPr="004E3E9A">
              <w:rPr>
                <w:rFonts w:ascii="Times New Roman" w:hAnsi="Times New Roman"/>
                <w:color w:val="000000"/>
                <w:spacing w:val="-2"/>
              </w:rPr>
              <w:t xml:space="preserve"> analiza</w:t>
            </w:r>
            <w:r w:rsidR="007335CA">
              <w:rPr>
                <w:rFonts w:ascii="Times New Roman" w:hAnsi="Times New Roman"/>
                <w:color w:val="000000"/>
                <w:spacing w:val="-2"/>
              </w:rPr>
              <w:t xml:space="preserve"> ww.</w:t>
            </w:r>
            <w:r w:rsidRPr="004E3E9A">
              <w:rPr>
                <w:rFonts w:ascii="Times New Roman" w:hAnsi="Times New Roman"/>
                <w:color w:val="000000"/>
                <w:spacing w:val="-2"/>
              </w:rPr>
              <w:t xml:space="preserve"> sprawozdań</w:t>
            </w:r>
            <w:r w:rsidR="000B415C">
              <w:rPr>
                <w:rFonts w:ascii="Times New Roman" w:hAnsi="Times New Roman"/>
                <w:color w:val="000000"/>
                <w:spacing w:val="-2"/>
              </w:rPr>
              <w:t xml:space="preserve"> oraz</w:t>
            </w:r>
            <w:r w:rsidR="00D64FA6">
              <w:rPr>
                <w:rFonts w:ascii="Times New Roman" w:hAnsi="Times New Roman"/>
                <w:color w:val="000000"/>
                <w:spacing w:val="-2"/>
              </w:rPr>
              <w:t xml:space="preserve"> sporządzanie</w:t>
            </w:r>
            <w:r w:rsidRPr="004E3E9A">
              <w:rPr>
                <w:rFonts w:ascii="Times New Roman" w:hAnsi="Times New Roman"/>
                <w:color w:val="000000"/>
                <w:spacing w:val="-2"/>
              </w:rPr>
              <w:t xml:space="preserve"> i przekazywanie do </w:t>
            </w:r>
            <w:proofErr w:type="spellStart"/>
            <w:r w:rsidRPr="004E3E9A">
              <w:rPr>
                <w:rFonts w:ascii="Times New Roman" w:hAnsi="Times New Roman"/>
                <w:color w:val="000000"/>
                <w:spacing w:val="-2"/>
              </w:rPr>
              <w:t>MKiŚ</w:t>
            </w:r>
            <w:proofErr w:type="spellEnd"/>
            <w:r w:rsidRPr="004E3E9A">
              <w:rPr>
                <w:rFonts w:ascii="Times New Roman" w:hAnsi="Times New Roman"/>
                <w:color w:val="000000"/>
                <w:spacing w:val="-2"/>
              </w:rPr>
              <w:t xml:space="preserve"> podsumowania z </w:t>
            </w:r>
            <w:r w:rsidR="000B415C">
              <w:rPr>
                <w:rFonts w:ascii="Times New Roman" w:hAnsi="Times New Roman"/>
                <w:color w:val="000000"/>
                <w:spacing w:val="-2"/>
              </w:rPr>
              <w:t xml:space="preserve">tych sprawozdań </w:t>
            </w:r>
            <w:r w:rsidR="009E4445">
              <w:rPr>
                <w:rFonts w:ascii="Times New Roman" w:hAnsi="Times New Roman"/>
                <w:color w:val="000000"/>
                <w:spacing w:val="-2"/>
              </w:rPr>
              <w:t>do 30 listopada roku sprawozdawczego</w:t>
            </w:r>
            <w:r w:rsidRPr="004E3E9A">
              <w:rPr>
                <w:rFonts w:ascii="Times New Roman" w:hAnsi="Times New Roman"/>
                <w:color w:val="000000"/>
                <w:spacing w:val="-2"/>
              </w:rPr>
              <w:t>. Informacje te będą ważne ze względu na ocenę postępu miast w realizacji działań adaptacyjnych oraz zostaną uwzględnione w sprawozdaniu do Komisji Europejskiej</w:t>
            </w:r>
            <w:bookmarkEnd w:id="31"/>
            <w:r w:rsidRPr="004E3E9A">
              <w:rPr>
                <w:rFonts w:ascii="Times New Roman" w:hAnsi="Times New Roman"/>
                <w:color w:val="000000"/>
                <w:spacing w:val="-2"/>
              </w:rPr>
              <w:t>.</w:t>
            </w:r>
            <w:bookmarkStart w:id="32" w:name="_Hlk98252764"/>
            <w:r w:rsidR="004571EC">
              <w:rPr>
                <w:rFonts w:ascii="Times New Roman" w:hAnsi="Times New Roman"/>
                <w:color w:val="000000"/>
                <w:spacing w:val="-2"/>
              </w:rPr>
              <w:t xml:space="preserve"> </w:t>
            </w:r>
            <w:r w:rsidRPr="004E3E9A">
              <w:rPr>
                <w:rFonts w:ascii="Times New Roman" w:hAnsi="Times New Roman"/>
                <w:color w:val="000000"/>
                <w:spacing w:val="-2"/>
              </w:rPr>
              <w:t>IOŚ</w:t>
            </w:r>
            <w:r w:rsidR="007335CA">
              <w:rPr>
                <w:rFonts w:ascii="Times New Roman" w:hAnsi="Times New Roman"/>
                <w:color w:val="000000"/>
                <w:spacing w:val="-2"/>
              </w:rPr>
              <w:t>-PIB</w:t>
            </w:r>
            <w:r w:rsidR="00E51E8B">
              <w:rPr>
                <w:rFonts w:ascii="Times New Roman" w:hAnsi="Times New Roman"/>
                <w:color w:val="000000"/>
                <w:spacing w:val="-2"/>
              </w:rPr>
              <w:t xml:space="preserve"> </w:t>
            </w:r>
            <w:r w:rsidRPr="004E3E9A">
              <w:rPr>
                <w:rFonts w:ascii="Times New Roman" w:hAnsi="Times New Roman"/>
                <w:color w:val="000000"/>
                <w:spacing w:val="-2"/>
              </w:rPr>
              <w:t xml:space="preserve">został wskazany jako jednostka koordynująca monitoring z uwagi na posiadane doświadczenie, np. realizacja projektu KLIMADA i KLIMADA 2.0, realizacja projektu MPA44 </w:t>
            </w:r>
            <w:r w:rsidR="00B12D73">
              <w:rPr>
                <w:rFonts w:ascii="Times New Roman" w:hAnsi="Times New Roman"/>
                <w:color w:val="000000"/>
                <w:spacing w:val="-2"/>
              </w:rPr>
              <w:t>−</w:t>
            </w:r>
            <w:r w:rsidRPr="004E3E9A">
              <w:rPr>
                <w:rFonts w:ascii="Times New Roman" w:hAnsi="Times New Roman"/>
                <w:color w:val="000000"/>
                <w:spacing w:val="-2"/>
              </w:rPr>
              <w:t xml:space="preserve"> Opracowanie planów adaptacji do zmian klimatu w miastach powyżej 100 tys. mieszkańców, lider konsorcjum realizowanego systemu doradztwa strategicznego dla miast w ramach </w:t>
            </w:r>
            <w:r w:rsidR="00E63DA9">
              <w:rPr>
                <w:rFonts w:ascii="Times New Roman" w:hAnsi="Times New Roman"/>
                <w:color w:val="000000"/>
                <w:spacing w:val="-2"/>
              </w:rPr>
              <w:t>inicjatywy</w:t>
            </w:r>
            <w:r w:rsidRPr="004E3E9A">
              <w:rPr>
                <w:rFonts w:ascii="Times New Roman" w:hAnsi="Times New Roman"/>
                <w:color w:val="000000"/>
                <w:spacing w:val="-2"/>
              </w:rPr>
              <w:t xml:space="preserve"> </w:t>
            </w:r>
            <w:r w:rsidR="00DB6864">
              <w:rPr>
                <w:rFonts w:ascii="Times New Roman" w:hAnsi="Times New Roman"/>
                <w:color w:val="000000"/>
                <w:spacing w:val="-2"/>
              </w:rPr>
              <w:t>„</w:t>
            </w:r>
            <w:r w:rsidRPr="00E51E8B">
              <w:rPr>
                <w:rFonts w:ascii="Times New Roman" w:hAnsi="Times New Roman"/>
                <w:color w:val="000000"/>
                <w:spacing w:val="-2"/>
              </w:rPr>
              <w:t>Miasto z Klimatem</w:t>
            </w:r>
            <w:r w:rsidR="00DB6864">
              <w:rPr>
                <w:rFonts w:ascii="Times New Roman" w:hAnsi="Times New Roman"/>
                <w:color w:val="000000"/>
                <w:spacing w:val="-2"/>
              </w:rPr>
              <w:t>”</w:t>
            </w:r>
            <w:r w:rsidRPr="004E3E9A">
              <w:rPr>
                <w:rFonts w:ascii="Times New Roman" w:hAnsi="Times New Roman"/>
                <w:color w:val="000000"/>
                <w:spacing w:val="-2"/>
              </w:rPr>
              <w:t xml:space="preserve">, czy też uruchomienie i rozbudowa Bazy </w:t>
            </w:r>
            <w:r w:rsidR="0027478D" w:rsidRPr="0027478D">
              <w:rPr>
                <w:rFonts w:ascii="Times New Roman" w:hAnsi="Times New Roman"/>
                <w:color w:val="000000"/>
                <w:spacing w:val="-2"/>
              </w:rPr>
              <w:t>danych o produktach i opakowaniach oraz o</w:t>
            </w:r>
            <w:r w:rsidR="00774F09">
              <w:rPr>
                <w:rFonts w:ascii="Times New Roman" w:hAnsi="Times New Roman"/>
                <w:color w:val="000000"/>
                <w:spacing w:val="-2"/>
              </w:rPr>
              <w:t> </w:t>
            </w:r>
            <w:r w:rsidR="0027478D" w:rsidRPr="0027478D">
              <w:rPr>
                <w:rFonts w:ascii="Times New Roman" w:hAnsi="Times New Roman"/>
                <w:color w:val="000000"/>
                <w:spacing w:val="-2"/>
              </w:rPr>
              <w:t>gospodarce odpadami</w:t>
            </w:r>
            <w:bookmarkEnd w:id="32"/>
            <w:r w:rsidRPr="004E3E9A">
              <w:rPr>
                <w:rFonts w:ascii="Times New Roman" w:hAnsi="Times New Roman"/>
                <w:color w:val="000000"/>
                <w:spacing w:val="-2"/>
              </w:rPr>
              <w:t>.</w:t>
            </w:r>
            <w:r w:rsidR="00B82A31">
              <w:rPr>
                <w:rFonts w:ascii="Times New Roman" w:hAnsi="Times New Roman"/>
                <w:color w:val="000000"/>
                <w:spacing w:val="-2"/>
              </w:rPr>
              <w:t xml:space="preserve"> </w:t>
            </w:r>
            <w:r w:rsidR="007D4578" w:rsidRPr="007A2509">
              <w:rPr>
                <w:rFonts w:ascii="Times New Roman" w:hAnsi="Times New Roman"/>
                <w:color w:val="000000"/>
                <w:spacing w:val="-2"/>
              </w:rPr>
              <w:t xml:space="preserve">Ponadto przewidziany jest obowiązek cyklicznej aktualizacji MPA </w:t>
            </w:r>
            <w:r w:rsidR="007474ED" w:rsidRPr="007A2509">
              <w:rPr>
                <w:rFonts w:ascii="Times New Roman" w:hAnsi="Times New Roman"/>
                <w:color w:val="000000"/>
                <w:spacing w:val="-2"/>
              </w:rPr>
              <w:t xml:space="preserve">co 6 lat </w:t>
            </w:r>
            <w:r w:rsidR="007D4578" w:rsidRPr="007A2509">
              <w:rPr>
                <w:rFonts w:ascii="Times New Roman" w:hAnsi="Times New Roman"/>
                <w:color w:val="000000"/>
                <w:spacing w:val="-2"/>
              </w:rPr>
              <w:t>tak, aby proces aktualizacji dostosować do 5-letnich ocen KE (</w:t>
            </w:r>
            <w:r w:rsidR="002A098E" w:rsidRPr="007A2509">
              <w:rPr>
                <w:rFonts w:ascii="Times New Roman" w:hAnsi="Times New Roman"/>
                <w:color w:val="000000"/>
                <w:spacing w:val="-2"/>
              </w:rPr>
              <w:t xml:space="preserve">rozporządzenia </w:t>
            </w:r>
            <w:r w:rsidR="0024340D">
              <w:rPr>
                <w:rFonts w:ascii="Times New Roman" w:hAnsi="Times New Roman"/>
                <w:color w:val="000000"/>
                <w:spacing w:val="-2"/>
              </w:rPr>
              <w:t>Parlamentu Europejskiego i Rady 2021/1119</w:t>
            </w:r>
            <w:r w:rsidR="0024340D" w:rsidRPr="007A2509">
              <w:rPr>
                <w:rFonts w:ascii="Times New Roman" w:hAnsi="Times New Roman"/>
                <w:color w:val="000000"/>
                <w:spacing w:val="-2"/>
              </w:rPr>
              <w:t xml:space="preserve"> </w:t>
            </w:r>
            <w:r w:rsidR="0024340D">
              <w:rPr>
                <w:rFonts w:ascii="Times New Roman" w:hAnsi="Times New Roman"/>
                <w:color w:val="000000"/>
                <w:spacing w:val="-2"/>
              </w:rPr>
              <w:t>E</w:t>
            </w:r>
            <w:r w:rsidR="00DB6864" w:rsidRPr="007A2509">
              <w:rPr>
                <w:rFonts w:ascii="Times New Roman" w:hAnsi="Times New Roman"/>
                <w:color w:val="000000"/>
                <w:spacing w:val="-2"/>
              </w:rPr>
              <w:t xml:space="preserve">uropejskie </w:t>
            </w:r>
            <w:r w:rsidR="007D4578" w:rsidRPr="007A2509">
              <w:rPr>
                <w:rFonts w:ascii="Times New Roman" w:hAnsi="Times New Roman"/>
                <w:color w:val="000000"/>
                <w:spacing w:val="-2"/>
              </w:rPr>
              <w:t>praw</w:t>
            </w:r>
            <w:r w:rsidR="0024340D">
              <w:rPr>
                <w:rFonts w:ascii="Times New Roman" w:hAnsi="Times New Roman"/>
                <w:color w:val="000000"/>
                <w:spacing w:val="-2"/>
              </w:rPr>
              <w:t>o</w:t>
            </w:r>
            <w:r w:rsidR="007D4578" w:rsidRPr="007A2509">
              <w:rPr>
                <w:rFonts w:ascii="Times New Roman" w:hAnsi="Times New Roman"/>
                <w:color w:val="000000"/>
                <w:spacing w:val="-2"/>
              </w:rPr>
              <w:t xml:space="preserve"> o klimacie)</w:t>
            </w:r>
            <w:r w:rsidR="002A098E" w:rsidRPr="007A2509">
              <w:rPr>
                <w:rFonts w:ascii="Times New Roman" w:hAnsi="Times New Roman"/>
                <w:color w:val="000000"/>
                <w:spacing w:val="-2"/>
              </w:rPr>
              <w:t>.</w:t>
            </w:r>
            <w:r w:rsidR="000B415C">
              <w:rPr>
                <w:rFonts w:ascii="Times New Roman" w:hAnsi="Times New Roman"/>
                <w:color w:val="000000"/>
                <w:spacing w:val="-2"/>
              </w:rPr>
              <w:t xml:space="preserve"> </w:t>
            </w:r>
          </w:p>
          <w:p w14:paraId="43018900" w14:textId="3BD6ACA8" w:rsidR="00197173" w:rsidRDefault="00A96B6E" w:rsidP="0091616F">
            <w:pPr>
              <w:spacing w:before="120" w:line="240" w:lineRule="auto"/>
              <w:jc w:val="both"/>
              <w:rPr>
                <w:rFonts w:ascii="Times New Roman" w:hAnsi="Times New Roman"/>
                <w:color w:val="000000"/>
                <w:spacing w:val="-2"/>
              </w:rPr>
            </w:pPr>
            <w:r w:rsidRPr="007A2509">
              <w:rPr>
                <w:rFonts w:ascii="Times New Roman" w:hAnsi="Times New Roman"/>
                <w:color w:val="000000"/>
                <w:spacing w:val="-2"/>
              </w:rPr>
              <w:t xml:space="preserve">Dodatkowo </w:t>
            </w:r>
            <w:r w:rsidR="00B622CE" w:rsidRPr="007A2509">
              <w:rPr>
                <w:rFonts w:ascii="Times New Roman" w:hAnsi="Times New Roman"/>
                <w:color w:val="000000"/>
                <w:spacing w:val="-2"/>
              </w:rPr>
              <w:t xml:space="preserve">istotnym </w:t>
            </w:r>
            <w:r w:rsidRPr="007A2509">
              <w:rPr>
                <w:rFonts w:ascii="Times New Roman" w:hAnsi="Times New Roman"/>
                <w:color w:val="000000"/>
                <w:spacing w:val="-2"/>
              </w:rPr>
              <w:t xml:space="preserve">celem </w:t>
            </w:r>
            <w:r w:rsidR="00E30A21" w:rsidRPr="007A2509">
              <w:rPr>
                <w:rFonts w:ascii="Times New Roman" w:hAnsi="Times New Roman"/>
                <w:color w:val="000000"/>
                <w:spacing w:val="-2"/>
              </w:rPr>
              <w:t xml:space="preserve">projektowanej </w:t>
            </w:r>
            <w:r w:rsidRPr="007A2509">
              <w:rPr>
                <w:rFonts w:ascii="Times New Roman" w:hAnsi="Times New Roman"/>
                <w:color w:val="000000"/>
                <w:spacing w:val="-2"/>
              </w:rPr>
              <w:t>ustawy jest</w:t>
            </w:r>
            <w:r w:rsidR="00DB6864">
              <w:rPr>
                <w:rFonts w:ascii="Times New Roman" w:hAnsi="Times New Roman"/>
                <w:color w:val="000000"/>
                <w:spacing w:val="-2"/>
              </w:rPr>
              <w:t xml:space="preserve"> to</w:t>
            </w:r>
            <w:r w:rsidRPr="007A2509">
              <w:rPr>
                <w:rFonts w:ascii="Times New Roman" w:hAnsi="Times New Roman"/>
                <w:color w:val="000000"/>
                <w:spacing w:val="-2"/>
              </w:rPr>
              <w:t xml:space="preserve">, aby wnioski i rekomendacje z opracowanych </w:t>
            </w:r>
            <w:r w:rsidR="003968C1" w:rsidRPr="007A2509">
              <w:rPr>
                <w:rFonts w:ascii="Times New Roman" w:hAnsi="Times New Roman"/>
                <w:color w:val="000000"/>
                <w:spacing w:val="-2"/>
              </w:rPr>
              <w:t>MPA</w:t>
            </w:r>
            <w:r w:rsidR="006935DA">
              <w:rPr>
                <w:rFonts w:ascii="Times New Roman" w:hAnsi="Times New Roman"/>
                <w:color w:val="000000"/>
                <w:spacing w:val="-2"/>
              </w:rPr>
              <w:t xml:space="preserve"> </w:t>
            </w:r>
            <w:r w:rsidR="00B622CE" w:rsidRPr="007A2509">
              <w:rPr>
                <w:rFonts w:ascii="Times New Roman" w:hAnsi="Times New Roman"/>
                <w:color w:val="000000"/>
                <w:spacing w:val="-2"/>
              </w:rPr>
              <w:t xml:space="preserve">uwzględniać </w:t>
            </w:r>
            <w:r w:rsidRPr="007A2509">
              <w:rPr>
                <w:rFonts w:ascii="Times New Roman" w:hAnsi="Times New Roman"/>
                <w:color w:val="000000"/>
                <w:spacing w:val="-2"/>
              </w:rPr>
              <w:t>w</w:t>
            </w:r>
            <w:r w:rsidR="00906DE7" w:rsidRPr="007A2509">
              <w:rPr>
                <w:rFonts w:ascii="Times New Roman" w:hAnsi="Times New Roman"/>
                <w:color w:val="000000"/>
                <w:spacing w:val="-2"/>
              </w:rPr>
              <w:t> </w:t>
            </w:r>
            <w:r w:rsidRPr="007A2509">
              <w:rPr>
                <w:rFonts w:ascii="Times New Roman" w:hAnsi="Times New Roman"/>
                <w:color w:val="000000"/>
                <w:spacing w:val="-2"/>
              </w:rPr>
              <w:t>sporządzanych</w:t>
            </w:r>
            <w:r w:rsidR="00613DB9">
              <w:rPr>
                <w:rFonts w:ascii="Times New Roman" w:hAnsi="Times New Roman"/>
                <w:color w:val="000000"/>
                <w:spacing w:val="-2"/>
              </w:rPr>
              <w:t xml:space="preserve"> i aktualizowanych</w:t>
            </w:r>
            <w:r w:rsidRPr="007A2509">
              <w:rPr>
                <w:rFonts w:ascii="Times New Roman" w:hAnsi="Times New Roman"/>
                <w:color w:val="000000"/>
                <w:spacing w:val="-2"/>
              </w:rPr>
              <w:t xml:space="preserve"> </w:t>
            </w:r>
            <w:r w:rsidR="00555388">
              <w:rPr>
                <w:rFonts w:ascii="Times New Roman" w:hAnsi="Times New Roman"/>
                <w:color w:val="000000"/>
                <w:spacing w:val="-2"/>
              </w:rPr>
              <w:t>strategia</w:t>
            </w:r>
            <w:r w:rsidR="0047283D">
              <w:rPr>
                <w:rFonts w:ascii="Times New Roman" w:hAnsi="Times New Roman"/>
                <w:color w:val="000000"/>
                <w:spacing w:val="-2"/>
              </w:rPr>
              <w:t>ch</w:t>
            </w:r>
            <w:r w:rsidR="00555388">
              <w:rPr>
                <w:rFonts w:ascii="Times New Roman" w:hAnsi="Times New Roman"/>
                <w:color w:val="000000"/>
                <w:spacing w:val="-2"/>
              </w:rPr>
              <w:t xml:space="preserve"> rozwoju gmin, </w:t>
            </w:r>
            <w:r w:rsidR="00445687">
              <w:rPr>
                <w:rFonts w:ascii="Times New Roman" w:hAnsi="Times New Roman"/>
                <w:color w:val="000000"/>
                <w:spacing w:val="-2"/>
              </w:rPr>
              <w:t>planach ogólnych gmin</w:t>
            </w:r>
            <w:r w:rsidRPr="007A2509">
              <w:rPr>
                <w:rFonts w:ascii="Times New Roman" w:hAnsi="Times New Roman"/>
                <w:color w:val="000000"/>
                <w:spacing w:val="-2"/>
              </w:rPr>
              <w:t xml:space="preserve"> oraz miejscowych plan</w:t>
            </w:r>
            <w:r w:rsidR="00906DE7" w:rsidRPr="007A2509">
              <w:rPr>
                <w:rFonts w:ascii="Times New Roman" w:hAnsi="Times New Roman"/>
                <w:color w:val="000000"/>
                <w:spacing w:val="-2"/>
              </w:rPr>
              <w:t>ach</w:t>
            </w:r>
            <w:r w:rsidRPr="007A2509">
              <w:rPr>
                <w:rFonts w:ascii="Times New Roman" w:hAnsi="Times New Roman"/>
                <w:color w:val="000000"/>
                <w:spacing w:val="-2"/>
              </w:rPr>
              <w:t xml:space="preserve"> zagospodarowania przestrzennego. Korzyścią wprowadzenia takiej regulacji będzie szerokie uwzględnienie adaptacji do zmian klimatu w</w:t>
            </w:r>
            <w:r w:rsidR="00A856BC" w:rsidRPr="007A2509">
              <w:rPr>
                <w:rFonts w:ascii="Times New Roman" w:hAnsi="Times New Roman"/>
                <w:color w:val="000000"/>
                <w:spacing w:val="-2"/>
              </w:rPr>
              <w:t> </w:t>
            </w:r>
            <w:r w:rsidRPr="007A2509">
              <w:rPr>
                <w:rFonts w:ascii="Times New Roman" w:hAnsi="Times New Roman"/>
                <w:color w:val="000000"/>
                <w:spacing w:val="-2"/>
              </w:rPr>
              <w:t xml:space="preserve">dokumentach przygotowywanych przez samorząd, a efektem </w:t>
            </w:r>
            <w:r w:rsidR="00613DB9">
              <w:rPr>
                <w:rFonts w:ascii="Times New Roman" w:hAnsi="Times New Roman"/>
                <w:color w:val="000000"/>
                <w:spacing w:val="-2"/>
              </w:rPr>
              <w:t xml:space="preserve">– </w:t>
            </w:r>
            <w:r w:rsidRPr="007A2509">
              <w:rPr>
                <w:rFonts w:ascii="Times New Roman" w:hAnsi="Times New Roman"/>
                <w:color w:val="000000"/>
                <w:spacing w:val="-2"/>
              </w:rPr>
              <w:t xml:space="preserve">konsekwentne zwiększanie odporności miast na zmiany klimatu. </w:t>
            </w:r>
            <w:r w:rsidR="00555388" w:rsidRPr="00D65186">
              <w:rPr>
                <w:rFonts w:ascii="Times New Roman" w:hAnsi="Times New Roman"/>
                <w:color w:val="000000"/>
                <w:spacing w:val="-2"/>
              </w:rPr>
              <w:t xml:space="preserve">Uchwalenie </w:t>
            </w:r>
            <w:r w:rsidR="00197173" w:rsidRPr="00D65186">
              <w:rPr>
                <w:rFonts w:ascii="Times New Roman" w:hAnsi="Times New Roman"/>
                <w:color w:val="000000"/>
                <w:spacing w:val="-2"/>
              </w:rPr>
              <w:t xml:space="preserve">MPA nie spowoduje konieczności aktualizacji obecnie </w:t>
            </w:r>
            <w:r w:rsidR="00197173" w:rsidRPr="00E049AB">
              <w:rPr>
                <w:rFonts w:ascii="Times New Roman" w:hAnsi="Times New Roman"/>
                <w:color w:val="000000"/>
                <w:spacing w:val="-2"/>
              </w:rPr>
              <w:t xml:space="preserve">obowiązujących </w:t>
            </w:r>
            <w:r w:rsidR="00613DB9" w:rsidRPr="00E049AB">
              <w:rPr>
                <w:rFonts w:ascii="Times New Roman" w:hAnsi="Times New Roman"/>
                <w:color w:val="000000"/>
                <w:spacing w:val="-2"/>
              </w:rPr>
              <w:t>ww.</w:t>
            </w:r>
            <w:r w:rsidR="00555388" w:rsidRPr="00E049AB">
              <w:rPr>
                <w:rFonts w:ascii="Times New Roman" w:hAnsi="Times New Roman"/>
                <w:color w:val="000000"/>
                <w:spacing w:val="-2"/>
              </w:rPr>
              <w:t xml:space="preserve"> strategii </w:t>
            </w:r>
            <w:r w:rsidR="00D6413B" w:rsidRPr="00E049AB">
              <w:rPr>
                <w:rFonts w:ascii="Times New Roman" w:hAnsi="Times New Roman"/>
                <w:color w:val="000000"/>
                <w:spacing w:val="-2"/>
              </w:rPr>
              <w:t>i</w:t>
            </w:r>
            <w:r w:rsidR="00774F09">
              <w:rPr>
                <w:rFonts w:ascii="Times New Roman" w:hAnsi="Times New Roman"/>
                <w:color w:val="000000"/>
                <w:spacing w:val="-2"/>
              </w:rPr>
              <w:t> </w:t>
            </w:r>
            <w:r w:rsidR="00613DB9" w:rsidRPr="00E049AB">
              <w:rPr>
                <w:rFonts w:ascii="Times New Roman" w:hAnsi="Times New Roman"/>
                <w:color w:val="000000"/>
                <w:spacing w:val="-2"/>
              </w:rPr>
              <w:t>planów</w:t>
            </w:r>
            <w:r w:rsidR="00197173" w:rsidRPr="00E049AB">
              <w:rPr>
                <w:rFonts w:ascii="Times New Roman" w:hAnsi="Times New Roman"/>
                <w:color w:val="000000"/>
                <w:spacing w:val="-2"/>
              </w:rPr>
              <w:t>; przyjęty MP</w:t>
            </w:r>
            <w:r w:rsidR="00706384" w:rsidRPr="00E049AB">
              <w:rPr>
                <w:rFonts w:ascii="Times New Roman" w:hAnsi="Times New Roman"/>
                <w:color w:val="000000"/>
                <w:spacing w:val="-2"/>
              </w:rPr>
              <w:t>A</w:t>
            </w:r>
            <w:r w:rsidR="00197173" w:rsidRPr="00E049AB">
              <w:rPr>
                <w:rFonts w:ascii="Times New Roman" w:hAnsi="Times New Roman"/>
                <w:color w:val="000000"/>
                <w:spacing w:val="-2"/>
              </w:rPr>
              <w:t xml:space="preserve"> będzie uwzględniany tylko w nowopowstających i aktualizowanych strategiach</w:t>
            </w:r>
            <w:r w:rsidR="00197173" w:rsidRPr="00D65186">
              <w:rPr>
                <w:rFonts w:ascii="Times New Roman" w:hAnsi="Times New Roman"/>
                <w:color w:val="000000"/>
                <w:spacing w:val="-2"/>
              </w:rPr>
              <w:t xml:space="preserve"> rozwoju gmin, </w:t>
            </w:r>
            <w:r w:rsidR="00445687" w:rsidRPr="00D65186">
              <w:rPr>
                <w:rFonts w:ascii="Times New Roman" w:hAnsi="Times New Roman"/>
                <w:color w:val="000000"/>
                <w:spacing w:val="-2"/>
              </w:rPr>
              <w:t>planach</w:t>
            </w:r>
            <w:r w:rsidR="00445687">
              <w:rPr>
                <w:rFonts w:ascii="Times New Roman" w:hAnsi="Times New Roman"/>
                <w:color w:val="000000"/>
                <w:spacing w:val="-2"/>
              </w:rPr>
              <w:t xml:space="preserve"> ogólnych</w:t>
            </w:r>
            <w:r w:rsidR="00197173" w:rsidRPr="00197173">
              <w:rPr>
                <w:rFonts w:ascii="Times New Roman" w:hAnsi="Times New Roman"/>
                <w:color w:val="000000"/>
                <w:spacing w:val="-2"/>
              </w:rPr>
              <w:t xml:space="preserve"> gmin oraz miejscowych planach</w:t>
            </w:r>
            <w:r w:rsidR="00197173">
              <w:rPr>
                <w:rFonts w:ascii="Times New Roman" w:hAnsi="Times New Roman"/>
                <w:color w:val="000000"/>
                <w:spacing w:val="-2"/>
              </w:rPr>
              <w:t xml:space="preserve"> </w:t>
            </w:r>
            <w:r w:rsidR="00197173" w:rsidRPr="00197173">
              <w:rPr>
                <w:rFonts w:ascii="Times New Roman" w:hAnsi="Times New Roman"/>
                <w:color w:val="000000"/>
                <w:spacing w:val="-2"/>
              </w:rPr>
              <w:t>zagospodarowania przestrzennego</w:t>
            </w:r>
            <w:r w:rsidR="00471D17">
              <w:rPr>
                <w:rFonts w:ascii="Times New Roman" w:hAnsi="Times New Roman"/>
                <w:color w:val="000000"/>
                <w:spacing w:val="-2"/>
              </w:rPr>
              <w:t>.</w:t>
            </w:r>
            <w:r w:rsidR="00D142AA">
              <w:rPr>
                <w:rFonts w:ascii="Times New Roman" w:hAnsi="Times New Roman"/>
                <w:color w:val="000000"/>
                <w:spacing w:val="-2"/>
              </w:rPr>
              <w:t xml:space="preserve"> </w:t>
            </w:r>
          </w:p>
          <w:p w14:paraId="4ADAC1A0" w14:textId="45A5F668" w:rsidR="00B82A31" w:rsidRDefault="0092124B" w:rsidP="0091616F">
            <w:pPr>
              <w:spacing w:before="120" w:after="120" w:line="240" w:lineRule="auto"/>
              <w:jc w:val="both"/>
              <w:rPr>
                <w:rFonts w:ascii="Times New Roman" w:hAnsi="Times New Roman"/>
                <w:color w:val="000000"/>
                <w:spacing w:val="-2"/>
              </w:rPr>
            </w:pPr>
            <w:bookmarkStart w:id="33" w:name="_Hlk98254760"/>
            <w:bookmarkStart w:id="34" w:name="_Hlk98254737"/>
            <w:r w:rsidRPr="000832C9">
              <w:rPr>
                <w:rFonts w:ascii="Times New Roman" w:hAnsi="Times New Roman"/>
                <w:color w:val="000000"/>
                <w:spacing w:val="-2"/>
              </w:rPr>
              <w:t xml:space="preserve">Zasadnym </w:t>
            </w:r>
            <w:r w:rsidR="00B12D73" w:rsidRPr="000832C9">
              <w:rPr>
                <w:rFonts w:ascii="Times New Roman" w:hAnsi="Times New Roman"/>
                <w:color w:val="000000"/>
                <w:spacing w:val="-2"/>
              </w:rPr>
              <w:t xml:space="preserve">jest </w:t>
            </w:r>
            <w:r w:rsidRPr="000832C9">
              <w:rPr>
                <w:rFonts w:ascii="Times New Roman" w:hAnsi="Times New Roman"/>
                <w:color w:val="000000"/>
                <w:spacing w:val="-2"/>
              </w:rPr>
              <w:t>również, aby wprowadzić dodatkowe regulacje, które chroniłyby tereny zieleni przed nadmierną zabudową powierzchniami szczelnymi</w:t>
            </w:r>
            <w:r w:rsidR="00DB6864" w:rsidRPr="000832C9">
              <w:rPr>
                <w:rFonts w:ascii="Times New Roman" w:hAnsi="Times New Roman"/>
                <w:color w:val="000000"/>
                <w:spacing w:val="-2"/>
              </w:rPr>
              <w:t>,</w:t>
            </w:r>
            <w:r w:rsidRPr="000832C9">
              <w:rPr>
                <w:rFonts w:ascii="Times New Roman" w:hAnsi="Times New Roman"/>
                <w:color w:val="000000"/>
                <w:spacing w:val="-2"/>
              </w:rPr>
              <w:t xml:space="preserve"> a także chroniłyby tereny zieleni „dzikiej”, które pełnią istotną rolę w kontekście adaptacji do zmian klimatu, np. </w:t>
            </w:r>
            <w:r w:rsidR="00DB6864" w:rsidRPr="000832C9">
              <w:rPr>
                <w:rFonts w:ascii="Times New Roman" w:hAnsi="Times New Roman"/>
                <w:color w:val="000000"/>
                <w:spacing w:val="-2"/>
              </w:rPr>
              <w:t>s</w:t>
            </w:r>
            <w:r w:rsidRPr="000832C9">
              <w:rPr>
                <w:rFonts w:ascii="Times New Roman" w:hAnsi="Times New Roman"/>
                <w:color w:val="000000"/>
                <w:spacing w:val="-2"/>
              </w:rPr>
              <w:t>pełni</w:t>
            </w:r>
            <w:r w:rsidR="00DB6864" w:rsidRPr="000832C9">
              <w:rPr>
                <w:rFonts w:ascii="Times New Roman" w:hAnsi="Times New Roman"/>
                <w:color w:val="000000"/>
                <w:spacing w:val="-2"/>
              </w:rPr>
              <w:t>ając</w:t>
            </w:r>
            <w:r w:rsidRPr="000832C9">
              <w:rPr>
                <w:rFonts w:ascii="Times New Roman" w:hAnsi="Times New Roman"/>
                <w:color w:val="000000"/>
                <w:spacing w:val="-2"/>
              </w:rPr>
              <w:t xml:space="preserve"> funkcje retencyjne. W ustawie z dnia 16 kwietnia 2004 r</w:t>
            </w:r>
            <w:r w:rsidR="003A7722">
              <w:rPr>
                <w:rFonts w:ascii="Times New Roman" w:hAnsi="Times New Roman"/>
                <w:color w:val="000000"/>
                <w:spacing w:val="-2"/>
              </w:rPr>
              <w:t>.</w:t>
            </w:r>
            <w:r w:rsidRPr="000832C9">
              <w:rPr>
                <w:rFonts w:ascii="Times New Roman" w:hAnsi="Times New Roman"/>
                <w:color w:val="000000"/>
                <w:spacing w:val="-2"/>
              </w:rPr>
              <w:t xml:space="preserve"> </w:t>
            </w:r>
            <w:r w:rsidRPr="00804C6F">
              <w:rPr>
                <w:rFonts w:ascii="Times New Roman" w:hAnsi="Times New Roman"/>
                <w:i/>
                <w:iCs/>
                <w:color w:val="000000"/>
                <w:spacing w:val="-2"/>
              </w:rPr>
              <w:t>o ochronie przyrody</w:t>
            </w:r>
            <w:r w:rsidRPr="000832C9">
              <w:rPr>
                <w:rFonts w:ascii="Times New Roman" w:hAnsi="Times New Roman"/>
                <w:color w:val="000000"/>
                <w:spacing w:val="-2"/>
              </w:rPr>
              <w:t xml:space="preserve"> </w:t>
            </w:r>
            <w:r w:rsidR="000979C3" w:rsidRPr="000832C9">
              <w:rPr>
                <w:rFonts w:ascii="Times New Roman" w:hAnsi="Times New Roman"/>
                <w:color w:val="000000"/>
                <w:spacing w:val="-2"/>
              </w:rPr>
              <w:t xml:space="preserve">zostaną </w:t>
            </w:r>
            <w:r w:rsidRPr="000832C9">
              <w:rPr>
                <w:rFonts w:ascii="Times New Roman" w:hAnsi="Times New Roman"/>
                <w:color w:val="000000"/>
                <w:spacing w:val="-2"/>
              </w:rPr>
              <w:t xml:space="preserve">wskazane zasady działania dla rad gmin przy zakładaniu i utrzymywaniu terenów zieleni. Proponuje się dodanie do art. 78 ust. 2 i 3 </w:t>
            </w:r>
            <w:r w:rsidR="00D6413B">
              <w:rPr>
                <w:rFonts w:ascii="Times New Roman" w:hAnsi="Times New Roman"/>
                <w:color w:val="000000"/>
                <w:spacing w:val="-2"/>
              </w:rPr>
              <w:t xml:space="preserve">ww. ustawy </w:t>
            </w:r>
            <w:r w:rsidRPr="000832C9">
              <w:rPr>
                <w:rFonts w:ascii="Times New Roman" w:hAnsi="Times New Roman"/>
                <w:color w:val="000000"/>
                <w:spacing w:val="-2"/>
              </w:rPr>
              <w:t xml:space="preserve">mówiących o tym, że przy zakładaniu terenu zieleni </w:t>
            </w:r>
            <w:r w:rsidR="006022CB">
              <w:rPr>
                <w:rFonts w:ascii="Times New Roman" w:hAnsi="Times New Roman"/>
                <w:color w:val="000000"/>
                <w:spacing w:val="-2"/>
              </w:rPr>
              <w:t xml:space="preserve">w </w:t>
            </w:r>
            <w:r w:rsidR="006022CB" w:rsidRPr="006022CB">
              <w:rPr>
                <w:rFonts w:ascii="Times New Roman" w:hAnsi="Times New Roman"/>
                <w:color w:val="000000"/>
                <w:spacing w:val="-2"/>
              </w:rPr>
              <w:t>pierwszej kolejności należy wykorzystywać zasoby przyrodnicze tego terenu, w tym zachować istniejącą roślinność rodzimą, oraz zapewnić, aby powierzchnia biologicznie czynna zajmowała co najmniej 95% powierzchni tego terenu zieleni</w:t>
            </w:r>
            <w:r w:rsidRPr="000832C9">
              <w:rPr>
                <w:rFonts w:ascii="Times New Roman" w:hAnsi="Times New Roman"/>
                <w:color w:val="000000"/>
                <w:spacing w:val="-2"/>
              </w:rPr>
              <w:t xml:space="preserve">. Przy utrzymywaniu terenu zieleni </w:t>
            </w:r>
            <w:r w:rsidR="00FE3127" w:rsidRPr="00FE3127">
              <w:rPr>
                <w:rFonts w:ascii="Times New Roman" w:hAnsi="Times New Roman"/>
                <w:color w:val="000000"/>
                <w:spacing w:val="-2"/>
              </w:rPr>
              <w:t>w pierwszej kolejności należy wzmacniać funkcje przyrodnicze tego terenu, w tym przez ekstensywną pielęgnację zieleni oraz pozostawienie części terenu do naturalnej wegetacji, oraz należy dążyć do tego, aby jak największy udział w powierzchni miała powierzchnia biologicznie czynna</w:t>
            </w:r>
            <w:bookmarkEnd w:id="33"/>
            <w:r w:rsidRPr="000832C9">
              <w:rPr>
                <w:rFonts w:ascii="Times New Roman" w:hAnsi="Times New Roman"/>
                <w:color w:val="000000"/>
                <w:spacing w:val="-2"/>
              </w:rPr>
              <w:t>.</w:t>
            </w:r>
            <w:bookmarkEnd w:id="34"/>
          </w:p>
          <w:p w14:paraId="4542E9C5" w14:textId="77777777" w:rsidR="002024C3" w:rsidRDefault="006B6495" w:rsidP="00723662">
            <w:pPr>
              <w:numPr>
                <w:ilvl w:val="0"/>
                <w:numId w:val="3"/>
              </w:numPr>
              <w:tabs>
                <w:tab w:val="left" w:pos="199"/>
              </w:tabs>
              <w:spacing w:line="240" w:lineRule="auto"/>
              <w:jc w:val="both"/>
              <w:rPr>
                <w:rFonts w:ascii="Times New Roman" w:hAnsi="Times New Roman"/>
                <w:b/>
                <w:bCs/>
                <w:color w:val="000000"/>
                <w:u w:val="single"/>
              </w:rPr>
            </w:pPr>
            <w:r w:rsidRPr="007A2509">
              <w:rPr>
                <w:rFonts w:ascii="Times New Roman" w:hAnsi="Times New Roman"/>
                <w:b/>
                <w:bCs/>
                <w:color w:val="000000"/>
                <w:u w:val="single"/>
              </w:rPr>
              <w:t>Planowanie przestrzenne</w:t>
            </w:r>
          </w:p>
          <w:p w14:paraId="10B5F80F" w14:textId="692F1966" w:rsidR="001D3B6C" w:rsidRDefault="00C80835" w:rsidP="001D3B6C">
            <w:pPr>
              <w:spacing w:before="120" w:line="240" w:lineRule="auto"/>
              <w:ind w:left="34"/>
              <w:jc w:val="both"/>
              <w:rPr>
                <w:rFonts w:ascii="Times New Roman" w:hAnsi="Times New Roman"/>
                <w:color w:val="000000"/>
              </w:rPr>
            </w:pPr>
            <w:r>
              <w:rPr>
                <w:rFonts w:ascii="Times New Roman" w:hAnsi="Times New Roman"/>
                <w:color w:val="000000"/>
              </w:rPr>
              <w:t>A</w:t>
            </w:r>
            <w:r w:rsidR="001D3B6C" w:rsidRPr="007A2509">
              <w:rPr>
                <w:rFonts w:ascii="Times New Roman" w:hAnsi="Times New Roman"/>
                <w:color w:val="000000"/>
              </w:rPr>
              <w:t xml:space="preserve">daptacja do zmian klimatu ma bardzo istotny wymiar przestrzenny, zaś analizy ryzyka klimatycznego prowadzone na wczesnym etapie planowania przestrzennego, dotyczące uwarunkowań funkcjonalno-przestrzennych, pozwolą na zastosowanie rozwiązań z zakresu adaptacji do zmian klimatu, w tym </w:t>
            </w:r>
            <w:r w:rsidR="001D3B6C">
              <w:rPr>
                <w:rFonts w:ascii="Times New Roman" w:hAnsi="Times New Roman"/>
                <w:color w:val="000000"/>
              </w:rPr>
              <w:t>BZI</w:t>
            </w:r>
            <w:r w:rsidR="001D3B6C" w:rsidRPr="007A2509">
              <w:rPr>
                <w:rFonts w:ascii="Times New Roman" w:hAnsi="Times New Roman"/>
                <w:color w:val="000000"/>
              </w:rPr>
              <w:t>, w jak najszerszym stopniu oraz na skuteczne uniknięcie możliwych negatywnych konsekwencji zmian klimatu. Etap planowania przestrzennego pozwala na rozpatrywanie różnych wariantów lokalizacyjnych infrastruktury i przedsięwzięć w zależności od różnych uwarunkowań, zaś uwarunkowania związane z adaptacją do zmian klimatu powinny być brane</w:t>
            </w:r>
            <w:r w:rsidR="001D3B6C">
              <w:rPr>
                <w:rFonts w:ascii="Times New Roman" w:hAnsi="Times New Roman"/>
                <w:color w:val="000000"/>
              </w:rPr>
              <w:t>,</w:t>
            </w:r>
            <w:r w:rsidR="001D3B6C" w:rsidRPr="007A2509">
              <w:rPr>
                <w:rFonts w:ascii="Times New Roman" w:hAnsi="Times New Roman"/>
                <w:color w:val="000000"/>
              </w:rPr>
              <w:t xml:space="preserve"> w tym procesie</w:t>
            </w:r>
            <w:r w:rsidR="001D3B6C">
              <w:rPr>
                <w:rFonts w:ascii="Times New Roman" w:hAnsi="Times New Roman"/>
                <w:color w:val="000000"/>
              </w:rPr>
              <w:t>,</w:t>
            </w:r>
            <w:r w:rsidR="001D3B6C" w:rsidRPr="007A2509">
              <w:rPr>
                <w:rFonts w:ascii="Times New Roman" w:hAnsi="Times New Roman"/>
                <w:color w:val="000000"/>
              </w:rPr>
              <w:t xml:space="preserve"> pod uwagę jako jedne z</w:t>
            </w:r>
            <w:r w:rsidR="001D3B6C">
              <w:rPr>
                <w:rFonts w:ascii="Times New Roman" w:hAnsi="Times New Roman"/>
                <w:color w:val="000000"/>
              </w:rPr>
              <w:t> </w:t>
            </w:r>
            <w:r w:rsidR="001D3B6C" w:rsidRPr="007A2509">
              <w:rPr>
                <w:rFonts w:ascii="Times New Roman" w:hAnsi="Times New Roman"/>
                <w:color w:val="000000"/>
              </w:rPr>
              <w:t xml:space="preserve">najważniejszych. Należy przy tym </w:t>
            </w:r>
            <w:r w:rsidR="001D3B6C">
              <w:rPr>
                <w:rFonts w:ascii="Times New Roman" w:hAnsi="Times New Roman"/>
                <w:color w:val="000000"/>
              </w:rPr>
              <w:t>wskazać</w:t>
            </w:r>
            <w:r w:rsidR="001D3B6C" w:rsidRPr="007A2509">
              <w:rPr>
                <w:rFonts w:ascii="Times New Roman" w:hAnsi="Times New Roman"/>
                <w:color w:val="000000"/>
              </w:rPr>
              <w:t>, że w Polsce powstają kolejne miejskie</w:t>
            </w:r>
            <w:r w:rsidR="001D3B6C">
              <w:rPr>
                <w:rFonts w:ascii="Times New Roman" w:hAnsi="Times New Roman"/>
                <w:color w:val="000000"/>
              </w:rPr>
              <w:t xml:space="preserve"> </w:t>
            </w:r>
            <w:r w:rsidR="001D3B6C" w:rsidRPr="007A2509">
              <w:rPr>
                <w:rFonts w:ascii="Times New Roman" w:hAnsi="Times New Roman"/>
                <w:color w:val="000000"/>
              </w:rPr>
              <w:t>plany adaptacji do zmian klimatu</w:t>
            </w:r>
            <w:r w:rsidR="001D3B6C">
              <w:rPr>
                <w:rFonts w:ascii="Times New Roman" w:hAnsi="Times New Roman"/>
                <w:color w:val="000000"/>
              </w:rPr>
              <w:t>.</w:t>
            </w:r>
            <w:r w:rsidR="001D3B6C" w:rsidRPr="007A2509">
              <w:rPr>
                <w:rFonts w:ascii="Times New Roman" w:hAnsi="Times New Roman"/>
                <w:color w:val="000000"/>
              </w:rPr>
              <w:t xml:space="preserve"> </w:t>
            </w:r>
            <w:r w:rsidR="001D3B6C">
              <w:rPr>
                <w:rFonts w:ascii="Times New Roman" w:hAnsi="Times New Roman"/>
                <w:color w:val="000000"/>
              </w:rPr>
              <w:t>W</w:t>
            </w:r>
            <w:r w:rsidR="00774F09">
              <w:rPr>
                <w:rFonts w:ascii="Times New Roman" w:hAnsi="Times New Roman"/>
                <w:color w:val="000000"/>
              </w:rPr>
              <w:t> </w:t>
            </w:r>
            <w:r w:rsidR="001D3B6C" w:rsidRPr="007A2509">
              <w:rPr>
                <w:rFonts w:ascii="Times New Roman" w:hAnsi="Times New Roman"/>
                <w:color w:val="000000"/>
              </w:rPr>
              <w:t xml:space="preserve">przyszłości </w:t>
            </w:r>
            <w:r w:rsidR="001D3B6C">
              <w:rPr>
                <w:rFonts w:ascii="Times New Roman" w:hAnsi="Times New Roman"/>
                <w:color w:val="000000"/>
              </w:rPr>
              <w:t xml:space="preserve">będzie </w:t>
            </w:r>
            <w:r w:rsidR="001D3B6C" w:rsidRPr="007A2509">
              <w:rPr>
                <w:rFonts w:ascii="Times New Roman" w:hAnsi="Times New Roman"/>
                <w:color w:val="000000"/>
              </w:rPr>
              <w:t>powstawać coraz więcej tych dokumentów z</w:t>
            </w:r>
            <w:r w:rsidR="001D3B6C">
              <w:rPr>
                <w:rFonts w:ascii="Times New Roman" w:hAnsi="Times New Roman"/>
                <w:color w:val="000000"/>
              </w:rPr>
              <w:t xml:space="preserve"> </w:t>
            </w:r>
            <w:r w:rsidR="001D3B6C" w:rsidRPr="007A2509">
              <w:rPr>
                <w:rFonts w:ascii="Times New Roman" w:hAnsi="Times New Roman"/>
                <w:color w:val="000000"/>
              </w:rPr>
              <w:t xml:space="preserve">uwagi na </w:t>
            </w:r>
            <w:r w:rsidR="003C647E">
              <w:rPr>
                <w:rFonts w:ascii="Times New Roman" w:hAnsi="Times New Roman"/>
                <w:color w:val="000000"/>
              </w:rPr>
              <w:t>zapewnione</w:t>
            </w:r>
            <w:r w:rsidR="001D3B6C" w:rsidRPr="007A2509">
              <w:rPr>
                <w:rFonts w:ascii="Times New Roman" w:hAnsi="Times New Roman"/>
                <w:color w:val="000000"/>
              </w:rPr>
              <w:t xml:space="preserve"> wsparcie z funduszy Unii Europejskiej (UE) na </w:t>
            </w:r>
            <w:r w:rsidR="001D3B6C">
              <w:rPr>
                <w:rFonts w:ascii="Times New Roman" w:hAnsi="Times New Roman"/>
                <w:color w:val="000000"/>
              </w:rPr>
              <w:t xml:space="preserve">ich </w:t>
            </w:r>
            <w:r w:rsidR="001D3B6C" w:rsidRPr="007A2509">
              <w:rPr>
                <w:rFonts w:ascii="Times New Roman" w:hAnsi="Times New Roman"/>
                <w:color w:val="000000"/>
              </w:rPr>
              <w:t>opracowanie</w:t>
            </w:r>
            <w:r w:rsidR="001D3B6C">
              <w:rPr>
                <w:rFonts w:ascii="Times New Roman" w:hAnsi="Times New Roman"/>
                <w:color w:val="000000"/>
              </w:rPr>
              <w:t>.</w:t>
            </w:r>
          </w:p>
          <w:p w14:paraId="67E22AF2" w14:textId="77777777" w:rsidR="001D3B6C" w:rsidRPr="007A2509" w:rsidRDefault="001D3B6C" w:rsidP="00E55CB1">
            <w:pPr>
              <w:tabs>
                <w:tab w:val="left" w:pos="199"/>
              </w:tabs>
              <w:spacing w:line="240" w:lineRule="auto"/>
              <w:ind w:left="360"/>
              <w:jc w:val="both"/>
              <w:rPr>
                <w:rFonts w:ascii="Times New Roman" w:hAnsi="Times New Roman"/>
                <w:b/>
                <w:bCs/>
                <w:color w:val="000000"/>
                <w:u w:val="single"/>
              </w:rPr>
            </w:pPr>
          </w:p>
          <w:p w14:paraId="330F11D2" w14:textId="77777777" w:rsidR="002024C3" w:rsidRDefault="00E4071D" w:rsidP="00F61EB7">
            <w:pPr>
              <w:spacing w:line="240" w:lineRule="auto"/>
              <w:jc w:val="both"/>
              <w:rPr>
                <w:rFonts w:ascii="Times New Roman" w:hAnsi="Times New Roman"/>
                <w:color w:val="000000"/>
              </w:rPr>
            </w:pPr>
            <w:r w:rsidRPr="007A2509">
              <w:rPr>
                <w:rFonts w:ascii="Times New Roman" w:hAnsi="Times New Roman"/>
                <w:color w:val="000000"/>
              </w:rPr>
              <w:t>Każdy lokalny plan adaptacji odnosi się do uwarunkowań przestrzennych adaptacji do zmian klimatu</w:t>
            </w:r>
            <w:r w:rsidR="000E7BAD" w:rsidRPr="007A2509">
              <w:rPr>
                <w:rFonts w:ascii="Times New Roman" w:hAnsi="Times New Roman"/>
                <w:color w:val="000000"/>
              </w:rPr>
              <w:t>. Brak</w:t>
            </w:r>
            <w:r w:rsidR="00DB6864">
              <w:rPr>
                <w:rFonts w:ascii="Times New Roman" w:hAnsi="Times New Roman"/>
                <w:color w:val="000000"/>
              </w:rPr>
              <w:t>uje</w:t>
            </w:r>
            <w:r w:rsidR="000E7BAD" w:rsidRPr="007A2509">
              <w:rPr>
                <w:rFonts w:ascii="Times New Roman" w:hAnsi="Times New Roman"/>
                <w:color w:val="000000"/>
              </w:rPr>
              <w:t xml:space="preserve"> jednak zobowiązania dla miast, </w:t>
            </w:r>
            <w:r w:rsidR="00E85414" w:rsidRPr="007A2509">
              <w:rPr>
                <w:rFonts w:ascii="Times New Roman" w:hAnsi="Times New Roman"/>
                <w:color w:val="000000"/>
              </w:rPr>
              <w:t>nawet tych</w:t>
            </w:r>
            <w:r w:rsidR="00DB1116">
              <w:rPr>
                <w:rFonts w:ascii="Times New Roman" w:hAnsi="Times New Roman"/>
                <w:color w:val="000000"/>
              </w:rPr>
              <w:t>,</w:t>
            </w:r>
            <w:r w:rsidR="00E85414" w:rsidRPr="007A2509">
              <w:rPr>
                <w:rFonts w:ascii="Times New Roman" w:hAnsi="Times New Roman"/>
                <w:color w:val="000000"/>
              </w:rPr>
              <w:t xml:space="preserve"> </w:t>
            </w:r>
            <w:r w:rsidR="000E7BAD" w:rsidRPr="007A2509">
              <w:rPr>
                <w:rFonts w:ascii="Times New Roman" w:hAnsi="Times New Roman"/>
                <w:color w:val="000000"/>
              </w:rPr>
              <w:t xml:space="preserve">które posiadają </w:t>
            </w:r>
            <w:r w:rsidR="00E85414" w:rsidRPr="007A2509">
              <w:rPr>
                <w:rFonts w:ascii="Times New Roman" w:hAnsi="Times New Roman"/>
                <w:color w:val="000000"/>
              </w:rPr>
              <w:t xml:space="preserve">już </w:t>
            </w:r>
            <w:r w:rsidR="000E7BAD" w:rsidRPr="007A2509">
              <w:rPr>
                <w:rFonts w:ascii="Times New Roman" w:hAnsi="Times New Roman"/>
                <w:color w:val="000000"/>
              </w:rPr>
              <w:t xml:space="preserve">opracowane </w:t>
            </w:r>
            <w:r w:rsidR="00956D95" w:rsidRPr="007A2509">
              <w:rPr>
                <w:rFonts w:ascii="Times New Roman" w:hAnsi="Times New Roman"/>
                <w:color w:val="000000"/>
              </w:rPr>
              <w:t xml:space="preserve">miejskie </w:t>
            </w:r>
            <w:r w:rsidR="000E7BAD" w:rsidRPr="007A2509">
              <w:rPr>
                <w:rFonts w:ascii="Times New Roman" w:hAnsi="Times New Roman"/>
                <w:color w:val="000000"/>
              </w:rPr>
              <w:t>plany adaptacji do zmian klimatu</w:t>
            </w:r>
            <w:r w:rsidR="00E85414" w:rsidRPr="007A2509">
              <w:rPr>
                <w:rFonts w:ascii="Times New Roman" w:hAnsi="Times New Roman"/>
                <w:color w:val="000000"/>
              </w:rPr>
              <w:t>, do wdrażania</w:t>
            </w:r>
            <w:r w:rsidRPr="007A2509">
              <w:rPr>
                <w:rFonts w:ascii="Times New Roman" w:hAnsi="Times New Roman"/>
                <w:color w:val="000000"/>
              </w:rPr>
              <w:t xml:space="preserve"> wniosków wynikających z </w:t>
            </w:r>
            <w:r w:rsidR="00E85414" w:rsidRPr="007A2509">
              <w:rPr>
                <w:rFonts w:ascii="Times New Roman" w:hAnsi="Times New Roman"/>
                <w:color w:val="000000"/>
              </w:rPr>
              <w:t xml:space="preserve">tych planów </w:t>
            </w:r>
            <w:r w:rsidRPr="007A2509">
              <w:rPr>
                <w:rFonts w:ascii="Times New Roman" w:hAnsi="Times New Roman"/>
                <w:color w:val="000000"/>
              </w:rPr>
              <w:t>w</w:t>
            </w:r>
            <w:r w:rsidR="00630ED1" w:rsidRPr="007A2509">
              <w:rPr>
                <w:rFonts w:ascii="Times New Roman" w:hAnsi="Times New Roman"/>
                <w:color w:val="000000"/>
              </w:rPr>
              <w:t> </w:t>
            </w:r>
            <w:r w:rsidRPr="007A2509">
              <w:rPr>
                <w:rFonts w:ascii="Times New Roman" w:hAnsi="Times New Roman"/>
                <w:color w:val="000000"/>
              </w:rPr>
              <w:t>kontekście zagospodarowania przestrzennego.</w:t>
            </w:r>
            <w:r w:rsidR="00C0646A" w:rsidRPr="007A2509">
              <w:rPr>
                <w:rFonts w:ascii="Times New Roman" w:hAnsi="Times New Roman"/>
                <w:color w:val="000000"/>
              </w:rPr>
              <w:t xml:space="preserve"> </w:t>
            </w:r>
            <w:r w:rsidRPr="007A2509">
              <w:rPr>
                <w:rFonts w:ascii="Times New Roman" w:hAnsi="Times New Roman"/>
                <w:color w:val="000000"/>
              </w:rPr>
              <w:t xml:space="preserve">Proponowane zmiany </w:t>
            </w:r>
            <w:r w:rsidRPr="007A2509">
              <w:rPr>
                <w:rFonts w:ascii="Times New Roman" w:hAnsi="Times New Roman"/>
                <w:color w:val="000000"/>
              </w:rPr>
              <w:lastRenderedPageBreak/>
              <w:t xml:space="preserve">prawne </w:t>
            </w:r>
            <w:bookmarkStart w:id="35" w:name="_Hlk157679622"/>
            <w:r w:rsidRPr="007A2509">
              <w:rPr>
                <w:rFonts w:ascii="Times New Roman" w:hAnsi="Times New Roman"/>
                <w:color w:val="000000"/>
              </w:rPr>
              <w:t xml:space="preserve">polegają na konieczności uwzględniania </w:t>
            </w:r>
            <w:r w:rsidR="00381CC1" w:rsidRPr="007A2509">
              <w:rPr>
                <w:rFonts w:ascii="Times New Roman" w:hAnsi="Times New Roman"/>
                <w:color w:val="000000"/>
              </w:rPr>
              <w:t xml:space="preserve">w planowaniu przestrzennym </w:t>
            </w:r>
            <w:r w:rsidR="00E85414" w:rsidRPr="007A2509">
              <w:rPr>
                <w:rFonts w:ascii="Times New Roman" w:hAnsi="Times New Roman"/>
                <w:color w:val="000000"/>
              </w:rPr>
              <w:t>przez miasta</w:t>
            </w:r>
            <w:r w:rsidR="00AB4EFF">
              <w:rPr>
                <w:rFonts w:ascii="Times New Roman" w:hAnsi="Times New Roman"/>
                <w:color w:val="000000"/>
              </w:rPr>
              <w:t xml:space="preserve">, które mają uchwalony MPA, </w:t>
            </w:r>
            <w:r w:rsidRPr="007A2509">
              <w:rPr>
                <w:rFonts w:ascii="Times New Roman" w:hAnsi="Times New Roman"/>
                <w:color w:val="000000"/>
              </w:rPr>
              <w:t xml:space="preserve">działań zmniejszających </w:t>
            </w:r>
            <w:r w:rsidR="00B30EEB">
              <w:rPr>
                <w:rFonts w:ascii="Times New Roman" w:hAnsi="Times New Roman"/>
                <w:color w:val="000000"/>
              </w:rPr>
              <w:t>podatność</w:t>
            </w:r>
            <w:r w:rsidRPr="007A2509">
              <w:rPr>
                <w:rFonts w:ascii="Times New Roman" w:hAnsi="Times New Roman"/>
                <w:color w:val="000000"/>
              </w:rPr>
              <w:t xml:space="preserve"> na zmiany klimat</w:t>
            </w:r>
            <w:r w:rsidR="00B30EEB">
              <w:rPr>
                <w:rFonts w:ascii="Times New Roman" w:hAnsi="Times New Roman"/>
                <w:color w:val="000000"/>
              </w:rPr>
              <w:t>u</w:t>
            </w:r>
            <w:r w:rsidRPr="007A2509">
              <w:rPr>
                <w:rFonts w:ascii="Times New Roman" w:hAnsi="Times New Roman"/>
                <w:color w:val="000000"/>
              </w:rPr>
              <w:t xml:space="preserve">, </w:t>
            </w:r>
            <w:r w:rsidR="009D3942" w:rsidRPr="007A2509">
              <w:rPr>
                <w:rFonts w:ascii="Times New Roman" w:hAnsi="Times New Roman"/>
                <w:color w:val="000000"/>
              </w:rPr>
              <w:t>a </w:t>
            </w:r>
            <w:r w:rsidRPr="007A2509">
              <w:rPr>
                <w:rFonts w:ascii="Times New Roman" w:hAnsi="Times New Roman"/>
                <w:color w:val="000000"/>
              </w:rPr>
              <w:t>wynikających z rekomendacji i wniosków zawartych w planie adaptacji do zmian klimatu</w:t>
            </w:r>
            <w:r w:rsidR="00E85414" w:rsidRPr="007A2509">
              <w:rPr>
                <w:rFonts w:ascii="Times New Roman" w:hAnsi="Times New Roman"/>
                <w:color w:val="000000"/>
              </w:rPr>
              <w:t xml:space="preserve">. </w:t>
            </w:r>
            <w:bookmarkEnd w:id="35"/>
            <w:r w:rsidR="00E85414" w:rsidRPr="007A2509">
              <w:rPr>
                <w:rFonts w:ascii="Times New Roman" w:hAnsi="Times New Roman"/>
                <w:color w:val="000000"/>
              </w:rPr>
              <w:t xml:space="preserve">Planowana zmiana </w:t>
            </w:r>
            <w:r w:rsidRPr="007A2509">
              <w:rPr>
                <w:rFonts w:ascii="Times New Roman" w:hAnsi="Times New Roman"/>
                <w:color w:val="000000"/>
              </w:rPr>
              <w:t>powinn</w:t>
            </w:r>
            <w:r w:rsidR="00F61EB7">
              <w:rPr>
                <w:rFonts w:ascii="Times New Roman" w:hAnsi="Times New Roman"/>
                <w:color w:val="000000"/>
              </w:rPr>
              <w:t>a</w:t>
            </w:r>
            <w:r w:rsidRPr="007A2509">
              <w:rPr>
                <w:rFonts w:ascii="Times New Roman" w:hAnsi="Times New Roman"/>
                <w:color w:val="000000"/>
              </w:rPr>
              <w:t xml:space="preserve"> stanowić rozwiązanie </w:t>
            </w:r>
            <w:r w:rsidR="00E85414" w:rsidRPr="007A2509">
              <w:rPr>
                <w:rFonts w:ascii="Times New Roman" w:hAnsi="Times New Roman"/>
                <w:color w:val="000000"/>
              </w:rPr>
              <w:t>zidentyfikowanego</w:t>
            </w:r>
            <w:r w:rsidRPr="007A2509">
              <w:rPr>
                <w:rFonts w:ascii="Times New Roman" w:hAnsi="Times New Roman"/>
                <w:color w:val="000000"/>
              </w:rPr>
              <w:t xml:space="preserve"> problem</w:t>
            </w:r>
            <w:r w:rsidR="00E85414" w:rsidRPr="007A2509">
              <w:rPr>
                <w:rFonts w:ascii="Times New Roman" w:hAnsi="Times New Roman"/>
                <w:color w:val="000000"/>
              </w:rPr>
              <w:t>u</w:t>
            </w:r>
            <w:r w:rsidRPr="007A2509">
              <w:rPr>
                <w:rFonts w:ascii="Times New Roman" w:hAnsi="Times New Roman"/>
                <w:color w:val="000000"/>
              </w:rPr>
              <w:t xml:space="preserve">. </w:t>
            </w:r>
            <w:r w:rsidR="00121169" w:rsidRPr="007A2509">
              <w:rPr>
                <w:rFonts w:ascii="Times New Roman" w:hAnsi="Times New Roman"/>
                <w:color w:val="000000"/>
              </w:rPr>
              <w:t xml:space="preserve">Kluczową kwestią w zakresie zmian legislacyjnych w obszarze planowania przestrzennego jest wprowadzenie do istniejących ustaw zagadnień </w:t>
            </w:r>
            <w:r w:rsidR="00381CC1" w:rsidRPr="007A2509">
              <w:rPr>
                <w:rFonts w:ascii="Times New Roman" w:hAnsi="Times New Roman"/>
                <w:color w:val="000000"/>
              </w:rPr>
              <w:t>dotyczących</w:t>
            </w:r>
            <w:r w:rsidR="00121169" w:rsidRPr="007A2509">
              <w:rPr>
                <w:rFonts w:ascii="Times New Roman" w:hAnsi="Times New Roman"/>
                <w:color w:val="000000"/>
              </w:rPr>
              <w:t xml:space="preserve"> analiz</w:t>
            </w:r>
            <w:r w:rsidR="00381CC1" w:rsidRPr="007A2509">
              <w:rPr>
                <w:rFonts w:ascii="Times New Roman" w:hAnsi="Times New Roman"/>
                <w:color w:val="000000"/>
              </w:rPr>
              <w:t>y</w:t>
            </w:r>
            <w:r w:rsidR="00121169" w:rsidRPr="007A2509">
              <w:rPr>
                <w:rFonts w:ascii="Times New Roman" w:hAnsi="Times New Roman"/>
                <w:color w:val="000000"/>
              </w:rPr>
              <w:t xml:space="preserve"> ryzyka związanego ze zmian</w:t>
            </w:r>
            <w:r w:rsidR="00381CC1" w:rsidRPr="007A2509">
              <w:rPr>
                <w:rFonts w:ascii="Times New Roman" w:hAnsi="Times New Roman"/>
                <w:color w:val="000000"/>
              </w:rPr>
              <w:t>ami</w:t>
            </w:r>
            <w:r w:rsidR="00121169" w:rsidRPr="007A2509">
              <w:rPr>
                <w:rFonts w:ascii="Times New Roman" w:hAnsi="Times New Roman"/>
                <w:color w:val="000000"/>
              </w:rPr>
              <w:t xml:space="preserve"> klimatu</w:t>
            </w:r>
            <w:r w:rsidR="00AB4EFF">
              <w:rPr>
                <w:rFonts w:ascii="Times New Roman" w:hAnsi="Times New Roman"/>
                <w:color w:val="000000"/>
              </w:rPr>
              <w:t xml:space="preserve"> oraz oceny podatności na zmiany klimatu</w:t>
            </w:r>
            <w:r w:rsidR="00696592">
              <w:rPr>
                <w:rFonts w:ascii="Times New Roman" w:hAnsi="Times New Roman"/>
                <w:color w:val="000000"/>
              </w:rPr>
              <w:t>:</w:t>
            </w:r>
            <w:r w:rsidR="00F61EB7" w:rsidRPr="00F61EB7">
              <w:rPr>
                <w:rFonts w:ascii="Times New Roman" w:hAnsi="Times New Roman"/>
                <w:color w:val="000000"/>
              </w:rPr>
              <w:tab/>
            </w:r>
          </w:p>
          <w:p w14:paraId="642B644D" w14:textId="6E7A565C" w:rsidR="00DB1116" w:rsidRDefault="00445687" w:rsidP="005C4CF5">
            <w:pPr>
              <w:numPr>
                <w:ilvl w:val="0"/>
                <w:numId w:val="13"/>
              </w:numPr>
              <w:spacing w:line="240" w:lineRule="auto"/>
              <w:jc w:val="both"/>
              <w:rPr>
                <w:rFonts w:ascii="Times New Roman" w:hAnsi="Times New Roman"/>
                <w:color w:val="000000"/>
              </w:rPr>
            </w:pPr>
            <w:r>
              <w:rPr>
                <w:rFonts w:ascii="Times New Roman" w:hAnsi="Times New Roman"/>
                <w:color w:val="000000"/>
              </w:rPr>
              <w:t>przy określaniu u</w:t>
            </w:r>
            <w:r w:rsidRPr="00445687">
              <w:rPr>
                <w:rFonts w:ascii="Times New Roman" w:hAnsi="Times New Roman"/>
                <w:color w:val="000000"/>
              </w:rPr>
              <w:t>stale</w:t>
            </w:r>
            <w:r>
              <w:rPr>
                <w:rFonts w:ascii="Times New Roman" w:hAnsi="Times New Roman"/>
                <w:color w:val="000000"/>
              </w:rPr>
              <w:t>ń</w:t>
            </w:r>
            <w:r w:rsidRPr="00445687">
              <w:rPr>
                <w:rFonts w:ascii="Times New Roman" w:hAnsi="Times New Roman"/>
                <w:color w:val="000000"/>
              </w:rPr>
              <w:t xml:space="preserve"> planu ogólnego </w:t>
            </w:r>
            <w:r>
              <w:rPr>
                <w:rFonts w:ascii="Times New Roman" w:hAnsi="Times New Roman"/>
                <w:color w:val="000000"/>
              </w:rPr>
              <w:t xml:space="preserve">będą </w:t>
            </w:r>
            <w:r w:rsidRPr="00445687">
              <w:rPr>
                <w:rFonts w:ascii="Times New Roman" w:hAnsi="Times New Roman"/>
                <w:color w:val="000000"/>
              </w:rPr>
              <w:t>uwzględnia</w:t>
            </w:r>
            <w:r>
              <w:rPr>
                <w:rFonts w:ascii="Times New Roman" w:hAnsi="Times New Roman"/>
                <w:color w:val="000000"/>
              </w:rPr>
              <w:t xml:space="preserve">ne </w:t>
            </w:r>
            <w:r w:rsidRPr="00445687">
              <w:rPr>
                <w:rFonts w:ascii="Times New Roman" w:hAnsi="Times New Roman"/>
                <w:color w:val="000000"/>
              </w:rPr>
              <w:t xml:space="preserve">uwarunkowania rozwoju przestrzennego gminy, w </w:t>
            </w:r>
            <w:r>
              <w:rPr>
                <w:rFonts w:ascii="Times New Roman" w:hAnsi="Times New Roman"/>
                <w:color w:val="000000"/>
              </w:rPr>
              <w:t>tym wnioski i rekomendacje zawarte w miejskich planach adaptacji do zmian klimatu</w:t>
            </w:r>
            <w:r w:rsidR="00A82D95">
              <w:rPr>
                <w:rFonts w:ascii="Times New Roman" w:hAnsi="Times New Roman"/>
                <w:color w:val="000000"/>
              </w:rPr>
              <w:t>;</w:t>
            </w:r>
          </w:p>
          <w:p w14:paraId="190280B8" w14:textId="2BF3F547" w:rsidR="00F91F8D" w:rsidRPr="00F91F8D" w:rsidRDefault="00F91F8D" w:rsidP="005C4CF5">
            <w:pPr>
              <w:numPr>
                <w:ilvl w:val="0"/>
                <w:numId w:val="13"/>
              </w:numPr>
              <w:spacing w:line="240" w:lineRule="auto"/>
              <w:jc w:val="both"/>
              <w:rPr>
                <w:rFonts w:ascii="Times New Roman" w:hAnsi="Times New Roman"/>
                <w:color w:val="000000"/>
              </w:rPr>
            </w:pPr>
            <w:r w:rsidRPr="00F91F8D">
              <w:rPr>
                <w:rFonts w:ascii="Times New Roman" w:hAnsi="Times New Roman"/>
                <w:color w:val="000000"/>
              </w:rPr>
              <w:t xml:space="preserve">w planie zagospodarowania przestrzennego województwa </w:t>
            </w:r>
            <w:r>
              <w:rPr>
                <w:rFonts w:ascii="Times New Roman" w:hAnsi="Times New Roman"/>
                <w:color w:val="000000"/>
              </w:rPr>
              <w:t xml:space="preserve">zostaną określone </w:t>
            </w:r>
            <w:r w:rsidRPr="00F91F8D">
              <w:rPr>
                <w:rFonts w:ascii="Times New Roman" w:hAnsi="Times New Roman"/>
                <w:color w:val="000000"/>
              </w:rPr>
              <w:t>zasady</w:t>
            </w:r>
            <w:r>
              <w:rPr>
                <w:rFonts w:ascii="Times New Roman" w:hAnsi="Times New Roman"/>
                <w:color w:val="000000"/>
              </w:rPr>
              <w:t xml:space="preserve"> </w:t>
            </w:r>
            <w:r w:rsidRPr="00F91F8D">
              <w:rPr>
                <w:rFonts w:ascii="Times New Roman" w:hAnsi="Times New Roman"/>
                <w:color w:val="000000"/>
              </w:rPr>
              <w:t>prowadzenia działań na rzecz ochrony klimatu oraz działań adaptacyjnych</w:t>
            </w:r>
            <w:r>
              <w:rPr>
                <w:rFonts w:ascii="Times New Roman" w:hAnsi="Times New Roman"/>
                <w:color w:val="000000"/>
              </w:rPr>
              <w:t xml:space="preserve"> </w:t>
            </w:r>
            <w:r w:rsidRPr="00F91F8D">
              <w:rPr>
                <w:rFonts w:ascii="Times New Roman" w:hAnsi="Times New Roman"/>
                <w:color w:val="000000"/>
              </w:rPr>
              <w:t>zmniejszających podatność regionu na zmiany klimatu</w:t>
            </w:r>
            <w:r w:rsidR="00666074">
              <w:rPr>
                <w:rFonts w:ascii="Times New Roman" w:hAnsi="Times New Roman"/>
                <w:color w:val="000000"/>
              </w:rPr>
              <w:t>;</w:t>
            </w:r>
          </w:p>
          <w:p w14:paraId="6FB3D4F5" w14:textId="77777777" w:rsidR="00A82D95" w:rsidRDefault="00696592" w:rsidP="005C4CF5">
            <w:pPr>
              <w:numPr>
                <w:ilvl w:val="0"/>
                <w:numId w:val="13"/>
              </w:numPr>
              <w:spacing w:line="240" w:lineRule="auto"/>
              <w:jc w:val="both"/>
              <w:rPr>
                <w:rFonts w:ascii="Times New Roman" w:hAnsi="Times New Roman"/>
                <w:color w:val="000000"/>
              </w:rPr>
            </w:pPr>
            <w:r>
              <w:rPr>
                <w:rFonts w:ascii="Times New Roman" w:hAnsi="Times New Roman"/>
                <w:color w:val="000000"/>
              </w:rPr>
              <w:t>w</w:t>
            </w:r>
            <w:r w:rsidR="00A82D95" w:rsidRPr="00696592">
              <w:rPr>
                <w:rFonts w:ascii="Times New Roman" w:hAnsi="Times New Roman"/>
                <w:color w:val="000000"/>
              </w:rPr>
              <w:t xml:space="preserve">niosek o ustalenie lokalizacji inwestycji celu publicznego </w:t>
            </w:r>
            <w:r>
              <w:rPr>
                <w:rFonts w:ascii="Times New Roman" w:hAnsi="Times New Roman"/>
                <w:color w:val="000000"/>
              </w:rPr>
              <w:t>będzie zawierał</w:t>
            </w:r>
            <w:r w:rsidR="00A82D95" w:rsidRPr="00696592">
              <w:rPr>
                <w:rFonts w:ascii="Times New Roman" w:hAnsi="Times New Roman"/>
                <w:color w:val="000000"/>
              </w:rPr>
              <w:t xml:space="preserve"> charakterystykę inwestycji, w tym określenie charakterystycznych parametrów technicznych inwestycji oraz dane charakteryzujące jej wpływ na środowisko, w tym na podatnoś</w:t>
            </w:r>
            <w:r w:rsidR="00AB4EFF">
              <w:rPr>
                <w:rFonts w:ascii="Times New Roman" w:hAnsi="Times New Roman"/>
                <w:color w:val="000000"/>
              </w:rPr>
              <w:t>ć</w:t>
            </w:r>
            <w:r w:rsidR="00A82D95" w:rsidRPr="00696592">
              <w:rPr>
                <w:rFonts w:ascii="Times New Roman" w:hAnsi="Times New Roman"/>
                <w:color w:val="000000"/>
              </w:rPr>
              <w:t xml:space="preserve"> na zmiany klimatu</w:t>
            </w:r>
            <w:r>
              <w:rPr>
                <w:rFonts w:ascii="Times New Roman" w:hAnsi="Times New Roman"/>
                <w:color w:val="000000"/>
              </w:rPr>
              <w:t>;</w:t>
            </w:r>
          </w:p>
          <w:p w14:paraId="60FDA5ED" w14:textId="6681646B" w:rsidR="00A82D95" w:rsidRPr="000148FF" w:rsidRDefault="00696592" w:rsidP="005C4CF5">
            <w:pPr>
              <w:numPr>
                <w:ilvl w:val="0"/>
                <w:numId w:val="13"/>
              </w:numPr>
              <w:spacing w:line="240" w:lineRule="auto"/>
              <w:jc w:val="both"/>
              <w:rPr>
                <w:rFonts w:ascii="Times New Roman" w:hAnsi="Times New Roman"/>
                <w:color w:val="000000"/>
              </w:rPr>
            </w:pPr>
            <w:r>
              <w:rPr>
                <w:rFonts w:ascii="Times New Roman" w:hAnsi="Times New Roman"/>
                <w:color w:val="000000"/>
              </w:rPr>
              <w:t>d</w:t>
            </w:r>
            <w:r w:rsidR="00A82D95" w:rsidRPr="00696592">
              <w:rPr>
                <w:rFonts w:ascii="Times New Roman" w:hAnsi="Times New Roman"/>
                <w:color w:val="000000"/>
              </w:rPr>
              <w:t>ecyzja o ustaleniu lokalizacji inwestycji celu publicznego określ</w:t>
            </w:r>
            <w:r>
              <w:rPr>
                <w:rFonts w:ascii="Times New Roman" w:hAnsi="Times New Roman"/>
                <w:color w:val="000000"/>
              </w:rPr>
              <w:t>i</w:t>
            </w:r>
            <w:r w:rsidR="00A82D95" w:rsidRPr="00696592">
              <w:rPr>
                <w:rFonts w:ascii="Times New Roman" w:hAnsi="Times New Roman"/>
                <w:color w:val="000000"/>
              </w:rPr>
              <w:t xml:space="preserve"> warunki i szczegółowe zasady zagospodarowania terenu oraz jego zabudowy wynikające z przepisów odrębnych, a w szczególności w zakresie ochrony środowiska, w</w:t>
            </w:r>
            <w:r w:rsidR="00774F09">
              <w:rPr>
                <w:rFonts w:ascii="Times New Roman" w:hAnsi="Times New Roman"/>
                <w:color w:val="000000"/>
              </w:rPr>
              <w:t> </w:t>
            </w:r>
            <w:r w:rsidR="00A82D95" w:rsidRPr="00696592">
              <w:rPr>
                <w:rFonts w:ascii="Times New Roman" w:hAnsi="Times New Roman"/>
                <w:color w:val="000000"/>
              </w:rPr>
              <w:t>tym zmniejszenie podatności na zmiany klimatu, zdrowia ludzi oraz ochrony dziedzictwa kulturowego, zabytków i</w:t>
            </w:r>
            <w:r w:rsidR="00774F09">
              <w:rPr>
                <w:rFonts w:ascii="Times New Roman" w:hAnsi="Times New Roman"/>
                <w:color w:val="000000"/>
              </w:rPr>
              <w:t> </w:t>
            </w:r>
            <w:r w:rsidR="00A82D95" w:rsidRPr="00696592">
              <w:rPr>
                <w:rFonts w:ascii="Times New Roman" w:hAnsi="Times New Roman"/>
                <w:color w:val="000000"/>
              </w:rPr>
              <w:t>dóbr kultury współczesnej</w:t>
            </w:r>
            <w:r w:rsidR="000148FF">
              <w:rPr>
                <w:rFonts w:ascii="Times New Roman" w:hAnsi="Times New Roman"/>
                <w:color w:val="000000"/>
              </w:rPr>
              <w:t>.</w:t>
            </w:r>
          </w:p>
          <w:p w14:paraId="2E0DD3AE" w14:textId="3EEB7AE1" w:rsidR="00EA460F" w:rsidRDefault="00121169" w:rsidP="0091616F">
            <w:pPr>
              <w:spacing w:after="120" w:line="240" w:lineRule="auto"/>
              <w:jc w:val="both"/>
              <w:rPr>
                <w:rFonts w:ascii="Times New Roman" w:hAnsi="Times New Roman"/>
                <w:color w:val="000000"/>
              </w:rPr>
            </w:pPr>
            <w:r w:rsidRPr="007A2509">
              <w:rPr>
                <w:rFonts w:ascii="Times New Roman" w:hAnsi="Times New Roman"/>
                <w:color w:val="000000"/>
              </w:rPr>
              <w:t xml:space="preserve">Ogólnym efektem wprowadzanych zmian będzie zmniejszenie </w:t>
            </w:r>
            <w:r w:rsidR="00B30EEB">
              <w:rPr>
                <w:rFonts w:ascii="Times New Roman" w:hAnsi="Times New Roman"/>
                <w:color w:val="000000"/>
              </w:rPr>
              <w:t>podatności</w:t>
            </w:r>
            <w:r w:rsidR="00B30EEB" w:rsidRPr="007A2509">
              <w:rPr>
                <w:rFonts w:ascii="Times New Roman" w:hAnsi="Times New Roman"/>
                <w:color w:val="000000"/>
              </w:rPr>
              <w:t xml:space="preserve"> </w:t>
            </w:r>
            <w:r w:rsidRPr="007A2509">
              <w:rPr>
                <w:rFonts w:ascii="Times New Roman" w:hAnsi="Times New Roman"/>
                <w:color w:val="000000"/>
              </w:rPr>
              <w:t xml:space="preserve">oraz wzrost odporności </w:t>
            </w:r>
            <w:r w:rsidR="00E85414" w:rsidRPr="007A2509">
              <w:rPr>
                <w:rFonts w:ascii="Times New Roman" w:hAnsi="Times New Roman"/>
                <w:color w:val="000000"/>
              </w:rPr>
              <w:t>miast</w:t>
            </w:r>
            <w:r w:rsidRPr="007A2509">
              <w:rPr>
                <w:rFonts w:ascii="Times New Roman" w:hAnsi="Times New Roman"/>
                <w:color w:val="000000"/>
              </w:rPr>
              <w:t>,</w:t>
            </w:r>
            <w:r w:rsidR="003E465C" w:rsidRPr="007A2509">
              <w:rPr>
                <w:rFonts w:ascii="Times New Roman" w:hAnsi="Times New Roman"/>
                <w:color w:val="000000"/>
              </w:rPr>
              <w:t xml:space="preserve"> </w:t>
            </w:r>
            <w:r w:rsidRPr="007A2509">
              <w:rPr>
                <w:rFonts w:ascii="Times New Roman" w:hAnsi="Times New Roman"/>
                <w:color w:val="000000"/>
              </w:rPr>
              <w:t xml:space="preserve">adaptacja do zmian klimatu, a także uniknięcie niekorzystnych skutków zmian klimatu, w tym możliwych strat. </w:t>
            </w:r>
            <w:r w:rsidR="00C32BD7" w:rsidRPr="007A2509">
              <w:rPr>
                <w:rFonts w:ascii="Times New Roman" w:hAnsi="Times New Roman"/>
                <w:color w:val="000000"/>
              </w:rPr>
              <w:t xml:space="preserve">Efektem zmian będzie wzrost </w:t>
            </w:r>
            <w:r w:rsidR="004B6D89" w:rsidRPr="007A2509">
              <w:rPr>
                <w:rFonts w:ascii="Times New Roman" w:hAnsi="Times New Roman"/>
                <w:color w:val="000000"/>
              </w:rPr>
              <w:t>powierz</w:t>
            </w:r>
            <w:r w:rsidR="00DB6622" w:rsidRPr="007A2509">
              <w:rPr>
                <w:rFonts w:ascii="Times New Roman" w:hAnsi="Times New Roman"/>
                <w:color w:val="000000"/>
              </w:rPr>
              <w:t>c</w:t>
            </w:r>
            <w:r w:rsidR="004B6D89" w:rsidRPr="007A2509">
              <w:rPr>
                <w:rFonts w:ascii="Times New Roman" w:hAnsi="Times New Roman"/>
                <w:color w:val="000000"/>
              </w:rPr>
              <w:t>hni</w:t>
            </w:r>
            <w:r w:rsidR="00C32BD7" w:rsidRPr="007A2509">
              <w:rPr>
                <w:rFonts w:ascii="Times New Roman" w:hAnsi="Times New Roman"/>
                <w:color w:val="000000"/>
              </w:rPr>
              <w:t xml:space="preserve"> </w:t>
            </w:r>
            <w:r w:rsidR="00FF09ED">
              <w:rPr>
                <w:rFonts w:ascii="Times New Roman" w:hAnsi="Times New Roman"/>
                <w:color w:val="000000"/>
              </w:rPr>
              <w:t>terenów</w:t>
            </w:r>
            <w:r w:rsidR="00FF09ED" w:rsidRPr="007A2509">
              <w:rPr>
                <w:rFonts w:ascii="Times New Roman" w:hAnsi="Times New Roman"/>
                <w:color w:val="000000"/>
              </w:rPr>
              <w:t xml:space="preserve"> </w:t>
            </w:r>
            <w:r w:rsidR="00C32BD7" w:rsidRPr="007A2509">
              <w:rPr>
                <w:rFonts w:ascii="Times New Roman" w:hAnsi="Times New Roman"/>
                <w:color w:val="000000"/>
              </w:rPr>
              <w:t>zieleni</w:t>
            </w:r>
            <w:r w:rsidR="00DB6622" w:rsidRPr="007A2509">
              <w:rPr>
                <w:rFonts w:ascii="Times New Roman" w:hAnsi="Times New Roman"/>
                <w:color w:val="000000"/>
              </w:rPr>
              <w:t>,</w:t>
            </w:r>
            <w:r w:rsidR="00C32BD7" w:rsidRPr="007A2509">
              <w:rPr>
                <w:rFonts w:ascii="Times New Roman" w:hAnsi="Times New Roman"/>
                <w:color w:val="000000"/>
              </w:rPr>
              <w:t xml:space="preserve"> </w:t>
            </w:r>
            <w:r w:rsidR="00DB6622" w:rsidRPr="007A2509">
              <w:rPr>
                <w:rFonts w:ascii="Times New Roman" w:hAnsi="Times New Roman"/>
                <w:color w:val="000000"/>
              </w:rPr>
              <w:t xml:space="preserve">rozwój </w:t>
            </w:r>
            <w:r w:rsidR="00A82D95">
              <w:rPr>
                <w:rFonts w:ascii="Times New Roman" w:hAnsi="Times New Roman"/>
                <w:color w:val="000000"/>
              </w:rPr>
              <w:t>BZI</w:t>
            </w:r>
            <w:r w:rsidR="00DB6622" w:rsidRPr="007A2509">
              <w:rPr>
                <w:rFonts w:ascii="Times New Roman" w:hAnsi="Times New Roman"/>
                <w:color w:val="000000"/>
              </w:rPr>
              <w:t xml:space="preserve"> i</w:t>
            </w:r>
            <w:r w:rsidR="00C32BD7" w:rsidRPr="007A2509">
              <w:rPr>
                <w:rFonts w:ascii="Times New Roman" w:hAnsi="Times New Roman"/>
                <w:color w:val="000000"/>
              </w:rPr>
              <w:t xml:space="preserve"> rozwiązań opartych na przyrodzie, które </w:t>
            </w:r>
            <w:r w:rsidR="002271DB">
              <w:rPr>
                <w:rFonts w:ascii="Times New Roman" w:hAnsi="Times New Roman"/>
                <w:color w:val="000000"/>
              </w:rPr>
              <w:t>s</w:t>
            </w:r>
            <w:r w:rsidR="00C32BD7" w:rsidRPr="007A2509">
              <w:rPr>
                <w:rFonts w:ascii="Times New Roman" w:hAnsi="Times New Roman"/>
                <w:color w:val="000000"/>
              </w:rPr>
              <w:t>pełni</w:t>
            </w:r>
            <w:r w:rsidR="002271DB">
              <w:rPr>
                <w:rFonts w:ascii="Times New Roman" w:hAnsi="Times New Roman"/>
                <w:color w:val="000000"/>
              </w:rPr>
              <w:t>ają</w:t>
            </w:r>
            <w:r w:rsidR="00C32BD7" w:rsidRPr="007A2509">
              <w:rPr>
                <w:rFonts w:ascii="Times New Roman" w:hAnsi="Times New Roman"/>
                <w:color w:val="000000"/>
              </w:rPr>
              <w:t xml:space="preserve"> istotne funkcje adaptacyjne, ale także przyrodnicze, społeczne i gospodarcze, przyczyniając się do wzrostu komfortu życia ludzi. Efektem zmian będzie również </w:t>
            </w:r>
            <w:r w:rsidR="00A16978" w:rsidRPr="00A16978">
              <w:rPr>
                <w:rFonts w:ascii="Times New Roman" w:hAnsi="Times New Roman"/>
                <w:color w:val="000000"/>
              </w:rPr>
              <w:t xml:space="preserve">ograniczenie występowania pewnych zjawisk </w:t>
            </w:r>
            <w:r w:rsidR="00A16978">
              <w:rPr>
                <w:rFonts w:ascii="Times New Roman" w:hAnsi="Times New Roman"/>
                <w:color w:val="000000"/>
              </w:rPr>
              <w:t xml:space="preserve">ekstremalnych </w:t>
            </w:r>
            <w:r w:rsidR="00A16978" w:rsidRPr="00A16978">
              <w:rPr>
                <w:rFonts w:ascii="Times New Roman" w:hAnsi="Times New Roman"/>
                <w:color w:val="000000"/>
              </w:rPr>
              <w:t>i ich negatywnych skutków</w:t>
            </w:r>
            <w:r w:rsidR="00C32BD7" w:rsidRPr="007A2509">
              <w:rPr>
                <w:rFonts w:ascii="Times New Roman" w:hAnsi="Times New Roman"/>
                <w:color w:val="000000"/>
              </w:rPr>
              <w:t>. Wiążące uwzględnienie na etapie planowania przestrzennego aspektów związanych z ryzykiem klimatycznym oraz adaptacji do zmian klimatu gwarantować będzie skuteczność działań adaptacyjnych, ze względu na bardzo wczesny etap rozwoju inwestycyjnego (wariantowanie) oraz uwzględnienie uwarunkowań funkcjonalno</w:t>
            </w:r>
            <w:r w:rsidR="00DB6864">
              <w:rPr>
                <w:rFonts w:ascii="Times New Roman" w:hAnsi="Times New Roman"/>
                <w:color w:val="000000"/>
              </w:rPr>
              <w:t>-</w:t>
            </w:r>
            <w:r w:rsidR="00C32BD7" w:rsidRPr="007A2509">
              <w:rPr>
                <w:rFonts w:ascii="Times New Roman" w:hAnsi="Times New Roman"/>
                <w:color w:val="000000"/>
              </w:rPr>
              <w:t xml:space="preserve">przestrzennych. </w:t>
            </w:r>
          </w:p>
          <w:p w14:paraId="03AFBC18" w14:textId="77777777" w:rsidR="002024C3" w:rsidRPr="007A2509" w:rsidRDefault="006B6495" w:rsidP="00723662">
            <w:pPr>
              <w:numPr>
                <w:ilvl w:val="0"/>
                <w:numId w:val="3"/>
              </w:numPr>
              <w:tabs>
                <w:tab w:val="left" w:pos="219"/>
              </w:tabs>
              <w:spacing w:line="240" w:lineRule="auto"/>
              <w:jc w:val="both"/>
              <w:rPr>
                <w:rFonts w:ascii="Times New Roman" w:hAnsi="Times New Roman"/>
                <w:b/>
                <w:bCs/>
                <w:color w:val="000000"/>
                <w:u w:val="single"/>
              </w:rPr>
            </w:pPr>
            <w:r w:rsidRPr="007A2509">
              <w:rPr>
                <w:rFonts w:ascii="Times New Roman" w:hAnsi="Times New Roman"/>
                <w:b/>
                <w:bCs/>
                <w:color w:val="000000"/>
                <w:u w:val="single"/>
              </w:rPr>
              <w:t>Ocena oddziaływania na środowisko</w:t>
            </w:r>
          </w:p>
          <w:p w14:paraId="07CF9B1F" w14:textId="7869F74F" w:rsidR="00FD01D3" w:rsidRPr="007A2509" w:rsidRDefault="00FD01D3" w:rsidP="007A2509">
            <w:pPr>
              <w:spacing w:line="240" w:lineRule="auto"/>
              <w:jc w:val="both"/>
              <w:rPr>
                <w:rFonts w:ascii="Times New Roman" w:hAnsi="Times New Roman"/>
                <w:bCs/>
                <w:color w:val="000000"/>
              </w:rPr>
            </w:pPr>
            <w:r w:rsidRPr="007A2509">
              <w:rPr>
                <w:rFonts w:ascii="Times New Roman" w:hAnsi="Times New Roman"/>
                <w:bCs/>
                <w:color w:val="000000"/>
              </w:rPr>
              <w:t xml:space="preserve">Rekomenduje się doprecyzowanie przepisów </w:t>
            </w:r>
            <w:proofErr w:type="spellStart"/>
            <w:r w:rsidR="00100788">
              <w:rPr>
                <w:rFonts w:ascii="Times New Roman" w:hAnsi="Times New Roman"/>
                <w:bCs/>
                <w:color w:val="000000"/>
              </w:rPr>
              <w:t>Uooś</w:t>
            </w:r>
            <w:proofErr w:type="spellEnd"/>
            <w:r w:rsidR="00100788">
              <w:rPr>
                <w:rFonts w:ascii="Times New Roman" w:hAnsi="Times New Roman"/>
                <w:bCs/>
                <w:color w:val="000000"/>
              </w:rPr>
              <w:t>,</w:t>
            </w:r>
            <w:r w:rsidR="0064084A" w:rsidRPr="007A2509">
              <w:rPr>
                <w:rFonts w:ascii="Times New Roman" w:hAnsi="Times New Roman"/>
                <w:bCs/>
                <w:color w:val="000000"/>
              </w:rPr>
              <w:t xml:space="preserve"> </w:t>
            </w:r>
            <w:r w:rsidRPr="007A2509">
              <w:rPr>
                <w:rFonts w:ascii="Times New Roman" w:hAnsi="Times New Roman"/>
                <w:bCs/>
                <w:color w:val="000000"/>
              </w:rPr>
              <w:t>dotyczących zakresu</w:t>
            </w:r>
            <w:r w:rsidR="003E465C" w:rsidRPr="007A2509">
              <w:rPr>
                <w:rFonts w:ascii="Times New Roman" w:hAnsi="Times New Roman"/>
                <w:bCs/>
                <w:color w:val="000000"/>
              </w:rPr>
              <w:t xml:space="preserve"> oraz </w:t>
            </w:r>
            <w:r w:rsidRPr="007A2509">
              <w:rPr>
                <w:rFonts w:ascii="Times New Roman" w:hAnsi="Times New Roman"/>
                <w:bCs/>
                <w:color w:val="000000"/>
              </w:rPr>
              <w:t>elementów niezbędnych</w:t>
            </w:r>
            <w:r w:rsidR="000337A9" w:rsidRPr="007A2509">
              <w:rPr>
                <w:rFonts w:ascii="Times New Roman" w:hAnsi="Times New Roman"/>
                <w:bCs/>
                <w:color w:val="000000"/>
              </w:rPr>
              <w:t xml:space="preserve"> </w:t>
            </w:r>
            <w:r w:rsidRPr="007A2509">
              <w:rPr>
                <w:rFonts w:ascii="Times New Roman" w:hAnsi="Times New Roman"/>
                <w:bCs/>
                <w:color w:val="000000"/>
              </w:rPr>
              <w:t xml:space="preserve">raportu </w:t>
            </w:r>
            <w:r w:rsidR="00785A02" w:rsidRPr="007A2509">
              <w:rPr>
                <w:rFonts w:ascii="Times New Roman" w:hAnsi="Times New Roman"/>
                <w:bCs/>
                <w:color w:val="000000"/>
              </w:rPr>
              <w:t>o</w:t>
            </w:r>
            <w:r w:rsidR="00BC7132">
              <w:rPr>
                <w:rFonts w:ascii="Times New Roman" w:hAnsi="Times New Roman"/>
                <w:bCs/>
                <w:color w:val="000000"/>
              </w:rPr>
              <w:t> </w:t>
            </w:r>
            <w:r w:rsidR="00785A02" w:rsidRPr="007A2509">
              <w:rPr>
                <w:rFonts w:ascii="Times New Roman" w:hAnsi="Times New Roman"/>
                <w:bCs/>
                <w:color w:val="000000"/>
              </w:rPr>
              <w:t xml:space="preserve">oddziaływaniu przedsięwzięcia </w:t>
            </w:r>
            <w:r w:rsidRPr="007A2509">
              <w:rPr>
                <w:rFonts w:ascii="Times New Roman" w:hAnsi="Times New Roman"/>
                <w:bCs/>
                <w:color w:val="000000"/>
              </w:rPr>
              <w:t>na środowisko w obszarze dotyczącym analiz klimatycznych (analiz</w:t>
            </w:r>
            <w:r w:rsidR="00E6737B" w:rsidRPr="007A2509">
              <w:rPr>
                <w:rFonts w:ascii="Times New Roman" w:hAnsi="Times New Roman"/>
                <w:bCs/>
                <w:color w:val="000000"/>
              </w:rPr>
              <w:t>a podatności przedsięwzięcia na zmiany klimatu</w:t>
            </w:r>
            <w:r w:rsidRPr="007A2509">
              <w:rPr>
                <w:rFonts w:ascii="Times New Roman" w:hAnsi="Times New Roman"/>
                <w:bCs/>
                <w:color w:val="000000"/>
              </w:rPr>
              <w:t>).</w:t>
            </w:r>
            <w:r w:rsidR="00C0646A" w:rsidRPr="007A2509">
              <w:rPr>
                <w:rFonts w:ascii="Times New Roman" w:hAnsi="Times New Roman"/>
                <w:bCs/>
                <w:color w:val="000000"/>
              </w:rPr>
              <w:t xml:space="preserve"> </w:t>
            </w:r>
          </w:p>
          <w:p w14:paraId="427EA2CB" w14:textId="1CE1DD95" w:rsidR="00E36E52" w:rsidRPr="007A2509" w:rsidRDefault="00E36E52" w:rsidP="007A2509">
            <w:pPr>
              <w:spacing w:line="240" w:lineRule="auto"/>
              <w:jc w:val="both"/>
              <w:rPr>
                <w:rFonts w:ascii="Times New Roman" w:hAnsi="Times New Roman"/>
                <w:bCs/>
                <w:color w:val="000000"/>
              </w:rPr>
            </w:pPr>
            <w:r w:rsidRPr="007A2509">
              <w:rPr>
                <w:rFonts w:ascii="Times New Roman" w:hAnsi="Times New Roman"/>
                <w:bCs/>
                <w:color w:val="000000"/>
              </w:rPr>
              <w:t xml:space="preserve">Proponowana zmiana </w:t>
            </w:r>
            <w:r w:rsidR="00213B02" w:rsidRPr="007A2509">
              <w:rPr>
                <w:rFonts w:ascii="Times New Roman" w:hAnsi="Times New Roman"/>
                <w:bCs/>
                <w:color w:val="000000"/>
              </w:rPr>
              <w:t>pozostaje w</w:t>
            </w:r>
            <w:r w:rsidRPr="007A2509">
              <w:rPr>
                <w:rFonts w:ascii="Times New Roman" w:hAnsi="Times New Roman"/>
                <w:bCs/>
                <w:color w:val="000000"/>
              </w:rPr>
              <w:t xml:space="preserve"> zgod</w:t>
            </w:r>
            <w:r w:rsidR="005A3547" w:rsidRPr="007A2509">
              <w:rPr>
                <w:rFonts w:ascii="Times New Roman" w:hAnsi="Times New Roman"/>
                <w:bCs/>
                <w:color w:val="000000"/>
              </w:rPr>
              <w:t>z</w:t>
            </w:r>
            <w:r w:rsidRPr="007A2509">
              <w:rPr>
                <w:rFonts w:ascii="Times New Roman" w:hAnsi="Times New Roman"/>
                <w:bCs/>
                <w:color w:val="000000"/>
              </w:rPr>
              <w:t xml:space="preserve">ie z nowelizacją </w:t>
            </w:r>
            <w:r w:rsidR="00100788" w:rsidRPr="00876E69">
              <w:rPr>
                <w:rFonts w:ascii="Times New Roman" w:hAnsi="Times New Roman"/>
              </w:rPr>
              <w:t>dyrektyw</w:t>
            </w:r>
            <w:r w:rsidR="00100788">
              <w:rPr>
                <w:rFonts w:ascii="Times New Roman" w:hAnsi="Times New Roman"/>
              </w:rPr>
              <w:t xml:space="preserve">y </w:t>
            </w:r>
            <w:r w:rsidR="00100788" w:rsidRPr="00876E69">
              <w:rPr>
                <w:rFonts w:ascii="Times New Roman" w:hAnsi="Times New Roman"/>
              </w:rPr>
              <w:t>Parlamentu</w:t>
            </w:r>
            <w:r w:rsidR="00100788">
              <w:rPr>
                <w:rFonts w:ascii="Times New Roman" w:hAnsi="Times New Roman"/>
              </w:rPr>
              <w:t xml:space="preserve"> </w:t>
            </w:r>
            <w:r w:rsidR="00100788" w:rsidRPr="00876E69">
              <w:rPr>
                <w:rFonts w:ascii="Times New Roman" w:hAnsi="Times New Roman"/>
              </w:rPr>
              <w:t xml:space="preserve">Europejskiego i Rady 2014/52/UE z dnia 16 kwietnia 2014 r. </w:t>
            </w:r>
            <w:r w:rsidR="00100788" w:rsidRPr="00804C6F">
              <w:rPr>
                <w:rFonts w:ascii="Times New Roman" w:hAnsi="Times New Roman"/>
                <w:i/>
                <w:iCs/>
              </w:rPr>
              <w:t>zmieniającej dyrektywę 2011/52/UE w sprawie oceny wpływu wywieranego przez niektóre przedsięwzięcia publiczne i prywatne na środowisko</w:t>
            </w:r>
            <w:r w:rsidR="00804C6F">
              <w:rPr>
                <w:rFonts w:ascii="Times New Roman" w:hAnsi="Times New Roman"/>
                <w:i/>
                <w:iCs/>
              </w:rPr>
              <w:t xml:space="preserve"> </w:t>
            </w:r>
            <w:r w:rsidR="002A06FF">
              <w:rPr>
                <w:rFonts w:ascii="Times New Roman" w:hAnsi="Times New Roman"/>
                <w:bCs/>
                <w:color w:val="000000"/>
              </w:rPr>
              <w:t>−</w:t>
            </w:r>
            <w:r w:rsidRPr="007A2509">
              <w:rPr>
                <w:rFonts w:ascii="Times New Roman" w:hAnsi="Times New Roman"/>
                <w:bCs/>
                <w:color w:val="000000"/>
              </w:rPr>
              <w:t xml:space="preserve"> Załącznik </w:t>
            </w:r>
            <w:r w:rsidR="003E465C" w:rsidRPr="007A2509">
              <w:rPr>
                <w:rFonts w:ascii="Times New Roman" w:hAnsi="Times New Roman"/>
                <w:bCs/>
                <w:color w:val="000000"/>
              </w:rPr>
              <w:t xml:space="preserve">IV </w:t>
            </w:r>
            <w:r w:rsidR="00785A02" w:rsidRPr="007A2509">
              <w:rPr>
                <w:rFonts w:ascii="Times New Roman" w:hAnsi="Times New Roman"/>
                <w:bCs/>
                <w:color w:val="000000"/>
              </w:rPr>
              <w:t>Informacje</w:t>
            </w:r>
            <w:r w:rsidRPr="007A2509">
              <w:rPr>
                <w:rFonts w:ascii="Times New Roman" w:hAnsi="Times New Roman"/>
                <w:bCs/>
                <w:color w:val="000000"/>
              </w:rPr>
              <w:t>, o</w:t>
            </w:r>
            <w:r w:rsidR="005775AD" w:rsidRPr="007A2509">
              <w:rPr>
                <w:rFonts w:ascii="Times New Roman" w:hAnsi="Times New Roman"/>
                <w:bCs/>
                <w:color w:val="000000"/>
              </w:rPr>
              <w:t> </w:t>
            </w:r>
            <w:r w:rsidRPr="007A2509">
              <w:rPr>
                <w:rFonts w:ascii="Times New Roman" w:hAnsi="Times New Roman"/>
                <w:bCs/>
                <w:color w:val="000000"/>
              </w:rPr>
              <w:t>których mowa w art. 5 ust. 1 (</w:t>
            </w:r>
            <w:r w:rsidR="00785A02" w:rsidRPr="007A2509">
              <w:rPr>
                <w:rFonts w:ascii="Times New Roman" w:hAnsi="Times New Roman"/>
                <w:bCs/>
                <w:color w:val="000000"/>
              </w:rPr>
              <w:t>I</w:t>
            </w:r>
            <w:r w:rsidRPr="007A2509">
              <w:rPr>
                <w:rFonts w:ascii="Times New Roman" w:hAnsi="Times New Roman"/>
                <w:bCs/>
                <w:color w:val="000000"/>
              </w:rPr>
              <w:t xml:space="preserve">nformacje zawarte w raporcie o oddziaływaniu przedsięwzięcia na środowisko). Zgodnie z ww. nowelizacją </w:t>
            </w:r>
            <w:r w:rsidR="005775AD" w:rsidRPr="007A2509">
              <w:rPr>
                <w:rFonts w:ascii="Times New Roman" w:hAnsi="Times New Roman"/>
                <w:bCs/>
                <w:color w:val="000000"/>
              </w:rPr>
              <w:t>d</w:t>
            </w:r>
            <w:r w:rsidRPr="007A2509">
              <w:rPr>
                <w:rFonts w:ascii="Times New Roman" w:hAnsi="Times New Roman"/>
                <w:bCs/>
                <w:color w:val="000000"/>
              </w:rPr>
              <w:t xml:space="preserve">yrektywy </w:t>
            </w:r>
            <w:proofErr w:type="spellStart"/>
            <w:r w:rsidR="005775AD" w:rsidRPr="007A2509">
              <w:rPr>
                <w:rFonts w:ascii="Times New Roman" w:hAnsi="Times New Roman"/>
                <w:bCs/>
                <w:color w:val="000000"/>
              </w:rPr>
              <w:t>ooś</w:t>
            </w:r>
            <w:proofErr w:type="spellEnd"/>
            <w:r w:rsidR="00653E1B" w:rsidRPr="007A2509">
              <w:rPr>
                <w:rFonts w:ascii="Times New Roman" w:hAnsi="Times New Roman"/>
                <w:bCs/>
                <w:color w:val="000000"/>
              </w:rPr>
              <w:t>,</w:t>
            </w:r>
            <w:r w:rsidRPr="007A2509">
              <w:rPr>
                <w:rFonts w:ascii="Times New Roman" w:hAnsi="Times New Roman"/>
                <w:bCs/>
                <w:color w:val="000000"/>
              </w:rPr>
              <w:t xml:space="preserve"> wskazaną w załączniku IV</w:t>
            </w:r>
            <w:r w:rsidR="005775AD" w:rsidRPr="007A2509">
              <w:rPr>
                <w:rFonts w:ascii="Times New Roman" w:hAnsi="Times New Roman"/>
                <w:bCs/>
                <w:color w:val="000000"/>
              </w:rPr>
              <w:t>,</w:t>
            </w:r>
            <w:r w:rsidRPr="007A2509">
              <w:rPr>
                <w:rFonts w:ascii="Times New Roman" w:hAnsi="Times New Roman"/>
                <w:bCs/>
                <w:color w:val="000000"/>
              </w:rPr>
              <w:t xml:space="preserve"> raport </w:t>
            </w:r>
            <w:r w:rsidR="00785A02" w:rsidRPr="007A2509">
              <w:rPr>
                <w:rFonts w:ascii="Times New Roman" w:hAnsi="Times New Roman"/>
                <w:bCs/>
                <w:color w:val="000000"/>
              </w:rPr>
              <w:t xml:space="preserve">o oddziaływaniu </w:t>
            </w:r>
            <w:r w:rsidRPr="007A2509">
              <w:rPr>
                <w:rFonts w:ascii="Times New Roman" w:hAnsi="Times New Roman"/>
                <w:bCs/>
                <w:color w:val="000000"/>
              </w:rPr>
              <w:t xml:space="preserve">przedsięwzięcia na środowisko zawiera informacje o wpływie przedsięwzięcia na klimat oraz podatności przedsięwzięcia na zmiany klimatu </w:t>
            </w:r>
            <w:r w:rsidR="00653E1B" w:rsidRPr="007A2509">
              <w:rPr>
                <w:rFonts w:ascii="Times New Roman" w:hAnsi="Times New Roman"/>
                <w:bCs/>
                <w:color w:val="000000"/>
              </w:rPr>
              <w:t xml:space="preserve">(narażenia na zmiany klimatu oraz odporności na nie) </w:t>
            </w:r>
            <w:r w:rsidRPr="007A2509">
              <w:rPr>
                <w:rFonts w:ascii="Times New Roman" w:hAnsi="Times New Roman"/>
                <w:bCs/>
                <w:color w:val="000000"/>
              </w:rPr>
              <w:t xml:space="preserve">– </w:t>
            </w:r>
            <w:r w:rsidR="002A06FF">
              <w:rPr>
                <w:rFonts w:ascii="Times New Roman" w:hAnsi="Times New Roman"/>
                <w:bCs/>
                <w:color w:val="000000"/>
              </w:rPr>
              <w:t>przepisy</w:t>
            </w:r>
            <w:r w:rsidRPr="007A2509">
              <w:rPr>
                <w:rFonts w:ascii="Times New Roman" w:hAnsi="Times New Roman"/>
                <w:bCs/>
                <w:color w:val="000000"/>
              </w:rPr>
              <w:t xml:space="preserve"> te są aktualnie </w:t>
            </w:r>
            <w:r w:rsidR="00213B02" w:rsidRPr="007A2509">
              <w:rPr>
                <w:rFonts w:ascii="Times New Roman" w:hAnsi="Times New Roman"/>
                <w:bCs/>
                <w:color w:val="000000"/>
              </w:rPr>
              <w:t>wzmacniane</w:t>
            </w:r>
            <w:r w:rsidRPr="007A2509">
              <w:rPr>
                <w:rFonts w:ascii="Times New Roman" w:hAnsi="Times New Roman"/>
                <w:bCs/>
                <w:color w:val="000000"/>
              </w:rPr>
              <w:t xml:space="preserve"> zgodnie z</w:t>
            </w:r>
            <w:r w:rsidR="00653E1B" w:rsidRPr="007A2509">
              <w:rPr>
                <w:rFonts w:ascii="Times New Roman" w:hAnsi="Times New Roman"/>
                <w:bCs/>
                <w:color w:val="000000"/>
              </w:rPr>
              <w:t> </w:t>
            </w:r>
            <w:r w:rsidRPr="007A2509">
              <w:rPr>
                <w:rFonts w:ascii="Times New Roman" w:hAnsi="Times New Roman"/>
                <w:bCs/>
                <w:color w:val="000000"/>
              </w:rPr>
              <w:t>brzmieniem znowelizowanej w 2014 r. dyrektywy.</w:t>
            </w:r>
            <w:r w:rsidR="00D82C26" w:rsidRPr="007A2509">
              <w:rPr>
                <w:rFonts w:ascii="Times New Roman" w:hAnsi="Times New Roman"/>
                <w:bCs/>
                <w:color w:val="000000"/>
              </w:rPr>
              <w:t xml:space="preserve"> Pomimo</w:t>
            </w:r>
            <w:r w:rsidR="002A06FF">
              <w:rPr>
                <w:rFonts w:ascii="Times New Roman" w:hAnsi="Times New Roman"/>
                <w:bCs/>
                <w:color w:val="000000"/>
              </w:rPr>
              <w:t xml:space="preserve"> że</w:t>
            </w:r>
            <w:r w:rsidR="00D82C26" w:rsidRPr="007A2509">
              <w:rPr>
                <w:rFonts w:ascii="Times New Roman" w:hAnsi="Times New Roman"/>
                <w:bCs/>
                <w:color w:val="000000"/>
              </w:rPr>
              <w:t xml:space="preserve"> obowiązujące polskie przepisy w analizowanym zakresie pozostają co do zasady zgodne z nowelizacją dyrektywy</w:t>
            </w:r>
            <w:r w:rsidR="00604139">
              <w:rPr>
                <w:rFonts w:ascii="Times New Roman" w:hAnsi="Times New Roman"/>
                <w:bCs/>
                <w:color w:val="000000"/>
              </w:rPr>
              <w:t xml:space="preserve"> </w:t>
            </w:r>
            <w:proofErr w:type="spellStart"/>
            <w:r w:rsidR="00604139">
              <w:rPr>
                <w:rFonts w:ascii="Times New Roman" w:hAnsi="Times New Roman"/>
                <w:bCs/>
                <w:color w:val="000000"/>
              </w:rPr>
              <w:t>ooś</w:t>
            </w:r>
            <w:proofErr w:type="spellEnd"/>
            <w:r w:rsidR="00D82C26" w:rsidRPr="007A2509">
              <w:rPr>
                <w:rFonts w:ascii="Times New Roman" w:hAnsi="Times New Roman"/>
                <w:bCs/>
                <w:color w:val="000000"/>
              </w:rPr>
              <w:t xml:space="preserve"> z</w:t>
            </w:r>
            <w:r w:rsidR="00774F09">
              <w:rPr>
                <w:rFonts w:ascii="Times New Roman" w:hAnsi="Times New Roman"/>
                <w:bCs/>
                <w:color w:val="000000"/>
              </w:rPr>
              <w:t> </w:t>
            </w:r>
            <w:r w:rsidR="00D82C26" w:rsidRPr="007A2509">
              <w:rPr>
                <w:rFonts w:ascii="Times New Roman" w:hAnsi="Times New Roman"/>
                <w:bCs/>
                <w:color w:val="000000"/>
              </w:rPr>
              <w:t>2014 r., to jednak konieczne wydaje się ww. doprecyzowanie w celu osiągnięcia jeszcze większej jednoznaczności w</w:t>
            </w:r>
            <w:r w:rsidR="00774F09">
              <w:rPr>
                <w:rFonts w:ascii="Times New Roman" w:hAnsi="Times New Roman"/>
                <w:bCs/>
                <w:color w:val="000000"/>
              </w:rPr>
              <w:t> </w:t>
            </w:r>
            <w:r w:rsidR="00D82C26" w:rsidRPr="007A2509">
              <w:rPr>
                <w:rFonts w:ascii="Times New Roman" w:hAnsi="Times New Roman"/>
                <w:bCs/>
                <w:color w:val="000000"/>
              </w:rPr>
              <w:t xml:space="preserve">tym obszarze. </w:t>
            </w:r>
          </w:p>
          <w:p w14:paraId="438F4266" w14:textId="60410C62" w:rsidR="0075555E" w:rsidRPr="0034095C" w:rsidRDefault="0086458C" w:rsidP="0034095C">
            <w:pPr>
              <w:spacing w:before="120" w:line="240" w:lineRule="auto"/>
              <w:jc w:val="both"/>
              <w:rPr>
                <w:rFonts w:ascii="Times New Roman" w:hAnsi="Times New Roman"/>
                <w:bCs/>
                <w:color w:val="000000"/>
              </w:rPr>
            </w:pPr>
            <w:r w:rsidRPr="007A2509">
              <w:rPr>
                <w:rFonts w:ascii="Times New Roman" w:hAnsi="Times New Roman"/>
                <w:bCs/>
                <w:color w:val="000000"/>
              </w:rPr>
              <w:t xml:space="preserve">Etap </w:t>
            </w:r>
            <w:proofErr w:type="spellStart"/>
            <w:r w:rsidR="004B36CC" w:rsidRPr="007A2509">
              <w:rPr>
                <w:rFonts w:ascii="Times New Roman" w:hAnsi="Times New Roman"/>
                <w:bCs/>
                <w:color w:val="000000"/>
              </w:rPr>
              <w:t>ooś</w:t>
            </w:r>
            <w:proofErr w:type="spellEnd"/>
            <w:r w:rsidR="00A835D3" w:rsidRPr="007A2509">
              <w:rPr>
                <w:rFonts w:ascii="Times New Roman" w:hAnsi="Times New Roman"/>
                <w:bCs/>
                <w:color w:val="000000"/>
              </w:rPr>
              <w:t xml:space="preserve"> (</w:t>
            </w:r>
            <w:r w:rsidR="00213B02" w:rsidRPr="007A2509">
              <w:rPr>
                <w:rFonts w:ascii="Times New Roman" w:hAnsi="Times New Roman"/>
                <w:bCs/>
                <w:color w:val="000000"/>
              </w:rPr>
              <w:t>r</w:t>
            </w:r>
            <w:r w:rsidR="00A835D3" w:rsidRPr="007A2509">
              <w:rPr>
                <w:rFonts w:ascii="Times New Roman" w:hAnsi="Times New Roman"/>
                <w:bCs/>
                <w:color w:val="000000"/>
              </w:rPr>
              <w:t>aport o oddziaływaniu przedsięwzięcia na środowisko)</w:t>
            </w:r>
            <w:r w:rsidR="004B36CC" w:rsidRPr="007A2509">
              <w:rPr>
                <w:rFonts w:ascii="Times New Roman" w:hAnsi="Times New Roman"/>
                <w:bCs/>
                <w:color w:val="000000"/>
              </w:rPr>
              <w:t xml:space="preserve"> </w:t>
            </w:r>
            <w:r w:rsidRPr="007A2509">
              <w:rPr>
                <w:rFonts w:ascii="Times New Roman" w:hAnsi="Times New Roman"/>
                <w:bCs/>
                <w:color w:val="000000"/>
              </w:rPr>
              <w:t xml:space="preserve">jest </w:t>
            </w:r>
            <w:r w:rsidR="00213B02" w:rsidRPr="007A2509">
              <w:rPr>
                <w:rFonts w:ascii="Times New Roman" w:hAnsi="Times New Roman"/>
                <w:bCs/>
                <w:color w:val="000000"/>
              </w:rPr>
              <w:t xml:space="preserve">optymalnym </w:t>
            </w:r>
            <w:r w:rsidRPr="007A2509">
              <w:rPr>
                <w:rFonts w:ascii="Times New Roman" w:hAnsi="Times New Roman"/>
                <w:bCs/>
                <w:color w:val="000000"/>
              </w:rPr>
              <w:t>etapem w celu przeprowadzenia oceny ryzyka klimatycznego</w:t>
            </w:r>
            <w:r w:rsidR="00A11425" w:rsidRPr="007A2509">
              <w:rPr>
                <w:rFonts w:ascii="Times New Roman" w:hAnsi="Times New Roman"/>
                <w:bCs/>
                <w:color w:val="000000"/>
              </w:rPr>
              <w:t xml:space="preserve"> (analiza oraz ocena podatności przedsięwzięcia na zmiany klimatu)</w:t>
            </w:r>
            <w:r w:rsidRPr="007A2509">
              <w:rPr>
                <w:rFonts w:ascii="Times New Roman" w:hAnsi="Times New Roman"/>
                <w:bCs/>
                <w:color w:val="000000"/>
              </w:rPr>
              <w:t xml:space="preserve"> ponieważ w przygotowaniu inwestycji jest jednym z najwcześniejszych etapów, </w:t>
            </w:r>
            <w:r w:rsidR="002271DB">
              <w:rPr>
                <w:rFonts w:ascii="Times New Roman" w:hAnsi="Times New Roman"/>
                <w:bCs/>
                <w:color w:val="000000"/>
              </w:rPr>
              <w:t xml:space="preserve">kiedy to </w:t>
            </w:r>
            <w:r w:rsidRPr="007A2509">
              <w:rPr>
                <w:rFonts w:ascii="Times New Roman" w:hAnsi="Times New Roman"/>
                <w:bCs/>
                <w:color w:val="000000"/>
              </w:rPr>
              <w:t xml:space="preserve">większość rozstrzygnięć dotyczących ostatecznego kształtu przedsięwzięcia nie została jeszcze podjęta oraz możliwe jest jeszcze wariantowanie w zakresie dotyczącym oddziaływań na środowisko, w tym oddziaływań na klimat oraz odporności przedsięwzięć na zmiany klimatu. Ponadto należy zauważyć, że właściwe przeprowadzenie analizy </w:t>
            </w:r>
            <w:r w:rsidR="00E6737B" w:rsidRPr="007A2509">
              <w:rPr>
                <w:rFonts w:ascii="Times New Roman" w:hAnsi="Times New Roman"/>
                <w:bCs/>
                <w:color w:val="000000"/>
              </w:rPr>
              <w:t>podatności</w:t>
            </w:r>
            <w:r w:rsidRPr="007A2509">
              <w:rPr>
                <w:rFonts w:ascii="Times New Roman" w:hAnsi="Times New Roman"/>
                <w:bCs/>
                <w:color w:val="000000"/>
              </w:rPr>
              <w:t xml:space="preserve"> przedsięwzięć</w:t>
            </w:r>
            <w:r w:rsidR="00E6737B" w:rsidRPr="007A2509">
              <w:rPr>
                <w:rFonts w:ascii="Times New Roman" w:hAnsi="Times New Roman"/>
                <w:bCs/>
                <w:color w:val="000000"/>
              </w:rPr>
              <w:t xml:space="preserve"> na zmiany klimatu</w:t>
            </w:r>
            <w:r w:rsidRPr="007A2509">
              <w:rPr>
                <w:rFonts w:ascii="Times New Roman" w:hAnsi="Times New Roman"/>
                <w:bCs/>
                <w:color w:val="000000"/>
              </w:rPr>
              <w:t xml:space="preserve"> jest niezbędne w celu prawidłowej i efektywnej oceny przedsięwzięć</w:t>
            </w:r>
            <w:r w:rsidR="00785A02" w:rsidRPr="007A2509">
              <w:rPr>
                <w:rFonts w:ascii="Times New Roman" w:hAnsi="Times New Roman"/>
                <w:bCs/>
                <w:color w:val="000000"/>
              </w:rPr>
              <w:t xml:space="preserve"> </w:t>
            </w:r>
            <w:r w:rsidR="00CE5A4F">
              <w:rPr>
                <w:rFonts w:ascii="Times New Roman" w:hAnsi="Times New Roman"/>
                <w:bCs/>
                <w:color w:val="000000"/>
              </w:rPr>
              <w:t>w obecnej</w:t>
            </w:r>
            <w:r w:rsidR="004B36CC" w:rsidRPr="007A2509">
              <w:rPr>
                <w:rFonts w:ascii="Times New Roman" w:hAnsi="Times New Roman"/>
                <w:bCs/>
                <w:color w:val="000000"/>
              </w:rPr>
              <w:t xml:space="preserve"> perspektywie finansowej </w:t>
            </w:r>
            <w:r w:rsidRPr="007A2509">
              <w:rPr>
                <w:rFonts w:ascii="Times New Roman" w:hAnsi="Times New Roman"/>
                <w:bCs/>
                <w:color w:val="000000"/>
              </w:rPr>
              <w:t>2021</w:t>
            </w:r>
            <w:r w:rsidR="0087793F">
              <w:rPr>
                <w:rFonts w:ascii="Times New Roman" w:hAnsi="Times New Roman"/>
                <w:bCs/>
                <w:color w:val="000000"/>
              </w:rPr>
              <w:t>–</w:t>
            </w:r>
            <w:r w:rsidRPr="007A2509">
              <w:rPr>
                <w:rFonts w:ascii="Times New Roman" w:hAnsi="Times New Roman"/>
                <w:bCs/>
                <w:color w:val="000000"/>
              </w:rPr>
              <w:t>2027</w:t>
            </w:r>
            <w:r w:rsidR="004B36CC" w:rsidRPr="007A2509">
              <w:rPr>
                <w:rFonts w:ascii="Times New Roman" w:hAnsi="Times New Roman"/>
                <w:bCs/>
                <w:color w:val="000000"/>
              </w:rPr>
              <w:t xml:space="preserve"> (NPF)</w:t>
            </w:r>
            <w:r w:rsidRPr="007A2509">
              <w:rPr>
                <w:rFonts w:ascii="Times New Roman" w:hAnsi="Times New Roman"/>
                <w:bCs/>
                <w:color w:val="000000"/>
              </w:rPr>
              <w:t xml:space="preserve">, </w:t>
            </w:r>
            <w:r w:rsidR="002271DB">
              <w:rPr>
                <w:rFonts w:ascii="Times New Roman" w:hAnsi="Times New Roman"/>
                <w:bCs/>
                <w:color w:val="000000"/>
              </w:rPr>
              <w:t xml:space="preserve">w ramach której </w:t>
            </w:r>
            <w:r w:rsidRPr="007A2509">
              <w:rPr>
                <w:rFonts w:ascii="Times New Roman" w:hAnsi="Times New Roman"/>
                <w:bCs/>
                <w:color w:val="000000"/>
              </w:rPr>
              <w:t>zgodność projektów z celami ochrony klimatu i</w:t>
            </w:r>
            <w:r w:rsidR="00653E1B" w:rsidRPr="007A2509">
              <w:rPr>
                <w:rFonts w:ascii="Times New Roman" w:hAnsi="Times New Roman"/>
                <w:bCs/>
                <w:color w:val="000000"/>
              </w:rPr>
              <w:t> </w:t>
            </w:r>
            <w:r w:rsidRPr="007A2509">
              <w:rPr>
                <w:rFonts w:ascii="Times New Roman" w:hAnsi="Times New Roman"/>
                <w:bCs/>
                <w:color w:val="000000"/>
              </w:rPr>
              <w:t xml:space="preserve">adaptacji do zmian klimatu </w:t>
            </w:r>
            <w:r w:rsidR="00CE5A4F">
              <w:rPr>
                <w:rFonts w:ascii="Times New Roman" w:hAnsi="Times New Roman"/>
                <w:bCs/>
                <w:color w:val="000000"/>
              </w:rPr>
              <w:t>jest</w:t>
            </w:r>
            <w:r w:rsidR="00CE5A4F" w:rsidRPr="007A2509">
              <w:rPr>
                <w:rFonts w:ascii="Times New Roman" w:hAnsi="Times New Roman"/>
                <w:bCs/>
                <w:color w:val="000000"/>
              </w:rPr>
              <w:t xml:space="preserve"> </w:t>
            </w:r>
            <w:r w:rsidRPr="007A2509">
              <w:rPr>
                <w:rFonts w:ascii="Times New Roman" w:hAnsi="Times New Roman"/>
                <w:bCs/>
                <w:color w:val="000000"/>
              </w:rPr>
              <w:t xml:space="preserve">traktowana priorytetowo oraz bardziej rygorystycznie niż w </w:t>
            </w:r>
            <w:r w:rsidR="004B36CC" w:rsidRPr="007A2509">
              <w:rPr>
                <w:rFonts w:ascii="Times New Roman" w:hAnsi="Times New Roman"/>
                <w:bCs/>
                <w:color w:val="000000"/>
              </w:rPr>
              <w:t xml:space="preserve">perspektywie finansowej </w:t>
            </w:r>
            <w:r w:rsidR="00653E1B" w:rsidRPr="007A2509">
              <w:rPr>
                <w:rFonts w:ascii="Times New Roman" w:hAnsi="Times New Roman"/>
                <w:bCs/>
                <w:color w:val="000000"/>
              </w:rPr>
              <w:t>2014</w:t>
            </w:r>
            <w:r w:rsidR="0087793F">
              <w:rPr>
                <w:rFonts w:ascii="Times New Roman" w:hAnsi="Times New Roman"/>
                <w:bCs/>
                <w:color w:val="000000"/>
              </w:rPr>
              <w:t>–</w:t>
            </w:r>
            <w:r w:rsidR="00653E1B" w:rsidRPr="007A2509">
              <w:rPr>
                <w:rFonts w:ascii="Times New Roman" w:hAnsi="Times New Roman"/>
                <w:bCs/>
                <w:color w:val="000000"/>
              </w:rPr>
              <w:t xml:space="preserve">2020 </w:t>
            </w:r>
            <w:r w:rsidRPr="007A2509">
              <w:rPr>
                <w:rFonts w:ascii="Times New Roman" w:hAnsi="Times New Roman"/>
                <w:bCs/>
                <w:color w:val="000000"/>
              </w:rPr>
              <w:t>(tak zwana procedura „</w:t>
            </w:r>
            <w:proofErr w:type="spellStart"/>
            <w:r w:rsidRPr="00804C6F">
              <w:rPr>
                <w:rFonts w:ascii="Times New Roman" w:hAnsi="Times New Roman"/>
                <w:bCs/>
                <w:i/>
                <w:iCs/>
                <w:color w:val="000000"/>
              </w:rPr>
              <w:t>climate</w:t>
            </w:r>
            <w:proofErr w:type="spellEnd"/>
            <w:r w:rsidRPr="00804C6F">
              <w:rPr>
                <w:rFonts w:ascii="Times New Roman" w:hAnsi="Times New Roman"/>
                <w:bCs/>
                <w:i/>
                <w:iCs/>
                <w:color w:val="000000"/>
              </w:rPr>
              <w:t xml:space="preserve"> </w:t>
            </w:r>
            <w:proofErr w:type="spellStart"/>
            <w:r w:rsidRPr="00804C6F">
              <w:rPr>
                <w:rFonts w:ascii="Times New Roman" w:hAnsi="Times New Roman"/>
                <w:bCs/>
                <w:i/>
                <w:iCs/>
                <w:color w:val="000000"/>
              </w:rPr>
              <w:t>proofing</w:t>
            </w:r>
            <w:proofErr w:type="spellEnd"/>
            <w:r w:rsidRPr="007A2509">
              <w:rPr>
                <w:rFonts w:ascii="Times New Roman" w:hAnsi="Times New Roman"/>
                <w:bCs/>
                <w:color w:val="000000"/>
              </w:rPr>
              <w:t>”). Tym samym jednolite przepisy w tym zakresie przyczynią się do prawidłowej absorpcji funduszy UE w NPF oraz zmniejszą ryzyko wystąpienia nieprawidłowości.</w:t>
            </w:r>
            <w:r w:rsidR="00C0646A" w:rsidRPr="007A2509">
              <w:rPr>
                <w:rFonts w:ascii="Times New Roman" w:hAnsi="Times New Roman"/>
                <w:bCs/>
                <w:color w:val="000000"/>
              </w:rPr>
              <w:t xml:space="preserve"> </w:t>
            </w:r>
          </w:p>
          <w:p w14:paraId="18B44257" w14:textId="4E0D1BA6" w:rsidR="00723662" w:rsidRPr="00E55CB1" w:rsidRDefault="00723662" w:rsidP="00E55CB1">
            <w:pPr>
              <w:pStyle w:val="Akapitzlist"/>
              <w:numPr>
                <w:ilvl w:val="0"/>
                <w:numId w:val="3"/>
              </w:numPr>
              <w:spacing w:before="240" w:line="240" w:lineRule="auto"/>
              <w:jc w:val="both"/>
              <w:rPr>
                <w:rFonts w:ascii="Times New Roman" w:hAnsi="Times New Roman"/>
                <w:b/>
                <w:bCs/>
                <w:color w:val="000000"/>
                <w:u w:val="single"/>
              </w:rPr>
            </w:pPr>
            <w:r w:rsidRPr="00E55CB1">
              <w:rPr>
                <w:rFonts w:ascii="Times New Roman" w:hAnsi="Times New Roman"/>
                <w:b/>
                <w:bCs/>
                <w:color w:val="000000"/>
                <w:u w:val="single"/>
              </w:rPr>
              <w:t xml:space="preserve">Zmiana terminu opracowania </w:t>
            </w:r>
            <w:r w:rsidR="00F920CE" w:rsidRPr="00E55CB1">
              <w:rPr>
                <w:rFonts w:ascii="Times New Roman" w:hAnsi="Times New Roman"/>
                <w:b/>
                <w:bCs/>
                <w:color w:val="000000"/>
                <w:u w:val="single"/>
              </w:rPr>
              <w:t xml:space="preserve">i przyjęcia w drodze uchwały sejmiku województwa </w:t>
            </w:r>
            <w:r w:rsidRPr="00E55CB1">
              <w:rPr>
                <w:rFonts w:ascii="Times New Roman" w:hAnsi="Times New Roman"/>
                <w:b/>
                <w:bCs/>
                <w:color w:val="000000"/>
                <w:u w:val="single"/>
              </w:rPr>
              <w:t>aktualizacji program</w:t>
            </w:r>
            <w:r w:rsidR="00F920CE" w:rsidRPr="00E55CB1">
              <w:rPr>
                <w:rFonts w:ascii="Times New Roman" w:hAnsi="Times New Roman"/>
                <w:b/>
                <w:bCs/>
                <w:color w:val="000000"/>
                <w:u w:val="single"/>
              </w:rPr>
              <w:t>u</w:t>
            </w:r>
            <w:r w:rsidRPr="00E55CB1">
              <w:rPr>
                <w:rFonts w:ascii="Times New Roman" w:hAnsi="Times New Roman"/>
                <w:b/>
                <w:bCs/>
                <w:color w:val="000000"/>
                <w:u w:val="single"/>
              </w:rPr>
              <w:t xml:space="preserve"> ochrony powietrza</w:t>
            </w:r>
          </w:p>
          <w:p w14:paraId="5661C132" w14:textId="2F3442F2" w:rsidR="00723662" w:rsidRPr="00921855" w:rsidRDefault="00723662" w:rsidP="00283DD4">
            <w:pPr>
              <w:spacing w:line="240" w:lineRule="auto"/>
              <w:jc w:val="both"/>
              <w:rPr>
                <w:rFonts w:ascii="Times New Roman" w:hAnsi="Times New Roman"/>
                <w:color w:val="000000"/>
              </w:rPr>
            </w:pPr>
            <w:r>
              <w:rPr>
                <w:rFonts w:ascii="Times New Roman" w:hAnsi="Times New Roman"/>
                <w:color w:val="000000"/>
              </w:rPr>
              <w:t>W</w:t>
            </w:r>
            <w:r w:rsidRPr="00921855">
              <w:rPr>
                <w:rFonts w:ascii="Times New Roman" w:hAnsi="Times New Roman"/>
                <w:color w:val="000000"/>
              </w:rPr>
              <w:t xml:space="preserve"> </w:t>
            </w:r>
            <w:r w:rsidR="0091616F">
              <w:rPr>
                <w:rFonts w:ascii="Times New Roman" w:hAnsi="Times New Roman"/>
                <w:color w:val="000000"/>
              </w:rPr>
              <w:t>a</w:t>
            </w:r>
            <w:r w:rsidR="00EC56AB">
              <w:rPr>
                <w:rFonts w:ascii="Times New Roman" w:hAnsi="Times New Roman"/>
                <w:color w:val="000000"/>
              </w:rPr>
              <w:t>rt</w:t>
            </w:r>
            <w:r w:rsidRPr="00921855">
              <w:rPr>
                <w:rFonts w:ascii="Times New Roman" w:hAnsi="Times New Roman"/>
                <w:color w:val="000000"/>
              </w:rPr>
              <w:t xml:space="preserve">. 91 </w:t>
            </w:r>
            <w:proofErr w:type="spellStart"/>
            <w:r w:rsidR="00530D38">
              <w:rPr>
                <w:rFonts w:ascii="Times New Roman" w:hAnsi="Times New Roman"/>
                <w:color w:val="000000"/>
              </w:rPr>
              <w:t>uPoś</w:t>
            </w:r>
            <w:proofErr w:type="spellEnd"/>
            <w:r w:rsidR="00530D38">
              <w:rPr>
                <w:rFonts w:ascii="Times New Roman" w:hAnsi="Times New Roman"/>
                <w:color w:val="000000"/>
              </w:rPr>
              <w:t xml:space="preserve"> </w:t>
            </w:r>
            <w:r>
              <w:rPr>
                <w:rFonts w:ascii="Times New Roman" w:hAnsi="Times New Roman"/>
                <w:color w:val="000000"/>
              </w:rPr>
              <w:t xml:space="preserve">nadaje się nowe brzmienie </w:t>
            </w:r>
            <w:r w:rsidRPr="00921855">
              <w:rPr>
                <w:rFonts w:ascii="Times New Roman" w:hAnsi="Times New Roman"/>
                <w:color w:val="000000"/>
              </w:rPr>
              <w:t>ust. 9c</w:t>
            </w:r>
            <w:r>
              <w:rPr>
                <w:rFonts w:ascii="Times New Roman" w:hAnsi="Times New Roman"/>
                <w:color w:val="000000"/>
              </w:rPr>
              <w:t xml:space="preserve">, przez </w:t>
            </w:r>
            <w:r w:rsidRPr="00921855">
              <w:rPr>
                <w:rFonts w:ascii="Times New Roman" w:hAnsi="Times New Roman"/>
                <w:color w:val="000000"/>
              </w:rPr>
              <w:t xml:space="preserve">zmianę terminu z 3 na 4 lata, od dnia wejścia w życie uchwały sejmiku województwa w sprawie programu ochrony powietrza, na opracowanie przez zarząd województwa projektu aktualizacji programu ochrony powietrza. </w:t>
            </w:r>
            <w:r w:rsidR="009F7D90">
              <w:rPr>
                <w:rFonts w:ascii="Times New Roman" w:hAnsi="Times New Roman"/>
                <w:color w:val="000000"/>
              </w:rPr>
              <w:t xml:space="preserve">Dodatkowo zmianie ulega termin </w:t>
            </w:r>
            <w:r w:rsidR="00F920CE">
              <w:rPr>
                <w:rFonts w:ascii="Times New Roman" w:hAnsi="Times New Roman"/>
                <w:color w:val="000000"/>
              </w:rPr>
              <w:t>na przyjęcie przez sejmik województwa w</w:t>
            </w:r>
            <w:r w:rsidR="00BC7132">
              <w:rPr>
                <w:rFonts w:ascii="Times New Roman" w:hAnsi="Times New Roman"/>
                <w:color w:val="000000"/>
              </w:rPr>
              <w:t> </w:t>
            </w:r>
            <w:r w:rsidR="00F920CE">
              <w:rPr>
                <w:rFonts w:ascii="Times New Roman" w:hAnsi="Times New Roman"/>
                <w:color w:val="000000"/>
              </w:rPr>
              <w:t>drodze uchwały aktualizacji programu ochrony powietrza</w:t>
            </w:r>
            <w:r w:rsidR="009F7D90">
              <w:rPr>
                <w:rFonts w:ascii="Times New Roman" w:hAnsi="Times New Roman"/>
                <w:color w:val="000000"/>
              </w:rPr>
              <w:t xml:space="preserve"> poprzez jego wydłużenie z 2 do 3 miesięcy od dnia opracowania projektu aktualizacji tego programu</w:t>
            </w:r>
            <w:r w:rsidR="00F920CE">
              <w:rPr>
                <w:rFonts w:ascii="Times New Roman" w:hAnsi="Times New Roman"/>
                <w:color w:val="000000"/>
              </w:rPr>
              <w:t xml:space="preserve">. </w:t>
            </w:r>
          </w:p>
          <w:p w14:paraId="7F3D80D7" w14:textId="28E03AFC" w:rsidR="00723662" w:rsidRPr="00921855" w:rsidRDefault="00723662" w:rsidP="0091616F">
            <w:pPr>
              <w:spacing w:before="120" w:line="240" w:lineRule="auto"/>
              <w:jc w:val="both"/>
              <w:rPr>
                <w:rFonts w:ascii="Times New Roman" w:hAnsi="Times New Roman"/>
                <w:color w:val="000000"/>
              </w:rPr>
            </w:pPr>
            <w:bookmarkStart w:id="36" w:name="_Hlk157679931"/>
            <w:r w:rsidRPr="00921855">
              <w:rPr>
                <w:rFonts w:ascii="Times New Roman" w:hAnsi="Times New Roman"/>
                <w:color w:val="000000"/>
              </w:rPr>
              <w:t>Proponowana zmiana pozwoli na realną ocenę efektywności podejmowanych działań naprawczych, wynikających z</w:t>
            </w:r>
            <w:r w:rsidR="00BC7132">
              <w:rPr>
                <w:rFonts w:ascii="Times New Roman" w:hAnsi="Times New Roman"/>
                <w:color w:val="000000"/>
              </w:rPr>
              <w:t> </w:t>
            </w:r>
            <w:r w:rsidR="00530D38">
              <w:rPr>
                <w:rFonts w:ascii="Times New Roman" w:hAnsi="Times New Roman"/>
                <w:color w:val="000000"/>
              </w:rPr>
              <w:t xml:space="preserve">realizowanego </w:t>
            </w:r>
            <w:r w:rsidRPr="00921855">
              <w:rPr>
                <w:rFonts w:ascii="Times New Roman" w:hAnsi="Times New Roman"/>
                <w:color w:val="000000"/>
              </w:rPr>
              <w:t>program</w:t>
            </w:r>
            <w:r w:rsidR="009F7D90">
              <w:rPr>
                <w:rFonts w:ascii="Times New Roman" w:hAnsi="Times New Roman"/>
                <w:color w:val="000000"/>
              </w:rPr>
              <w:t>u</w:t>
            </w:r>
            <w:r w:rsidRPr="00921855">
              <w:rPr>
                <w:rFonts w:ascii="Times New Roman" w:hAnsi="Times New Roman"/>
                <w:color w:val="000000"/>
              </w:rPr>
              <w:t xml:space="preserve"> ochrony powietrza, która przeprowadzona zostanie na podstawie wyników oceny jakości </w:t>
            </w:r>
            <w:r w:rsidRPr="00921855">
              <w:rPr>
                <w:rFonts w:ascii="Times New Roman" w:hAnsi="Times New Roman"/>
                <w:color w:val="000000"/>
              </w:rPr>
              <w:lastRenderedPageBreak/>
              <w:t xml:space="preserve">powietrza za poprzednie dwa lata, a nie jak ma to miejsce dotychczas na podstawie </w:t>
            </w:r>
            <w:r w:rsidR="009F7D90">
              <w:rPr>
                <w:rFonts w:ascii="Times New Roman" w:hAnsi="Times New Roman"/>
                <w:color w:val="000000"/>
              </w:rPr>
              <w:t xml:space="preserve">wyników </w:t>
            </w:r>
            <w:r w:rsidRPr="00921855">
              <w:rPr>
                <w:rFonts w:ascii="Times New Roman" w:hAnsi="Times New Roman"/>
                <w:color w:val="000000"/>
              </w:rPr>
              <w:t>jednej oceny jakości powietrza. W ten sposób możliwe będzie dokonanie oceny stopnia osiągnięcia wskaźników rzeczowych i ekologicznych, wskazanych w ww. program</w:t>
            </w:r>
            <w:r w:rsidR="009F7D90">
              <w:rPr>
                <w:rFonts w:ascii="Times New Roman" w:hAnsi="Times New Roman"/>
                <w:color w:val="000000"/>
              </w:rPr>
              <w:t>ie, i dopiero na jej podstawie podjęcie prac zmierzających do opracowania i określenia uchwałą sejmiku województwa aktualizacji programu ochrony powietrza.</w:t>
            </w:r>
          </w:p>
          <w:bookmarkEnd w:id="36"/>
          <w:p w14:paraId="7584A499" w14:textId="72C96E2E" w:rsidR="00723662" w:rsidRPr="00E55CB1" w:rsidRDefault="00723662" w:rsidP="00E55CB1">
            <w:pPr>
              <w:pStyle w:val="Akapitzlist"/>
              <w:numPr>
                <w:ilvl w:val="0"/>
                <w:numId w:val="3"/>
              </w:numPr>
              <w:spacing w:before="120" w:after="120" w:line="240" w:lineRule="auto"/>
              <w:jc w:val="both"/>
              <w:rPr>
                <w:rFonts w:ascii="Times New Roman" w:hAnsi="Times New Roman"/>
                <w:b/>
                <w:bCs/>
                <w:color w:val="000000"/>
                <w:u w:val="single"/>
              </w:rPr>
            </w:pPr>
            <w:r w:rsidRPr="00E55CB1">
              <w:rPr>
                <w:rFonts w:ascii="Times New Roman" w:hAnsi="Times New Roman"/>
                <w:b/>
                <w:bCs/>
                <w:color w:val="000000"/>
                <w:u w:val="single"/>
              </w:rPr>
              <w:t>Brak możliwości wydawania zaświadczeń przez gminę w ramach Programu Priorytetowego „Czyste Powietrze” dla gospodarstw rolnych w okresie od dnia 1 sierpnia do dnia ogłoszenia w Dzienniku Urzędowym Rzeczypospolitej Polskiej „Monitor Polski” przez Prezesa Głównego Urzędu Statystycznego przeciętnego dochodu z pracy w indywidualnych gospodarstwach rolnych z 1 ha przeliczeniowego</w:t>
            </w:r>
          </w:p>
          <w:p w14:paraId="1C4564EF" w14:textId="39013856" w:rsidR="0034095C" w:rsidRDefault="00723662" w:rsidP="00537CC2">
            <w:pPr>
              <w:spacing w:after="240" w:line="240" w:lineRule="auto"/>
              <w:jc w:val="both"/>
              <w:rPr>
                <w:rFonts w:ascii="Times New Roman" w:hAnsi="Times New Roman"/>
                <w:color w:val="000000"/>
              </w:rPr>
            </w:pPr>
            <w:r>
              <w:rPr>
                <w:rFonts w:ascii="Times New Roman" w:hAnsi="Times New Roman"/>
                <w:color w:val="000000"/>
              </w:rPr>
              <w:t>W art. 411</w:t>
            </w:r>
            <w:r w:rsidR="00D546B5">
              <w:rPr>
                <w:rFonts w:ascii="Times New Roman" w:hAnsi="Times New Roman"/>
                <w:color w:val="000000"/>
              </w:rPr>
              <w:t xml:space="preserve"> </w:t>
            </w:r>
            <w:proofErr w:type="spellStart"/>
            <w:r w:rsidR="00D546B5">
              <w:rPr>
                <w:rFonts w:ascii="Times New Roman" w:hAnsi="Times New Roman"/>
                <w:color w:val="000000"/>
              </w:rPr>
              <w:t>uPoś</w:t>
            </w:r>
            <w:proofErr w:type="spellEnd"/>
            <w:r>
              <w:rPr>
                <w:rFonts w:ascii="Times New Roman" w:hAnsi="Times New Roman"/>
                <w:color w:val="000000"/>
              </w:rPr>
              <w:t xml:space="preserve"> nadaje się nowe brzmienie ust. 10l </w:t>
            </w:r>
            <w:r w:rsidRPr="00AA42CE">
              <w:rPr>
                <w:rFonts w:ascii="Times New Roman" w:hAnsi="Times New Roman"/>
                <w:color w:val="000000"/>
              </w:rPr>
              <w:t>celem doprecyzowania sposobu ustalania wysokości przeciętnego miesięcznego dochodu z gospodarstwa rolnego na potrzeby wydania zaświadczenia o dochodach</w:t>
            </w:r>
            <w:r w:rsidR="00781511">
              <w:rPr>
                <w:rFonts w:ascii="Times New Roman" w:hAnsi="Times New Roman"/>
                <w:color w:val="000000"/>
              </w:rPr>
              <w:t>,</w:t>
            </w:r>
            <w:r w:rsidRPr="00AA42CE">
              <w:rPr>
                <w:rFonts w:ascii="Times New Roman" w:hAnsi="Times New Roman"/>
                <w:color w:val="000000"/>
              </w:rPr>
              <w:t xml:space="preserve"> o którym mowa w art. 411 ust. 10g </w:t>
            </w:r>
            <w:proofErr w:type="spellStart"/>
            <w:r w:rsidR="00D546B5">
              <w:rPr>
                <w:rFonts w:ascii="Times New Roman" w:hAnsi="Times New Roman"/>
                <w:color w:val="000000"/>
              </w:rPr>
              <w:t>u</w:t>
            </w:r>
            <w:r w:rsidRPr="00AA42CE">
              <w:rPr>
                <w:rFonts w:ascii="Times New Roman" w:hAnsi="Times New Roman"/>
                <w:color w:val="000000"/>
              </w:rPr>
              <w:t>Poś</w:t>
            </w:r>
            <w:proofErr w:type="spellEnd"/>
            <w:r w:rsidRPr="00AA42CE">
              <w:rPr>
                <w:rFonts w:ascii="Times New Roman" w:hAnsi="Times New Roman"/>
                <w:color w:val="000000"/>
              </w:rPr>
              <w:t>, wydawanego na potrzeby wnioskowania przez beneficjenta uprawnionego do podwyższonego i</w:t>
            </w:r>
            <w:r w:rsidR="00774F09">
              <w:rPr>
                <w:rFonts w:ascii="Times New Roman" w:hAnsi="Times New Roman"/>
                <w:color w:val="000000"/>
              </w:rPr>
              <w:t> </w:t>
            </w:r>
            <w:r w:rsidRPr="00AA42CE">
              <w:rPr>
                <w:rFonts w:ascii="Times New Roman" w:hAnsi="Times New Roman"/>
                <w:color w:val="000000"/>
              </w:rPr>
              <w:t>najwyższego poziomu dofinansowania o przyznanie środków w ramach Programu Priorytetowego „Czyste Powietrze”.</w:t>
            </w:r>
            <w:r>
              <w:rPr>
                <w:rFonts w:ascii="Times New Roman" w:hAnsi="Times New Roman"/>
                <w:color w:val="000000"/>
              </w:rPr>
              <w:t xml:space="preserve"> </w:t>
            </w:r>
            <w:bookmarkStart w:id="37" w:name="_Hlk157679963"/>
            <w:r>
              <w:rPr>
                <w:rFonts w:ascii="Times New Roman" w:hAnsi="Times New Roman"/>
                <w:color w:val="000000"/>
              </w:rPr>
              <w:t>Zmiana taka zapewni ciągłość wydawania zaświadczeń w ramach Programu</w:t>
            </w:r>
            <w:bookmarkEnd w:id="37"/>
            <w:r>
              <w:rPr>
                <w:rFonts w:ascii="Times New Roman" w:hAnsi="Times New Roman"/>
                <w:color w:val="000000"/>
              </w:rPr>
              <w:t xml:space="preserve"> dla gospodarstw rolnych, gdzie dochód będzie wyliczany w oparciu o </w:t>
            </w:r>
            <w:r w:rsidRPr="009456B6">
              <w:rPr>
                <w:rFonts w:ascii="Times New Roman" w:hAnsi="Times New Roman"/>
                <w:color w:val="000000"/>
              </w:rPr>
              <w:t>przeciętn</w:t>
            </w:r>
            <w:r>
              <w:rPr>
                <w:rFonts w:ascii="Times New Roman" w:hAnsi="Times New Roman"/>
                <w:color w:val="000000"/>
              </w:rPr>
              <w:t>y</w:t>
            </w:r>
            <w:r w:rsidRPr="009456B6">
              <w:rPr>
                <w:rFonts w:ascii="Times New Roman" w:hAnsi="Times New Roman"/>
                <w:color w:val="000000"/>
              </w:rPr>
              <w:t xml:space="preserve"> do</w:t>
            </w:r>
            <w:r>
              <w:rPr>
                <w:rFonts w:ascii="Times New Roman" w:hAnsi="Times New Roman"/>
                <w:color w:val="000000"/>
              </w:rPr>
              <w:t>chód</w:t>
            </w:r>
            <w:r w:rsidRPr="009456B6">
              <w:rPr>
                <w:rFonts w:ascii="Times New Roman" w:hAnsi="Times New Roman"/>
                <w:color w:val="000000"/>
              </w:rPr>
              <w:t xml:space="preserve"> z pracy w indywidualnych gospodarstwach rolnych z 1 ha przeliczeniowego </w:t>
            </w:r>
            <w:r>
              <w:rPr>
                <w:rFonts w:ascii="Times New Roman" w:hAnsi="Times New Roman"/>
                <w:color w:val="000000"/>
              </w:rPr>
              <w:t xml:space="preserve">ogłaszany w </w:t>
            </w:r>
            <w:r w:rsidRPr="009456B6">
              <w:rPr>
                <w:rFonts w:ascii="Times New Roman" w:hAnsi="Times New Roman"/>
                <w:color w:val="000000"/>
              </w:rPr>
              <w:t>Dzienniku Urzędowym Rzeczypospolitej Polskiej „Monitor Polski” przez Prezesa Głównego Urzędu Statystycznego</w:t>
            </w:r>
            <w:r>
              <w:rPr>
                <w:rFonts w:ascii="Times New Roman" w:hAnsi="Times New Roman"/>
                <w:color w:val="000000"/>
              </w:rPr>
              <w:t>, również w okresie od dnia 1 sierpnia do dnia ogłoszenia.</w:t>
            </w:r>
          </w:p>
          <w:p w14:paraId="5AB5CCBB" w14:textId="3494DF56" w:rsidR="00C60996" w:rsidRPr="00E55CB1" w:rsidRDefault="00C60996" w:rsidP="00E55CB1">
            <w:pPr>
              <w:pStyle w:val="Akapitzlist"/>
              <w:numPr>
                <w:ilvl w:val="0"/>
                <w:numId w:val="3"/>
              </w:numPr>
              <w:spacing w:line="240" w:lineRule="auto"/>
              <w:jc w:val="both"/>
              <w:rPr>
                <w:rFonts w:ascii="Times New Roman" w:hAnsi="Times New Roman"/>
                <w:b/>
                <w:bCs/>
                <w:color w:val="000000"/>
                <w:u w:val="single"/>
              </w:rPr>
            </w:pPr>
            <w:r w:rsidRPr="00E55CB1">
              <w:rPr>
                <w:rFonts w:ascii="Times New Roman" w:hAnsi="Times New Roman"/>
                <w:b/>
                <w:bCs/>
                <w:color w:val="000000"/>
                <w:u w:val="single"/>
              </w:rPr>
              <w:t>Usprawnienie działania Programu „Stop Smog”</w:t>
            </w:r>
          </w:p>
          <w:p w14:paraId="0B7C07C4" w14:textId="7DD691FC" w:rsidR="00C60996" w:rsidRDefault="00C60996" w:rsidP="00E55CB1">
            <w:pPr>
              <w:spacing w:line="240" w:lineRule="auto"/>
              <w:jc w:val="both"/>
              <w:rPr>
                <w:rFonts w:ascii="Times New Roman" w:hAnsi="Times New Roman"/>
                <w:color w:val="000000"/>
              </w:rPr>
            </w:pPr>
            <w:r>
              <w:rPr>
                <w:rFonts w:ascii="Times New Roman" w:hAnsi="Times New Roman"/>
                <w:color w:val="000000"/>
              </w:rPr>
              <w:t>Głównym celem projektowanych zmian jest zwiększenie atrakcyjności Programu</w:t>
            </w:r>
            <w:r w:rsidR="00A10E27">
              <w:rPr>
                <w:rFonts w:ascii="Times New Roman" w:hAnsi="Times New Roman"/>
                <w:color w:val="000000"/>
              </w:rPr>
              <w:t xml:space="preserve"> </w:t>
            </w:r>
            <w:r w:rsidR="0091616F" w:rsidRPr="0091616F">
              <w:rPr>
                <w:rFonts w:ascii="Times New Roman" w:hAnsi="Times New Roman"/>
                <w:color w:val="000000"/>
              </w:rPr>
              <w:t>„</w:t>
            </w:r>
            <w:r>
              <w:rPr>
                <w:rFonts w:ascii="Times New Roman" w:hAnsi="Times New Roman"/>
                <w:color w:val="000000"/>
              </w:rPr>
              <w:t>Stop Smog” dla gmin oraz uproszczenie jego obsługi przez likwidację kryterium majątkowego. W projekcie przewidziano zwiększenie kwoty na realizację przedsięwzięcia niskoemisyjnego z 53 000 zł do 106 000 zł. Ponadto zwiększono poziom finansowania z budżetu państwa z 70 do 90% obniżając jednocześnie wkład własny gminy z 30 do 10%</w:t>
            </w:r>
            <w:r w:rsidRPr="00145F5E">
              <w:rPr>
                <w:rFonts w:ascii="Times New Roman" w:hAnsi="Times New Roman"/>
                <w:color w:val="000000"/>
              </w:rPr>
              <w:t xml:space="preserve"> (</w:t>
            </w:r>
            <w:r w:rsidRPr="002A0C6A">
              <w:rPr>
                <w:rFonts w:ascii="Times New Roman" w:hAnsi="Times New Roman"/>
                <w:color w:val="000000"/>
              </w:rPr>
              <w:t>w przypadku miast, których liczba mieszkańców przekracza 100</w:t>
            </w:r>
            <w:r w:rsidR="00781511">
              <w:rPr>
                <w:rFonts w:ascii="Times New Roman" w:hAnsi="Times New Roman"/>
                <w:color w:val="000000"/>
              </w:rPr>
              <w:t> </w:t>
            </w:r>
            <w:r w:rsidRPr="002A0C6A">
              <w:rPr>
                <w:rFonts w:ascii="Times New Roman" w:hAnsi="Times New Roman"/>
                <w:color w:val="000000"/>
              </w:rPr>
              <w:t>000</w:t>
            </w:r>
            <w:r w:rsidR="00781511">
              <w:rPr>
                <w:rFonts w:ascii="Times New Roman" w:hAnsi="Times New Roman"/>
                <w:color w:val="000000"/>
              </w:rPr>
              <w:t>,</w:t>
            </w:r>
            <w:r w:rsidRPr="002A0C6A">
              <w:rPr>
                <w:rFonts w:ascii="Times New Roman" w:hAnsi="Times New Roman"/>
                <w:color w:val="000000"/>
              </w:rPr>
              <w:t xml:space="preserve"> </w:t>
            </w:r>
            <w:r>
              <w:rPr>
                <w:rFonts w:ascii="Times New Roman" w:hAnsi="Times New Roman"/>
                <w:color w:val="000000"/>
              </w:rPr>
              <w:t>wkład musi być większy niż 10</w:t>
            </w:r>
            <w:r w:rsidRPr="002A0C6A">
              <w:rPr>
                <w:rFonts w:ascii="Times New Roman" w:hAnsi="Times New Roman"/>
                <w:color w:val="000000"/>
              </w:rPr>
              <w:t>%</w:t>
            </w:r>
            <w:r>
              <w:rPr>
                <w:rFonts w:ascii="Times New Roman" w:hAnsi="Times New Roman"/>
                <w:color w:val="000000"/>
              </w:rPr>
              <w:t>).</w:t>
            </w:r>
          </w:p>
          <w:p w14:paraId="304297E9" w14:textId="77777777" w:rsidR="00C60996" w:rsidRDefault="00C60996" w:rsidP="00C60996">
            <w:pPr>
              <w:spacing w:line="240" w:lineRule="auto"/>
              <w:jc w:val="both"/>
              <w:rPr>
                <w:rFonts w:ascii="Times New Roman" w:hAnsi="Times New Roman"/>
                <w:color w:val="000000"/>
              </w:rPr>
            </w:pPr>
            <w:r>
              <w:rPr>
                <w:rFonts w:ascii="Times New Roman" w:hAnsi="Times New Roman"/>
                <w:color w:val="000000"/>
              </w:rPr>
              <w:t>Rozszerzono również</w:t>
            </w:r>
            <w:r w:rsidRPr="002A0C6A">
              <w:rPr>
                <w:rFonts w:ascii="Times New Roman" w:hAnsi="Times New Roman"/>
                <w:color w:val="000000"/>
              </w:rPr>
              <w:t xml:space="preserve"> katalog wymagań, jakie spełniają urządzenia lub systemy grzewcze ogrzewające budynki mieszkalne jednorodzinne lub urządzenia lub systemy podgrzewające wodę użytkową w tych budynkach</w:t>
            </w:r>
            <w:r w:rsidR="007B0B64">
              <w:rPr>
                <w:rFonts w:ascii="Times New Roman" w:hAnsi="Times New Roman"/>
                <w:color w:val="000000"/>
              </w:rPr>
              <w:t>,</w:t>
            </w:r>
            <w:r w:rsidRPr="002A0C6A">
              <w:rPr>
                <w:rFonts w:ascii="Times New Roman" w:hAnsi="Times New Roman"/>
                <w:color w:val="000000"/>
              </w:rPr>
              <w:t xml:space="preserve"> o kwestie etykietowania energetycznego miejscowych ogrzewaczy pomieszczeń.</w:t>
            </w:r>
          </w:p>
          <w:p w14:paraId="77D4F585" w14:textId="77777777" w:rsidR="00745FE3" w:rsidRPr="00E55CB1" w:rsidRDefault="00781511" w:rsidP="00E55CB1">
            <w:pPr>
              <w:pStyle w:val="Akapitzlist"/>
              <w:numPr>
                <w:ilvl w:val="0"/>
                <w:numId w:val="3"/>
              </w:numPr>
              <w:spacing w:before="240" w:line="240" w:lineRule="auto"/>
              <w:jc w:val="both"/>
              <w:rPr>
                <w:rFonts w:ascii="Times New Roman" w:hAnsi="Times New Roman"/>
                <w:b/>
                <w:bCs/>
                <w:color w:val="000000"/>
                <w:u w:val="single"/>
              </w:rPr>
            </w:pPr>
            <w:r w:rsidRPr="00E55CB1">
              <w:rPr>
                <w:rFonts w:ascii="Times New Roman" w:hAnsi="Times New Roman"/>
                <w:b/>
                <w:bCs/>
                <w:color w:val="000000"/>
                <w:u w:val="single"/>
              </w:rPr>
              <w:t xml:space="preserve">Zmiany przepisów ustawy z dnia 17 lipca 2009 r. </w:t>
            </w:r>
            <w:r w:rsidRPr="00E55CB1">
              <w:rPr>
                <w:rFonts w:ascii="Times New Roman" w:hAnsi="Times New Roman"/>
                <w:b/>
                <w:bCs/>
                <w:i/>
                <w:iCs/>
                <w:color w:val="000000"/>
                <w:u w:val="single"/>
              </w:rPr>
              <w:t>o systemie zarządzania emisjami gazów cieplarnianych i innych substancji</w:t>
            </w:r>
            <w:r w:rsidRPr="00E55CB1">
              <w:rPr>
                <w:rFonts w:ascii="Times New Roman" w:hAnsi="Times New Roman"/>
                <w:b/>
                <w:bCs/>
                <w:color w:val="000000"/>
                <w:u w:val="single"/>
              </w:rPr>
              <w:t xml:space="preserve"> </w:t>
            </w:r>
          </w:p>
          <w:p w14:paraId="10CFF222" w14:textId="1A2BDE1E" w:rsidR="00745FE3" w:rsidRPr="00745FE3" w:rsidRDefault="00745FE3" w:rsidP="00745FE3">
            <w:pPr>
              <w:spacing w:before="240" w:line="240" w:lineRule="auto"/>
              <w:ind w:left="-38"/>
              <w:jc w:val="both"/>
              <w:rPr>
                <w:rFonts w:ascii="Times New Roman" w:hAnsi="Times New Roman"/>
                <w:b/>
                <w:bCs/>
                <w:color w:val="000000"/>
                <w:u w:val="single"/>
              </w:rPr>
            </w:pPr>
            <w:r w:rsidRPr="00342B2F">
              <w:rPr>
                <w:rFonts w:ascii="Times New Roman" w:hAnsi="Times New Roman"/>
              </w:rPr>
              <w:t xml:space="preserve">W </w:t>
            </w:r>
            <w:r w:rsidRPr="00745FE3">
              <w:rPr>
                <w:rFonts w:ascii="Times New Roman" w:hAnsi="Times New Roman"/>
              </w:rPr>
              <w:t xml:space="preserve">celu zapewnienia racjonalizacji ustawowych zadań wykonywanych przez </w:t>
            </w:r>
            <w:proofErr w:type="spellStart"/>
            <w:r w:rsidRPr="00745FE3">
              <w:rPr>
                <w:rFonts w:ascii="Times New Roman" w:hAnsi="Times New Roman"/>
              </w:rPr>
              <w:t>KOBiZE</w:t>
            </w:r>
            <w:proofErr w:type="spellEnd"/>
            <w:r w:rsidRPr="00745FE3">
              <w:rPr>
                <w:rFonts w:ascii="Times New Roman" w:hAnsi="Times New Roman"/>
              </w:rPr>
              <w:t xml:space="preserve"> proponuje się zmianę przepisów </w:t>
            </w:r>
            <w:r w:rsidRPr="004F0D13">
              <w:rPr>
                <w:rFonts w:ascii="Times New Roman" w:hAnsi="Times New Roman"/>
              </w:rPr>
              <w:t xml:space="preserve">ustawy </w:t>
            </w:r>
            <w:r w:rsidRPr="00745FE3">
              <w:rPr>
                <w:rFonts w:ascii="Times New Roman" w:hAnsi="Times New Roman"/>
                <w:iCs/>
              </w:rPr>
              <w:t>o systemie zarządzania emisjami gazów cieplarnianych i innych substancji</w:t>
            </w:r>
            <w:r w:rsidR="00E35BF5">
              <w:rPr>
                <w:rFonts w:ascii="Times New Roman" w:hAnsi="Times New Roman"/>
                <w:iCs/>
              </w:rPr>
              <w:t xml:space="preserve"> (USZE)</w:t>
            </w:r>
            <w:r w:rsidRPr="00745FE3">
              <w:rPr>
                <w:rFonts w:ascii="Times New Roman" w:hAnsi="Times New Roman"/>
                <w:iCs/>
              </w:rPr>
              <w:t>.</w:t>
            </w:r>
            <w:r w:rsidRPr="00745FE3">
              <w:rPr>
                <w:rFonts w:ascii="Times New Roman" w:hAnsi="Times New Roman"/>
                <w:i/>
              </w:rPr>
              <w:t xml:space="preserve"> </w:t>
            </w:r>
            <w:r w:rsidRPr="00745FE3">
              <w:rPr>
                <w:rFonts w:ascii="Times New Roman" w:hAnsi="Times New Roman"/>
              </w:rPr>
              <w:t>Proponowane zmiany w</w:t>
            </w:r>
            <w:r w:rsidR="003D4AC2">
              <w:rPr>
                <w:rFonts w:ascii="Times New Roman" w:hAnsi="Times New Roman"/>
              </w:rPr>
              <w:t> </w:t>
            </w:r>
            <w:r w:rsidRPr="00745FE3">
              <w:rPr>
                <w:rFonts w:ascii="Times New Roman" w:hAnsi="Times New Roman"/>
              </w:rPr>
              <w:t xml:space="preserve">zakresie terminów zadań wykonywanych przez </w:t>
            </w:r>
            <w:proofErr w:type="spellStart"/>
            <w:r w:rsidRPr="00745FE3">
              <w:rPr>
                <w:rFonts w:ascii="Times New Roman" w:hAnsi="Times New Roman"/>
              </w:rPr>
              <w:t>KOBiZE</w:t>
            </w:r>
            <w:proofErr w:type="spellEnd"/>
            <w:r w:rsidRPr="00745FE3">
              <w:rPr>
                <w:rFonts w:ascii="Times New Roman" w:hAnsi="Times New Roman"/>
              </w:rPr>
              <w:t xml:space="preserve"> pozwolą usprawnić pracę Ośrodka oraz pozwolą uelastycznić wykonywanie rozległego zakresu zadań ustawowych realizowanych przez </w:t>
            </w:r>
            <w:proofErr w:type="spellStart"/>
            <w:r w:rsidRPr="00745FE3">
              <w:rPr>
                <w:rFonts w:ascii="Times New Roman" w:hAnsi="Times New Roman"/>
              </w:rPr>
              <w:t>KOBiZE</w:t>
            </w:r>
            <w:proofErr w:type="spellEnd"/>
            <w:r w:rsidRPr="00745FE3">
              <w:rPr>
                <w:rFonts w:ascii="Times New Roman" w:hAnsi="Times New Roman"/>
              </w:rPr>
              <w:t xml:space="preserve">. </w:t>
            </w:r>
            <w:r>
              <w:rPr>
                <w:rFonts w:ascii="Times New Roman" w:hAnsi="Times New Roman"/>
              </w:rPr>
              <w:t>Zmiany dotyczą:</w:t>
            </w:r>
          </w:p>
          <w:p w14:paraId="482FF6E9" w14:textId="051F8F65" w:rsidR="00E6172E" w:rsidRDefault="00E6172E" w:rsidP="00BC7132">
            <w:pPr>
              <w:pStyle w:val="Akapitzlist"/>
              <w:numPr>
                <w:ilvl w:val="0"/>
                <w:numId w:val="19"/>
              </w:numPr>
              <w:spacing w:line="240" w:lineRule="auto"/>
              <w:ind w:left="360" w:hanging="300"/>
              <w:jc w:val="both"/>
              <w:rPr>
                <w:rFonts w:ascii="Times New Roman" w:hAnsi="Times New Roman"/>
              </w:rPr>
            </w:pPr>
            <w:r w:rsidRPr="00745FE3">
              <w:rPr>
                <w:rFonts w:ascii="Times New Roman" w:hAnsi="Times New Roman"/>
              </w:rPr>
              <w:t>przesunięci</w:t>
            </w:r>
            <w:r w:rsidR="00745FE3">
              <w:rPr>
                <w:rFonts w:ascii="Times New Roman" w:hAnsi="Times New Roman"/>
              </w:rPr>
              <w:t>a</w:t>
            </w:r>
            <w:r w:rsidRPr="00745FE3">
              <w:rPr>
                <w:rFonts w:ascii="Times New Roman" w:hAnsi="Times New Roman"/>
              </w:rPr>
              <w:t xml:space="preserve"> terminu składania przez </w:t>
            </w:r>
            <w:proofErr w:type="spellStart"/>
            <w:r w:rsidRPr="00745FE3">
              <w:rPr>
                <w:rFonts w:ascii="Times New Roman" w:hAnsi="Times New Roman"/>
              </w:rPr>
              <w:t>KOB</w:t>
            </w:r>
            <w:r w:rsidR="0091616F" w:rsidRPr="00745FE3">
              <w:rPr>
                <w:rFonts w:ascii="Times New Roman" w:hAnsi="Times New Roman"/>
              </w:rPr>
              <w:t>i</w:t>
            </w:r>
            <w:r w:rsidRPr="00745FE3">
              <w:rPr>
                <w:rFonts w:ascii="Times New Roman" w:hAnsi="Times New Roman"/>
              </w:rPr>
              <w:t>ZE</w:t>
            </w:r>
            <w:proofErr w:type="spellEnd"/>
            <w:r w:rsidRPr="00745FE3">
              <w:rPr>
                <w:rFonts w:ascii="Times New Roman" w:hAnsi="Times New Roman"/>
              </w:rPr>
              <w:t xml:space="preserve"> rocznego sprawozdania z wykonywania powierzonych mu zadań, z</w:t>
            </w:r>
            <w:r w:rsidR="0091616F" w:rsidRPr="00745FE3">
              <w:rPr>
                <w:rFonts w:ascii="Times New Roman" w:hAnsi="Times New Roman"/>
              </w:rPr>
              <w:t> </w:t>
            </w:r>
            <w:r w:rsidRPr="00745FE3">
              <w:rPr>
                <w:rFonts w:ascii="Times New Roman" w:hAnsi="Times New Roman"/>
              </w:rPr>
              <w:t>31</w:t>
            </w:r>
            <w:r w:rsidR="0091616F" w:rsidRPr="00745FE3">
              <w:rPr>
                <w:rFonts w:ascii="Times New Roman" w:hAnsi="Times New Roman"/>
              </w:rPr>
              <w:t> </w:t>
            </w:r>
            <w:r w:rsidRPr="00745FE3">
              <w:rPr>
                <w:rFonts w:ascii="Times New Roman" w:hAnsi="Times New Roman"/>
              </w:rPr>
              <w:t>stycznia na 28 lutego</w:t>
            </w:r>
            <w:r w:rsidR="00745FE3">
              <w:rPr>
                <w:rFonts w:ascii="Times New Roman" w:hAnsi="Times New Roman"/>
              </w:rPr>
              <w:t xml:space="preserve"> -</w:t>
            </w:r>
            <w:r w:rsidR="00342B2F">
              <w:rPr>
                <w:rFonts w:ascii="Times New Roman" w:hAnsi="Times New Roman"/>
              </w:rPr>
              <w:t xml:space="preserve"> </w:t>
            </w:r>
            <w:r w:rsidRPr="00E73DBA">
              <w:rPr>
                <w:rFonts w:ascii="Times New Roman" w:hAnsi="Times New Roman"/>
              </w:rPr>
              <w:t xml:space="preserve">umożliwi rozpoczęcie pracy nad sprawozdaniem po zakończeniu roku sprawozdawczego – czyli w sytuacji, w której </w:t>
            </w:r>
            <w:r w:rsidR="002239FF" w:rsidRPr="00E73DBA">
              <w:rPr>
                <w:rFonts w:ascii="Times New Roman" w:hAnsi="Times New Roman"/>
              </w:rPr>
              <w:t xml:space="preserve">są </w:t>
            </w:r>
            <w:r w:rsidRPr="00E73DBA">
              <w:rPr>
                <w:rFonts w:ascii="Times New Roman" w:hAnsi="Times New Roman"/>
              </w:rPr>
              <w:t>zebrane już wszystkie informacje potrzebne do jego opracowania.</w:t>
            </w:r>
          </w:p>
          <w:p w14:paraId="20DAACD4" w14:textId="35CA580B" w:rsidR="004F0D13" w:rsidRPr="0056270E" w:rsidRDefault="00342B2F" w:rsidP="00BC7132">
            <w:pPr>
              <w:pStyle w:val="Akapitzlist"/>
              <w:numPr>
                <w:ilvl w:val="0"/>
                <w:numId w:val="19"/>
              </w:numPr>
              <w:spacing w:line="240" w:lineRule="auto"/>
              <w:ind w:left="360" w:hanging="300"/>
              <w:jc w:val="both"/>
              <w:rPr>
                <w:rFonts w:ascii="Times New Roman" w:hAnsi="Times New Roman"/>
              </w:rPr>
            </w:pPr>
            <w:r w:rsidRPr="0056270E">
              <w:rPr>
                <w:rFonts w:ascii="Times New Roman" w:hAnsi="Times New Roman"/>
              </w:rPr>
              <w:t>zsynchronizowania terminów przygotowania prognoz zmian aktywności z nowym terminem opracowywania aktualizacji prognoz wielkości emisji</w:t>
            </w:r>
            <w:r w:rsidR="004F0D13" w:rsidRPr="0056270E">
              <w:rPr>
                <w:rFonts w:ascii="Times New Roman" w:hAnsi="Times New Roman"/>
              </w:rPr>
              <w:t>. Z</w:t>
            </w:r>
            <w:r w:rsidR="00E6172E" w:rsidRPr="0056270E">
              <w:rPr>
                <w:rFonts w:ascii="Times New Roman" w:hAnsi="Times New Roman"/>
              </w:rPr>
              <w:t xml:space="preserve">aproponowana zmiana skraca okres między prognozami zmian aktywności do 4 lat i przenosi termin ich wykonania na 30 </w:t>
            </w:r>
            <w:r w:rsidR="00E6172E" w:rsidRPr="00E049AB">
              <w:rPr>
                <w:rFonts w:ascii="Times New Roman" w:hAnsi="Times New Roman"/>
              </w:rPr>
              <w:t>czerwca w roku parzystym, co</w:t>
            </w:r>
            <w:r w:rsidR="00E6172E" w:rsidRPr="0056270E">
              <w:rPr>
                <w:rFonts w:ascii="Times New Roman" w:hAnsi="Times New Roman"/>
              </w:rPr>
              <w:t xml:space="preserve"> umożliwi wykorzystanie najbardziej aktualnych prognoz zmian aktywności do wykonania aktualizacji prognoz wielkości emisji w nowych terminach</w:t>
            </w:r>
            <w:r w:rsidR="00C41B30" w:rsidRPr="0056270E">
              <w:rPr>
                <w:rFonts w:ascii="Times New Roman" w:hAnsi="Times New Roman"/>
              </w:rPr>
              <w:t xml:space="preserve">. </w:t>
            </w:r>
            <w:r w:rsidR="00E6172E" w:rsidRPr="0056270E">
              <w:rPr>
                <w:rFonts w:ascii="Times New Roman" w:hAnsi="Times New Roman"/>
              </w:rPr>
              <w:t>W</w:t>
            </w:r>
            <w:r w:rsidR="00774F09">
              <w:rPr>
                <w:rFonts w:ascii="Times New Roman" w:hAnsi="Times New Roman"/>
              </w:rPr>
              <w:t> </w:t>
            </w:r>
            <w:r w:rsidR="00E6172E" w:rsidRPr="0056270E">
              <w:rPr>
                <w:rFonts w:ascii="Times New Roman" w:hAnsi="Times New Roman"/>
              </w:rPr>
              <w:t xml:space="preserve">następstwie skrócenia okresu między prognozami zmian aktywności, zmieniony został także termin przekazania do </w:t>
            </w:r>
            <w:proofErr w:type="spellStart"/>
            <w:r w:rsidR="00E6172E" w:rsidRPr="0056270E">
              <w:rPr>
                <w:rFonts w:ascii="Times New Roman" w:hAnsi="Times New Roman"/>
              </w:rPr>
              <w:t>KOBiZE</w:t>
            </w:r>
            <w:proofErr w:type="spellEnd"/>
            <w:r w:rsidR="00E6172E" w:rsidRPr="0056270E">
              <w:rPr>
                <w:rFonts w:ascii="Times New Roman" w:hAnsi="Times New Roman"/>
              </w:rPr>
              <w:t xml:space="preserve"> informacji i danych przez właściwych ministrów z 12 do 6 miesięcy przed terminem sporządzenia prognoz.</w:t>
            </w:r>
            <w:r w:rsidR="00E6172E" w:rsidRPr="004F0D13">
              <w:t xml:space="preserve"> </w:t>
            </w:r>
          </w:p>
          <w:p w14:paraId="6FD3611C" w14:textId="4AFE8254" w:rsidR="00C41B30" w:rsidRDefault="00E6172E" w:rsidP="00BC7132">
            <w:pPr>
              <w:pStyle w:val="Akapitzlist"/>
              <w:numPr>
                <w:ilvl w:val="0"/>
                <w:numId w:val="19"/>
              </w:numPr>
              <w:shd w:val="clear" w:color="auto" w:fill="FFFFFF"/>
              <w:spacing w:after="120" w:line="240" w:lineRule="auto"/>
              <w:ind w:left="344" w:hanging="300"/>
              <w:jc w:val="both"/>
              <w:outlineLvl w:val="1"/>
              <w:rPr>
                <w:rFonts w:ascii="Times New Roman" w:hAnsi="Times New Roman"/>
              </w:rPr>
            </w:pPr>
            <w:r w:rsidRPr="00023980">
              <w:rPr>
                <w:rFonts w:ascii="Times New Roman" w:hAnsi="Times New Roman"/>
              </w:rPr>
              <w:t xml:space="preserve">roku odniesienia dla sporządzanych prognoz zmian aktywności. </w:t>
            </w:r>
          </w:p>
          <w:p w14:paraId="0A559773" w14:textId="505281BF" w:rsidR="00E6172E" w:rsidRPr="00023980" w:rsidRDefault="00BC7132" w:rsidP="00BC7132">
            <w:pPr>
              <w:pStyle w:val="Akapitzlist"/>
              <w:shd w:val="clear" w:color="auto" w:fill="FFFFFF"/>
              <w:spacing w:after="120" w:line="240" w:lineRule="auto"/>
              <w:ind w:left="344" w:hanging="300"/>
              <w:jc w:val="both"/>
              <w:outlineLvl w:val="1"/>
              <w:rPr>
                <w:rFonts w:ascii="Times New Roman" w:hAnsi="Times New Roman"/>
              </w:rPr>
            </w:pPr>
            <w:r>
              <w:rPr>
                <w:rFonts w:ascii="Times New Roman" w:hAnsi="Times New Roman"/>
              </w:rPr>
              <w:t xml:space="preserve">      </w:t>
            </w:r>
            <w:r w:rsidR="00E6172E" w:rsidRPr="00023980">
              <w:rPr>
                <w:rFonts w:ascii="Times New Roman" w:hAnsi="Times New Roman"/>
              </w:rPr>
              <w:t>Nowe zasady ustalania roku odniesienia mają zapewnić korzystanie z najbardziej aktualnych danych. Dodatkowo wprowadzono regułę</w:t>
            </w:r>
            <w:r w:rsidR="00087882" w:rsidRPr="00023980">
              <w:rPr>
                <w:rFonts w:ascii="Times New Roman" w:hAnsi="Times New Roman"/>
              </w:rPr>
              <w:t>,</w:t>
            </w:r>
            <w:r w:rsidR="00E6172E" w:rsidRPr="00023980">
              <w:rPr>
                <w:rFonts w:ascii="Times New Roman" w:hAnsi="Times New Roman"/>
              </w:rPr>
              <w:t xml:space="preserve"> według której w uzasadnionym przypadku możliwe będzie przyjęcie za rok odniesienia innego roku. Dzięki temu dla niektórych sektorów będzie możliwe np. wykorzystanie danych dla roku wcześniejszego, gdy dane dla roku o 3 lata poprzedzającego rok wykonania prognoz nie będą dostępne lub budziłyby uzasadnione zastrzeżenia co do ich reprezentatywności (np. ze względu na nagłe zakłóc</w:t>
            </w:r>
            <w:r w:rsidR="00A00241">
              <w:rPr>
                <w:rFonts w:ascii="Times New Roman" w:hAnsi="Times New Roman"/>
              </w:rPr>
              <w:t>e</w:t>
            </w:r>
            <w:r w:rsidR="00E6172E" w:rsidRPr="00023980">
              <w:rPr>
                <w:rFonts w:ascii="Times New Roman" w:hAnsi="Times New Roman"/>
              </w:rPr>
              <w:t>nia, które bardzo znacząco wpływają na poziomy aktywności, takie jak pandemia lub wojna).</w:t>
            </w:r>
          </w:p>
          <w:p w14:paraId="3F9CA0EB" w14:textId="2AD68027" w:rsidR="00C41B30" w:rsidRDefault="00D64DF9" w:rsidP="00BC7132">
            <w:pPr>
              <w:pStyle w:val="Akapitzlist"/>
              <w:numPr>
                <w:ilvl w:val="0"/>
                <w:numId w:val="19"/>
              </w:numPr>
              <w:spacing w:before="240" w:line="240" w:lineRule="auto"/>
              <w:ind w:left="360" w:hanging="300"/>
              <w:jc w:val="both"/>
              <w:rPr>
                <w:rFonts w:ascii="Times New Roman" w:hAnsi="Times New Roman"/>
              </w:rPr>
            </w:pPr>
            <w:r>
              <w:rPr>
                <w:rFonts w:ascii="Times New Roman" w:hAnsi="Times New Roman"/>
              </w:rPr>
              <w:t>uelastycznienia</w:t>
            </w:r>
            <w:r w:rsidR="00E6172E" w:rsidRPr="00E73DBA">
              <w:rPr>
                <w:rFonts w:ascii="Times New Roman" w:hAnsi="Times New Roman"/>
              </w:rPr>
              <w:t xml:space="preserve"> przesłanki do sporządzania aktualizacji prognoz zmian aktywności. </w:t>
            </w:r>
          </w:p>
          <w:p w14:paraId="109FC217" w14:textId="5BD4AD6A" w:rsidR="00E6172E" w:rsidRPr="00023980" w:rsidRDefault="00BC7132" w:rsidP="00BC7132">
            <w:pPr>
              <w:pStyle w:val="Akapitzlist"/>
              <w:spacing w:before="240" w:line="240" w:lineRule="auto"/>
              <w:ind w:left="360" w:hanging="300"/>
              <w:jc w:val="both"/>
              <w:rPr>
                <w:rFonts w:ascii="Times New Roman" w:hAnsi="Times New Roman"/>
              </w:rPr>
            </w:pPr>
            <w:r>
              <w:rPr>
                <w:rFonts w:ascii="Times New Roman" w:hAnsi="Times New Roman"/>
              </w:rPr>
              <w:t xml:space="preserve">     </w:t>
            </w:r>
            <w:r w:rsidR="00E6172E" w:rsidRPr="00023980">
              <w:rPr>
                <w:rFonts w:ascii="Times New Roman" w:hAnsi="Times New Roman"/>
              </w:rPr>
              <w:t xml:space="preserve">Aktualizacja będzie poprzedzona badaniem oceny jej zasadności i jej potencjalnego zakresu, w oparciu o zdefiniowane w </w:t>
            </w:r>
            <w:r w:rsidR="00964B0B">
              <w:rPr>
                <w:rFonts w:ascii="Times New Roman" w:hAnsi="Times New Roman"/>
              </w:rPr>
              <w:t>USZE</w:t>
            </w:r>
            <w:r w:rsidR="004F0D13">
              <w:rPr>
                <w:rFonts w:ascii="Times New Roman" w:hAnsi="Times New Roman"/>
              </w:rPr>
              <w:t xml:space="preserve"> </w:t>
            </w:r>
            <w:r w:rsidR="00E6172E" w:rsidRPr="00023980">
              <w:rPr>
                <w:rFonts w:ascii="Times New Roman" w:hAnsi="Times New Roman"/>
              </w:rPr>
              <w:t>elementy (zmiany w obszarze polityk i strategii, regulacji prawnych oraz udział zmienionej aktywności w</w:t>
            </w:r>
            <w:r w:rsidR="00774F09">
              <w:rPr>
                <w:rFonts w:ascii="Times New Roman" w:hAnsi="Times New Roman"/>
              </w:rPr>
              <w:t> </w:t>
            </w:r>
            <w:r w:rsidR="00E6172E" w:rsidRPr="00023980">
              <w:rPr>
                <w:rFonts w:ascii="Times New Roman" w:hAnsi="Times New Roman"/>
              </w:rPr>
              <w:t xml:space="preserve">całkowitej emisji). Jeżeli ocena wykaże taką potrzebę, aktualizacja będzie przygotowywana w połowie okresu między ustawowymi terminami przygotowywania prognoz zmian aktywności. </w:t>
            </w:r>
          </w:p>
          <w:p w14:paraId="5BE59F61" w14:textId="14D29FC9" w:rsidR="00E6172E" w:rsidRPr="00E73DBA" w:rsidRDefault="00E6172E" w:rsidP="00BC7132">
            <w:pPr>
              <w:pStyle w:val="Akapitzlist"/>
              <w:numPr>
                <w:ilvl w:val="0"/>
                <w:numId w:val="19"/>
              </w:numPr>
              <w:spacing w:line="240" w:lineRule="auto"/>
              <w:ind w:left="344" w:hanging="300"/>
              <w:jc w:val="both"/>
              <w:rPr>
                <w:rFonts w:ascii="Times New Roman" w:hAnsi="Times New Roman"/>
              </w:rPr>
            </w:pPr>
            <w:r w:rsidRPr="00023980">
              <w:rPr>
                <w:rFonts w:ascii="Times New Roman" w:hAnsi="Times New Roman"/>
              </w:rPr>
              <w:t>uporządkowan</w:t>
            </w:r>
            <w:r w:rsidR="00C41B30">
              <w:rPr>
                <w:rFonts w:ascii="Times New Roman" w:hAnsi="Times New Roman"/>
              </w:rPr>
              <w:t>ia</w:t>
            </w:r>
            <w:r w:rsidRPr="00A56631">
              <w:rPr>
                <w:rFonts w:ascii="Times New Roman" w:hAnsi="Times New Roman"/>
              </w:rPr>
              <w:t xml:space="preserve"> przepis</w:t>
            </w:r>
            <w:r w:rsidR="00C41B30">
              <w:rPr>
                <w:rFonts w:ascii="Times New Roman" w:hAnsi="Times New Roman"/>
              </w:rPr>
              <w:t>ów</w:t>
            </w:r>
            <w:r w:rsidRPr="00E73DBA">
              <w:rPr>
                <w:rFonts w:ascii="Times New Roman" w:hAnsi="Times New Roman"/>
              </w:rPr>
              <w:t xml:space="preserve"> w art. 9 ustawy przez uchylenie ust. 9, odpowiednią zmianę ust. 8 oraz </w:t>
            </w:r>
            <w:r w:rsidR="001F20C7" w:rsidRPr="00E73DBA">
              <w:rPr>
                <w:rFonts w:ascii="Times New Roman" w:hAnsi="Times New Roman"/>
              </w:rPr>
              <w:t xml:space="preserve">uchylenie </w:t>
            </w:r>
            <w:r w:rsidRPr="00E73DBA">
              <w:rPr>
                <w:rFonts w:ascii="Times New Roman" w:hAnsi="Times New Roman"/>
              </w:rPr>
              <w:t>w ust. 5 pkt 2 w związku z rozwiązaniami dot</w:t>
            </w:r>
            <w:r w:rsidR="001F20C7" w:rsidRPr="00E73DBA">
              <w:rPr>
                <w:rFonts w:ascii="Times New Roman" w:hAnsi="Times New Roman"/>
              </w:rPr>
              <w:t xml:space="preserve">yczącymi </w:t>
            </w:r>
            <w:r w:rsidRPr="00E73DBA">
              <w:rPr>
                <w:rFonts w:ascii="Times New Roman" w:hAnsi="Times New Roman"/>
              </w:rPr>
              <w:t>roku odniesienia.</w:t>
            </w:r>
          </w:p>
          <w:p w14:paraId="132040D4" w14:textId="12153CE9" w:rsidR="00E6172E" w:rsidRDefault="00E6172E" w:rsidP="00BC7132">
            <w:pPr>
              <w:pStyle w:val="Akapitzlist"/>
              <w:numPr>
                <w:ilvl w:val="0"/>
                <w:numId w:val="49"/>
              </w:numPr>
              <w:spacing w:before="120" w:line="240" w:lineRule="auto"/>
              <w:ind w:left="344" w:hanging="300"/>
              <w:jc w:val="both"/>
              <w:rPr>
                <w:rFonts w:ascii="Times New Roman" w:hAnsi="Times New Roman"/>
              </w:rPr>
            </w:pPr>
            <w:r w:rsidRPr="00A56631">
              <w:rPr>
                <w:rFonts w:ascii="Times New Roman" w:hAnsi="Times New Roman"/>
              </w:rPr>
              <w:t>wydłuż</w:t>
            </w:r>
            <w:r w:rsidR="00745FE3">
              <w:rPr>
                <w:rFonts w:ascii="Times New Roman" w:hAnsi="Times New Roman"/>
              </w:rPr>
              <w:t>enia</w:t>
            </w:r>
            <w:r w:rsidR="001F20C7" w:rsidRPr="00E73DBA">
              <w:rPr>
                <w:rFonts w:ascii="Times New Roman" w:hAnsi="Times New Roman"/>
              </w:rPr>
              <w:t xml:space="preserve"> </w:t>
            </w:r>
            <w:r w:rsidRPr="00A56631">
              <w:rPr>
                <w:rFonts w:ascii="Times New Roman" w:hAnsi="Times New Roman"/>
              </w:rPr>
              <w:t>horyzont</w:t>
            </w:r>
            <w:r w:rsidR="00745FE3">
              <w:rPr>
                <w:rFonts w:ascii="Times New Roman" w:hAnsi="Times New Roman"/>
              </w:rPr>
              <w:t>u</w:t>
            </w:r>
            <w:r w:rsidRPr="00023980">
              <w:rPr>
                <w:rFonts w:ascii="Times New Roman" w:hAnsi="Times New Roman"/>
              </w:rPr>
              <w:t xml:space="preserve"> czasow</w:t>
            </w:r>
            <w:r w:rsidR="00745FE3">
              <w:rPr>
                <w:rFonts w:ascii="Times New Roman" w:hAnsi="Times New Roman"/>
              </w:rPr>
              <w:t>ego</w:t>
            </w:r>
            <w:r w:rsidRPr="00E73DBA">
              <w:rPr>
                <w:rFonts w:ascii="Times New Roman" w:hAnsi="Times New Roman"/>
              </w:rPr>
              <w:t xml:space="preserve"> prognoz wielkości emisji z 20 na 30 lat. W następstwie tych zmian prognozy wielkości emisji mają obejmować okres do 2050 r., co powinno być uwzględnione w najbliższych prognozach.</w:t>
            </w:r>
            <w:r w:rsidR="00E56896" w:rsidRPr="00E73DBA">
              <w:rPr>
                <w:rFonts w:ascii="Times New Roman" w:hAnsi="Times New Roman"/>
              </w:rPr>
              <w:t xml:space="preserve"> </w:t>
            </w:r>
            <w:r w:rsidR="00E56896" w:rsidRPr="00E73DBA">
              <w:rPr>
                <w:rFonts w:ascii="Times New Roman" w:hAnsi="Times New Roman"/>
              </w:rPr>
              <w:lastRenderedPageBreak/>
              <w:t>P</w:t>
            </w:r>
            <w:r w:rsidRPr="00E73DBA">
              <w:rPr>
                <w:rFonts w:ascii="Times New Roman" w:hAnsi="Times New Roman"/>
              </w:rPr>
              <w:t xml:space="preserve">rognozy realizowane na podstawie aktualnego art. 12 ust. 3 USZE są wykonywane dla 20-letniego okresu (dotyczą jedynie okresu do 2040 r.). </w:t>
            </w:r>
            <w:r w:rsidR="0056270E">
              <w:rPr>
                <w:rFonts w:ascii="Times New Roman" w:hAnsi="Times New Roman"/>
              </w:rPr>
              <w:t xml:space="preserve"> </w:t>
            </w:r>
          </w:p>
          <w:p w14:paraId="55F749CB" w14:textId="07019B5C" w:rsidR="00A56631" w:rsidRPr="00BC2208" w:rsidRDefault="0056270E" w:rsidP="00BC7132">
            <w:pPr>
              <w:pStyle w:val="Akapitzlist"/>
              <w:numPr>
                <w:ilvl w:val="0"/>
                <w:numId w:val="49"/>
              </w:numPr>
              <w:spacing w:before="120" w:line="240" w:lineRule="auto"/>
              <w:ind w:left="344" w:hanging="300"/>
              <w:jc w:val="both"/>
              <w:rPr>
                <w:rFonts w:ascii="Times New Roman" w:hAnsi="Times New Roman"/>
              </w:rPr>
            </w:pPr>
            <w:r w:rsidRPr="00937C14">
              <w:rPr>
                <w:rFonts w:ascii="Times New Roman" w:hAnsi="Times New Roman"/>
              </w:rPr>
              <w:t>skrócenia okresu aktualizacji prognoz wielkości emisji z 5 na 4 lata. Zgodnie z projektem nowe terminy przewidziane dla aktualizacji prognoz wielkości emisji i dla nowych prognoz zmian aktywności będą ze sobą skorelowane, co ma istotne znaczenie z uwagi na to, że prognozy zmian aktywności są wykorzystywane do sporządzania aktualizacji prognoz wielkości emisji</w:t>
            </w:r>
            <w:r>
              <w:rPr>
                <w:rFonts w:ascii="Times New Roman" w:hAnsi="Times New Roman"/>
              </w:rPr>
              <w:t xml:space="preserve">. </w:t>
            </w:r>
          </w:p>
          <w:p w14:paraId="66B84148" w14:textId="0AB81194" w:rsidR="00D64DF9" w:rsidRPr="00A56631" w:rsidRDefault="00A56631" w:rsidP="00BC7132">
            <w:pPr>
              <w:pStyle w:val="Akapitzlist"/>
              <w:numPr>
                <w:ilvl w:val="0"/>
                <w:numId w:val="49"/>
              </w:numPr>
              <w:spacing w:before="120" w:line="240" w:lineRule="auto"/>
              <w:ind w:left="344" w:hanging="300"/>
              <w:jc w:val="both"/>
              <w:rPr>
                <w:rFonts w:ascii="Times New Roman" w:hAnsi="Times New Roman"/>
              </w:rPr>
            </w:pPr>
            <w:r w:rsidRPr="00A56631">
              <w:rPr>
                <w:rFonts w:ascii="Times New Roman" w:hAnsi="Times New Roman"/>
              </w:rPr>
              <w:t>p</w:t>
            </w:r>
            <w:r w:rsidR="00D64DF9" w:rsidRPr="00A56631">
              <w:rPr>
                <w:rFonts w:ascii="Times New Roman" w:hAnsi="Times New Roman"/>
              </w:rPr>
              <w:t xml:space="preserve">rzeprowadzania aktualizacji Krajowego programu ograniczania zanieczyszczenia powietrza. </w:t>
            </w:r>
          </w:p>
          <w:p w14:paraId="3F757261" w14:textId="70ECA2F9" w:rsidR="00E6172E" w:rsidRDefault="00D64DF9" w:rsidP="00712B14">
            <w:pPr>
              <w:spacing w:before="120" w:line="240" w:lineRule="auto"/>
              <w:jc w:val="both"/>
              <w:rPr>
                <w:rFonts w:ascii="Times New Roman" w:hAnsi="Times New Roman"/>
              </w:rPr>
            </w:pPr>
            <w:r>
              <w:rPr>
                <w:rFonts w:ascii="Times New Roman" w:hAnsi="Times New Roman"/>
                <w:iCs/>
              </w:rPr>
              <w:t xml:space="preserve">Obecnie </w:t>
            </w:r>
            <w:r w:rsidR="001F20C7" w:rsidRPr="00023980">
              <w:rPr>
                <w:rFonts w:ascii="Times New Roman" w:hAnsi="Times New Roman"/>
                <w:iCs/>
              </w:rPr>
              <w:t xml:space="preserve">USZE przewiduje wyłącznie </w:t>
            </w:r>
            <w:r w:rsidR="00E6172E" w:rsidRPr="00023980">
              <w:rPr>
                <w:rFonts w:ascii="Times New Roman" w:hAnsi="Times New Roman"/>
              </w:rPr>
              <w:t>tryb pełnej aktualizacji</w:t>
            </w:r>
            <w:r w:rsidR="004F11E7">
              <w:rPr>
                <w:rFonts w:ascii="Times New Roman" w:hAnsi="Times New Roman"/>
              </w:rPr>
              <w:t xml:space="preserve"> KPOZP</w:t>
            </w:r>
            <w:r w:rsidR="00E6172E" w:rsidRPr="00023980">
              <w:rPr>
                <w:rFonts w:ascii="Times New Roman" w:hAnsi="Times New Roman"/>
              </w:rPr>
              <w:t xml:space="preserve"> zarówno w przypadku gdy z prognoz wielkości emisji lub inwentaryzacji emisji</w:t>
            </w:r>
            <w:r w:rsidR="001C0D0D" w:rsidRPr="00023980">
              <w:rPr>
                <w:rFonts w:ascii="Times New Roman" w:hAnsi="Times New Roman"/>
              </w:rPr>
              <w:t>, o których mowa odpowiednio w art. 12 ust. 1 i w art. 11 ust. 1 pkt</w:t>
            </w:r>
            <w:r w:rsidR="00964B0B">
              <w:rPr>
                <w:rFonts w:ascii="Times New Roman" w:hAnsi="Times New Roman"/>
              </w:rPr>
              <w:t xml:space="preserve"> </w:t>
            </w:r>
            <w:r w:rsidR="001C0D0D" w:rsidRPr="00023980">
              <w:rPr>
                <w:rFonts w:ascii="Times New Roman" w:hAnsi="Times New Roman"/>
              </w:rPr>
              <w:t>3,</w:t>
            </w:r>
            <w:r w:rsidR="00E6172E" w:rsidRPr="00023980">
              <w:rPr>
                <w:rFonts w:ascii="Times New Roman" w:hAnsi="Times New Roman"/>
              </w:rPr>
              <w:t xml:space="preserve"> wynika, że krajowe cele redukcyjne nie są spełnione </w:t>
            </w:r>
            <w:r>
              <w:rPr>
                <w:rFonts w:ascii="Times New Roman" w:hAnsi="Times New Roman"/>
              </w:rPr>
              <w:t>jak również wtedy, gdy</w:t>
            </w:r>
            <w:r w:rsidR="00E6172E" w:rsidRPr="00023980">
              <w:rPr>
                <w:rFonts w:ascii="Times New Roman" w:hAnsi="Times New Roman"/>
              </w:rPr>
              <w:t xml:space="preserve"> istnieje ryzyko ich nieosiągnięcia</w:t>
            </w:r>
            <w:r>
              <w:rPr>
                <w:rFonts w:ascii="Times New Roman" w:hAnsi="Times New Roman"/>
              </w:rPr>
              <w:t>.</w:t>
            </w:r>
            <w:r w:rsidR="00E6172E" w:rsidRPr="00023980">
              <w:rPr>
                <w:rFonts w:ascii="Times New Roman" w:hAnsi="Times New Roman"/>
              </w:rPr>
              <w:t xml:space="preserve"> </w:t>
            </w:r>
            <w:r>
              <w:rPr>
                <w:rFonts w:ascii="Times New Roman" w:hAnsi="Times New Roman"/>
                <w:iCs/>
              </w:rPr>
              <w:t>P</w:t>
            </w:r>
            <w:r w:rsidR="00E6172E" w:rsidRPr="00023980">
              <w:rPr>
                <w:rFonts w:ascii="Times New Roman" w:hAnsi="Times New Roman"/>
                <w:iCs/>
              </w:rPr>
              <w:t xml:space="preserve">roponuje się doprecyzowanie przepisów </w:t>
            </w:r>
            <w:r w:rsidR="00823545">
              <w:rPr>
                <w:rFonts w:ascii="Times New Roman" w:hAnsi="Times New Roman"/>
                <w:iCs/>
              </w:rPr>
              <w:t xml:space="preserve">poprzez wskazanie, iż </w:t>
            </w:r>
            <w:r w:rsidR="00E6172E" w:rsidRPr="00023980">
              <w:rPr>
                <w:rFonts w:ascii="Times New Roman" w:hAnsi="Times New Roman"/>
                <w:iCs/>
              </w:rPr>
              <w:t>w przypadku możliwości nieosiągnięcia</w:t>
            </w:r>
            <w:r w:rsidR="00E6172E" w:rsidRPr="00023980">
              <w:rPr>
                <w:rFonts w:ascii="Times New Roman" w:hAnsi="Times New Roman"/>
              </w:rPr>
              <w:t xml:space="preserve"> celów redukcyjnych aktualizowane </w:t>
            </w:r>
            <w:r w:rsidR="00E6172E">
              <w:rPr>
                <w:rFonts w:ascii="Times New Roman" w:hAnsi="Times New Roman"/>
              </w:rPr>
              <w:t>będą</w:t>
            </w:r>
            <w:r w:rsidR="00E6172E" w:rsidRPr="00023980">
              <w:rPr>
                <w:rFonts w:ascii="Times New Roman" w:hAnsi="Times New Roman"/>
              </w:rPr>
              <w:t xml:space="preserve"> jedynie strategie i środki dotyczące redukcji emisji zawarte w tym programie.</w:t>
            </w:r>
            <w:r w:rsidR="001C0D0D" w:rsidRPr="00284FFD">
              <w:t xml:space="preserve"> </w:t>
            </w:r>
            <w:r>
              <w:rPr>
                <w:rFonts w:ascii="Times New Roman" w:hAnsi="Times New Roman"/>
              </w:rPr>
              <w:t>Dodatkowo</w:t>
            </w:r>
            <w:r w:rsidR="001C0D0D" w:rsidRPr="00023980">
              <w:rPr>
                <w:rFonts w:ascii="Times New Roman" w:hAnsi="Times New Roman"/>
              </w:rPr>
              <w:t xml:space="preserve"> zmienione przepisy (art. 16b ust. 12 i 15 oraz art. 16d ust. 1) będą się odwoływać do art. 12 ust. 1 tylko w zakresie prognoz wielkości emisji, nie zaś do prognoz wielkości pochłaniania, o których również mowa w tym przepisie. Krajowy program ograniczania zanieczyszczenia powietrza nie dotyczy gazów cieplarnianych</w:t>
            </w:r>
            <w:r w:rsidR="00E35BF5">
              <w:rPr>
                <w:rFonts w:ascii="Times New Roman" w:hAnsi="Times New Roman"/>
              </w:rPr>
              <w:t xml:space="preserve"> lecz</w:t>
            </w:r>
            <w:r w:rsidR="00A56631">
              <w:rPr>
                <w:rFonts w:ascii="Times New Roman" w:hAnsi="Times New Roman"/>
              </w:rPr>
              <w:t xml:space="preserve"> </w:t>
            </w:r>
            <w:r w:rsidR="001C0D0D" w:rsidRPr="00023980">
              <w:rPr>
                <w:rFonts w:ascii="Times New Roman" w:hAnsi="Times New Roman"/>
              </w:rPr>
              <w:t>zanieczyszczeń powietrza, zatem bezzasadne jest odwoływanie się także do pochłaniania, występującego jedynie w przypadku dwutlenku węgla (CO</w:t>
            </w:r>
            <w:r w:rsidR="001C0D0D" w:rsidRPr="00023980">
              <w:rPr>
                <w:rFonts w:ascii="Times New Roman" w:hAnsi="Times New Roman"/>
                <w:vertAlign w:val="subscript"/>
              </w:rPr>
              <w:t>2</w:t>
            </w:r>
            <w:r w:rsidR="001C0D0D" w:rsidRPr="00023980">
              <w:rPr>
                <w:rFonts w:ascii="Times New Roman" w:hAnsi="Times New Roman"/>
              </w:rPr>
              <w:t>).</w:t>
            </w:r>
          </w:p>
          <w:p w14:paraId="51CD920B" w14:textId="2E1DA1EB" w:rsidR="00BC31F7" w:rsidRPr="00E55CB1" w:rsidRDefault="00BC31F7" w:rsidP="00145F5E">
            <w:pPr>
              <w:spacing w:before="240" w:after="240" w:line="240" w:lineRule="auto"/>
              <w:jc w:val="both"/>
              <w:rPr>
                <w:rFonts w:ascii="Times New Roman" w:eastAsia="Times New Roman" w:hAnsi="Times New Roman"/>
                <w:lang w:eastAsia="pl-PL"/>
              </w:rPr>
            </w:pPr>
            <w:r w:rsidRPr="00E55CB1">
              <w:rPr>
                <w:rFonts w:ascii="Times New Roman" w:hAnsi="Times New Roman"/>
              </w:rPr>
              <w:t>Dodatkowo, ze względu na konieczność transpozycji Dyrektywy 2024/299</w:t>
            </w:r>
            <w:r w:rsidR="008B0880">
              <w:rPr>
                <w:rFonts w:ascii="Times New Roman" w:hAnsi="Times New Roman"/>
              </w:rPr>
              <w:t xml:space="preserve"> z</w:t>
            </w:r>
            <w:r w:rsidRPr="00E55CB1">
              <w:rPr>
                <w:rFonts w:ascii="Times New Roman" w:hAnsi="Times New Roman"/>
              </w:rPr>
              <w:t>aproponowano zmiany w</w:t>
            </w:r>
            <w:r w:rsidRPr="008B0880">
              <w:rPr>
                <w:rFonts w:ascii="Times New Roman" w:eastAsia="Times New Roman" w:hAnsi="Times New Roman"/>
                <w:lang w:eastAsia="pl-PL"/>
              </w:rPr>
              <w:t xml:space="preserve"> załączniku 2 części 2 – prognozy emisji USZE.</w:t>
            </w:r>
            <w:r w:rsidRPr="00E55CB1">
              <w:rPr>
                <w:rFonts w:ascii="Times New Roman" w:hAnsi="Times New Roman"/>
              </w:rPr>
              <w:t xml:space="preserve"> Dotychczasowy obowiązek przekazywania prognozowanych emisji według zagregowanych kategorii NFR zastępuje się obowiązkiem przekazywania prognozowanych emisje w podziale na kategorie źródeł według NFR. Dodatkowo w zał</w:t>
            </w:r>
            <w:r w:rsidR="008B0880">
              <w:rPr>
                <w:rFonts w:ascii="Times New Roman" w:hAnsi="Times New Roman"/>
              </w:rPr>
              <w:t>ączniku</w:t>
            </w:r>
            <w:r w:rsidRPr="00E55CB1">
              <w:rPr>
                <w:rFonts w:ascii="Times New Roman" w:hAnsi="Times New Roman"/>
              </w:rPr>
              <w:t xml:space="preserve"> 2 część 2 ust. 2 dodaje się zastrzeżenie, że w przypadku, gdy nie jest możliwe oszacowanie prognoz emisji w podziale na kategorie źródeł ze względu na brak wystarczająco szczegółowych danych, wówczas uzasadnienie dla bardziej zagregowanego poziomu sprawozdawczości należy zamieścić w raporcie metodycznym IIR.</w:t>
            </w:r>
            <w:r w:rsidRPr="008B0880">
              <w:rPr>
                <w:rFonts w:ascii="Times New Roman" w:eastAsia="Times New Roman" w:hAnsi="Times New Roman"/>
                <w:lang w:eastAsia="pl-PL"/>
              </w:rPr>
              <w:t xml:space="preserve"> </w:t>
            </w:r>
            <w:r w:rsidRPr="00E55CB1">
              <w:rPr>
                <w:rFonts w:ascii="Times New Roman" w:hAnsi="Times New Roman"/>
              </w:rPr>
              <w:t xml:space="preserve">Zmiana transponuje postanowienia Dyrektywy 2024/299, która z kolei wprowadza do prawa UE dostosowanie wymagań w zakresie prognoz emisji do zmienionych w grudniu 2022 r. wytycznych konwencji LRTAP w tym zakresie. Obecnie, zgodnie z wytycznymi </w:t>
            </w:r>
            <w:r w:rsidR="006E2955">
              <w:rPr>
                <w:rFonts w:ascii="Times New Roman" w:hAnsi="Times New Roman"/>
              </w:rPr>
              <w:t xml:space="preserve">konwencji </w:t>
            </w:r>
            <w:r w:rsidRPr="00E55CB1">
              <w:rPr>
                <w:rFonts w:ascii="Times New Roman" w:hAnsi="Times New Roman"/>
              </w:rPr>
              <w:t xml:space="preserve">LRTAP, prognozy emisji należy zgłaszać, podobnie jak bilanse emisji, w podziale na poszczególne kategorie źródeł wg nomenklatury dla sprawozdawczości (NFR), a nie jak wcześniej, według kategorii zagregowanych. </w:t>
            </w:r>
          </w:p>
          <w:p w14:paraId="053AF758" w14:textId="171F1A19" w:rsidR="00E6172E" w:rsidRDefault="00C41B30" w:rsidP="00145F5E">
            <w:pPr>
              <w:spacing w:before="120" w:after="120" w:line="240" w:lineRule="auto"/>
              <w:jc w:val="both"/>
              <w:rPr>
                <w:rFonts w:ascii="Times New Roman" w:hAnsi="Times New Roman"/>
                <w:b/>
                <w:bCs/>
                <w:color w:val="000000"/>
              </w:rPr>
            </w:pPr>
            <w:r>
              <w:rPr>
                <w:rFonts w:ascii="Times New Roman" w:hAnsi="Times New Roman"/>
              </w:rPr>
              <w:t>Przepisy przejściowe w zakresie</w:t>
            </w:r>
            <w:r w:rsidR="005D1A71">
              <w:rPr>
                <w:rFonts w:ascii="Times New Roman" w:hAnsi="Times New Roman"/>
              </w:rPr>
              <w:t xml:space="preserve"> </w:t>
            </w:r>
            <w:r w:rsidR="00E6172E" w:rsidRPr="00145F5E">
              <w:rPr>
                <w:rFonts w:ascii="Times New Roman" w:hAnsi="Times New Roman"/>
              </w:rPr>
              <w:t>sporządzeni</w:t>
            </w:r>
            <w:r w:rsidRPr="00145F5E">
              <w:rPr>
                <w:rFonts w:ascii="Times New Roman" w:hAnsi="Times New Roman"/>
              </w:rPr>
              <w:t>a</w:t>
            </w:r>
            <w:r w:rsidR="00E6172E" w:rsidRPr="00145F5E">
              <w:rPr>
                <w:rFonts w:ascii="Times New Roman" w:hAnsi="Times New Roman"/>
              </w:rPr>
              <w:t xml:space="preserve"> pierwszych prognoz zmian aktywności według nowych terminów – do dnia 30 czerwca 2026 r. Od tego terminu będą liczone nowe 4-letnie terminy na sporządzanie kolejnych prognoz. Na potrzeby prognoz zmian aktywności, które mają być sporządzone do dnia 30 czerwca 2026 r. właściwi ministrowie przekażą potrzebne informacje i dane do dnia 31 grudnia 2025 r. </w:t>
            </w:r>
          </w:p>
          <w:p w14:paraId="422F9E98" w14:textId="77777777" w:rsidR="00E6172E" w:rsidRPr="00E55CB1" w:rsidRDefault="00E6172E" w:rsidP="00E55CB1">
            <w:pPr>
              <w:pStyle w:val="Akapitzlist"/>
              <w:numPr>
                <w:ilvl w:val="0"/>
                <w:numId w:val="3"/>
              </w:numPr>
              <w:spacing w:line="240" w:lineRule="auto"/>
              <w:jc w:val="both"/>
              <w:rPr>
                <w:rFonts w:ascii="Times New Roman" w:hAnsi="Times New Roman"/>
                <w:color w:val="000000"/>
                <w:u w:val="single"/>
              </w:rPr>
            </w:pPr>
            <w:r w:rsidRPr="00E55CB1">
              <w:rPr>
                <w:rFonts w:ascii="Times New Roman" w:hAnsi="Times New Roman"/>
                <w:b/>
                <w:bCs/>
                <w:color w:val="000000"/>
                <w:u w:val="single"/>
              </w:rPr>
              <w:t xml:space="preserve">Zmiana przepisów ustawy </w:t>
            </w:r>
            <w:r w:rsidRPr="00E55CB1">
              <w:rPr>
                <w:rFonts w:ascii="Times New Roman" w:hAnsi="Times New Roman"/>
                <w:b/>
                <w:bCs/>
                <w:i/>
                <w:iCs/>
                <w:color w:val="000000"/>
                <w:u w:val="single"/>
              </w:rPr>
              <w:t>o systemie monitorowania i kontrolowania jakości paliw</w:t>
            </w:r>
            <w:r w:rsidRPr="00E55CB1">
              <w:rPr>
                <w:rFonts w:ascii="Times New Roman" w:hAnsi="Times New Roman"/>
                <w:b/>
                <w:bCs/>
                <w:color w:val="000000"/>
                <w:u w:val="single"/>
              </w:rPr>
              <w:t xml:space="preserve"> </w:t>
            </w:r>
          </w:p>
          <w:p w14:paraId="37E40CD4" w14:textId="3EC0346E" w:rsidR="00AD7FA8" w:rsidRPr="00AD7FA8" w:rsidRDefault="00AD7FA8" w:rsidP="0091616F">
            <w:pPr>
              <w:pStyle w:val="pf0"/>
              <w:spacing w:before="0" w:beforeAutospacing="0" w:after="120" w:afterAutospacing="0"/>
              <w:jc w:val="both"/>
              <w:rPr>
                <w:i/>
                <w:sz w:val="22"/>
                <w:szCs w:val="22"/>
              </w:rPr>
            </w:pPr>
            <w:r w:rsidRPr="00AD7FA8">
              <w:rPr>
                <w:rStyle w:val="cf01"/>
                <w:rFonts w:ascii="Times New Roman" w:hAnsi="Times New Roman" w:cs="Times New Roman"/>
                <w:i w:val="0"/>
                <w:sz w:val="22"/>
                <w:szCs w:val="22"/>
              </w:rPr>
              <w:t>W ramach rekomendacji z przeprowadzonego przeglądu wymagań jakościowych dla paliw stałych, o którym mowa w</w:t>
            </w:r>
            <w:r w:rsidR="00BC7132">
              <w:rPr>
                <w:rStyle w:val="cf01"/>
                <w:rFonts w:ascii="Times New Roman" w:hAnsi="Times New Roman" w:cs="Times New Roman"/>
                <w:i w:val="0"/>
                <w:sz w:val="22"/>
                <w:szCs w:val="22"/>
              </w:rPr>
              <w:t> </w:t>
            </w:r>
            <w:r w:rsidRPr="00AD7FA8">
              <w:rPr>
                <w:rStyle w:val="cf01"/>
                <w:rFonts w:ascii="Times New Roman" w:hAnsi="Times New Roman" w:cs="Times New Roman"/>
                <w:i w:val="0"/>
                <w:sz w:val="22"/>
                <w:szCs w:val="22"/>
              </w:rPr>
              <w:t>art.</w:t>
            </w:r>
            <w:r w:rsidR="00BC7132">
              <w:rPr>
                <w:rStyle w:val="cf01"/>
                <w:rFonts w:ascii="Times New Roman" w:hAnsi="Times New Roman" w:cs="Times New Roman"/>
                <w:i w:val="0"/>
                <w:sz w:val="22"/>
                <w:szCs w:val="22"/>
              </w:rPr>
              <w:t> </w:t>
            </w:r>
            <w:r w:rsidRPr="00AD7FA8">
              <w:rPr>
                <w:rStyle w:val="cf01"/>
                <w:rFonts w:ascii="Times New Roman" w:hAnsi="Times New Roman" w:cs="Times New Roman"/>
                <w:i w:val="0"/>
                <w:sz w:val="22"/>
                <w:szCs w:val="22"/>
              </w:rPr>
              <w:t xml:space="preserve">3a ust. 2a ustawy z dnia 25 sierpnia 2006 r. </w:t>
            </w:r>
            <w:r w:rsidRPr="00240634">
              <w:rPr>
                <w:rStyle w:val="cf01"/>
                <w:rFonts w:ascii="Times New Roman" w:hAnsi="Times New Roman" w:cs="Times New Roman"/>
                <w:iCs w:val="0"/>
                <w:sz w:val="22"/>
                <w:szCs w:val="22"/>
              </w:rPr>
              <w:t>o systemie monitorowania i kontrolowania jakości paliw</w:t>
            </w:r>
            <w:r w:rsidR="00823545" w:rsidRPr="00EA006D">
              <w:rPr>
                <w:rStyle w:val="cf01"/>
                <w:rFonts w:ascii="Times New Roman" w:hAnsi="Times New Roman"/>
                <w:sz w:val="22"/>
              </w:rPr>
              <w:t>,</w:t>
            </w:r>
            <w:r w:rsidRPr="00AD7FA8">
              <w:rPr>
                <w:rStyle w:val="cf01"/>
                <w:rFonts w:ascii="Times New Roman" w:hAnsi="Times New Roman" w:cs="Times New Roman"/>
                <w:i w:val="0"/>
                <w:sz w:val="22"/>
                <w:szCs w:val="22"/>
              </w:rPr>
              <w:t xml:space="preserve"> Minister Klimatu i Środowiska ze względu na potrzebę poprawy jakości powietrza, w tym ograniczenia emisji do powietrza gazów cieplarnianych i innych substancji, wskazał na potrzebę ustanowienia wymagań jakościowych dla paliw </w:t>
            </w:r>
            <w:proofErr w:type="spellStart"/>
            <w:r w:rsidRPr="00AD7FA8">
              <w:rPr>
                <w:rStyle w:val="cf01"/>
                <w:rFonts w:ascii="Times New Roman" w:hAnsi="Times New Roman" w:cs="Times New Roman"/>
                <w:i w:val="0"/>
                <w:sz w:val="22"/>
                <w:szCs w:val="22"/>
              </w:rPr>
              <w:t>biomasowych</w:t>
            </w:r>
            <w:proofErr w:type="spellEnd"/>
            <w:r w:rsidRPr="00AD7FA8">
              <w:rPr>
                <w:rStyle w:val="cf01"/>
                <w:rFonts w:ascii="Times New Roman" w:hAnsi="Times New Roman" w:cs="Times New Roman"/>
                <w:i w:val="0"/>
                <w:sz w:val="22"/>
                <w:szCs w:val="22"/>
              </w:rPr>
              <w:t xml:space="preserve"> wprowadzanych do obrotu</w:t>
            </w:r>
            <w:r>
              <w:rPr>
                <w:rStyle w:val="cf01"/>
                <w:rFonts w:ascii="Times New Roman" w:hAnsi="Times New Roman" w:cs="Times New Roman"/>
                <w:i w:val="0"/>
                <w:sz w:val="22"/>
                <w:szCs w:val="22"/>
              </w:rPr>
              <w:t xml:space="preserve"> </w:t>
            </w:r>
            <w:r w:rsidRPr="00AD7FA8">
              <w:rPr>
                <w:rStyle w:val="cf01"/>
                <w:rFonts w:ascii="Times New Roman" w:hAnsi="Times New Roman" w:cs="Times New Roman"/>
                <w:i w:val="0"/>
                <w:sz w:val="22"/>
                <w:szCs w:val="22"/>
              </w:rPr>
              <w:t>z przeznaczeniem do użycia w sektorze bytowo-komunalnym. W celu wyko</w:t>
            </w:r>
            <w:r w:rsidRPr="00AD7FA8">
              <w:rPr>
                <w:rStyle w:val="cf01"/>
                <w:rFonts w:ascii="Times New Roman" w:hAnsi="Times New Roman" w:cs="Times New Roman"/>
                <w:i w:val="0"/>
                <w:iCs w:val="0"/>
                <w:sz w:val="22"/>
                <w:szCs w:val="22"/>
              </w:rPr>
              <w:t>n</w:t>
            </w:r>
            <w:r w:rsidRPr="00AD7FA8">
              <w:rPr>
                <w:rStyle w:val="cf01"/>
                <w:rFonts w:ascii="Times New Roman" w:hAnsi="Times New Roman" w:cs="Times New Roman"/>
                <w:i w:val="0"/>
                <w:sz w:val="22"/>
                <w:szCs w:val="22"/>
              </w:rPr>
              <w:t xml:space="preserve">ania tej rekomendacji zaproponowano wprowadzenie nowych regulacji do ustawy </w:t>
            </w:r>
            <w:r w:rsidRPr="00240634">
              <w:rPr>
                <w:rStyle w:val="cf01"/>
                <w:rFonts w:ascii="Times New Roman" w:hAnsi="Times New Roman" w:cs="Times New Roman"/>
                <w:iCs w:val="0"/>
                <w:sz w:val="22"/>
                <w:szCs w:val="22"/>
              </w:rPr>
              <w:t>o systemie monitorowania i kontrolowania jakości paliw</w:t>
            </w:r>
            <w:r w:rsidRPr="00AD7FA8">
              <w:rPr>
                <w:rStyle w:val="cf01"/>
                <w:rFonts w:ascii="Times New Roman" w:hAnsi="Times New Roman" w:cs="Times New Roman"/>
                <w:i w:val="0"/>
                <w:sz w:val="22"/>
                <w:szCs w:val="22"/>
              </w:rPr>
              <w:t>.</w:t>
            </w:r>
          </w:p>
          <w:p w14:paraId="09ED8467" w14:textId="61E63BDA" w:rsidR="009269EE" w:rsidRDefault="00E6172E" w:rsidP="009E2612">
            <w:pPr>
              <w:spacing w:line="240" w:lineRule="auto"/>
              <w:jc w:val="both"/>
              <w:rPr>
                <w:rFonts w:ascii="Times New Roman" w:hAnsi="Times New Roman"/>
                <w:color w:val="000000"/>
              </w:rPr>
            </w:pPr>
            <w:bookmarkStart w:id="38" w:name="_Hlk157680247"/>
            <w:r>
              <w:rPr>
                <w:rFonts w:ascii="Times New Roman" w:hAnsi="Times New Roman"/>
                <w:color w:val="000000"/>
              </w:rPr>
              <w:t>Zmiana przepisów u</w:t>
            </w:r>
            <w:r w:rsidRPr="00C07F20">
              <w:rPr>
                <w:rFonts w:ascii="Times New Roman" w:hAnsi="Times New Roman"/>
                <w:color w:val="000000"/>
              </w:rPr>
              <w:t>możliwi wprowadzenie</w:t>
            </w:r>
            <w:r w:rsidR="00C54320">
              <w:rPr>
                <w:rFonts w:ascii="Times New Roman" w:hAnsi="Times New Roman"/>
                <w:color w:val="000000"/>
              </w:rPr>
              <w:t>,</w:t>
            </w:r>
            <w:r w:rsidR="001F20C7">
              <w:rPr>
                <w:rFonts w:ascii="Times New Roman" w:hAnsi="Times New Roman"/>
                <w:color w:val="000000"/>
              </w:rPr>
              <w:t xml:space="preserve"> w drodze rozporządze</w:t>
            </w:r>
            <w:r w:rsidR="0078411E">
              <w:rPr>
                <w:rFonts w:ascii="Times New Roman" w:hAnsi="Times New Roman"/>
                <w:color w:val="000000"/>
              </w:rPr>
              <w:t>ń</w:t>
            </w:r>
            <w:r w:rsidR="00C54320">
              <w:rPr>
                <w:rFonts w:ascii="Times New Roman" w:hAnsi="Times New Roman"/>
                <w:color w:val="000000"/>
              </w:rPr>
              <w:t>,</w:t>
            </w:r>
            <w:r w:rsidRPr="00C07F20">
              <w:rPr>
                <w:rFonts w:ascii="Times New Roman" w:hAnsi="Times New Roman"/>
                <w:color w:val="000000"/>
              </w:rPr>
              <w:t xml:space="preserve"> wymagań jakościowy</w:t>
            </w:r>
            <w:r w:rsidR="001F20C7">
              <w:rPr>
                <w:rFonts w:ascii="Times New Roman" w:hAnsi="Times New Roman"/>
                <w:color w:val="000000"/>
              </w:rPr>
              <w:t>ch</w:t>
            </w:r>
            <w:r w:rsidRPr="00C07F20">
              <w:rPr>
                <w:rFonts w:ascii="Times New Roman" w:hAnsi="Times New Roman"/>
                <w:color w:val="000000"/>
              </w:rPr>
              <w:t xml:space="preserve"> dla paliw stałych </w:t>
            </w:r>
            <w:proofErr w:type="spellStart"/>
            <w:r w:rsidRPr="00C07F20">
              <w:rPr>
                <w:rFonts w:ascii="Times New Roman" w:hAnsi="Times New Roman"/>
                <w:color w:val="000000"/>
              </w:rPr>
              <w:t>biomasowych</w:t>
            </w:r>
            <w:proofErr w:type="spellEnd"/>
            <w:r w:rsidR="009269EE">
              <w:rPr>
                <w:rFonts w:ascii="Times New Roman" w:hAnsi="Times New Roman"/>
                <w:color w:val="000000"/>
              </w:rPr>
              <w:t xml:space="preserve"> </w:t>
            </w:r>
            <w:r w:rsidR="009269EE" w:rsidRPr="00C07F20">
              <w:rPr>
                <w:rFonts w:ascii="Times New Roman" w:hAnsi="Times New Roman"/>
                <w:color w:val="000000"/>
              </w:rPr>
              <w:t>wprowadzanych do obrotu z przeznaczanie do użycia w sektorze bytowo-komunalnym</w:t>
            </w:r>
            <w:r w:rsidR="009269EE">
              <w:rPr>
                <w:rFonts w:ascii="Times New Roman" w:hAnsi="Times New Roman"/>
                <w:color w:val="000000"/>
              </w:rPr>
              <w:t xml:space="preserve">, </w:t>
            </w:r>
            <w:r w:rsidR="009269EE" w:rsidRPr="00C07F20">
              <w:rPr>
                <w:rFonts w:ascii="Times New Roman" w:hAnsi="Times New Roman"/>
                <w:color w:val="000000"/>
              </w:rPr>
              <w:t>w tym określenie parametrów jakościowych dla tychże paliw</w:t>
            </w:r>
            <w:r w:rsidR="009269EE">
              <w:rPr>
                <w:rFonts w:ascii="Times New Roman" w:hAnsi="Times New Roman"/>
                <w:color w:val="000000"/>
              </w:rPr>
              <w:t>:</w:t>
            </w:r>
          </w:p>
          <w:p w14:paraId="42CCF22A" w14:textId="38392E9B" w:rsidR="00E6172E" w:rsidRDefault="009269EE" w:rsidP="009E2612">
            <w:pPr>
              <w:spacing w:line="240" w:lineRule="auto"/>
              <w:jc w:val="both"/>
              <w:rPr>
                <w:rFonts w:ascii="Times New Roman" w:hAnsi="Times New Roman"/>
                <w:color w:val="000000"/>
              </w:rPr>
            </w:pPr>
            <w:r>
              <w:rPr>
                <w:rFonts w:ascii="Times New Roman" w:hAnsi="Times New Roman"/>
                <w:color w:val="000000"/>
              </w:rPr>
              <w:t>1)</w:t>
            </w:r>
            <w:r w:rsidR="00E6172E" w:rsidRPr="00C07F20">
              <w:rPr>
                <w:rFonts w:ascii="Times New Roman" w:hAnsi="Times New Roman"/>
                <w:color w:val="000000"/>
              </w:rPr>
              <w:t xml:space="preserve"> </w:t>
            </w:r>
            <w:r w:rsidR="00E6172E" w:rsidRPr="00C07F20">
              <w:rPr>
                <w:rFonts w:ascii="Times New Roman" w:hAnsi="Times New Roman"/>
              </w:rPr>
              <w:t xml:space="preserve">biomasy pozyskanej z drzew i krzewów </w:t>
            </w:r>
            <w:r w:rsidR="0078411E">
              <w:rPr>
                <w:rFonts w:ascii="Times New Roman" w:hAnsi="Times New Roman"/>
              </w:rPr>
              <w:t>w postaci</w:t>
            </w:r>
            <w:r w:rsidR="00E6172E" w:rsidRPr="00C07F20">
              <w:rPr>
                <w:rFonts w:ascii="Times New Roman" w:hAnsi="Times New Roman"/>
              </w:rPr>
              <w:t xml:space="preserve"> </w:t>
            </w:r>
            <w:proofErr w:type="spellStart"/>
            <w:r w:rsidR="00E6172E" w:rsidRPr="00C07F20">
              <w:rPr>
                <w:rFonts w:ascii="Times New Roman" w:hAnsi="Times New Roman"/>
              </w:rPr>
              <w:t>peletu</w:t>
            </w:r>
            <w:proofErr w:type="spellEnd"/>
            <w:r>
              <w:rPr>
                <w:rFonts w:ascii="Times New Roman" w:hAnsi="Times New Roman"/>
              </w:rPr>
              <w:t xml:space="preserve"> lub brykietu</w:t>
            </w:r>
            <w:r w:rsidR="00E6172E" w:rsidRPr="00C07F20">
              <w:rPr>
                <w:rFonts w:ascii="Times New Roman" w:hAnsi="Times New Roman"/>
              </w:rPr>
              <w:t>,</w:t>
            </w:r>
            <w:r w:rsidR="00E6172E" w:rsidRPr="00C07F20">
              <w:rPr>
                <w:rFonts w:ascii="Times New Roman" w:hAnsi="Times New Roman"/>
                <w:color w:val="000000"/>
              </w:rPr>
              <w:t xml:space="preserve"> </w:t>
            </w:r>
            <w:bookmarkEnd w:id="38"/>
            <w:r w:rsidR="00E6172E" w:rsidRPr="00C07F20">
              <w:rPr>
                <w:rFonts w:ascii="Times New Roman" w:hAnsi="Times New Roman"/>
                <w:color w:val="000000"/>
              </w:rPr>
              <w:t xml:space="preserve"> </w:t>
            </w:r>
          </w:p>
          <w:p w14:paraId="3C6FF5AE" w14:textId="09BCCC0F" w:rsidR="009269EE" w:rsidRDefault="009269EE" w:rsidP="00145F5E">
            <w:pPr>
              <w:spacing w:line="240" w:lineRule="auto"/>
              <w:jc w:val="both"/>
              <w:rPr>
                <w:rFonts w:ascii="Times New Roman" w:hAnsi="Times New Roman"/>
              </w:rPr>
            </w:pPr>
            <w:r>
              <w:rPr>
                <w:rFonts w:ascii="Times New Roman" w:hAnsi="Times New Roman"/>
              </w:rPr>
              <w:t xml:space="preserve">2) </w:t>
            </w:r>
            <w:r w:rsidRPr="009269EE">
              <w:rPr>
                <w:rFonts w:ascii="Times New Roman" w:hAnsi="Times New Roman"/>
              </w:rPr>
              <w:t xml:space="preserve">biomasy roślinnej z rolnictwa w postaci brykietu lub </w:t>
            </w:r>
            <w:proofErr w:type="spellStart"/>
            <w:r w:rsidRPr="009269EE">
              <w:rPr>
                <w:rFonts w:ascii="Times New Roman" w:hAnsi="Times New Roman"/>
              </w:rPr>
              <w:t>peletu</w:t>
            </w:r>
            <w:proofErr w:type="spellEnd"/>
            <w:r w:rsidR="0078411E">
              <w:rPr>
                <w:rFonts w:ascii="Times New Roman" w:hAnsi="Times New Roman"/>
              </w:rPr>
              <w:t>,</w:t>
            </w:r>
          </w:p>
          <w:p w14:paraId="3EE151C8" w14:textId="44BDA15C" w:rsidR="00CD194B" w:rsidRPr="00145F5E" w:rsidRDefault="009269EE" w:rsidP="00145F5E">
            <w:pPr>
              <w:spacing w:after="120" w:line="240" w:lineRule="auto"/>
              <w:jc w:val="both"/>
              <w:rPr>
                <w:rFonts w:ascii="Times New Roman" w:hAnsi="Times New Roman"/>
              </w:rPr>
            </w:pPr>
            <w:r>
              <w:rPr>
                <w:rFonts w:ascii="Times New Roman" w:hAnsi="Times New Roman"/>
              </w:rPr>
              <w:t xml:space="preserve">3) </w:t>
            </w:r>
            <w:r w:rsidRPr="009269EE">
              <w:rPr>
                <w:rFonts w:ascii="Times New Roman" w:hAnsi="Times New Roman"/>
              </w:rPr>
              <w:t xml:space="preserve">biomasy pozyskanej z drzew i krzewów w postaci zrębki drzewnej lub drewna kawałkowego. </w:t>
            </w:r>
          </w:p>
          <w:p w14:paraId="16763682" w14:textId="3D403182" w:rsidR="00E304AE" w:rsidRPr="00E55CB1" w:rsidRDefault="00E304AE" w:rsidP="00E55CB1">
            <w:pPr>
              <w:pStyle w:val="Akapitzlist"/>
              <w:numPr>
                <w:ilvl w:val="0"/>
                <w:numId w:val="3"/>
              </w:numPr>
              <w:spacing w:after="240" w:line="240" w:lineRule="auto"/>
              <w:jc w:val="both"/>
              <w:rPr>
                <w:rFonts w:ascii="Times New Roman" w:hAnsi="Times New Roman"/>
                <w:b/>
                <w:bCs/>
                <w:color w:val="000000"/>
                <w:u w:val="single"/>
              </w:rPr>
            </w:pPr>
            <w:r w:rsidRPr="00E55CB1">
              <w:rPr>
                <w:rFonts w:ascii="Times New Roman" w:hAnsi="Times New Roman"/>
                <w:b/>
                <w:bCs/>
                <w:color w:val="000000"/>
                <w:u w:val="single"/>
              </w:rPr>
              <w:t xml:space="preserve">Usprawnienie wdrażania programów i projektów z zakresu ochrony środowiska wdrażanych przez powiaty, gminy oraz NFOŚiGW i </w:t>
            </w:r>
            <w:proofErr w:type="spellStart"/>
            <w:r w:rsidRPr="00E55CB1">
              <w:rPr>
                <w:rFonts w:ascii="Times New Roman" w:hAnsi="Times New Roman"/>
                <w:b/>
                <w:bCs/>
                <w:color w:val="000000"/>
                <w:u w:val="single"/>
              </w:rPr>
              <w:t>wfośigw</w:t>
            </w:r>
            <w:proofErr w:type="spellEnd"/>
          </w:p>
          <w:p w14:paraId="7299A1AF" w14:textId="6BBC6B42" w:rsidR="00E304AE" w:rsidRPr="0091616F" w:rsidRDefault="00E304AE" w:rsidP="00BC7132">
            <w:pPr>
              <w:pStyle w:val="Akapitzlist"/>
              <w:numPr>
                <w:ilvl w:val="0"/>
                <w:numId w:val="19"/>
              </w:numPr>
              <w:spacing w:before="120" w:after="120" w:line="240" w:lineRule="auto"/>
              <w:ind w:left="344" w:hanging="284"/>
              <w:jc w:val="both"/>
              <w:rPr>
                <w:rFonts w:ascii="Times New Roman" w:hAnsi="Times New Roman"/>
                <w:color w:val="000000"/>
              </w:rPr>
            </w:pPr>
            <w:r w:rsidRPr="00965455">
              <w:rPr>
                <w:rFonts w:ascii="Times New Roman" w:hAnsi="Times New Roman"/>
                <w:color w:val="000000"/>
              </w:rPr>
              <w:t>uelastycznienie obowiązujących regulacji stanowiących ustawowe upoważnienie dla rady powiatu oraz rady gminy w</w:t>
            </w:r>
            <w:r w:rsidR="00774F09">
              <w:rPr>
                <w:rFonts w:ascii="Times New Roman" w:hAnsi="Times New Roman"/>
                <w:color w:val="000000"/>
              </w:rPr>
              <w:t> </w:t>
            </w:r>
            <w:r w:rsidRPr="00965455">
              <w:rPr>
                <w:rFonts w:ascii="Times New Roman" w:hAnsi="Times New Roman"/>
                <w:color w:val="000000"/>
              </w:rPr>
              <w:t>zakresie określania zasad udzielenia dotacji celowej oraz sposobu jej rozliczania w ramach finansowania ochrony środowiska z budżetów tych powiatów oraz gmin</w:t>
            </w:r>
            <w:r w:rsidR="007F5A92">
              <w:rPr>
                <w:rFonts w:ascii="Times New Roman" w:hAnsi="Times New Roman"/>
                <w:color w:val="000000"/>
              </w:rPr>
              <w:t>.</w:t>
            </w:r>
          </w:p>
          <w:p w14:paraId="72350363" w14:textId="1FBA101B" w:rsidR="00E304AE" w:rsidRPr="00E304AE" w:rsidRDefault="000F626D" w:rsidP="00E55CB1">
            <w:pPr>
              <w:spacing w:line="240" w:lineRule="auto"/>
              <w:jc w:val="both"/>
              <w:rPr>
                <w:rFonts w:ascii="Times New Roman" w:hAnsi="Times New Roman"/>
                <w:color w:val="000000"/>
              </w:rPr>
            </w:pPr>
            <w:r>
              <w:rPr>
                <w:rFonts w:ascii="Times New Roman" w:hAnsi="Times New Roman"/>
                <w:color w:val="000000"/>
              </w:rPr>
              <w:t>R</w:t>
            </w:r>
            <w:r w:rsidR="00E304AE" w:rsidRPr="00E304AE">
              <w:rPr>
                <w:rFonts w:ascii="Times New Roman" w:hAnsi="Times New Roman"/>
                <w:color w:val="000000"/>
              </w:rPr>
              <w:t>ozszerzenie uprawnień organu stanowiącego</w:t>
            </w:r>
            <w:r w:rsidR="005115D8">
              <w:rPr>
                <w:rFonts w:ascii="Times New Roman" w:hAnsi="Times New Roman"/>
                <w:color w:val="000000"/>
              </w:rPr>
              <w:t>,</w:t>
            </w:r>
            <w:r w:rsidR="00E304AE" w:rsidRPr="00E304AE">
              <w:rPr>
                <w:rFonts w:ascii="Times New Roman" w:hAnsi="Times New Roman"/>
                <w:color w:val="000000"/>
              </w:rPr>
              <w:t xml:space="preserve"> odpowiednio</w:t>
            </w:r>
            <w:r w:rsidR="005115D8">
              <w:rPr>
                <w:rFonts w:ascii="Times New Roman" w:hAnsi="Times New Roman"/>
                <w:color w:val="000000"/>
              </w:rPr>
              <w:t>,</w:t>
            </w:r>
            <w:r w:rsidR="00E304AE" w:rsidRPr="00E304AE">
              <w:rPr>
                <w:rFonts w:ascii="Times New Roman" w:hAnsi="Times New Roman"/>
                <w:color w:val="000000"/>
              </w:rPr>
              <w:t xml:space="preserve"> powiatu lub gminy w zakresie określania zasad udzielenia dotacji celowej, o której mowa w art. 403 ust. 4 </w:t>
            </w:r>
            <w:proofErr w:type="spellStart"/>
            <w:r w:rsidR="00E304AE" w:rsidRPr="00E304AE">
              <w:rPr>
                <w:rFonts w:ascii="Times New Roman" w:hAnsi="Times New Roman"/>
                <w:color w:val="000000"/>
              </w:rPr>
              <w:t>uPoś</w:t>
            </w:r>
            <w:proofErr w:type="spellEnd"/>
            <w:r w:rsidR="00E304AE" w:rsidRPr="00E304AE">
              <w:rPr>
                <w:rFonts w:ascii="Times New Roman" w:hAnsi="Times New Roman"/>
                <w:color w:val="000000"/>
              </w:rPr>
              <w:t>, oraz sposobu jej rozliczania w ramach finansowania ochrony środowiska z budżetów tych powiatów oraz gmin</w:t>
            </w:r>
            <w:r>
              <w:rPr>
                <w:rFonts w:ascii="Times New Roman" w:hAnsi="Times New Roman"/>
                <w:color w:val="000000"/>
              </w:rPr>
              <w:t xml:space="preserve"> pozwoli na </w:t>
            </w:r>
            <w:r w:rsidR="00E304AE" w:rsidRPr="00E304AE">
              <w:rPr>
                <w:rFonts w:ascii="Times New Roman" w:hAnsi="Times New Roman"/>
                <w:color w:val="000000"/>
              </w:rPr>
              <w:t>dodanie w uchwale organu stanowiącego powiat lub gmin</w:t>
            </w:r>
            <w:r>
              <w:rPr>
                <w:rFonts w:ascii="Times New Roman" w:hAnsi="Times New Roman"/>
                <w:color w:val="000000"/>
              </w:rPr>
              <w:t>ę</w:t>
            </w:r>
            <w:r w:rsidR="00E304AE" w:rsidRPr="00E304AE">
              <w:rPr>
                <w:rFonts w:ascii="Times New Roman" w:hAnsi="Times New Roman"/>
                <w:color w:val="000000"/>
              </w:rPr>
              <w:t xml:space="preserve"> w przedmiocie zasad udzielenia dotacji celowej dodatkowego kryterium dotyczącego określonej cechy, jaką musi posiadać </w:t>
            </w:r>
            <w:r w:rsidR="00E304AE" w:rsidRPr="00E304AE">
              <w:rPr>
                <w:rFonts w:ascii="Times New Roman" w:hAnsi="Times New Roman"/>
                <w:color w:val="000000"/>
              </w:rPr>
              <w:lastRenderedPageBreak/>
              <w:t xml:space="preserve">potencjalny beneficjent dotacji celowej, np. </w:t>
            </w:r>
            <w:r w:rsidR="00D96F2E">
              <w:rPr>
                <w:rFonts w:ascii="Times New Roman" w:hAnsi="Times New Roman"/>
                <w:color w:val="000000"/>
              </w:rPr>
              <w:t>o</w:t>
            </w:r>
            <w:r w:rsidR="00D96F2E" w:rsidRPr="00E304AE">
              <w:rPr>
                <w:rFonts w:ascii="Times New Roman" w:hAnsi="Times New Roman"/>
                <w:color w:val="000000"/>
              </w:rPr>
              <w:t xml:space="preserve">dnośnie </w:t>
            </w:r>
            <w:r w:rsidR="00E304AE" w:rsidRPr="00E304AE">
              <w:rPr>
                <w:rFonts w:ascii="Times New Roman" w:hAnsi="Times New Roman"/>
                <w:color w:val="000000"/>
              </w:rPr>
              <w:t>do tytułu prawnego do nieruchomości objętej przedsięwzięciem lub określonego poziomu dochodu.</w:t>
            </w:r>
          </w:p>
          <w:p w14:paraId="1DD969B0" w14:textId="737CD1B3" w:rsidR="00E304AE" w:rsidRPr="00E304AE" w:rsidRDefault="00E304AE" w:rsidP="0091616F">
            <w:pPr>
              <w:spacing w:after="120" w:line="240" w:lineRule="auto"/>
              <w:jc w:val="both"/>
              <w:rPr>
                <w:rFonts w:ascii="Times New Roman" w:hAnsi="Times New Roman"/>
                <w:color w:val="000000"/>
              </w:rPr>
            </w:pPr>
            <w:bookmarkStart w:id="39" w:name="_Hlk157680334"/>
            <w:r w:rsidRPr="00E304AE">
              <w:rPr>
                <w:rFonts w:ascii="Times New Roman" w:hAnsi="Times New Roman"/>
                <w:color w:val="000000"/>
              </w:rPr>
              <w:t xml:space="preserve">Projektowana zmiana usprawni jednocześnie wdrażanie programów priorytetowych, w których następuje udostępnienie przez NFOŚiGW środków finansowych </w:t>
            </w:r>
            <w:proofErr w:type="spellStart"/>
            <w:r w:rsidRPr="00E304AE">
              <w:rPr>
                <w:rFonts w:ascii="Times New Roman" w:hAnsi="Times New Roman"/>
                <w:color w:val="000000"/>
              </w:rPr>
              <w:t>wfośigw</w:t>
            </w:r>
            <w:proofErr w:type="spellEnd"/>
            <w:r w:rsidRPr="00E304AE">
              <w:rPr>
                <w:rFonts w:ascii="Times New Roman" w:hAnsi="Times New Roman"/>
                <w:color w:val="000000"/>
              </w:rPr>
              <w:t xml:space="preserve"> z przeznaczeniem na udzielanie dotacji na wskazane przez NFOŚiGW programy i przedsięwzięcia z zakresu zadań ochrony środowiska i gospodarki wodnej oraz potrzeb geologii</w:t>
            </w:r>
            <w:bookmarkEnd w:id="39"/>
            <w:r w:rsidRPr="00E304AE">
              <w:rPr>
                <w:rFonts w:ascii="Times New Roman" w:hAnsi="Times New Roman"/>
                <w:color w:val="000000"/>
              </w:rPr>
              <w:t xml:space="preserve">, w tym programu priorytetowego „Ciepłe Mieszkanie” skierowanego do gmin. </w:t>
            </w:r>
            <w:r w:rsidR="000F626D">
              <w:rPr>
                <w:rFonts w:ascii="Times New Roman" w:hAnsi="Times New Roman"/>
                <w:color w:val="000000"/>
              </w:rPr>
              <w:t>P</w:t>
            </w:r>
            <w:r w:rsidRPr="00E304AE">
              <w:rPr>
                <w:rFonts w:ascii="Times New Roman" w:hAnsi="Times New Roman"/>
                <w:color w:val="000000"/>
              </w:rPr>
              <w:t xml:space="preserve">roponowane zmiany ustawowe pozwolą </w:t>
            </w:r>
            <w:r w:rsidR="00525380">
              <w:rPr>
                <w:rFonts w:ascii="Times New Roman" w:hAnsi="Times New Roman"/>
                <w:color w:val="000000"/>
              </w:rPr>
              <w:t xml:space="preserve">także </w:t>
            </w:r>
            <w:r w:rsidRPr="00E304AE">
              <w:rPr>
                <w:rFonts w:ascii="Times New Roman" w:hAnsi="Times New Roman"/>
                <w:color w:val="000000"/>
              </w:rPr>
              <w:t>na zawarcie w uchwale rady gminy dodatkowych warunków wynikających z tego programu, w tym np. dotyczących zasad kontroli.</w:t>
            </w:r>
          </w:p>
          <w:p w14:paraId="38B85317" w14:textId="5B09BD0C" w:rsidR="00E304AE" w:rsidRPr="00E55CB1" w:rsidRDefault="000F626D" w:rsidP="00BC7132">
            <w:pPr>
              <w:pStyle w:val="Akapitzlist"/>
              <w:numPr>
                <w:ilvl w:val="0"/>
                <w:numId w:val="19"/>
              </w:numPr>
              <w:spacing w:line="240" w:lineRule="auto"/>
              <w:ind w:left="344" w:hanging="284"/>
              <w:jc w:val="both"/>
              <w:rPr>
                <w:rFonts w:ascii="Times New Roman" w:hAnsi="Times New Roman"/>
                <w:color w:val="000000"/>
              </w:rPr>
            </w:pPr>
            <w:r w:rsidRPr="00E55CB1">
              <w:rPr>
                <w:rFonts w:ascii="Times New Roman" w:hAnsi="Times New Roman"/>
                <w:color w:val="000000"/>
              </w:rPr>
              <w:t xml:space="preserve">wprowadzenie </w:t>
            </w:r>
            <w:r w:rsidR="00E304AE" w:rsidRPr="00E55CB1">
              <w:rPr>
                <w:rFonts w:ascii="Times New Roman" w:hAnsi="Times New Roman"/>
                <w:color w:val="000000"/>
              </w:rPr>
              <w:t>regulacj</w:t>
            </w:r>
            <w:r w:rsidRPr="00E55CB1">
              <w:rPr>
                <w:rFonts w:ascii="Times New Roman" w:hAnsi="Times New Roman"/>
                <w:color w:val="000000"/>
              </w:rPr>
              <w:t>i</w:t>
            </w:r>
            <w:r w:rsidR="00E304AE" w:rsidRPr="00E55CB1">
              <w:rPr>
                <w:rFonts w:ascii="Times New Roman" w:hAnsi="Times New Roman"/>
                <w:color w:val="000000"/>
              </w:rPr>
              <w:t xml:space="preserve"> wskazując</w:t>
            </w:r>
            <w:r w:rsidRPr="00E55CB1">
              <w:rPr>
                <w:rFonts w:ascii="Times New Roman" w:hAnsi="Times New Roman"/>
                <w:color w:val="000000"/>
              </w:rPr>
              <w:t>ej</w:t>
            </w:r>
            <w:r w:rsidR="00E304AE" w:rsidRPr="00E55CB1">
              <w:rPr>
                <w:rFonts w:ascii="Times New Roman" w:hAnsi="Times New Roman"/>
                <w:color w:val="000000"/>
              </w:rPr>
              <w:t xml:space="preserve"> na możliwość odpowiedniego stosowania przepisów art. 411 ust. 10g</w:t>
            </w:r>
            <w:r w:rsidR="00B46202" w:rsidRPr="00E55CB1">
              <w:rPr>
                <w:rFonts w:ascii="Times New Roman" w:hAnsi="Times New Roman"/>
                <w:color w:val="000000"/>
              </w:rPr>
              <w:t xml:space="preserve">−10r i </w:t>
            </w:r>
            <w:r w:rsidR="00E304AE" w:rsidRPr="00E55CB1">
              <w:rPr>
                <w:rFonts w:ascii="Times New Roman" w:hAnsi="Times New Roman"/>
                <w:color w:val="000000"/>
              </w:rPr>
              <w:t xml:space="preserve">10sa </w:t>
            </w:r>
            <w:proofErr w:type="spellStart"/>
            <w:r w:rsidR="00E304AE" w:rsidRPr="00E55CB1">
              <w:rPr>
                <w:rFonts w:ascii="Times New Roman" w:hAnsi="Times New Roman"/>
                <w:color w:val="000000"/>
              </w:rPr>
              <w:t>uPoś</w:t>
            </w:r>
            <w:proofErr w:type="spellEnd"/>
            <w:r w:rsidR="00E304AE" w:rsidRPr="00E55CB1">
              <w:rPr>
                <w:rFonts w:ascii="Times New Roman" w:hAnsi="Times New Roman"/>
                <w:color w:val="000000"/>
              </w:rPr>
              <w:t xml:space="preserve">, dotyczących wydawania zaświadczeń potwierdzających przeciętny miesięczny dochód na jednego członka gospodarstwa domowego, zgodnie z ustawą o świadczeniach rodzinnych, w przypadku gdy zasady udzielania dotacji celowej, o których mowa w art. 403 ust. 5 </w:t>
            </w:r>
            <w:proofErr w:type="spellStart"/>
            <w:r w:rsidR="00E304AE" w:rsidRPr="00E55CB1">
              <w:rPr>
                <w:rFonts w:ascii="Times New Roman" w:hAnsi="Times New Roman"/>
                <w:color w:val="000000"/>
              </w:rPr>
              <w:t>uPoś</w:t>
            </w:r>
            <w:proofErr w:type="spellEnd"/>
            <w:r w:rsidR="00E304AE" w:rsidRPr="00E55CB1">
              <w:rPr>
                <w:rFonts w:ascii="Times New Roman" w:hAnsi="Times New Roman"/>
                <w:color w:val="000000"/>
              </w:rPr>
              <w:t>, określają kryteria lub warunki wynikające z wymagań określonych w</w:t>
            </w:r>
            <w:r w:rsidR="00774F09">
              <w:rPr>
                <w:rFonts w:ascii="Times New Roman" w:hAnsi="Times New Roman"/>
                <w:color w:val="000000"/>
              </w:rPr>
              <w:t> </w:t>
            </w:r>
            <w:r w:rsidR="00E304AE" w:rsidRPr="00E55CB1">
              <w:rPr>
                <w:rFonts w:ascii="Times New Roman" w:hAnsi="Times New Roman"/>
                <w:color w:val="000000"/>
              </w:rPr>
              <w:t xml:space="preserve">przepisach odrębnych lub umowie zawartej przez gminę lub powiat z NFOŚiGW lub </w:t>
            </w:r>
            <w:proofErr w:type="spellStart"/>
            <w:r w:rsidR="00E304AE" w:rsidRPr="00E55CB1">
              <w:rPr>
                <w:rFonts w:ascii="Times New Roman" w:hAnsi="Times New Roman"/>
                <w:color w:val="000000"/>
              </w:rPr>
              <w:t>wfośigw</w:t>
            </w:r>
            <w:proofErr w:type="spellEnd"/>
            <w:r w:rsidR="00E304AE" w:rsidRPr="00E55CB1">
              <w:rPr>
                <w:rFonts w:ascii="Times New Roman" w:hAnsi="Times New Roman"/>
                <w:color w:val="000000"/>
              </w:rPr>
              <w:t>, dotyczące dochodów osoby fizycznej ubiegającej się o udzielenie dotacji celowej z budżetu gminy lub budżetu powiatu</w:t>
            </w:r>
            <w:r w:rsidR="00525380">
              <w:rPr>
                <w:rFonts w:ascii="Times New Roman" w:hAnsi="Times New Roman"/>
                <w:color w:val="000000"/>
              </w:rPr>
              <w:t>,</w:t>
            </w:r>
            <w:r w:rsidR="00525380" w:rsidRPr="008720B9">
              <w:rPr>
                <w:rFonts w:ascii="Times New Roman" w:hAnsi="Times New Roman"/>
                <w:color w:val="000000"/>
              </w:rPr>
              <w:t xml:space="preserve"> w celu uniknięcia wszelkich wątpliwości interpretacyjnych</w:t>
            </w:r>
            <w:r w:rsidR="00E304AE" w:rsidRPr="00E55CB1">
              <w:rPr>
                <w:rFonts w:ascii="Times New Roman" w:hAnsi="Times New Roman"/>
                <w:color w:val="000000"/>
              </w:rPr>
              <w:t>.</w:t>
            </w:r>
          </w:p>
          <w:p w14:paraId="186D3A93" w14:textId="44B12380" w:rsidR="001F6393" w:rsidRPr="00145F5E" w:rsidRDefault="00E304AE" w:rsidP="00774F09">
            <w:pPr>
              <w:pStyle w:val="Akapitzlist"/>
              <w:numPr>
                <w:ilvl w:val="0"/>
                <w:numId w:val="19"/>
              </w:numPr>
              <w:spacing w:after="120" w:line="240" w:lineRule="auto"/>
              <w:ind w:left="346" w:hanging="284"/>
              <w:contextualSpacing w:val="0"/>
              <w:jc w:val="both"/>
              <w:rPr>
                <w:rFonts w:ascii="Times New Roman" w:hAnsi="Times New Roman"/>
                <w:color w:val="000000"/>
              </w:rPr>
            </w:pPr>
            <w:r w:rsidRPr="00BC7132">
              <w:rPr>
                <w:rFonts w:ascii="Times New Roman" w:hAnsi="Times New Roman"/>
                <w:color w:val="000000"/>
              </w:rPr>
              <w:t xml:space="preserve">doprecyzowanie obowiązujących regulacji w zakresie podstaw prawnych do udostępniania przez </w:t>
            </w:r>
            <w:proofErr w:type="spellStart"/>
            <w:r w:rsidRPr="00BC7132">
              <w:rPr>
                <w:rFonts w:ascii="Times New Roman" w:hAnsi="Times New Roman"/>
                <w:color w:val="000000"/>
              </w:rPr>
              <w:t>wfośigw</w:t>
            </w:r>
            <w:proofErr w:type="spellEnd"/>
            <w:r w:rsidRPr="00BC7132">
              <w:rPr>
                <w:rFonts w:ascii="Times New Roman" w:hAnsi="Times New Roman"/>
                <w:color w:val="000000"/>
              </w:rPr>
              <w:t xml:space="preserve"> </w:t>
            </w:r>
            <w:r w:rsidR="00C86081" w:rsidRPr="00BC7132">
              <w:rPr>
                <w:rFonts w:ascii="Times New Roman" w:hAnsi="Times New Roman"/>
                <w:color w:val="000000"/>
              </w:rPr>
              <w:t xml:space="preserve">niezbędnych </w:t>
            </w:r>
            <w:r w:rsidRPr="00BC7132">
              <w:rPr>
                <w:rFonts w:ascii="Times New Roman" w:hAnsi="Times New Roman"/>
                <w:color w:val="000000"/>
              </w:rPr>
              <w:t>danych osobowych osób fizycznych</w:t>
            </w:r>
            <w:r w:rsidR="00A10E27" w:rsidRPr="00BC7132">
              <w:rPr>
                <w:rFonts w:ascii="Times New Roman" w:hAnsi="Times New Roman"/>
                <w:color w:val="000000"/>
              </w:rPr>
              <w:t xml:space="preserve"> </w:t>
            </w:r>
            <w:r w:rsidRPr="00BC7132">
              <w:rPr>
                <w:rFonts w:ascii="Times New Roman" w:hAnsi="Times New Roman"/>
                <w:color w:val="000000"/>
              </w:rPr>
              <w:t xml:space="preserve">NFOŚiGW oraz </w:t>
            </w:r>
            <w:r w:rsidR="00E50DCD" w:rsidRPr="00BC7132">
              <w:rPr>
                <w:rFonts w:ascii="Times New Roman" w:hAnsi="Times New Roman"/>
                <w:color w:val="000000"/>
              </w:rPr>
              <w:t xml:space="preserve">ministrowi właściwemu do spraw rozwoju regionalnego, instytucji odpowiedzialnej za realizację reformy, instytucji odpowiedzialnej za realizację inwestycji, Szefowi Krajowej Administracji Skarbowej oraz właściwym jednostkom organizacyjnym Krajowej Administracji Skarbowej, Komisji Europejskiej, Europejskiemu Urzędowi ds. Zwalczania Nadużyć Finansowych (OLAF), Europejskiemu Trybunałowi Obrachunkowemu, Prokuraturze Europejskiej (EPPO), na ich żądanie w celu realizacji, kontroli, audytu i ewaluacji reform i inwestycji na zasadach określonych w ustawie z dnia 6 grudnia 2006 r. </w:t>
            </w:r>
            <w:r w:rsidR="00E50DCD" w:rsidRPr="00BC7132">
              <w:rPr>
                <w:rFonts w:ascii="Times New Roman" w:hAnsi="Times New Roman"/>
                <w:i/>
                <w:iCs/>
                <w:color w:val="000000"/>
              </w:rPr>
              <w:t>o zasadach prowadzenia polityki rozwoju</w:t>
            </w:r>
            <w:r w:rsidR="00E50DCD" w:rsidRPr="00BC7132">
              <w:rPr>
                <w:rFonts w:ascii="Times New Roman" w:hAnsi="Times New Roman"/>
                <w:color w:val="000000"/>
              </w:rPr>
              <w:t xml:space="preserve"> lub </w:t>
            </w:r>
            <w:r w:rsidR="002E591D" w:rsidRPr="00BC7132">
              <w:rPr>
                <w:rFonts w:ascii="Times New Roman" w:hAnsi="Times New Roman"/>
                <w:color w:val="000000"/>
              </w:rPr>
              <w:t xml:space="preserve">rozporządzeniu </w:t>
            </w:r>
            <w:r w:rsidR="00E50DCD" w:rsidRPr="00BC7132">
              <w:rPr>
                <w:rFonts w:ascii="Times New Roman" w:hAnsi="Times New Roman"/>
                <w:color w:val="000000"/>
              </w:rPr>
              <w:t xml:space="preserve">Parlamentu Europejskiego i Rady (UE) 2021/241 z dnia 12 lutego 2021 r. </w:t>
            </w:r>
            <w:r w:rsidR="00E50DCD" w:rsidRPr="00BC7132">
              <w:rPr>
                <w:rFonts w:ascii="Times New Roman" w:hAnsi="Times New Roman"/>
                <w:i/>
                <w:iCs/>
                <w:color w:val="000000"/>
              </w:rPr>
              <w:t>ustanawiającym Instrument na rzecz Odbudowy i Zwiększania Odporności</w:t>
            </w:r>
            <w:r w:rsidR="00E50DCD" w:rsidRPr="00BC7132">
              <w:rPr>
                <w:rFonts w:ascii="Times New Roman" w:hAnsi="Times New Roman"/>
                <w:color w:val="000000"/>
              </w:rPr>
              <w:t xml:space="preserve"> właściwym</w:t>
            </w:r>
            <w:r w:rsidRPr="00BC7132">
              <w:rPr>
                <w:rFonts w:ascii="Times New Roman" w:hAnsi="Times New Roman"/>
                <w:color w:val="000000"/>
              </w:rPr>
              <w:t xml:space="preserve">, </w:t>
            </w:r>
            <w:r w:rsidR="00E50DCD" w:rsidRPr="00BC7132">
              <w:rPr>
                <w:rFonts w:ascii="Times New Roman" w:hAnsi="Times New Roman"/>
                <w:color w:val="000000"/>
              </w:rPr>
              <w:t xml:space="preserve">na potrzeby </w:t>
            </w:r>
            <w:r w:rsidRPr="00BC7132">
              <w:rPr>
                <w:rFonts w:ascii="Times New Roman" w:hAnsi="Times New Roman"/>
                <w:color w:val="000000"/>
              </w:rPr>
              <w:t xml:space="preserve">niezakłóconej realizacji </w:t>
            </w:r>
            <w:r w:rsidR="00D96F2E" w:rsidRPr="00BC7132">
              <w:rPr>
                <w:rFonts w:ascii="Times New Roman" w:hAnsi="Times New Roman"/>
                <w:color w:val="000000"/>
              </w:rPr>
              <w:t xml:space="preserve">Programu Priorytetowego </w:t>
            </w:r>
            <w:r w:rsidRPr="00BC7132">
              <w:rPr>
                <w:rFonts w:ascii="Times New Roman" w:hAnsi="Times New Roman"/>
                <w:color w:val="000000"/>
              </w:rPr>
              <w:t>„Czyste Powietrze</w:t>
            </w:r>
            <w:r w:rsidR="00D96F2E" w:rsidRPr="00BC7132">
              <w:rPr>
                <w:rFonts w:ascii="Times New Roman" w:hAnsi="Times New Roman"/>
                <w:color w:val="000000"/>
              </w:rPr>
              <w:t>”</w:t>
            </w:r>
            <w:r w:rsidRPr="00BC7132">
              <w:rPr>
                <w:rFonts w:ascii="Times New Roman" w:hAnsi="Times New Roman"/>
                <w:color w:val="000000"/>
              </w:rPr>
              <w:t xml:space="preserve"> współfinansowanego ze środków KPO</w:t>
            </w:r>
            <w:r w:rsidR="006C1E9D" w:rsidRPr="00BC7132">
              <w:rPr>
                <w:rFonts w:ascii="Times New Roman" w:hAnsi="Times New Roman"/>
                <w:color w:val="000000"/>
              </w:rPr>
              <w:t xml:space="preserve">. </w:t>
            </w:r>
            <w:r w:rsidRPr="00BC7132">
              <w:rPr>
                <w:rFonts w:ascii="Times New Roman" w:hAnsi="Times New Roman"/>
                <w:color w:val="000000"/>
              </w:rPr>
              <w:t xml:space="preserve">Celem projektowanych przepisów art. 411 ust. 12 </w:t>
            </w:r>
            <w:proofErr w:type="spellStart"/>
            <w:r w:rsidRPr="00BC7132">
              <w:rPr>
                <w:rFonts w:ascii="Times New Roman" w:hAnsi="Times New Roman"/>
                <w:color w:val="000000"/>
              </w:rPr>
              <w:t>uPoś</w:t>
            </w:r>
            <w:proofErr w:type="spellEnd"/>
            <w:r w:rsidRPr="00BC7132">
              <w:rPr>
                <w:rFonts w:ascii="Times New Roman" w:hAnsi="Times New Roman"/>
                <w:color w:val="000000"/>
              </w:rPr>
              <w:t xml:space="preserve"> jest wzmocnienie i doprecyzowanie obecnych krajowych regulacji umożliwiających udostępnianie przez </w:t>
            </w:r>
            <w:proofErr w:type="spellStart"/>
            <w:r w:rsidRPr="00BC7132">
              <w:rPr>
                <w:rFonts w:ascii="Times New Roman" w:hAnsi="Times New Roman"/>
                <w:color w:val="000000"/>
              </w:rPr>
              <w:t>wfośigw</w:t>
            </w:r>
            <w:proofErr w:type="spellEnd"/>
            <w:r w:rsidRPr="00BC7132">
              <w:rPr>
                <w:rFonts w:ascii="Times New Roman" w:hAnsi="Times New Roman"/>
                <w:color w:val="000000"/>
              </w:rPr>
              <w:t xml:space="preserve"> w oparciu o art. 6 ust. 1 lit. c</w:t>
            </w:r>
            <w:r w:rsidR="00B46202" w:rsidRPr="00BC7132">
              <w:rPr>
                <w:rFonts w:ascii="Times New Roman" w:hAnsi="Times New Roman"/>
                <w:color w:val="000000"/>
              </w:rPr>
              <w:t xml:space="preserve"> r</w:t>
            </w:r>
            <w:r w:rsidRPr="00BC7132">
              <w:rPr>
                <w:rFonts w:ascii="Times New Roman" w:hAnsi="Times New Roman"/>
                <w:color w:val="000000"/>
              </w:rPr>
              <w:t>ozporządzenia Parlamentu Europejskiego i Rady (UE) 2016/679 z dnia 27</w:t>
            </w:r>
            <w:r w:rsidR="00774F09">
              <w:rPr>
                <w:rFonts w:ascii="Times New Roman" w:hAnsi="Times New Roman"/>
                <w:color w:val="000000"/>
              </w:rPr>
              <w:t> </w:t>
            </w:r>
            <w:r w:rsidRPr="00BC7132">
              <w:rPr>
                <w:rFonts w:ascii="Times New Roman" w:hAnsi="Times New Roman"/>
                <w:color w:val="000000"/>
              </w:rPr>
              <w:t xml:space="preserve">kwietnia 2016 r. </w:t>
            </w:r>
            <w:r w:rsidRPr="00BC7132">
              <w:rPr>
                <w:rFonts w:ascii="Times New Roman" w:hAnsi="Times New Roman"/>
                <w:i/>
                <w:iCs/>
                <w:color w:val="000000"/>
              </w:rPr>
              <w:t>w sprawie ochrony osób fizycznych w związku z przetwarzaniem danych osobowych i w sprawie swobodnego przepływu takich danych oraz uchylenia dyrektywy 95/46/WE</w:t>
            </w:r>
            <w:r w:rsidRPr="00BC7132">
              <w:rPr>
                <w:rFonts w:ascii="Times New Roman" w:hAnsi="Times New Roman"/>
                <w:color w:val="000000"/>
              </w:rPr>
              <w:t xml:space="preserve"> (ogólne rozporządzenie o ochronie danych), </w:t>
            </w:r>
            <w:r w:rsidR="00C86081" w:rsidRPr="00BC7132">
              <w:rPr>
                <w:rFonts w:ascii="Times New Roman" w:hAnsi="Times New Roman"/>
                <w:color w:val="000000"/>
              </w:rPr>
              <w:t xml:space="preserve">niezbędnych </w:t>
            </w:r>
            <w:r w:rsidRPr="00BC7132">
              <w:rPr>
                <w:rFonts w:ascii="Times New Roman" w:hAnsi="Times New Roman"/>
                <w:color w:val="000000"/>
              </w:rPr>
              <w:t xml:space="preserve">danych osobowych osób fizycznych otrzymujących dotację ze środków NFOŚiGW udostępnionych </w:t>
            </w:r>
            <w:proofErr w:type="spellStart"/>
            <w:r w:rsidRPr="00BC7132">
              <w:rPr>
                <w:rFonts w:ascii="Times New Roman" w:hAnsi="Times New Roman"/>
                <w:color w:val="000000"/>
              </w:rPr>
              <w:t>wfośigw</w:t>
            </w:r>
            <w:proofErr w:type="spellEnd"/>
            <w:r w:rsidRPr="00BC7132">
              <w:rPr>
                <w:rFonts w:ascii="Times New Roman" w:hAnsi="Times New Roman"/>
                <w:color w:val="000000"/>
              </w:rPr>
              <w:t>, w szczególności tych osób, które wymieniają źródła ciepła lub termomodernizują swoje budynki, NFOŚiGW oraz podmiotom trzecim zaangażowanym w system wdrażania KPO, odpowiedzialnym za zarządzanie środkami finansowymi Unii Europejskiej oraz audyt i kontrolę tych środków</w:t>
            </w:r>
            <w:r w:rsidR="00525380" w:rsidRPr="00BC7132">
              <w:rPr>
                <w:rFonts w:ascii="Times New Roman" w:hAnsi="Times New Roman"/>
                <w:color w:val="000000"/>
              </w:rPr>
              <w:t>.</w:t>
            </w:r>
            <w:r w:rsidRPr="00145F5E">
              <w:rPr>
                <w:rFonts w:ascii="Times New Roman" w:hAnsi="Times New Roman"/>
                <w:color w:val="000000"/>
              </w:rPr>
              <w:t xml:space="preserve"> </w:t>
            </w:r>
          </w:p>
          <w:p w14:paraId="02972673" w14:textId="706E2402" w:rsidR="001F6393" w:rsidRPr="00145F5E" w:rsidRDefault="001F6393" w:rsidP="00774F09">
            <w:pPr>
              <w:pStyle w:val="Akapitzlist"/>
              <w:numPr>
                <w:ilvl w:val="0"/>
                <w:numId w:val="3"/>
              </w:numPr>
              <w:spacing w:before="120" w:after="120" w:line="240" w:lineRule="auto"/>
              <w:ind w:left="357" w:hanging="357"/>
              <w:rPr>
                <w:rFonts w:ascii="Times New Roman" w:hAnsi="Times New Roman"/>
                <w:b/>
                <w:bCs/>
                <w:color w:val="000000"/>
                <w:u w:val="single"/>
              </w:rPr>
            </w:pPr>
            <w:r>
              <w:rPr>
                <w:rFonts w:ascii="Times New Roman" w:hAnsi="Times New Roman"/>
                <w:b/>
                <w:bCs/>
                <w:color w:val="000000"/>
                <w:u w:val="single"/>
              </w:rPr>
              <w:t>Modyfikacja zasad</w:t>
            </w:r>
            <w:r w:rsidRPr="00145F5E">
              <w:rPr>
                <w:rFonts w:ascii="Times New Roman" w:hAnsi="Times New Roman"/>
                <w:b/>
                <w:bCs/>
                <w:color w:val="000000"/>
                <w:u w:val="single"/>
              </w:rPr>
              <w:t xml:space="preserve"> ustanawiani</w:t>
            </w:r>
            <w:r>
              <w:rPr>
                <w:rFonts w:ascii="Times New Roman" w:hAnsi="Times New Roman"/>
                <w:b/>
                <w:bCs/>
                <w:color w:val="000000"/>
                <w:u w:val="single"/>
              </w:rPr>
              <w:t xml:space="preserve">a </w:t>
            </w:r>
            <w:r w:rsidRPr="00145F5E">
              <w:rPr>
                <w:rFonts w:ascii="Times New Roman" w:hAnsi="Times New Roman"/>
                <w:b/>
                <w:bCs/>
                <w:color w:val="000000"/>
                <w:u w:val="single"/>
              </w:rPr>
              <w:t xml:space="preserve">składu i struktury Rady Nadzorczej NFOŚiGW oraz </w:t>
            </w:r>
            <w:proofErr w:type="spellStart"/>
            <w:r w:rsidRPr="00145F5E">
              <w:rPr>
                <w:rFonts w:ascii="Times New Roman" w:hAnsi="Times New Roman"/>
                <w:b/>
                <w:bCs/>
                <w:color w:val="000000"/>
                <w:u w:val="single"/>
              </w:rPr>
              <w:t>wfośigw</w:t>
            </w:r>
            <w:proofErr w:type="spellEnd"/>
          </w:p>
          <w:p w14:paraId="4631C106" w14:textId="0764721D" w:rsidR="009558BE" w:rsidRPr="009558BE" w:rsidRDefault="00774F09" w:rsidP="009558BE">
            <w:pPr>
              <w:spacing w:line="240" w:lineRule="auto"/>
              <w:jc w:val="both"/>
              <w:rPr>
                <w:rFonts w:ascii="Times New Roman" w:hAnsi="Times New Roman"/>
                <w:color w:val="000000"/>
              </w:rPr>
            </w:pPr>
            <w:r>
              <w:rPr>
                <w:rFonts w:ascii="Times New Roman" w:hAnsi="Times New Roman"/>
                <w:color w:val="000000"/>
              </w:rPr>
              <w:t>Proponuje</w:t>
            </w:r>
            <w:r w:rsidR="009558BE" w:rsidRPr="009558BE">
              <w:rPr>
                <w:rFonts w:ascii="Times New Roman" w:hAnsi="Times New Roman"/>
                <w:color w:val="000000"/>
              </w:rPr>
              <w:t xml:space="preserve"> się </w:t>
            </w:r>
            <w:r>
              <w:rPr>
                <w:rFonts w:ascii="Times New Roman" w:hAnsi="Times New Roman"/>
                <w:color w:val="000000"/>
              </w:rPr>
              <w:t xml:space="preserve">zmianę </w:t>
            </w:r>
            <w:r w:rsidR="009558BE">
              <w:rPr>
                <w:rFonts w:ascii="Times New Roman" w:hAnsi="Times New Roman"/>
                <w:color w:val="000000"/>
              </w:rPr>
              <w:t>przepis</w:t>
            </w:r>
            <w:r>
              <w:rPr>
                <w:rFonts w:ascii="Times New Roman" w:hAnsi="Times New Roman"/>
                <w:color w:val="000000"/>
              </w:rPr>
              <w:t>u</w:t>
            </w:r>
            <w:r w:rsidR="009558BE" w:rsidRPr="009558BE">
              <w:rPr>
                <w:rFonts w:ascii="Times New Roman" w:hAnsi="Times New Roman"/>
                <w:color w:val="000000"/>
              </w:rPr>
              <w:t xml:space="preserve"> art. 400d ust 2 pkt 5 </w:t>
            </w:r>
            <w:proofErr w:type="spellStart"/>
            <w:r w:rsidR="009558BE">
              <w:rPr>
                <w:rFonts w:ascii="Times New Roman" w:hAnsi="Times New Roman"/>
                <w:color w:val="000000"/>
              </w:rPr>
              <w:t>uPoś</w:t>
            </w:r>
            <w:proofErr w:type="spellEnd"/>
            <w:r w:rsidR="009558BE">
              <w:rPr>
                <w:rFonts w:ascii="Times New Roman" w:hAnsi="Times New Roman"/>
                <w:color w:val="000000"/>
              </w:rPr>
              <w:t xml:space="preserve"> </w:t>
            </w:r>
            <w:r w:rsidR="009558BE" w:rsidRPr="009558BE">
              <w:rPr>
                <w:rFonts w:ascii="Times New Roman" w:hAnsi="Times New Roman"/>
                <w:color w:val="000000"/>
              </w:rPr>
              <w:t>poprzez wskazanie</w:t>
            </w:r>
            <w:r w:rsidRPr="009558BE">
              <w:rPr>
                <w:rFonts w:ascii="Times New Roman" w:hAnsi="Times New Roman"/>
                <w:color w:val="000000"/>
              </w:rPr>
              <w:t>, w miejsce przedstawiciela organizacji ekologicznych</w:t>
            </w:r>
            <w:r>
              <w:rPr>
                <w:rFonts w:ascii="Times New Roman" w:hAnsi="Times New Roman"/>
                <w:color w:val="000000"/>
              </w:rPr>
              <w:t>,</w:t>
            </w:r>
            <w:r w:rsidRPr="009558BE">
              <w:rPr>
                <w:rFonts w:ascii="Times New Roman" w:hAnsi="Times New Roman"/>
                <w:color w:val="000000"/>
              </w:rPr>
              <w:t xml:space="preserve"> </w:t>
            </w:r>
            <w:r w:rsidR="009558BE" w:rsidRPr="009558BE">
              <w:rPr>
                <w:rFonts w:ascii="Times New Roman" w:hAnsi="Times New Roman"/>
                <w:color w:val="000000"/>
              </w:rPr>
              <w:t xml:space="preserve">do składu rady nadzorczej NFOŚiGW </w:t>
            </w:r>
            <w:r>
              <w:rPr>
                <w:rFonts w:ascii="Times New Roman" w:hAnsi="Times New Roman"/>
                <w:color w:val="000000"/>
              </w:rPr>
              <w:t xml:space="preserve">– </w:t>
            </w:r>
            <w:r w:rsidRPr="009558BE">
              <w:rPr>
                <w:rFonts w:ascii="Times New Roman" w:hAnsi="Times New Roman"/>
                <w:color w:val="000000"/>
              </w:rPr>
              <w:t xml:space="preserve">przedstawiciela </w:t>
            </w:r>
            <w:r w:rsidR="009558BE" w:rsidRPr="009558BE">
              <w:rPr>
                <w:rFonts w:ascii="Times New Roman" w:hAnsi="Times New Roman"/>
                <w:color w:val="000000"/>
              </w:rPr>
              <w:t xml:space="preserve">działających na rzecz </w:t>
            </w:r>
            <w:r>
              <w:rPr>
                <w:rFonts w:ascii="Times New Roman" w:hAnsi="Times New Roman"/>
                <w:color w:val="000000"/>
              </w:rPr>
              <w:t xml:space="preserve">ochrony </w:t>
            </w:r>
            <w:r w:rsidR="009558BE" w:rsidRPr="009558BE">
              <w:rPr>
                <w:rFonts w:ascii="Times New Roman" w:hAnsi="Times New Roman"/>
                <w:color w:val="000000"/>
              </w:rPr>
              <w:t xml:space="preserve">klimatu, ochrony środowiska lub </w:t>
            </w:r>
            <w:r>
              <w:rPr>
                <w:rFonts w:ascii="Times New Roman" w:hAnsi="Times New Roman"/>
                <w:color w:val="000000"/>
              </w:rPr>
              <w:t xml:space="preserve">odnawialnych źródeł </w:t>
            </w:r>
            <w:r w:rsidR="009558BE" w:rsidRPr="009558BE">
              <w:rPr>
                <w:rFonts w:ascii="Times New Roman" w:hAnsi="Times New Roman"/>
                <w:color w:val="000000"/>
              </w:rPr>
              <w:t>energii organizacji pozarządowych.</w:t>
            </w:r>
          </w:p>
          <w:p w14:paraId="7DC6DF30" w14:textId="03C12AB3" w:rsidR="009558BE" w:rsidRPr="009558BE" w:rsidRDefault="009558BE" w:rsidP="00145F5E">
            <w:pPr>
              <w:spacing w:before="120" w:line="240" w:lineRule="auto"/>
              <w:jc w:val="both"/>
              <w:rPr>
                <w:rFonts w:ascii="Times New Roman" w:hAnsi="Times New Roman"/>
                <w:color w:val="000000"/>
              </w:rPr>
            </w:pPr>
            <w:r w:rsidRPr="009558BE">
              <w:rPr>
                <w:rFonts w:ascii="Times New Roman" w:hAnsi="Times New Roman"/>
                <w:color w:val="000000"/>
              </w:rPr>
              <w:t>Rezygnuje się z wymogu posiadania przez organizacje pozarządowe struktur organizacyjnych na terenie całego kraju. W</w:t>
            </w:r>
            <w:r w:rsidR="00145F5E">
              <w:rPr>
                <w:rFonts w:ascii="Times New Roman" w:hAnsi="Times New Roman"/>
                <w:color w:val="000000"/>
              </w:rPr>
              <w:t> </w:t>
            </w:r>
            <w:r w:rsidRPr="009558BE">
              <w:rPr>
                <w:rFonts w:ascii="Times New Roman" w:hAnsi="Times New Roman"/>
                <w:color w:val="000000"/>
              </w:rPr>
              <w:t>związku z postępem technologicznym, a w konsekwencji rozwojem systemów porozumiewania się na odległość, organizacje takie mają możliwość funkcjonowanie na terenie kraju bez konieczności posiadania stacjonarnych struktur organizacyjnych na terenie całego kraju.</w:t>
            </w:r>
          </w:p>
          <w:p w14:paraId="40872AE7" w14:textId="17BB520C" w:rsidR="009558BE" w:rsidRDefault="00774F09" w:rsidP="009558BE">
            <w:pPr>
              <w:spacing w:line="240" w:lineRule="auto"/>
              <w:jc w:val="both"/>
              <w:rPr>
                <w:rFonts w:ascii="Times New Roman" w:hAnsi="Times New Roman"/>
                <w:color w:val="000000"/>
              </w:rPr>
            </w:pPr>
            <w:r>
              <w:rPr>
                <w:rFonts w:ascii="Times New Roman" w:hAnsi="Times New Roman"/>
                <w:color w:val="000000"/>
              </w:rPr>
              <w:t xml:space="preserve">Dodatkowo, </w:t>
            </w:r>
            <w:r w:rsidR="009558BE" w:rsidRPr="009558BE">
              <w:rPr>
                <w:rFonts w:ascii="Times New Roman" w:hAnsi="Times New Roman"/>
                <w:color w:val="000000"/>
              </w:rPr>
              <w:t>określa się sposób postępowania w sytuacji uzyskania równej liczby głosów poparcia przez kandydatów na przedstawicieli organizacji pozarządowych w radzie nadzorczej NFOŚiGW, poprzez wskazanie, że w</w:t>
            </w:r>
            <w:r w:rsidR="00145F5E">
              <w:rPr>
                <w:rFonts w:ascii="Times New Roman" w:hAnsi="Times New Roman"/>
                <w:color w:val="000000"/>
              </w:rPr>
              <w:t> </w:t>
            </w:r>
            <w:r w:rsidR="009558BE" w:rsidRPr="009558BE">
              <w:rPr>
                <w:rFonts w:ascii="Times New Roman" w:hAnsi="Times New Roman"/>
                <w:color w:val="000000"/>
              </w:rPr>
              <w:t>przypadku wystąpienia takiej sytuacji, decyzję o wyborze podejmuje minister właściwy do spraw klimatu</w:t>
            </w:r>
            <w:r>
              <w:rPr>
                <w:rFonts w:ascii="Times New Roman" w:hAnsi="Times New Roman"/>
                <w:color w:val="000000"/>
              </w:rPr>
              <w:t>, jako organ sprawujący nadzór nad NFOŚiGW</w:t>
            </w:r>
            <w:r w:rsidR="009558BE" w:rsidRPr="009558BE">
              <w:rPr>
                <w:rFonts w:ascii="Times New Roman" w:hAnsi="Times New Roman"/>
                <w:color w:val="000000"/>
              </w:rPr>
              <w:t>.</w:t>
            </w:r>
          </w:p>
          <w:p w14:paraId="564ED48A" w14:textId="37E64449" w:rsidR="001F6393" w:rsidRDefault="009558BE" w:rsidP="00145F5E">
            <w:pPr>
              <w:spacing w:before="120" w:line="240" w:lineRule="auto"/>
              <w:jc w:val="both"/>
              <w:rPr>
                <w:rFonts w:ascii="Times New Roman" w:hAnsi="Times New Roman"/>
                <w:color w:val="000000"/>
              </w:rPr>
            </w:pPr>
            <w:r w:rsidRPr="009558BE">
              <w:rPr>
                <w:rFonts w:ascii="Times New Roman" w:hAnsi="Times New Roman"/>
                <w:color w:val="000000"/>
              </w:rPr>
              <w:t xml:space="preserve">Doprecyzowuje się zapis art. 400f ust. 2 pkt 1 poprzez wskazanie przedstawicieli wyznaczonych do składu rad nadzorczych wojewódzkich funduszy spośród działających na rzecz </w:t>
            </w:r>
            <w:r w:rsidR="00774F09">
              <w:rPr>
                <w:rFonts w:ascii="Times New Roman" w:hAnsi="Times New Roman"/>
                <w:color w:val="000000"/>
              </w:rPr>
              <w:t xml:space="preserve">ochrony </w:t>
            </w:r>
            <w:r w:rsidRPr="009558BE">
              <w:rPr>
                <w:rFonts w:ascii="Times New Roman" w:hAnsi="Times New Roman"/>
                <w:color w:val="000000"/>
              </w:rPr>
              <w:t xml:space="preserve">klimatu, ochrony środowiska lub </w:t>
            </w:r>
            <w:r w:rsidR="00774F09" w:rsidRPr="00774F09">
              <w:rPr>
                <w:rFonts w:ascii="Times New Roman" w:hAnsi="Times New Roman"/>
                <w:color w:val="000000"/>
              </w:rPr>
              <w:t xml:space="preserve">odnawialnych źródeł </w:t>
            </w:r>
            <w:r w:rsidRPr="009558BE">
              <w:rPr>
                <w:rFonts w:ascii="Times New Roman" w:hAnsi="Times New Roman"/>
                <w:color w:val="000000"/>
              </w:rPr>
              <w:t>energii przedstawicieli nauki lub organizacji pozarządowych, w miejsce przedstawicieli wyznaczonych spośród przedstawicieli nauki lub organizacji pozarządowych.</w:t>
            </w:r>
          </w:p>
          <w:p w14:paraId="4246F8A8" w14:textId="77777777" w:rsidR="00774F09" w:rsidRPr="00145F5E" w:rsidRDefault="00774F09" w:rsidP="00145F5E">
            <w:pPr>
              <w:spacing w:before="120" w:line="240" w:lineRule="auto"/>
              <w:jc w:val="both"/>
              <w:rPr>
                <w:rFonts w:ascii="Times New Roman" w:hAnsi="Times New Roman"/>
                <w:color w:val="000000"/>
              </w:rPr>
            </w:pPr>
          </w:p>
          <w:p w14:paraId="5396C187" w14:textId="25EF6445" w:rsidR="00E47E31" w:rsidRPr="007A2509" w:rsidRDefault="00F61F86" w:rsidP="00145F5E">
            <w:pPr>
              <w:spacing w:before="120" w:after="120" w:line="240" w:lineRule="auto"/>
              <w:jc w:val="both"/>
              <w:rPr>
                <w:rFonts w:ascii="Times New Roman" w:hAnsi="Times New Roman"/>
                <w:color w:val="000000"/>
              </w:rPr>
            </w:pPr>
            <w:r w:rsidRPr="007A2509">
              <w:rPr>
                <w:rFonts w:ascii="Times New Roman" w:hAnsi="Times New Roman"/>
                <w:b/>
                <w:bCs/>
                <w:color w:val="000000"/>
              </w:rPr>
              <w:t xml:space="preserve">Inne analizowane rozwiązania (przyczyna </w:t>
            </w:r>
            <w:r w:rsidR="001F20C7">
              <w:rPr>
                <w:rFonts w:ascii="Times New Roman" w:hAnsi="Times New Roman"/>
                <w:b/>
                <w:bCs/>
                <w:color w:val="000000"/>
              </w:rPr>
              <w:t xml:space="preserve">ich </w:t>
            </w:r>
            <w:r w:rsidRPr="007A2509">
              <w:rPr>
                <w:rFonts w:ascii="Times New Roman" w:hAnsi="Times New Roman"/>
                <w:b/>
                <w:bCs/>
                <w:color w:val="000000"/>
              </w:rPr>
              <w:t>niezastosowania)</w:t>
            </w:r>
            <w:r w:rsidR="001F20C7" w:rsidRPr="00E10617">
              <w:rPr>
                <w:rFonts w:ascii="Times New Roman" w:hAnsi="Times New Roman"/>
                <w:color w:val="000000"/>
              </w:rPr>
              <w:t xml:space="preserve"> </w:t>
            </w:r>
            <w:r w:rsidRPr="007A2509">
              <w:rPr>
                <w:rFonts w:ascii="Times New Roman" w:hAnsi="Times New Roman"/>
                <w:color w:val="000000"/>
              </w:rPr>
              <w:t xml:space="preserve">nie jest możliwe </w:t>
            </w:r>
            <w:proofErr w:type="spellStart"/>
            <w:r w:rsidRPr="007A2509">
              <w:rPr>
                <w:rFonts w:ascii="Times New Roman" w:hAnsi="Times New Roman"/>
                <w:color w:val="000000"/>
              </w:rPr>
              <w:t>pozalegislacyjne</w:t>
            </w:r>
            <w:proofErr w:type="spellEnd"/>
            <w:r w:rsidRPr="007A2509">
              <w:rPr>
                <w:rFonts w:ascii="Times New Roman" w:hAnsi="Times New Roman"/>
                <w:color w:val="000000"/>
              </w:rPr>
              <w:t xml:space="preserve"> rozwiązanie problemów</w:t>
            </w:r>
            <w:r w:rsidR="001F20C7">
              <w:rPr>
                <w:rFonts w:ascii="Times New Roman" w:hAnsi="Times New Roman"/>
                <w:color w:val="000000"/>
              </w:rPr>
              <w:t>.</w:t>
            </w:r>
            <w:r w:rsidRPr="007A2509">
              <w:rPr>
                <w:rFonts w:ascii="Times New Roman" w:hAnsi="Times New Roman"/>
                <w:color w:val="000000"/>
              </w:rPr>
              <w:t xml:space="preserve"> </w:t>
            </w:r>
            <w:r w:rsidR="001F20C7">
              <w:rPr>
                <w:rFonts w:ascii="Times New Roman" w:hAnsi="Times New Roman"/>
                <w:color w:val="000000"/>
              </w:rPr>
              <w:t>R</w:t>
            </w:r>
            <w:r w:rsidR="001F20C7" w:rsidRPr="007A2509">
              <w:rPr>
                <w:rFonts w:ascii="Times New Roman" w:hAnsi="Times New Roman"/>
                <w:color w:val="000000"/>
              </w:rPr>
              <w:t xml:space="preserve">ozwiązanie </w:t>
            </w:r>
            <w:r w:rsidRPr="007A2509">
              <w:rPr>
                <w:rFonts w:ascii="Times New Roman" w:hAnsi="Times New Roman"/>
                <w:color w:val="000000"/>
              </w:rPr>
              <w:t>w</w:t>
            </w:r>
            <w:r w:rsidR="00F2438E" w:rsidRPr="007A2509">
              <w:rPr>
                <w:rFonts w:ascii="Times New Roman" w:hAnsi="Times New Roman"/>
                <w:color w:val="000000"/>
              </w:rPr>
              <w:t>skazanych</w:t>
            </w:r>
            <w:r w:rsidR="0039490F" w:rsidRPr="007A2509">
              <w:rPr>
                <w:rFonts w:ascii="Times New Roman" w:hAnsi="Times New Roman"/>
                <w:color w:val="000000"/>
              </w:rPr>
              <w:t xml:space="preserve"> </w:t>
            </w:r>
            <w:r w:rsidRPr="007A2509">
              <w:rPr>
                <w:rFonts w:ascii="Times New Roman" w:hAnsi="Times New Roman"/>
                <w:color w:val="000000"/>
              </w:rPr>
              <w:t>problemów jest możliwe tylko przy uwzględnieniu kwestii dot</w:t>
            </w:r>
            <w:r w:rsidR="00EC0DCD" w:rsidRPr="007A2509">
              <w:rPr>
                <w:rFonts w:ascii="Times New Roman" w:hAnsi="Times New Roman"/>
                <w:color w:val="000000"/>
              </w:rPr>
              <w:t>yczących</w:t>
            </w:r>
            <w:r w:rsidRPr="007A2509">
              <w:rPr>
                <w:rFonts w:ascii="Times New Roman" w:hAnsi="Times New Roman"/>
                <w:color w:val="000000"/>
              </w:rPr>
              <w:t xml:space="preserve"> zmian klimatu i</w:t>
            </w:r>
            <w:r w:rsidR="00EC0DCD" w:rsidRPr="007A2509">
              <w:rPr>
                <w:rFonts w:ascii="Times New Roman" w:hAnsi="Times New Roman"/>
                <w:color w:val="000000"/>
              </w:rPr>
              <w:t> </w:t>
            </w:r>
            <w:r w:rsidRPr="007A2509">
              <w:rPr>
                <w:rFonts w:ascii="Times New Roman" w:hAnsi="Times New Roman"/>
                <w:color w:val="000000"/>
              </w:rPr>
              <w:t xml:space="preserve">adaptacji do nich we wspomnianych aktach prawnych i zobowiązaniu podmiotów, na które te akty oddziałują, do ich przestrzegania. </w:t>
            </w:r>
          </w:p>
        </w:tc>
      </w:tr>
      <w:tr w:rsidR="00A96B6E" w:rsidRPr="007A2509" w14:paraId="7F34513F" w14:textId="77777777" w:rsidTr="00515165">
        <w:trPr>
          <w:trHeight w:val="307"/>
        </w:trPr>
        <w:tc>
          <w:tcPr>
            <w:tcW w:w="10937" w:type="dxa"/>
            <w:gridSpan w:val="5"/>
            <w:shd w:val="clear" w:color="auto" w:fill="99CCFF"/>
            <w:vAlign w:val="center"/>
          </w:tcPr>
          <w:p w14:paraId="4F1BF935" w14:textId="77777777" w:rsidR="00A96B6E" w:rsidRPr="007A2509" w:rsidRDefault="00A96B6E" w:rsidP="00851A61">
            <w:pPr>
              <w:numPr>
                <w:ilvl w:val="0"/>
                <w:numId w:val="1"/>
              </w:numPr>
              <w:spacing w:line="240" w:lineRule="auto"/>
              <w:ind w:left="318" w:hanging="284"/>
              <w:jc w:val="both"/>
              <w:rPr>
                <w:rFonts w:ascii="Times New Roman" w:hAnsi="Times New Roman"/>
                <w:b/>
                <w:color w:val="000000"/>
              </w:rPr>
            </w:pPr>
            <w:r w:rsidRPr="007A2509">
              <w:rPr>
                <w:rFonts w:ascii="Times New Roman" w:hAnsi="Times New Roman"/>
                <w:b/>
                <w:spacing w:val="-2"/>
              </w:rPr>
              <w:lastRenderedPageBreak/>
              <w:t>Jak problem został rozwiązany w innych krajach, w szczególności krajach członkowskich OECD/UE</w:t>
            </w:r>
            <w:r w:rsidRPr="007A2509">
              <w:rPr>
                <w:rFonts w:ascii="Times New Roman" w:hAnsi="Times New Roman"/>
                <w:b/>
                <w:color w:val="000000"/>
              </w:rPr>
              <w:t>?</w:t>
            </w:r>
            <w:r w:rsidRPr="007A2509">
              <w:rPr>
                <w:rFonts w:ascii="Times New Roman" w:hAnsi="Times New Roman"/>
                <w:i/>
                <w:color w:val="000000"/>
              </w:rPr>
              <w:t xml:space="preserve"> </w:t>
            </w:r>
          </w:p>
        </w:tc>
      </w:tr>
      <w:tr w:rsidR="00A96B6E" w:rsidRPr="007A2509" w14:paraId="26537FEC" w14:textId="77777777" w:rsidTr="00515165">
        <w:trPr>
          <w:trHeight w:val="142"/>
        </w:trPr>
        <w:tc>
          <w:tcPr>
            <w:tcW w:w="10937" w:type="dxa"/>
            <w:gridSpan w:val="5"/>
            <w:shd w:val="clear" w:color="auto" w:fill="auto"/>
          </w:tcPr>
          <w:p w14:paraId="151DECC7" w14:textId="77777777" w:rsidR="00A96B6E" w:rsidRPr="00537CC2" w:rsidRDefault="00A96B6E" w:rsidP="00F5218B">
            <w:pPr>
              <w:spacing w:after="120" w:line="240" w:lineRule="auto"/>
              <w:jc w:val="both"/>
              <w:rPr>
                <w:rFonts w:ascii="Times New Roman" w:hAnsi="Times New Roman"/>
                <w:spacing w:val="-2"/>
                <w:u w:val="single"/>
              </w:rPr>
            </w:pPr>
            <w:r w:rsidRPr="00537CC2">
              <w:rPr>
                <w:rFonts w:ascii="Times New Roman" w:hAnsi="Times New Roman"/>
                <w:b/>
                <w:bCs/>
                <w:spacing w:val="-2"/>
                <w:u w:val="single"/>
              </w:rPr>
              <w:lastRenderedPageBreak/>
              <w:t>Plany adaptacji do zmian klimatu</w:t>
            </w:r>
          </w:p>
          <w:p w14:paraId="381150C1" w14:textId="77777777" w:rsidR="00A96B6E" w:rsidRPr="00537CC2" w:rsidRDefault="00A96B6E" w:rsidP="007A2509">
            <w:pPr>
              <w:spacing w:line="240" w:lineRule="auto"/>
              <w:jc w:val="both"/>
              <w:rPr>
                <w:rFonts w:ascii="Times New Roman" w:hAnsi="Times New Roman"/>
                <w:spacing w:val="-2"/>
              </w:rPr>
            </w:pPr>
            <w:r w:rsidRPr="00537CC2">
              <w:rPr>
                <w:rFonts w:ascii="Times New Roman" w:hAnsi="Times New Roman"/>
                <w:spacing w:val="-2"/>
              </w:rPr>
              <w:t>Planowanie adaptacji do zmian klimatu na poziomie lokalnym jest obligatoryjne w Danii, Francji, Szwecji i Wielkiej Brytanii</w:t>
            </w:r>
            <w:r w:rsidR="00543154" w:rsidRPr="00537CC2">
              <w:rPr>
                <w:rFonts w:ascii="Times New Roman" w:hAnsi="Times New Roman"/>
                <w:spacing w:val="-2"/>
              </w:rPr>
              <w:t>:</w:t>
            </w:r>
          </w:p>
          <w:p w14:paraId="0B53DA60" w14:textId="64E18E44" w:rsidR="00A96B6E" w:rsidRPr="00537CC2" w:rsidRDefault="00B46202" w:rsidP="007A2509">
            <w:pPr>
              <w:spacing w:line="240" w:lineRule="auto"/>
              <w:jc w:val="both"/>
              <w:rPr>
                <w:rFonts w:ascii="Times New Roman" w:hAnsi="Times New Roman"/>
                <w:spacing w:val="-2"/>
              </w:rPr>
            </w:pPr>
            <w:r>
              <w:rPr>
                <w:rFonts w:ascii="Times New Roman" w:hAnsi="Times New Roman"/>
                <w:spacing w:val="-2"/>
              </w:rPr>
              <w:t>− w</w:t>
            </w:r>
            <w:r w:rsidR="008A02DB" w:rsidRPr="00537CC2">
              <w:rPr>
                <w:rFonts w:ascii="Times New Roman" w:hAnsi="Times New Roman"/>
                <w:spacing w:val="-2"/>
              </w:rPr>
              <w:t xml:space="preserve"> </w:t>
            </w:r>
            <w:r w:rsidR="00A96B6E" w:rsidRPr="00537CC2">
              <w:rPr>
                <w:rFonts w:ascii="Times New Roman" w:hAnsi="Times New Roman"/>
                <w:spacing w:val="-2"/>
              </w:rPr>
              <w:t xml:space="preserve">Wielkiej Brytanii od 2008 r. dokumenty dotyczące planów zagospodarowania przestrzennego muszą obejmować strategie mające na celu zapewnienie, że rozwój i wykorzystanie gruntów na obszarze objętym zasięgiem lokalnego organu </w:t>
            </w:r>
            <w:r w:rsidR="007C300E" w:rsidRPr="00537CC2">
              <w:rPr>
                <w:rFonts w:ascii="Times New Roman" w:hAnsi="Times New Roman"/>
                <w:spacing w:val="-2"/>
              </w:rPr>
              <w:t>do spraw</w:t>
            </w:r>
            <w:r w:rsidR="00A96B6E" w:rsidRPr="00537CC2">
              <w:rPr>
                <w:rFonts w:ascii="Times New Roman" w:hAnsi="Times New Roman"/>
                <w:spacing w:val="-2"/>
              </w:rPr>
              <w:t xml:space="preserve"> zagospodarowania przestrzennego przyczynią się do adaptacji i </w:t>
            </w:r>
            <w:proofErr w:type="spellStart"/>
            <w:r w:rsidR="00A96B6E" w:rsidRPr="00537CC2">
              <w:rPr>
                <w:rFonts w:ascii="Times New Roman" w:hAnsi="Times New Roman"/>
                <w:spacing w:val="-2"/>
              </w:rPr>
              <w:t>mitygacji</w:t>
            </w:r>
            <w:proofErr w:type="spellEnd"/>
            <w:r w:rsidR="00A96B6E" w:rsidRPr="00537CC2">
              <w:rPr>
                <w:rFonts w:ascii="Times New Roman" w:hAnsi="Times New Roman"/>
                <w:spacing w:val="-2"/>
              </w:rPr>
              <w:t xml:space="preserve"> zmian klimatu.</w:t>
            </w:r>
          </w:p>
          <w:p w14:paraId="2AED5BAF" w14:textId="7654C71A" w:rsidR="00CA3CE0" w:rsidRPr="00537CC2" w:rsidRDefault="00B46202" w:rsidP="00CA3CE0">
            <w:pPr>
              <w:spacing w:line="240" w:lineRule="auto"/>
              <w:jc w:val="both"/>
              <w:rPr>
                <w:rFonts w:ascii="Times New Roman" w:hAnsi="Times New Roman"/>
                <w:spacing w:val="-2"/>
              </w:rPr>
            </w:pPr>
            <w:r>
              <w:rPr>
                <w:rFonts w:ascii="Times New Roman" w:hAnsi="Times New Roman"/>
                <w:spacing w:val="-2"/>
              </w:rPr>
              <w:t>−</w:t>
            </w:r>
            <w:r w:rsidR="005115D8">
              <w:rPr>
                <w:rFonts w:ascii="Times New Roman" w:hAnsi="Times New Roman"/>
                <w:spacing w:val="-2"/>
              </w:rPr>
              <w:t xml:space="preserve"> </w:t>
            </w:r>
            <w:r>
              <w:rPr>
                <w:rFonts w:ascii="Times New Roman" w:hAnsi="Times New Roman"/>
                <w:spacing w:val="-2"/>
              </w:rPr>
              <w:t>w</w:t>
            </w:r>
            <w:r w:rsidR="008A02DB" w:rsidRPr="00537CC2">
              <w:rPr>
                <w:rFonts w:ascii="Times New Roman" w:hAnsi="Times New Roman"/>
                <w:spacing w:val="-2"/>
              </w:rPr>
              <w:t xml:space="preserve">e </w:t>
            </w:r>
            <w:r w:rsidR="00A96B6E" w:rsidRPr="00537CC2">
              <w:rPr>
                <w:rFonts w:ascii="Times New Roman" w:hAnsi="Times New Roman"/>
                <w:spacing w:val="-2"/>
              </w:rPr>
              <w:t xml:space="preserve">Francji </w:t>
            </w:r>
            <w:r w:rsidR="00CA3CE0" w:rsidRPr="00537CC2">
              <w:rPr>
                <w:rFonts w:ascii="Times New Roman" w:hAnsi="Times New Roman"/>
                <w:spacing w:val="-2"/>
              </w:rPr>
              <w:t>na poziomie prawnym wprowadzono obowiązek opracowania Terytorialnego Planu Klimat Energia Powietrze (</w:t>
            </w:r>
            <w:r w:rsidR="00CA3CE0" w:rsidRPr="00E55CB1">
              <w:rPr>
                <w:rFonts w:ascii="Times New Roman" w:hAnsi="Times New Roman"/>
                <w:i/>
                <w:spacing w:val="-2"/>
              </w:rPr>
              <w:t xml:space="preserve">Plan </w:t>
            </w:r>
            <w:proofErr w:type="spellStart"/>
            <w:r w:rsidR="00CA3CE0" w:rsidRPr="00E55CB1">
              <w:rPr>
                <w:rFonts w:ascii="Times New Roman" w:hAnsi="Times New Roman"/>
                <w:i/>
                <w:spacing w:val="-2"/>
              </w:rPr>
              <w:t>Climat</w:t>
            </w:r>
            <w:proofErr w:type="spellEnd"/>
            <w:r w:rsidR="00CA3CE0" w:rsidRPr="00E55CB1">
              <w:rPr>
                <w:rFonts w:ascii="Times New Roman" w:hAnsi="Times New Roman"/>
                <w:i/>
                <w:spacing w:val="-2"/>
              </w:rPr>
              <w:t xml:space="preserve"> </w:t>
            </w:r>
            <w:proofErr w:type="spellStart"/>
            <w:r w:rsidR="00CA3CE0" w:rsidRPr="00E55CB1">
              <w:rPr>
                <w:rFonts w:ascii="Times New Roman" w:hAnsi="Times New Roman"/>
                <w:i/>
                <w:spacing w:val="-2"/>
              </w:rPr>
              <w:t>Air</w:t>
            </w:r>
            <w:proofErr w:type="spellEnd"/>
            <w:r w:rsidR="00CA3CE0" w:rsidRPr="00E55CB1">
              <w:rPr>
                <w:rFonts w:ascii="Times New Roman" w:hAnsi="Times New Roman"/>
                <w:i/>
                <w:spacing w:val="-2"/>
              </w:rPr>
              <w:t xml:space="preserve"> </w:t>
            </w:r>
            <w:proofErr w:type="spellStart"/>
            <w:r w:rsidR="00E35BF5" w:rsidRPr="00E73DBA">
              <w:rPr>
                <w:rFonts w:ascii="Times New Roman" w:hAnsi="Times New Roman"/>
                <w:i/>
                <w:spacing w:val="-2"/>
              </w:rPr>
              <w:t>É</w:t>
            </w:r>
            <w:r w:rsidR="00CA3CE0" w:rsidRPr="00E55CB1">
              <w:rPr>
                <w:rFonts w:ascii="Times New Roman" w:hAnsi="Times New Roman"/>
                <w:i/>
                <w:spacing w:val="-2"/>
              </w:rPr>
              <w:t>nergie</w:t>
            </w:r>
            <w:proofErr w:type="spellEnd"/>
            <w:r w:rsidR="00CA3CE0" w:rsidRPr="00E55CB1">
              <w:rPr>
                <w:rFonts w:ascii="Times New Roman" w:hAnsi="Times New Roman"/>
                <w:i/>
                <w:spacing w:val="-2"/>
              </w:rPr>
              <w:t xml:space="preserve"> </w:t>
            </w:r>
            <w:proofErr w:type="spellStart"/>
            <w:r w:rsidR="00CA3CE0" w:rsidRPr="00E55CB1">
              <w:rPr>
                <w:rFonts w:ascii="Times New Roman" w:hAnsi="Times New Roman"/>
                <w:i/>
                <w:spacing w:val="-2"/>
              </w:rPr>
              <w:t>Territorial</w:t>
            </w:r>
            <w:proofErr w:type="spellEnd"/>
            <w:r w:rsidR="00E366BE">
              <w:rPr>
                <w:rFonts w:ascii="Times New Roman" w:hAnsi="Times New Roman"/>
                <w:i/>
                <w:spacing w:val="-2"/>
              </w:rPr>
              <w:t xml:space="preserve"> </w:t>
            </w:r>
            <w:r w:rsidR="005115D8">
              <w:rPr>
                <w:rFonts w:ascii="Times New Roman" w:hAnsi="Times New Roman"/>
                <w:spacing w:val="-2"/>
              </w:rPr>
              <w:t>–</w:t>
            </w:r>
            <w:r w:rsidR="00CA3CE0" w:rsidRPr="00537CC2">
              <w:rPr>
                <w:rFonts w:ascii="Times New Roman" w:hAnsi="Times New Roman"/>
                <w:spacing w:val="-2"/>
              </w:rPr>
              <w:t xml:space="preserve"> PCAET), uwzględniającego adaptację i </w:t>
            </w:r>
            <w:proofErr w:type="spellStart"/>
            <w:r w:rsidR="00CA3CE0" w:rsidRPr="00537CC2">
              <w:rPr>
                <w:rFonts w:ascii="Times New Roman" w:hAnsi="Times New Roman"/>
                <w:spacing w:val="-2"/>
              </w:rPr>
              <w:t>mitygację</w:t>
            </w:r>
            <w:proofErr w:type="spellEnd"/>
            <w:r w:rsidR="00CA3CE0" w:rsidRPr="00537CC2">
              <w:rPr>
                <w:rFonts w:ascii="Times New Roman" w:hAnsi="Times New Roman"/>
                <w:spacing w:val="-2"/>
              </w:rPr>
              <w:t xml:space="preserve"> zmian klimatu. PCAET musiał zostać przyjęty:</w:t>
            </w:r>
          </w:p>
          <w:p w14:paraId="6EE31500" w14:textId="77777777" w:rsidR="00A627BB" w:rsidRPr="00537CC2" w:rsidRDefault="00CA3CE0" w:rsidP="005C4CF5">
            <w:pPr>
              <w:numPr>
                <w:ilvl w:val="0"/>
                <w:numId w:val="10"/>
              </w:numPr>
              <w:spacing w:line="240" w:lineRule="auto"/>
              <w:jc w:val="both"/>
              <w:rPr>
                <w:rFonts w:ascii="Times New Roman" w:hAnsi="Times New Roman"/>
                <w:spacing w:val="-2"/>
              </w:rPr>
            </w:pPr>
            <w:r w:rsidRPr="00537CC2">
              <w:rPr>
                <w:rFonts w:ascii="Times New Roman" w:hAnsi="Times New Roman"/>
                <w:spacing w:val="-2"/>
              </w:rPr>
              <w:t>do końca 2016 r. przez Metropolię Lyon i publiczne instytucje współpracy międzygminnej z własnym opodatkowaniem istniejące od 1 stycznia 2015 r. i liczące ponad 50 000 mieszkańców;</w:t>
            </w:r>
          </w:p>
          <w:p w14:paraId="18A98555" w14:textId="77777777" w:rsidR="00A627BB" w:rsidRPr="00537CC2" w:rsidRDefault="00CA3CE0" w:rsidP="005C4CF5">
            <w:pPr>
              <w:numPr>
                <w:ilvl w:val="0"/>
                <w:numId w:val="10"/>
              </w:numPr>
              <w:spacing w:line="240" w:lineRule="auto"/>
              <w:jc w:val="both"/>
              <w:rPr>
                <w:rFonts w:ascii="Times New Roman" w:hAnsi="Times New Roman"/>
                <w:spacing w:val="-2"/>
              </w:rPr>
            </w:pPr>
            <w:r w:rsidRPr="00537CC2">
              <w:rPr>
                <w:rFonts w:ascii="Times New Roman" w:hAnsi="Times New Roman"/>
                <w:spacing w:val="-2"/>
              </w:rPr>
              <w:t>do końca 2018 r. przez publiczne zakłady współpracy międzygminnej z własnym systemem podatkowym, zrzeszające ponad 20 000 mieszkańców lub w ciągu dwóch lat od ich utworzenia, lub od dnia przekroczenia progu 20 000 mieszkańców.</w:t>
            </w:r>
          </w:p>
          <w:p w14:paraId="3A6CC9BF" w14:textId="61587CD7" w:rsidR="00A96B6E" w:rsidRPr="00537CC2" w:rsidRDefault="00B46202" w:rsidP="00A627BB">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w:t>
            </w:r>
            <w:r>
              <w:rPr>
                <w:rFonts w:ascii="Times New Roman" w:hAnsi="Times New Roman"/>
                <w:spacing w:val="-2"/>
              </w:rPr>
              <w:t>w</w:t>
            </w:r>
            <w:r w:rsidR="008A02DB" w:rsidRPr="00537CC2">
              <w:rPr>
                <w:rFonts w:ascii="Times New Roman" w:hAnsi="Times New Roman"/>
                <w:spacing w:val="-2"/>
              </w:rPr>
              <w:t xml:space="preserve"> </w:t>
            </w:r>
            <w:r w:rsidR="00A96B6E" w:rsidRPr="00537CC2">
              <w:rPr>
                <w:rFonts w:ascii="Times New Roman" w:hAnsi="Times New Roman"/>
                <w:spacing w:val="-2"/>
              </w:rPr>
              <w:t>Danii od 2013 r. samorządy miejskie miały uwzględniać adaptację do zmian klimatu w miejskich planach zagospodarowania przestrzennego. Od lutego 2018 r. wymóg ten został włączony do prawa krajowego dotyczącego planowania przestrzennego.</w:t>
            </w:r>
          </w:p>
          <w:p w14:paraId="7A84833E" w14:textId="723551E9" w:rsidR="00A96B6E" w:rsidRPr="00537CC2" w:rsidRDefault="00B46202" w:rsidP="007A2509">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w:t>
            </w:r>
            <w:r>
              <w:rPr>
                <w:rFonts w:ascii="Times New Roman" w:hAnsi="Times New Roman"/>
                <w:spacing w:val="-2"/>
              </w:rPr>
              <w:t>o</w:t>
            </w:r>
            <w:r w:rsidR="008A02DB" w:rsidRPr="00537CC2">
              <w:rPr>
                <w:rFonts w:ascii="Times New Roman" w:hAnsi="Times New Roman"/>
                <w:spacing w:val="-2"/>
              </w:rPr>
              <w:t xml:space="preserve">d </w:t>
            </w:r>
            <w:r w:rsidR="00A96B6E" w:rsidRPr="00537CC2">
              <w:rPr>
                <w:rFonts w:ascii="Times New Roman" w:hAnsi="Times New Roman"/>
                <w:spacing w:val="-2"/>
              </w:rPr>
              <w:t>2018 r. w Szwecji wszystkie miasta muszą posiadać kompleksowy plan uwzględniający ocenę ryzyka wystąpienia szkód w obszarach zabudowanych</w:t>
            </w:r>
            <w:r w:rsidR="002214E0" w:rsidRPr="00537CC2">
              <w:rPr>
                <w:rFonts w:ascii="Times New Roman" w:hAnsi="Times New Roman"/>
                <w:spacing w:val="-2"/>
              </w:rPr>
              <w:t>,</w:t>
            </w:r>
            <w:r w:rsidR="00A96B6E" w:rsidRPr="00537CC2">
              <w:rPr>
                <w:rFonts w:ascii="Times New Roman" w:hAnsi="Times New Roman"/>
                <w:spacing w:val="-2"/>
              </w:rPr>
              <w:t xml:space="preserve"> spowodowanych zdarzeniami związanymi z klimatem, takimi jak powodzie, erozja lub osuwanie się ziemi. Plan powinien również zawierać proponowane sposoby ograniczenia lub wyeliminowania takiego ryzyka.</w:t>
            </w:r>
          </w:p>
          <w:p w14:paraId="48ABE014" w14:textId="4528714D" w:rsidR="00543154" w:rsidRPr="00537CC2" w:rsidRDefault="00B46202" w:rsidP="00543154">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w:t>
            </w:r>
            <w:r>
              <w:rPr>
                <w:rFonts w:ascii="Times New Roman" w:hAnsi="Times New Roman"/>
                <w:spacing w:val="-2"/>
              </w:rPr>
              <w:t>w</w:t>
            </w:r>
            <w:r w:rsidR="008A02DB" w:rsidRPr="00537CC2">
              <w:rPr>
                <w:rFonts w:ascii="Times New Roman" w:hAnsi="Times New Roman"/>
                <w:spacing w:val="-2"/>
              </w:rPr>
              <w:t xml:space="preserve"> </w:t>
            </w:r>
            <w:r w:rsidR="00543154" w:rsidRPr="00537CC2">
              <w:rPr>
                <w:rFonts w:ascii="Times New Roman" w:hAnsi="Times New Roman"/>
                <w:spacing w:val="-2"/>
              </w:rPr>
              <w:t xml:space="preserve">Niemczech nie jest dozwolone odprowadzanie wód opadowych do kanalizacji ściekowej. Wody te są zagospodarowywane </w:t>
            </w:r>
            <w:r w:rsidR="00444E02">
              <w:rPr>
                <w:rFonts w:ascii="Times New Roman" w:hAnsi="Times New Roman"/>
                <w:spacing w:val="-2"/>
              </w:rPr>
              <w:t>na</w:t>
            </w:r>
            <w:r w:rsidR="00543154" w:rsidRPr="00537CC2">
              <w:rPr>
                <w:rFonts w:ascii="Times New Roman" w:hAnsi="Times New Roman"/>
                <w:spacing w:val="-2"/>
              </w:rPr>
              <w:t xml:space="preserve"> terenach zieleni, na dachach, w zbiornikach podziemnych.</w:t>
            </w:r>
            <w:r w:rsidR="00543154" w:rsidRPr="00A10E27">
              <w:t xml:space="preserve"> </w:t>
            </w:r>
            <w:r w:rsidR="00543154" w:rsidRPr="00537CC2">
              <w:rPr>
                <w:rFonts w:ascii="Times New Roman" w:hAnsi="Times New Roman"/>
                <w:spacing w:val="-2"/>
              </w:rPr>
              <w:t xml:space="preserve">W Niemczech zazwyczaj (w zależności od landu) pobierana jest opłata za powierzchnie niechłonne takie jak dachy czy wybrukowane chodniki, z których odpływ kierowany jest do sieci kanalizacyjnej i </w:t>
            </w:r>
            <w:r w:rsidR="00604139" w:rsidRPr="00537CC2">
              <w:rPr>
                <w:rFonts w:ascii="Times New Roman" w:hAnsi="Times New Roman"/>
                <w:spacing w:val="-2"/>
              </w:rPr>
              <w:t xml:space="preserve">w przeliczeniu </w:t>
            </w:r>
            <w:r w:rsidR="00543154" w:rsidRPr="00537CC2">
              <w:rPr>
                <w:rFonts w:ascii="Times New Roman" w:hAnsi="Times New Roman"/>
                <w:spacing w:val="-2"/>
              </w:rPr>
              <w:t>podlega opłacie ok</w:t>
            </w:r>
            <w:r w:rsidR="008A02DB" w:rsidRPr="00537CC2">
              <w:rPr>
                <w:rFonts w:ascii="Times New Roman" w:hAnsi="Times New Roman"/>
                <w:spacing w:val="-2"/>
              </w:rPr>
              <w:t>.</w:t>
            </w:r>
            <w:r w:rsidR="00543154" w:rsidRPr="00537CC2">
              <w:rPr>
                <w:rFonts w:ascii="Times New Roman" w:hAnsi="Times New Roman"/>
                <w:spacing w:val="-2"/>
              </w:rPr>
              <w:t xml:space="preserve"> 10 zł za m</w:t>
            </w:r>
            <w:r w:rsidR="00543154" w:rsidRPr="00537CC2">
              <w:rPr>
                <w:rFonts w:ascii="Times New Roman" w:hAnsi="Times New Roman"/>
                <w:spacing w:val="-2"/>
                <w:vertAlign w:val="superscript"/>
              </w:rPr>
              <w:t>2</w:t>
            </w:r>
            <w:r w:rsidR="00543154" w:rsidRPr="00537CC2">
              <w:rPr>
                <w:rFonts w:ascii="Times New Roman" w:hAnsi="Times New Roman"/>
                <w:spacing w:val="-2"/>
              </w:rPr>
              <w:t xml:space="preserve"> rocznie.</w:t>
            </w:r>
          </w:p>
          <w:p w14:paraId="04C0312B" w14:textId="0BBE9082" w:rsidR="00543154" w:rsidRPr="00537CC2" w:rsidRDefault="00444E02" w:rsidP="00543154">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w:t>
            </w:r>
            <w:r>
              <w:rPr>
                <w:rFonts w:ascii="Times New Roman" w:hAnsi="Times New Roman"/>
                <w:spacing w:val="-2"/>
              </w:rPr>
              <w:t>w</w:t>
            </w:r>
            <w:r w:rsidR="008A02DB" w:rsidRPr="00537CC2">
              <w:rPr>
                <w:rFonts w:ascii="Times New Roman" w:hAnsi="Times New Roman"/>
                <w:spacing w:val="-2"/>
              </w:rPr>
              <w:t xml:space="preserve"> </w:t>
            </w:r>
            <w:r w:rsidR="00543154" w:rsidRPr="00537CC2">
              <w:rPr>
                <w:rFonts w:ascii="Times New Roman" w:hAnsi="Times New Roman"/>
                <w:spacing w:val="-2"/>
              </w:rPr>
              <w:t>USA np. miasto Richmond w stanie Virginia pobiera opłatę za jednostki ERU (</w:t>
            </w:r>
            <w:proofErr w:type="spellStart"/>
            <w:r w:rsidR="00543154" w:rsidRPr="00240634">
              <w:rPr>
                <w:rFonts w:ascii="Times New Roman" w:hAnsi="Times New Roman"/>
                <w:i/>
                <w:iCs/>
                <w:spacing w:val="-2"/>
              </w:rPr>
              <w:t>Equivalent</w:t>
            </w:r>
            <w:proofErr w:type="spellEnd"/>
            <w:r w:rsidR="00543154" w:rsidRPr="00240634">
              <w:rPr>
                <w:rFonts w:ascii="Times New Roman" w:hAnsi="Times New Roman"/>
                <w:i/>
                <w:iCs/>
                <w:spacing w:val="-2"/>
              </w:rPr>
              <w:t xml:space="preserve"> Residential</w:t>
            </w:r>
            <w:r w:rsidR="00543154" w:rsidRPr="00537CC2">
              <w:rPr>
                <w:rFonts w:ascii="Times New Roman" w:hAnsi="Times New Roman"/>
                <w:spacing w:val="-2"/>
              </w:rPr>
              <w:t xml:space="preserve"> </w:t>
            </w:r>
            <w:proofErr w:type="spellStart"/>
            <w:r w:rsidR="00543154" w:rsidRPr="00240634">
              <w:rPr>
                <w:rFonts w:ascii="Times New Roman" w:hAnsi="Times New Roman"/>
                <w:i/>
                <w:iCs/>
                <w:spacing w:val="-2"/>
              </w:rPr>
              <w:t>Units</w:t>
            </w:r>
            <w:proofErr w:type="spellEnd"/>
            <w:r w:rsidR="00543154" w:rsidRPr="00537CC2">
              <w:rPr>
                <w:rFonts w:ascii="Times New Roman" w:hAnsi="Times New Roman"/>
                <w:spacing w:val="-2"/>
              </w:rPr>
              <w:t xml:space="preserve">), które są wypadkową różnych rodzajów powierzchni znajdujących się na nieruchomości niezamieszkałej. Natomiast dla budynków zamieszkanych wprowadzono inny system (SFR – </w:t>
            </w:r>
            <w:r w:rsidR="00543154" w:rsidRPr="00240634">
              <w:rPr>
                <w:rFonts w:ascii="Times New Roman" w:hAnsi="Times New Roman"/>
                <w:i/>
                <w:iCs/>
                <w:spacing w:val="-2"/>
              </w:rPr>
              <w:t>Single Family Residential</w:t>
            </w:r>
            <w:r w:rsidR="00543154" w:rsidRPr="00537CC2">
              <w:rPr>
                <w:rFonts w:ascii="Times New Roman" w:hAnsi="Times New Roman"/>
                <w:spacing w:val="-2"/>
              </w:rPr>
              <w:t>), zależny od powierzchni działki ze sztywnymi rosnącymi taryfami dla trzech przedziałów powierzchni nieruchomości zamieszkałych</w:t>
            </w:r>
            <w:r w:rsidR="00E92D1E" w:rsidRPr="00537CC2">
              <w:rPr>
                <w:rFonts w:ascii="Times New Roman" w:hAnsi="Times New Roman"/>
                <w:spacing w:val="-2"/>
              </w:rPr>
              <w:t>.</w:t>
            </w:r>
          </w:p>
          <w:p w14:paraId="73E779A9" w14:textId="108E46E6" w:rsidR="00543154" w:rsidRPr="00537CC2" w:rsidRDefault="00444E02" w:rsidP="00543154">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Kopenhaga przyjęła w 2011 r. Kopenhaski Plan Adaptacji do zmian Klimatu (</w:t>
            </w:r>
            <w:proofErr w:type="spellStart"/>
            <w:r w:rsidR="00543154" w:rsidRPr="00240634">
              <w:rPr>
                <w:rFonts w:ascii="Times New Roman" w:hAnsi="Times New Roman"/>
                <w:i/>
                <w:iCs/>
                <w:spacing w:val="-2"/>
              </w:rPr>
              <w:t>Copenhagen</w:t>
            </w:r>
            <w:proofErr w:type="spellEnd"/>
            <w:r w:rsidR="00543154" w:rsidRPr="00240634">
              <w:rPr>
                <w:rFonts w:ascii="Times New Roman" w:hAnsi="Times New Roman"/>
                <w:i/>
                <w:iCs/>
                <w:spacing w:val="-2"/>
              </w:rPr>
              <w:t xml:space="preserve"> </w:t>
            </w:r>
            <w:proofErr w:type="spellStart"/>
            <w:r w:rsidR="00543154" w:rsidRPr="00240634">
              <w:rPr>
                <w:rFonts w:ascii="Times New Roman" w:hAnsi="Times New Roman"/>
                <w:i/>
                <w:iCs/>
                <w:spacing w:val="-2"/>
              </w:rPr>
              <w:t>Climate</w:t>
            </w:r>
            <w:proofErr w:type="spellEnd"/>
            <w:r w:rsidR="00543154" w:rsidRPr="00240634">
              <w:rPr>
                <w:rFonts w:ascii="Times New Roman" w:hAnsi="Times New Roman"/>
                <w:i/>
                <w:iCs/>
                <w:spacing w:val="-2"/>
              </w:rPr>
              <w:t xml:space="preserve"> Adaptation Plan</w:t>
            </w:r>
            <w:r w:rsidR="00543154" w:rsidRPr="00537CC2">
              <w:rPr>
                <w:rFonts w:ascii="Times New Roman" w:hAnsi="Times New Roman"/>
                <w:spacing w:val="-2"/>
              </w:rPr>
              <w:t>),</w:t>
            </w:r>
            <w:r w:rsidR="005115D8">
              <w:rPr>
                <w:rFonts w:ascii="Times New Roman" w:hAnsi="Times New Roman"/>
                <w:spacing w:val="-2"/>
              </w:rPr>
              <w:t xml:space="preserve"> </w:t>
            </w:r>
            <w:r w:rsidR="00543154" w:rsidRPr="00537CC2">
              <w:rPr>
                <w:rFonts w:ascii="Times New Roman" w:hAnsi="Times New Roman"/>
                <w:spacing w:val="-2"/>
              </w:rPr>
              <w:t xml:space="preserve">uzupełniony planem </w:t>
            </w:r>
            <w:proofErr w:type="spellStart"/>
            <w:r w:rsidR="00543154" w:rsidRPr="00240634">
              <w:rPr>
                <w:rFonts w:ascii="Times New Roman" w:hAnsi="Times New Roman"/>
                <w:i/>
                <w:iCs/>
                <w:spacing w:val="-2"/>
              </w:rPr>
              <w:t>Cloudburst</w:t>
            </w:r>
            <w:proofErr w:type="spellEnd"/>
            <w:r w:rsidR="00543154" w:rsidRPr="00240634">
              <w:rPr>
                <w:rFonts w:ascii="Times New Roman" w:hAnsi="Times New Roman"/>
                <w:i/>
                <w:iCs/>
                <w:spacing w:val="-2"/>
              </w:rPr>
              <w:t xml:space="preserve"> Management Plan</w:t>
            </w:r>
            <w:r w:rsidR="00543154" w:rsidRPr="00537CC2">
              <w:rPr>
                <w:rFonts w:ascii="Times New Roman" w:hAnsi="Times New Roman"/>
                <w:spacing w:val="-2"/>
              </w:rPr>
              <w:t xml:space="preserve"> (2012). Plan ten dzieli miasto na siedem obszarów – zlewni, a</w:t>
            </w:r>
            <w:r w:rsidR="008A02DB" w:rsidRPr="00537CC2">
              <w:rPr>
                <w:rFonts w:ascii="Times New Roman" w:hAnsi="Times New Roman"/>
                <w:spacing w:val="-2"/>
              </w:rPr>
              <w:t> </w:t>
            </w:r>
            <w:r w:rsidR="00543154" w:rsidRPr="00537CC2">
              <w:rPr>
                <w:rFonts w:ascii="Times New Roman" w:hAnsi="Times New Roman"/>
                <w:spacing w:val="-2"/>
              </w:rPr>
              <w:t>szczegółowe plany dla każdego obszaru stanowią podstawę prac oraz lokalnego dialogu z mieszkańcami i</w:t>
            </w:r>
            <w:r w:rsidR="008A02DB" w:rsidRPr="00537CC2">
              <w:rPr>
                <w:rFonts w:ascii="Times New Roman" w:hAnsi="Times New Roman"/>
                <w:spacing w:val="-2"/>
              </w:rPr>
              <w:t> </w:t>
            </w:r>
            <w:r w:rsidR="00543154" w:rsidRPr="00537CC2">
              <w:rPr>
                <w:rFonts w:ascii="Times New Roman" w:hAnsi="Times New Roman"/>
                <w:spacing w:val="-2"/>
              </w:rPr>
              <w:t xml:space="preserve">zainteresowanymi stronami. Kopenhaga podjęła współpracę z przedsiębiorstwem wodociągowym nad kompleksową restrukturyzacją systemu drenażowego w mieście (w tym </w:t>
            </w:r>
            <w:proofErr w:type="spellStart"/>
            <w:r w:rsidR="00543154" w:rsidRPr="00537CC2">
              <w:rPr>
                <w:rFonts w:ascii="Times New Roman" w:hAnsi="Times New Roman"/>
                <w:spacing w:val="-2"/>
              </w:rPr>
              <w:t>Mitygacja</w:t>
            </w:r>
            <w:proofErr w:type="spellEnd"/>
            <w:r w:rsidR="00543154" w:rsidRPr="00537CC2">
              <w:rPr>
                <w:rFonts w:ascii="Times New Roman" w:hAnsi="Times New Roman"/>
                <w:spacing w:val="-2"/>
              </w:rPr>
              <w:t xml:space="preserve"> i adaptacja do zmian klimatu w planowaniu przestrzennym oddzieleniem wody deszczowej od ścieków) i systemem ulicznym, w celu przekształcenia dróg w rzeki w</w:t>
            </w:r>
            <w:r w:rsidR="00774F09">
              <w:rPr>
                <w:rFonts w:ascii="Times New Roman" w:hAnsi="Times New Roman"/>
                <w:spacing w:val="-2"/>
              </w:rPr>
              <w:t> </w:t>
            </w:r>
            <w:r w:rsidR="00543154" w:rsidRPr="00537CC2">
              <w:rPr>
                <w:rFonts w:ascii="Times New Roman" w:hAnsi="Times New Roman"/>
                <w:spacing w:val="-2"/>
              </w:rPr>
              <w:t>przypadku ekstremalnego deszczu, które mają kierować wodę do zbiorników retencyjnych. Ponadto, Kopenhaga zauważa znaczenie terenów zieleni, które stanowią element Systemu Zrównoważonego Drenażu Miejskiego. W celu przeciwdziałania przedostawaniu się wód opadowych do kanalizacji ściekowej, powstają zielone ogrody i dachy. Miasto opracowało również program finansowania zarządzania wodą opadową. Główna infrastruktura odprowadzania wód opadowych (system odwadniania) jest finansowana z pobranych opłat za wodę od przedsiębiorstw użyteczności publicznej, a opłaty są kontrolowane i regulowane przez władze lokalne.</w:t>
            </w:r>
          </w:p>
          <w:p w14:paraId="12333BA3" w14:textId="33B737DF" w:rsidR="00543154" w:rsidRPr="00537CC2" w:rsidRDefault="00444E02" w:rsidP="00543154">
            <w:pPr>
              <w:spacing w:line="240" w:lineRule="auto"/>
              <w:jc w:val="both"/>
              <w:rPr>
                <w:rFonts w:ascii="Times New Roman" w:hAnsi="Times New Roman"/>
                <w:spacing w:val="-2"/>
              </w:rPr>
            </w:pPr>
            <w:r>
              <w:rPr>
                <w:rFonts w:ascii="Times New Roman" w:hAnsi="Times New Roman"/>
                <w:spacing w:val="-2"/>
              </w:rPr>
              <w:t>−</w:t>
            </w:r>
            <w:r w:rsidR="00543154" w:rsidRPr="00537CC2">
              <w:rPr>
                <w:rFonts w:ascii="Times New Roman" w:hAnsi="Times New Roman"/>
                <w:spacing w:val="-2"/>
              </w:rPr>
              <w:t xml:space="preserve"> </w:t>
            </w:r>
            <w:r>
              <w:rPr>
                <w:rFonts w:ascii="Times New Roman" w:hAnsi="Times New Roman"/>
                <w:spacing w:val="-2"/>
              </w:rPr>
              <w:t>w</w:t>
            </w:r>
            <w:r w:rsidR="00543154" w:rsidRPr="00537CC2">
              <w:rPr>
                <w:rFonts w:ascii="Times New Roman" w:hAnsi="Times New Roman"/>
                <w:spacing w:val="-2"/>
              </w:rPr>
              <w:t xml:space="preserve"> Rotterdam</w:t>
            </w:r>
            <w:r w:rsidR="008A02DB" w:rsidRPr="00537CC2">
              <w:rPr>
                <w:rFonts w:ascii="Times New Roman" w:hAnsi="Times New Roman"/>
                <w:spacing w:val="-2"/>
              </w:rPr>
              <w:t>ie</w:t>
            </w:r>
            <w:r w:rsidR="00543154" w:rsidRPr="00537CC2">
              <w:rPr>
                <w:rFonts w:ascii="Times New Roman" w:hAnsi="Times New Roman"/>
                <w:spacing w:val="-2"/>
              </w:rPr>
              <w:t xml:space="preserve"> w 2013 r. została opracowana strategia adaptacji do zmian klimatu. Podstawowym założeniem strategii jest to, aby kwestia adaptacji do zmian klimatu była uwzględniana w planowaniu przestrzennym. Celami strategii jest ochrona przed powodziami, nawalnymi deszczami czy wzrostem poziomu morza. Ponadto Rotterdam zbudował magazyny wody, w tym podziemny magazyn wody na parkingu </w:t>
            </w:r>
            <w:proofErr w:type="spellStart"/>
            <w:r w:rsidR="00543154" w:rsidRPr="00537CC2">
              <w:rPr>
                <w:rFonts w:ascii="Times New Roman" w:hAnsi="Times New Roman"/>
                <w:spacing w:val="-2"/>
              </w:rPr>
              <w:t>Museumpark</w:t>
            </w:r>
            <w:proofErr w:type="spellEnd"/>
            <w:r w:rsidR="00543154" w:rsidRPr="00537CC2">
              <w:rPr>
                <w:rFonts w:ascii="Times New Roman" w:hAnsi="Times New Roman"/>
                <w:spacing w:val="-2"/>
              </w:rPr>
              <w:t xml:space="preserve"> o pojemności 10 </w:t>
            </w:r>
            <w:r w:rsidR="00DC480E" w:rsidRPr="00537CC2">
              <w:rPr>
                <w:rFonts w:ascii="Times New Roman" w:hAnsi="Times New Roman"/>
                <w:spacing w:val="-2"/>
              </w:rPr>
              <w:t xml:space="preserve">tys. </w:t>
            </w:r>
            <w:r w:rsidR="00543154" w:rsidRPr="00537CC2">
              <w:rPr>
                <w:rFonts w:ascii="Times New Roman" w:hAnsi="Times New Roman"/>
                <w:spacing w:val="-2"/>
              </w:rPr>
              <w:t>m</w:t>
            </w:r>
            <w:r w:rsidR="00543154" w:rsidRPr="00537CC2">
              <w:rPr>
                <w:rFonts w:ascii="Times New Roman" w:hAnsi="Times New Roman"/>
                <w:spacing w:val="-2"/>
                <w:vertAlign w:val="superscript"/>
              </w:rPr>
              <w:t>3</w:t>
            </w:r>
            <w:r w:rsidR="00543154" w:rsidRPr="00537CC2">
              <w:rPr>
                <w:rFonts w:ascii="Times New Roman" w:hAnsi="Times New Roman"/>
                <w:spacing w:val="-2"/>
              </w:rPr>
              <w:t>. Inwestuje także w zakładanie zielonych dachów. Dąży też do zatrzymywania wody w miejscu jej opadu.</w:t>
            </w:r>
          </w:p>
          <w:p w14:paraId="52839DC7" w14:textId="77777777" w:rsidR="00A84D6C" w:rsidRPr="00537CC2" w:rsidRDefault="00E85414" w:rsidP="007A2509">
            <w:pPr>
              <w:spacing w:line="240" w:lineRule="auto"/>
              <w:jc w:val="both"/>
              <w:rPr>
                <w:rFonts w:ascii="Times New Roman" w:hAnsi="Times New Roman"/>
                <w:bCs/>
                <w:spacing w:val="-2"/>
              </w:rPr>
            </w:pPr>
            <w:r w:rsidRPr="00537CC2">
              <w:rPr>
                <w:rFonts w:ascii="Times New Roman" w:hAnsi="Times New Roman"/>
                <w:bCs/>
                <w:spacing w:val="-2"/>
              </w:rPr>
              <w:t xml:space="preserve">Zazielenianie przestrzeni miejskiej jest jednym z kluczowych elementów dla zwiększenia adaptacyjności miasta do zmian klimatu; niektóre miasta decydują się nawet na przygotowywanie miejskich </w:t>
            </w:r>
            <w:r w:rsidR="00AA0F5D" w:rsidRPr="00537CC2">
              <w:rPr>
                <w:rFonts w:ascii="Times New Roman" w:hAnsi="Times New Roman"/>
                <w:bCs/>
                <w:spacing w:val="-2"/>
              </w:rPr>
              <w:t>plan</w:t>
            </w:r>
            <w:r w:rsidRPr="00537CC2">
              <w:rPr>
                <w:rFonts w:ascii="Times New Roman" w:hAnsi="Times New Roman"/>
                <w:bCs/>
                <w:spacing w:val="-2"/>
              </w:rPr>
              <w:t>ów</w:t>
            </w:r>
            <w:r w:rsidR="00AA0F5D" w:rsidRPr="00537CC2">
              <w:rPr>
                <w:rFonts w:ascii="Times New Roman" w:hAnsi="Times New Roman"/>
                <w:bCs/>
                <w:spacing w:val="-2"/>
              </w:rPr>
              <w:t xml:space="preserve"> zazielenienia</w:t>
            </w:r>
            <w:r w:rsidR="005B51A8" w:rsidRPr="00537CC2">
              <w:rPr>
                <w:rStyle w:val="Odwoanieprzypisudolnego"/>
                <w:rFonts w:ascii="Times New Roman" w:hAnsi="Times New Roman"/>
                <w:bCs/>
                <w:spacing w:val="-2"/>
              </w:rPr>
              <w:footnoteReference w:id="4"/>
            </w:r>
            <w:r w:rsidR="007C300E" w:rsidRPr="00537CC2">
              <w:rPr>
                <w:rFonts w:ascii="Times New Roman" w:hAnsi="Times New Roman"/>
                <w:bCs/>
                <w:spacing w:val="-2"/>
                <w:vertAlign w:val="superscript"/>
              </w:rPr>
              <w:t>)</w:t>
            </w:r>
            <w:r w:rsidRPr="00537CC2">
              <w:rPr>
                <w:rFonts w:ascii="Times New Roman" w:hAnsi="Times New Roman"/>
                <w:bCs/>
                <w:spacing w:val="-2"/>
              </w:rPr>
              <w:t>:</w:t>
            </w:r>
          </w:p>
          <w:p w14:paraId="1E48B2A9" w14:textId="16E72BC6" w:rsidR="00AA0F5D" w:rsidRPr="00A10E27" w:rsidRDefault="00444E02" w:rsidP="007A2509">
            <w:pPr>
              <w:spacing w:line="240" w:lineRule="auto"/>
              <w:jc w:val="both"/>
              <w:rPr>
                <w:rFonts w:ascii="Times New Roman" w:eastAsia="Times New Roman" w:hAnsi="Times New Roman"/>
                <w:lang w:eastAsia="pl-PL"/>
              </w:rPr>
            </w:pPr>
            <w:r>
              <w:rPr>
                <w:rFonts w:ascii="Times New Roman" w:eastAsia="Times New Roman" w:hAnsi="Times New Roman"/>
                <w:bCs/>
                <w:lang w:eastAsia="pl-PL"/>
              </w:rPr>
              <w:t>−</w:t>
            </w:r>
            <w:r w:rsidR="007C300E" w:rsidRPr="00A10E27">
              <w:rPr>
                <w:rFonts w:ascii="Times New Roman" w:eastAsia="Times New Roman" w:hAnsi="Times New Roman"/>
                <w:bCs/>
                <w:lang w:eastAsia="pl-PL"/>
              </w:rPr>
              <w:t xml:space="preserve"> </w:t>
            </w:r>
            <w:r w:rsidR="00AA0F5D" w:rsidRPr="00A10E27">
              <w:rPr>
                <w:rFonts w:ascii="Times New Roman" w:eastAsia="Times New Roman" w:hAnsi="Times New Roman"/>
                <w:bCs/>
                <w:lang w:eastAsia="pl-PL"/>
              </w:rPr>
              <w:t xml:space="preserve">Barcelona </w:t>
            </w:r>
            <w:proofErr w:type="spellStart"/>
            <w:r w:rsidR="00AA0F5D" w:rsidRPr="00A10E27">
              <w:rPr>
                <w:rFonts w:ascii="Times New Roman" w:eastAsia="Times New Roman" w:hAnsi="Times New Roman"/>
                <w:bCs/>
                <w:lang w:eastAsia="pl-PL"/>
              </w:rPr>
              <w:t>green</w:t>
            </w:r>
            <w:proofErr w:type="spellEnd"/>
            <w:r w:rsidR="00AA0F5D" w:rsidRPr="00A10E27">
              <w:rPr>
                <w:rFonts w:ascii="Times New Roman" w:eastAsia="Times New Roman" w:hAnsi="Times New Roman"/>
                <w:bCs/>
                <w:lang w:eastAsia="pl-PL"/>
              </w:rPr>
              <w:t xml:space="preserve"> </w:t>
            </w:r>
            <w:proofErr w:type="spellStart"/>
            <w:r w:rsidR="00AA0F5D" w:rsidRPr="00A10E27">
              <w:rPr>
                <w:rFonts w:ascii="Times New Roman" w:eastAsia="Times New Roman" w:hAnsi="Times New Roman"/>
                <w:bCs/>
                <w:lang w:eastAsia="pl-PL"/>
              </w:rPr>
              <w:t>infrastructure</w:t>
            </w:r>
            <w:proofErr w:type="spellEnd"/>
            <w:r w:rsidR="00AA0F5D" w:rsidRPr="00A10E27">
              <w:rPr>
                <w:rFonts w:ascii="Times New Roman" w:eastAsia="Times New Roman" w:hAnsi="Times New Roman"/>
                <w:bCs/>
                <w:lang w:eastAsia="pl-PL"/>
              </w:rPr>
              <w:t xml:space="preserve"> and </w:t>
            </w:r>
            <w:proofErr w:type="spellStart"/>
            <w:r w:rsidR="00AA0F5D" w:rsidRPr="00A10E27">
              <w:rPr>
                <w:rFonts w:ascii="Times New Roman" w:eastAsia="Times New Roman" w:hAnsi="Times New Roman"/>
                <w:bCs/>
                <w:lang w:eastAsia="pl-PL"/>
              </w:rPr>
              <w:t>biodiversity</w:t>
            </w:r>
            <w:proofErr w:type="spellEnd"/>
            <w:r w:rsidR="00AA0F5D" w:rsidRPr="00A10E27">
              <w:rPr>
                <w:rFonts w:ascii="Times New Roman" w:eastAsia="Times New Roman" w:hAnsi="Times New Roman"/>
                <w:bCs/>
                <w:lang w:eastAsia="pl-PL"/>
              </w:rPr>
              <w:t xml:space="preserve"> plan 2020</w:t>
            </w:r>
            <w:r w:rsidR="007E3B84" w:rsidRPr="00A10E27">
              <w:rPr>
                <w:rFonts w:ascii="Times New Roman" w:eastAsia="Times New Roman" w:hAnsi="Times New Roman"/>
                <w:lang w:eastAsia="pl-PL"/>
              </w:rPr>
              <w:t xml:space="preserve"> – plan został opracowany w d</w:t>
            </w:r>
            <w:r w:rsidR="005B51A8" w:rsidRPr="00A10E27">
              <w:rPr>
                <w:rFonts w:ascii="Times New Roman" w:eastAsia="Times New Roman" w:hAnsi="Times New Roman"/>
                <w:lang w:eastAsia="pl-PL"/>
              </w:rPr>
              <w:t>wó</w:t>
            </w:r>
            <w:r w:rsidR="007E3B84" w:rsidRPr="00A10E27">
              <w:rPr>
                <w:rFonts w:ascii="Times New Roman" w:eastAsia="Times New Roman" w:hAnsi="Times New Roman"/>
                <w:lang w:eastAsia="pl-PL"/>
              </w:rPr>
              <w:t xml:space="preserve">ch zasadniczych etapach: </w:t>
            </w:r>
            <w:r w:rsidR="005B51A8" w:rsidRPr="00A10E27">
              <w:rPr>
                <w:rFonts w:ascii="Times New Roman" w:eastAsia="Times New Roman" w:hAnsi="Times New Roman"/>
                <w:lang w:eastAsia="pl-PL"/>
              </w:rPr>
              <w:t>diagnozy</w:t>
            </w:r>
            <w:r w:rsidR="007E3B84" w:rsidRPr="00A10E27">
              <w:rPr>
                <w:rFonts w:ascii="Times New Roman" w:eastAsia="Times New Roman" w:hAnsi="Times New Roman"/>
                <w:lang w:eastAsia="pl-PL"/>
              </w:rPr>
              <w:t xml:space="preserve"> (stan bioróżnorodności oraz stan zielonej infrastruktury</w:t>
            </w:r>
            <w:r w:rsidR="005B51A8" w:rsidRPr="00A10E27">
              <w:rPr>
                <w:rFonts w:ascii="Times New Roman" w:eastAsia="Times New Roman" w:hAnsi="Times New Roman"/>
                <w:lang w:eastAsia="pl-PL"/>
              </w:rPr>
              <w:t>)</w:t>
            </w:r>
            <w:r w:rsidR="007E3B84" w:rsidRPr="00A10E27">
              <w:rPr>
                <w:rFonts w:ascii="Times New Roman" w:eastAsia="Times New Roman" w:hAnsi="Times New Roman"/>
                <w:lang w:eastAsia="pl-PL"/>
              </w:rPr>
              <w:t xml:space="preserve"> oraz planu działań, poprzedzonego wizją. W planie zostały także przedstawione działania strategiczne. </w:t>
            </w:r>
            <w:r w:rsidR="005B51A8" w:rsidRPr="00A10E27">
              <w:rPr>
                <w:rFonts w:ascii="Times New Roman" w:eastAsia="Times New Roman" w:hAnsi="Times New Roman"/>
                <w:lang w:eastAsia="pl-PL"/>
              </w:rPr>
              <w:t>Dokument przewiduje długofalowe działania na rzecz osiągnięcia infrastruktury ekologicznej, przynoszącej korzyści ludziom</w:t>
            </w:r>
            <w:r w:rsidR="00B23861" w:rsidRPr="00A10E27">
              <w:rPr>
                <w:rFonts w:ascii="Times New Roman" w:eastAsia="Times New Roman" w:hAnsi="Times New Roman"/>
                <w:lang w:eastAsia="pl-PL"/>
              </w:rPr>
              <w:t>.</w:t>
            </w:r>
          </w:p>
          <w:p w14:paraId="65FACF4A" w14:textId="3D870287" w:rsidR="00AA0F5D" w:rsidRPr="00A10E27" w:rsidRDefault="00444E02" w:rsidP="007A2509">
            <w:pPr>
              <w:spacing w:line="240" w:lineRule="auto"/>
              <w:jc w:val="both"/>
              <w:rPr>
                <w:rStyle w:val="jlqj4b"/>
                <w:rFonts w:ascii="Times New Roman" w:hAnsi="Times New Roman"/>
              </w:rPr>
            </w:pPr>
            <w:r>
              <w:rPr>
                <w:rFonts w:ascii="Times New Roman" w:eastAsia="Times New Roman" w:hAnsi="Times New Roman"/>
                <w:bCs/>
                <w:lang w:eastAsia="pl-PL"/>
              </w:rPr>
              <w:t>−</w:t>
            </w:r>
            <w:r w:rsidR="007C300E" w:rsidRPr="00A10E27">
              <w:rPr>
                <w:rFonts w:ascii="Times New Roman" w:eastAsia="Times New Roman" w:hAnsi="Times New Roman"/>
                <w:bCs/>
                <w:lang w:eastAsia="pl-PL"/>
              </w:rPr>
              <w:t xml:space="preserve"> </w:t>
            </w:r>
            <w:r w:rsidR="00AA0F5D" w:rsidRPr="00A10E27">
              <w:rPr>
                <w:rFonts w:ascii="Times New Roman" w:eastAsia="Times New Roman" w:hAnsi="Times New Roman"/>
                <w:bCs/>
                <w:lang w:eastAsia="pl-PL"/>
              </w:rPr>
              <w:t xml:space="preserve">New York City Green </w:t>
            </w:r>
            <w:proofErr w:type="spellStart"/>
            <w:r w:rsidR="00AA0F5D" w:rsidRPr="00A10E27">
              <w:rPr>
                <w:rFonts w:ascii="Times New Roman" w:eastAsia="Times New Roman" w:hAnsi="Times New Roman"/>
                <w:bCs/>
                <w:lang w:eastAsia="pl-PL"/>
              </w:rPr>
              <w:t>Infrastruct</w:t>
            </w:r>
            <w:r w:rsidR="00EA0222" w:rsidRPr="00A10E27">
              <w:rPr>
                <w:rFonts w:ascii="Times New Roman" w:eastAsia="Times New Roman" w:hAnsi="Times New Roman"/>
                <w:bCs/>
                <w:lang w:eastAsia="pl-PL"/>
              </w:rPr>
              <w:t>u</w:t>
            </w:r>
            <w:r w:rsidR="00AA0F5D" w:rsidRPr="00A10E27">
              <w:rPr>
                <w:rFonts w:ascii="Times New Roman" w:eastAsia="Times New Roman" w:hAnsi="Times New Roman"/>
                <w:bCs/>
                <w:lang w:eastAsia="pl-PL"/>
              </w:rPr>
              <w:t>r</w:t>
            </w:r>
            <w:r w:rsidR="00EA0222" w:rsidRPr="00A10E27">
              <w:rPr>
                <w:rFonts w:ascii="Times New Roman" w:eastAsia="Times New Roman" w:hAnsi="Times New Roman"/>
                <w:bCs/>
                <w:lang w:eastAsia="pl-PL"/>
              </w:rPr>
              <w:t>e</w:t>
            </w:r>
            <w:proofErr w:type="spellEnd"/>
            <w:r w:rsidR="00AA0F5D" w:rsidRPr="00A10E27">
              <w:rPr>
                <w:rFonts w:ascii="Times New Roman" w:eastAsia="Times New Roman" w:hAnsi="Times New Roman"/>
                <w:bCs/>
                <w:lang w:eastAsia="pl-PL"/>
              </w:rPr>
              <w:t xml:space="preserve"> Plan</w:t>
            </w:r>
            <w:r w:rsidR="00AA0F5D" w:rsidRPr="00A10E27">
              <w:rPr>
                <w:rFonts w:ascii="Times New Roman" w:eastAsia="Times New Roman" w:hAnsi="Times New Roman"/>
                <w:lang w:eastAsia="pl-PL"/>
              </w:rPr>
              <w:t xml:space="preserve"> </w:t>
            </w:r>
            <w:r w:rsidR="002214E0" w:rsidRPr="00A10E27">
              <w:rPr>
                <w:rFonts w:ascii="Times New Roman" w:eastAsia="Times New Roman" w:hAnsi="Times New Roman"/>
                <w:lang w:eastAsia="pl-PL"/>
              </w:rPr>
              <w:t>–</w:t>
            </w:r>
            <w:r w:rsidR="00AA0F5D" w:rsidRPr="00A10E27">
              <w:rPr>
                <w:rFonts w:ascii="Times New Roman" w:hAnsi="Times New Roman"/>
              </w:rPr>
              <w:t xml:space="preserve"> </w:t>
            </w:r>
            <w:r w:rsidR="00AA0F5D" w:rsidRPr="00A10E27">
              <w:rPr>
                <w:rStyle w:val="jlqj4b"/>
                <w:rFonts w:ascii="Times New Roman" w:hAnsi="Times New Roman"/>
              </w:rPr>
              <w:t>w którym przedstawiono szereg inicjatyw i możliwości radykalnej zmiany sposobu zarządzania wodą deszczową</w:t>
            </w:r>
            <w:r w:rsidR="007E3B84" w:rsidRPr="00A10E27">
              <w:rPr>
                <w:rStyle w:val="jlqj4b"/>
                <w:rFonts w:ascii="Times New Roman" w:hAnsi="Times New Roman"/>
              </w:rPr>
              <w:t>. Głównym celem jest poprawa jakości wód i wprowadzenie rozwią</w:t>
            </w:r>
            <w:r w:rsidR="005B51A8" w:rsidRPr="00A10E27">
              <w:rPr>
                <w:rStyle w:val="jlqj4b"/>
                <w:rFonts w:ascii="Times New Roman" w:hAnsi="Times New Roman"/>
              </w:rPr>
              <w:t>zań</w:t>
            </w:r>
            <w:r w:rsidR="007E3B84" w:rsidRPr="00A10E27">
              <w:rPr>
                <w:rStyle w:val="jlqj4b"/>
                <w:rFonts w:ascii="Times New Roman" w:hAnsi="Times New Roman"/>
              </w:rPr>
              <w:t xml:space="preserve"> </w:t>
            </w:r>
            <w:r w:rsidR="005B51A8" w:rsidRPr="00A10E27">
              <w:rPr>
                <w:rStyle w:val="jlqj4b"/>
                <w:rFonts w:ascii="Times New Roman" w:hAnsi="Times New Roman"/>
              </w:rPr>
              <w:t>dostarczających</w:t>
            </w:r>
            <w:r w:rsidR="007E3B84" w:rsidRPr="00A10E27">
              <w:rPr>
                <w:rStyle w:val="jlqj4b"/>
                <w:rFonts w:ascii="Times New Roman" w:hAnsi="Times New Roman"/>
              </w:rPr>
              <w:t xml:space="preserve"> dodatkowych korzyści, których nie generują </w:t>
            </w:r>
            <w:r w:rsidR="005B51A8" w:rsidRPr="00A10E27">
              <w:rPr>
                <w:rStyle w:val="jlqj4b"/>
                <w:rFonts w:ascii="Times New Roman" w:hAnsi="Times New Roman"/>
              </w:rPr>
              <w:t>tradycyjne</w:t>
            </w:r>
            <w:r w:rsidR="007E3B84" w:rsidRPr="00A10E27">
              <w:rPr>
                <w:rStyle w:val="jlqj4b"/>
                <w:rFonts w:ascii="Times New Roman" w:hAnsi="Times New Roman"/>
              </w:rPr>
              <w:t xml:space="preserve"> systemy gospodarki </w:t>
            </w:r>
            <w:r w:rsidR="005B51A8" w:rsidRPr="00A10E27">
              <w:rPr>
                <w:rStyle w:val="jlqj4b"/>
                <w:rFonts w:ascii="Times New Roman" w:hAnsi="Times New Roman"/>
              </w:rPr>
              <w:t>ściekowej</w:t>
            </w:r>
            <w:r w:rsidR="007E3B84" w:rsidRPr="00A10E27">
              <w:rPr>
                <w:rStyle w:val="jlqj4b"/>
                <w:rFonts w:ascii="Times New Roman" w:hAnsi="Times New Roman"/>
              </w:rPr>
              <w:t>. Do celów szczegółowy</w:t>
            </w:r>
            <w:r w:rsidR="005B51A8" w:rsidRPr="00A10E27">
              <w:rPr>
                <w:rStyle w:val="jlqj4b"/>
                <w:rFonts w:ascii="Times New Roman" w:hAnsi="Times New Roman"/>
              </w:rPr>
              <w:t xml:space="preserve">ch </w:t>
            </w:r>
            <w:r w:rsidR="007E3B84" w:rsidRPr="00A10E27">
              <w:rPr>
                <w:rStyle w:val="jlqj4b"/>
                <w:rFonts w:ascii="Times New Roman" w:hAnsi="Times New Roman"/>
              </w:rPr>
              <w:t xml:space="preserve">należy m.in. przechwycenie przez </w:t>
            </w:r>
            <w:r w:rsidR="00EA0222" w:rsidRPr="00A10E27">
              <w:rPr>
                <w:rStyle w:val="jlqj4b"/>
                <w:rFonts w:ascii="Times New Roman" w:hAnsi="Times New Roman"/>
              </w:rPr>
              <w:t xml:space="preserve">zieloną infrastrukturę </w:t>
            </w:r>
            <w:r w:rsidR="007E3B84" w:rsidRPr="00A10E27">
              <w:rPr>
                <w:rStyle w:val="jlqj4b"/>
                <w:rFonts w:ascii="Times New Roman" w:hAnsi="Times New Roman"/>
              </w:rPr>
              <w:t xml:space="preserve">wody </w:t>
            </w:r>
            <w:r w:rsidR="005B51A8" w:rsidRPr="00A10E27">
              <w:rPr>
                <w:rStyle w:val="jlqj4b"/>
                <w:rFonts w:ascii="Times New Roman" w:hAnsi="Times New Roman"/>
              </w:rPr>
              <w:t>deszczowej</w:t>
            </w:r>
            <w:r w:rsidR="007E3B84" w:rsidRPr="00A10E27">
              <w:rPr>
                <w:rStyle w:val="jlqj4b"/>
                <w:rFonts w:ascii="Times New Roman" w:hAnsi="Times New Roman"/>
              </w:rPr>
              <w:t xml:space="preserve"> z 10% terenów nieprzepuszczalnych na obszarze objętym kanalizacją </w:t>
            </w:r>
            <w:r w:rsidR="005B51A8" w:rsidRPr="00A10E27">
              <w:rPr>
                <w:rStyle w:val="jlqj4b"/>
                <w:rFonts w:ascii="Times New Roman" w:hAnsi="Times New Roman"/>
              </w:rPr>
              <w:t>zbiorczą</w:t>
            </w:r>
            <w:r w:rsidR="007E3B84" w:rsidRPr="00A10E27">
              <w:rPr>
                <w:rStyle w:val="jlqj4b"/>
                <w:rFonts w:ascii="Times New Roman" w:hAnsi="Times New Roman"/>
              </w:rPr>
              <w:t xml:space="preserve">. Do 2030 r. miasto </w:t>
            </w:r>
            <w:r w:rsidR="005B51A8" w:rsidRPr="00A10E27">
              <w:rPr>
                <w:rStyle w:val="jlqj4b"/>
                <w:rFonts w:ascii="Times New Roman" w:hAnsi="Times New Roman"/>
              </w:rPr>
              <w:t>wyda</w:t>
            </w:r>
            <w:r w:rsidR="007E3B84" w:rsidRPr="00A10E27">
              <w:rPr>
                <w:rStyle w:val="jlqj4b"/>
                <w:rFonts w:ascii="Times New Roman" w:hAnsi="Times New Roman"/>
              </w:rPr>
              <w:t xml:space="preserve"> 2,9 mln dolarów na opłacalne inwestycje szarej </w:t>
            </w:r>
            <w:r w:rsidR="005B51A8" w:rsidRPr="00A10E27">
              <w:rPr>
                <w:rStyle w:val="jlqj4b"/>
                <w:rFonts w:ascii="Times New Roman" w:hAnsi="Times New Roman"/>
              </w:rPr>
              <w:t>infrastruktury</w:t>
            </w:r>
            <w:r w:rsidR="007E3B84" w:rsidRPr="00A10E27">
              <w:rPr>
                <w:rStyle w:val="jlqj4b"/>
                <w:rFonts w:ascii="Times New Roman" w:hAnsi="Times New Roman"/>
              </w:rPr>
              <w:t>.</w:t>
            </w:r>
          </w:p>
          <w:p w14:paraId="61EF382D" w14:textId="7F78C656" w:rsidR="00140A47" w:rsidRPr="00A10E27" w:rsidRDefault="00444E02" w:rsidP="007A2509">
            <w:pPr>
              <w:spacing w:line="240" w:lineRule="auto"/>
              <w:jc w:val="both"/>
              <w:rPr>
                <w:rStyle w:val="jlqj4b"/>
                <w:rFonts w:ascii="Times New Roman" w:hAnsi="Times New Roman"/>
              </w:rPr>
            </w:pPr>
            <w:r>
              <w:rPr>
                <w:rStyle w:val="jlqj4b"/>
                <w:rFonts w:ascii="Times New Roman" w:hAnsi="Times New Roman"/>
                <w:bCs/>
                <w:lang w:val="en-US"/>
              </w:rPr>
              <w:lastRenderedPageBreak/>
              <w:t>−</w:t>
            </w:r>
            <w:r w:rsidR="007C300E" w:rsidRPr="00A10E27">
              <w:rPr>
                <w:rStyle w:val="jlqj4b"/>
                <w:rFonts w:ascii="Times New Roman" w:hAnsi="Times New Roman"/>
                <w:bCs/>
                <w:lang w:val="en-US"/>
              </w:rPr>
              <w:t xml:space="preserve"> </w:t>
            </w:r>
            <w:r w:rsidR="007E3B84" w:rsidRPr="00A10E27">
              <w:rPr>
                <w:rStyle w:val="jlqj4b"/>
                <w:rFonts w:ascii="Times New Roman" w:hAnsi="Times New Roman"/>
                <w:bCs/>
                <w:lang w:val="en-US"/>
              </w:rPr>
              <w:t xml:space="preserve">Nature at Work. Liverpool City region and Warrington Green Infrastructure Framework. </w:t>
            </w:r>
            <w:r w:rsidR="007E3B84" w:rsidRPr="00A10E27">
              <w:rPr>
                <w:rStyle w:val="jlqj4b"/>
                <w:rFonts w:ascii="Times New Roman" w:hAnsi="Times New Roman"/>
                <w:bCs/>
              </w:rPr>
              <w:t xml:space="preserve">Action </w:t>
            </w:r>
            <w:r w:rsidR="008A02DB" w:rsidRPr="00A10E27">
              <w:rPr>
                <w:rStyle w:val="jlqj4b"/>
                <w:rFonts w:ascii="Times New Roman" w:hAnsi="Times New Roman"/>
                <w:bCs/>
              </w:rPr>
              <w:t xml:space="preserve">Plan – </w:t>
            </w:r>
            <w:r w:rsidR="00EF2F36" w:rsidRPr="00A10E27">
              <w:rPr>
                <w:rStyle w:val="jlqj4b"/>
                <w:rFonts w:ascii="Times New Roman" w:hAnsi="Times New Roman"/>
                <w:bCs/>
              </w:rPr>
              <w:t>d</w:t>
            </w:r>
            <w:r w:rsidR="007E3B84" w:rsidRPr="00A10E27">
              <w:rPr>
                <w:rStyle w:val="jlqj4b"/>
                <w:rFonts w:ascii="Times New Roman" w:hAnsi="Times New Roman"/>
              </w:rPr>
              <w:t xml:space="preserve">eklarowanym celem jest ustalenie, w jakim stopniu realizacja </w:t>
            </w:r>
            <w:r w:rsidR="00EA0222" w:rsidRPr="00A10E27">
              <w:rPr>
                <w:rStyle w:val="jlqj4b"/>
                <w:rFonts w:ascii="Times New Roman" w:hAnsi="Times New Roman"/>
              </w:rPr>
              <w:t xml:space="preserve">zielonej infrastruktury </w:t>
            </w:r>
            <w:r w:rsidR="007E3B84" w:rsidRPr="00A10E27">
              <w:rPr>
                <w:rStyle w:val="jlqj4b"/>
                <w:rFonts w:ascii="Times New Roman" w:hAnsi="Times New Roman"/>
              </w:rPr>
              <w:t>może przyczynić się do stworzenia nowych miejsc pracy, przyciągania inwestoró</w:t>
            </w:r>
            <w:r w:rsidR="005B51A8" w:rsidRPr="00A10E27">
              <w:rPr>
                <w:rStyle w:val="jlqj4b"/>
                <w:rFonts w:ascii="Times New Roman" w:hAnsi="Times New Roman"/>
              </w:rPr>
              <w:t>w</w:t>
            </w:r>
            <w:r w:rsidR="007E3B84" w:rsidRPr="00A10E27">
              <w:rPr>
                <w:rStyle w:val="jlqj4b"/>
                <w:rFonts w:ascii="Times New Roman" w:hAnsi="Times New Roman"/>
              </w:rPr>
              <w:t xml:space="preserve"> i wzrostu produkcji, poprawy warunków życia i zdrowia, stworzenie atrakcyjnego</w:t>
            </w:r>
            <w:r w:rsidR="00C0646A" w:rsidRPr="00A10E27">
              <w:rPr>
                <w:rStyle w:val="jlqj4b"/>
                <w:rFonts w:ascii="Times New Roman" w:hAnsi="Times New Roman"/>
              </w:rPr>
              <w:t xml:space="preserve"> </w:t>
            </w:r>
            <w:r w:rsidR="007E3B84" w:rsidRPr="00A10E27">
              <w:rPr>
                <w:rStyle w:val="jlqj4b"/>
                <w:rFonts w:ascii="Times New Roman" w:hAnsi="Times New Roman"/>
              </w:rPr>
              <w:t xml:space="preserve">miejsca zamieszkania i pracy. </w:t>
            </w:r>
          </w:p>
          <w:p w14:paraId="314AFE93" w14:textId="677578D0" w:rsidR="00D52763" w:rsidRPr="00A10E27" w:rsidRDefault="00444E02" w:rsidP="007A2509">
            <w:pPr>
              <w:spacing w:line="240" w:lineRule="auto"/>
              <w:jc w:val="both"/>
              <w:rPr>
                <w:rFonts w:ascii="Times New Roman" w:hAnsi="Times New Roman"/>
              </w:rPr>
            </w:pPr>
            <w:r>
              <w:rPr>
                <w:rFonts w:ascii="Times New Roman" w:hAnsi="Times New Roman"/>
                <w:bCs/>
              </w:rPr>
              <w:t xml:space="preserve">− </w:t>
            </w:r>
            <w:r w:rsidR="00D52763" w:rsidRPr="00A10E27">
              <w:rPr>
                <w:rFonts w:ascii="Times New Roman" w:hAnsi="Times New Roman"/>
                <w:bCs/>
              </w:rPr>
              <w:t xml:space="preserve">The London Plan 2021 </w:t>
            </w:r>
            <w:r w:rsidR="002214E0" w:rsidRPr="00A10E27">
              <w:rPr>
                <w:rFonts w:ascii="Times New Roman" w:hAnsi="Times New Roman"/>
                <w:bCs/>
              </w:rPr>
              <w:t>–</w:t>
            </w:r>
            <w:r w:rsidR="00D52763" w:rsidRPr="00A10E27">
              <w:rPr>
                <w:rFonts w:ascii="Times New Roman" w:hAnsi="Times New Roman"/>
                <w:bCs/>
              </w:rPr>
              <w:t xml:space="preserve"> </w:t>
            </w:r>
            <w:r w:rsidR="00D52763" w:rsidRPr="00A10E27">
              <w:rPr>
                <w:rFonts w:ascii="Times New Roman" w:hAnsi="Times New Roman"/>
              </w:rPr>
              <w:t>to Strategia Rozwoju Przestrzennego dla Wielkiego Londynu. Określa ramy rozwoju Londynu w ciągu najbliższych 20</w:t>
            </w:r>
            <w:r w:rsidR="002214E0" w:rsidRPr="00A10E27">
              <w:rPr>
                <w:rFonts w:ascii="Times New Roman" w:hAnsi="Times New Roman"/>
              </w:rPr>
              <w:t>-</w:t>
            </w:r>
            <w:r w:rsidR="00D52763" w:rsidRPr="00A10E27">
              <w:rPr>
                <w:rFonts w:ascii="Times New Roman" w:hAnsi="Times New Roman"/>
              </w:rPr>
              <w:t>25 lat oraz wizję burmistrza dotyczącą dobrego wzrostu. Plan chroni tereny zielone i otwarte, a</w:t>
            </w:r>
            <w:r w:rsidR="002214E0" w:rsidRPr="00A10E27">
              <w:rPr>
                <w:rFonts w:ascii="Times New Roman" w:hAnsi="Times New Roman"/>
              </w:rPr>
              <w:t> </w:t>
            </w:r>
            <w:r w:rsidR="00D52763" w:rsidRPr="00A10E27">
              <w:rPr>
                <w:rFonts w:ascii="Times New Roman" w:hAnsi="Times New Roman"/>
              </w:rPr>
              <w:t>także Tamizę i inne drogi wodne Londynu. Plan promuje zazielenianie miast w kontekście nowego rozwoju, a także tworzenie Zdrowych Ulic. Posiada strategie, które pomogą rozwiązać problem złej jakości powietrza i umożliwią większej liczbie osób poruszanie się pieszo, na rowerze i korzystanie ze zrównoważonych środków transportu.</w:t>
            </w:r>
          </w:p>
          <w:p w14:paraId="25151A48" w14:textId="45AEAEC9" w:rsidR="00543154" w:rsidRPr="00A10E27" w:rsidRDefault="00444E02" w:rsidP="007A2509">
            <w:pPr>
              <w:autoSpaceDE w:val="0"/>
              <w:autoSpaceDN w:val="0"/>
              <w:adjustRightInd w:val="0"/>
              <w:spacing w:line="240" w:lineRule="auto"/>
              <w:jc w:val="both"/>
              <w:rPr>
                <w:rFonts w:ascii="Times New Roman" w:hAnsi="Times New Roman"/>
              </w:rPr>
            </w:pPr>
            <w:r>
              <w:rPr>
                <w:rFonts w:ascii="Times New Roman" w:hAnsi="Times New Roman"/>
                <w:bCs/>
              </w:rPr>
              <w:t>−</w:t>
            </w:r>
            <w:r w:rsidR="007C300E" w:rsidRPr="00A10E27">
              <w:rPr>
                <w:rFonts w:ascii="Times New Roman" w:hAnsi="Times New Roman"/>
                <w:bCs/>
              </w:rPr>
              <w:t xml:space="preserve"> </w:t>
            </w:r>
            <w:r w:rsidR="00BE6E49" w:rsidRPr="00A10E27">
              <w:rPr>
                <w:rFonts w:ascii="Times New Roman" w:hAnsi="Times New Roman"/>
                <w:bCs/>
              </w:rPr>
              <w:t xml:space="preserve">London Environment </w:t>
            </w:r>
            <w:proofErr w:type="spellStart"/>
            <w:r w:rsidR="00BE6E49" w:rsidRPr="00A10E27">
              <w:rPr>
                <w:rFonts w:ascii="Times New Roman" w:hAnsi="Times New Roman"/>
                <w:bCs/>
              </w:rPr>
              <w:t>Strategy</w:t>
            </w:r>
            <w:proofErr w:type="spellEnd"/>
            <w:r w:rsidR="00BE6E49" w:rsidRPr="00A10E27">
              <w:rPr>
                <w:rFonts w:ascii="Times New Roman" w:hAnsi="Times New Roman"/>
              </w:rPr>
              <w:t xml:space="preserve"> (2018 r.) </w:t>
            </w:r>
            <w:r w:rsidR="002214E0" w:rsidRPr="00A10E27">
              <w:rPr>
                <w:rFonts w:ascii="Times New Roman" w:hAnsi="Times New Roman"/>
              </w:rPr>
              <w:t>–</w:t>
            </w:r>
            <w:r w:rsidR="00BE6E49" w:rsidRPr="00A10E27">
              <w:rPr>
                <w:rFonts w:ascii="Times New Roman" w:hAnsi="Times New Roman"/>
              </w:rPr>
              <w:t xml:space="preserve"> zawiera polityki i propozycje, które mają na celu zapewnienie, że do </w:t>
            </w:r>
            <w:r w:rsidR="008A02DB" w:rsidRPr="00A10E27">
              <w:rPr>
                <w:rFonts w:ascii="Times New Roman" w:hAnsi="Times New Roman"/>
              </w:rPr>
              <w:t xml:space="preserve">roku </w:t>
            </w:r>
            <w:r w:rsidR="00BE6E49" w:rsidRPr="00A10E27">
              <w:rPr>
                <w:rFonts w:ascii="Times New Roman" w:hAnsi="Times New Roman"/>
              </w:rPr>
              <w:t>2050 ponad połowa Londynu będzie zielona, a pokrycie drzewostanu miasta wzrośnie o 10</w:t>
            </w:r>
            <w:r w:rsidR="008A02DB" w:rsidRPr="00A10E27">
              <w:rPr>
                <w:rFonts w:ascii="Times New Roman" w:hAnsi="Times New Roman"/>
              </w:rPr>
              <w:t>%</w:t>
            </w:r>
            <w:r w:rsidR="00BE6E49" w:rsidRPr="00A10E27">
              <w:rPr>
                <w:rFonts w:ascii="Times New Roman" w:hAnsi="Times New Roman"/>
              </w:rPr>
              <w:t>.</w:t>
            </w:r>
          </w:p>
          <w:p w14:paraId="359DFD92" w14:textId="59741EE6" w:rsidR="00543154" w:rsidRPr="00A10E27" w:rsidRDefault="00444E02" w:rsidP="00543154">
            <w:pPr>
              <w:autoSpaceDE w:val="0"/>
              <w:autoSpaceDN w:val="0"/>
              <w:adjustRightInd w:val="0"/>
              <w:spacing w:line="240" w:lineRule="auto"/>
              <w:jc w:val="both"/>
              <w:rPr>
                <w:rFonts w:ascii="Times New Roman" w:hAnsi="Times New Roman"/>
              </w:rPr>
            </w:pPr>
            <w:r>
              <w:rPr>
                <w:rFonts w:ascii="Times New Roman" w:hAnsi="Times New Roman"/>
              </w:rPr>
              <w:t>−</w:t>
            </w:r>
            <w:r w:rsidR="00543154" w:rsidRPr="00A10E27">
              <w:rPr>
                <w:rFonts w:ascii="Times New Roman" w:hAnsi="Times New Roman"/>
              </w:rPr>
              <w:t xml:space="preserve"> Hamburg – została opracowana strategia dotycząca powstawania nowych dachów zielonych m.in. o funkcji retencyjnej. Strategia przewiduje także dofinansowania do zakładania zielonych dachów.</w:t>
            </w:r>
          </w:p>
          <w:p w14:paraId="09159379" w14:textId="0352AE3F" w:rsidR="00EF2F36" w:rsidRPr="00A10E27" w:rsidRDefault="00444E02" w:rsidP="00543154">
            <w:pPr>
              <w:autoSpaceDE w:val="0"/>
              <w:autoSpaceDN w:val="0"/>
              <w:adjustRightInd w:val="0"/>
              <w:spacing w:line="240" w:lineRule="auto"/>
              <w:jc w:val="both"/>
              <w:rPr>
                <w:rFonts w:ascii="Times New Roman" w:hAnsi="Times New Roman"/>
              </w:rPr>
            </w:pPr>
            <w:r>
              <w:rPr>
                <w:rFonts w:ascii="Times New Roman" w:hAnsi="Times New Roman"/>
              </w:rPr>
              <w:t>−</w:t>
            </w:r>
            <w:r w:rsidR="00543154" w:rsidRPr="00A10E27">
              <w:rPr>
                <w:rFonts w:ascii="Times New Roman" w:hAnsi="Times New Roman"/>
              </w:rPr>
              <w:t xml:space="preserve"> Melbourne </w:t>
            </w:r>
            <w:r w:rsidR="008A02DB" w:rsidRPr="00A10E27">
              <w:rPr>
                <w:rFonts w:ascii="Times New Roman" w:hAnsi="Times New Roman"/>
              </w:rPr>
              <w:t xml:space="preserve">– </w:t>
            </w:r>
            <w:r w:rsidR="00543154" w:rsidRPr="00A10E27">
              <w:rPr>
                <w:rFonts w:ascii="Times New Roman" w:hAnsi="Times New Roman"/>
              </w:rPr>
              <w:t xml:space="preserve">miasto opracowało Strategię Miejskich Lasów (ang. Urban </w:t>
            </w:r>
            <w:proofErr w:type="spellStart"/>
            <w:r w:rsidR="00543154" w:rsidRPr="00A10E27">
              <w:rPr>
                <w:rFonts w:ascii="Times New Roman" w:hAnsi="Times New Roman"/>
              </w:rPr>
              <w:t>Forest</w:t>
            </w:r>
            <w:proofErr w:type="spellEnd"/>
            <w:r w:rsidR="00543154" w:rsidRPr="00A10E27">
              <w:rPr>
                <w:rFonts w:ascii="Times New Roman" w:hAnsi="Times New Roman"/>
              </w:rPr>
              <w:t xml:space="preserve"> </w:t>
            </w:r>
            <w:proofErr w:type="spellStart"/>
            <w:r w:rsidR="00543154" w:rsidRPr="00A10E27">
              <w:rPr>
                <w:rFonts w:ascii="Times New Roman" w:hAnsi="Times New Roman"/>
              </w:rPr>
              <w:t>Strategy</w:t>
            </w:r>
            <w:proofErr w:type="spellEnd"/>
            <w:r w:rsidR="00543154" w:rsidRPr="00A10E27">
              <w:rPr>
                <w:rFonts w:ascii="Times New Roman" w:hAnsi="Times New Roman"/>
              </w:rPr>
              <w:t>), na którą składa się ponad 70</w:t>
            </w:r>
            <w:r w:rsidR="008A02DB" w:rsidRPr="00A10E27">
              <w:rPr>
                <w:rFonts w:ascii="Times New Roman" w:hAnsi="Times New Roman"/>
              </w:rPr>
              <w:t> </w:t>
            </w:r>
            <w:r w:rsidR="00DC480E" w:rsidRPr="00A10E27">
              <w:rPr>
                <w:rFonts w:ascii="Times New Roman" w:hAnsi="Times New Roman"/>
              </w:rPr>
              <w:t xml:space="preserve">tys. </w:t>
            </w:r>
            <w:r w:rsidR="00543154" w:rsidRPr="00A10E27">
              <w:rPr>
                <w:rFonts w:ascii="Times New Roman" w:hAnsi="Times New Roman"/>
              </w:rPr>
              <w:t>drzew. Wszystkie drzewa są oznaczone w centralnej bazie danych. Celem strategii jest poszerzanie świadomości mieszkańców nt. roli drzew w procesie adaptacji do zmian klimatu. Mieszkańcy mogą adoptować drzewo, nazwać je, śledzić jego wzrost i kompensację emisji dwutlenku węgla oraz udostępniać te dane za pośrednictwem sieci społecznościowych. Każde drzewo ma własny adres e-mail, który umożliwia obywatelom zgłaszanie uszkodzeń i chorób, a nawet wysyłanie listów. Lasy miejskie okazały się jedną z najskuteczniejszych metod łagodzenia skutków upałów na obszarach miejskich w Melbourne, zwłaszcza w centralnych dzielnicach biznesowych. Drzewa zajmują w chwili obecnej 22% powierzchni miasta, a planuje się, że ta liczba wzrośnie do 40% do 2040 r. Opracowując narzędzia i procesy pomiaru i modelowania potencjału drzew w łagodzeniu skutków zmian klimatu, Melbourne zajmuje pozycję światowego lidera w</w:t>
            </w:r>
            <w:r w:rsidR="0043193B">
              <w:rPr>
                <w:rFonts w:ascii="Times New Roman" w:hAnsi="Times New Roman"/>
              </w:rPr>
              <w:t> </w:t>
            </w:r>
            <w:r w:rsidR="00543154" w:rsidRPr="00A10E27">
              <w:rPr>
                <w:rFonts w:ascii="Times New Roman" w:hAnsi="Times New Roman"/>
              </w:rPr>
              <w:t>leśnictwie miejskim. Obecnie w ramach długoterminowego planu Rady Miasta Melbourne</w:t>
            </w:r>
            <w:r w:rsidR="0075555E" w:rsidRPr="00A10E27">
              <w:rPr>
                <w:rFonts w:ascii="Times New Roman" w:hAnsi="Times New Roman"/>
              </w:rPr>
              <w:t xml:space="preserve"> </w:t>
            </w:r>
            <w:r w:rsidR="00543154" w:rsidRPr="00A10E27">
              <w:rPr>
                <w:rFonts w:ascii="Times New Roman" w:hAnsi="Times New Roman"/>
              </w:rPr>
              <w:t>w celu dywersyfikacji populacji drzew w mieście sadzone będą gatunki drzew odporne na zmiany klimatu, w tym globalne ocieplenie.</w:t>
            </w:r>
          </w:p>
          <w:p w14:paraId="69BDFBB8" w14:textId="77777777" w:rsidR="00A1528B" w:rsidRPr="00A10E27" w:rsidRDefault="00A1528B" w:rsidP="00543154">
            <w:pPr>
              <w:autoSpaceDE w:val="0"/>
              <w:autoSpaceDN w:val="0"/>
              <w:adjustRightInd w:val="0"/>
              <w:spacing w:line="240" w:lineRule="auto"/>
              <w:jc w:val="both"/>
              <w:rPr>
                <w:rFonts w:ascii="Times New Roman" w:hAnsi="Times New Roman"/>
              </w:rPr>
            </w:pPr>
          </w:p>
          <w:p w14:paraId="47AD1734" w14:textId="77777777" w:rsidR="00805216" w:rsidRPr="00537CC2" w:rsidRDefault="00805216" w:rsidP="007A2509">
            <w:pPr>
              <w:spacing w:line="240" w:lineRule="auto"/>
              <w:jc w:val="both"/>
              <w:rPr>
                <w:rFonts w:ascii="Times New Roman" w:hAnsi="Times New Roman"/>
                <w:b/>
                <w:bCs/>
                <w:spacing w:val="-2"/>
                <w:u w:val="single"/>
              </w:rPr>
            </w:pPr>
            <w:r w:rsidRPr="00537CC2">
              <w:rPr>
                <w:rFonts w:ascii="Times New Roman" w:hAnsi="Times New Roman"/>
                <w:b/>
                <w:bCs/>
                <w:spacing w:val="-2"/>
                <w:u w:val="single"/>
              </w:rPr>
              <w:t>Aktualizacja programów ochrony powietrza</w:t>
            </w:r>
          </w:p>
          <w:p w14:paraId="5660056C" w14:textId="77777777" w:rsidR="00805216" w:rsidRPr="00537CC2" w:rsidRDefault="00E92755" w:rsidP="00805216">
            <w:pPr>
              <w:spacing w:line="240" w:lineRule="auto"/>
              <w:jc w:val="both"/>
              <w:rPr>
                <w:rFonts w:ascii="Times New Roman" w:hAnsi="Times New Roman"/>
                <w:spacing w:val="-2"/>
              </w:rPr>
            </w:pPr>
            <w:r w:rsidRPr="00537CC2">
              <w:rPr>
                <w:rFonts w:ascii="Times New Roman" w:hAnsi="Times New Roman"/>
                <w:spacing w:val="-2"/>
              </w:rPr>
              <w:t>Realizowane w kraju programy ochrony powietrza są zgodne z wymaganiami prawa unijnego.</w:t>
            </w:r>
            <w:r w:rsidR="00805216" w:rsidRPr="00537CC2">
              <w:rPr>
                <w:rFonts w:ascii="Times New Roman" w:hAnsi="Times New Roman"/>
                <w:spacing w:val="-2"/>
              </w:rPr>
              <w:t xml:space="preserve"> </w:t>
            </w:r>
          </w:p>
          <w:p w14:paraId="3CBCF0C7" w14:textId="77777777" w:rsidR="00805216" w:rsidRPr="00537CC2" w:rsidRDefault="00805216" w:rsidP="00805216">
            <w:pPr>
              <w:spacing w:line="240" w:lineRule="auto"/>
              <w:jc w:val="both"/>
              <w:rPr>
                <w:rFonts w:ascii="Times New Roman" w:hAnsi="Times New Roman"/>
                <w:spacing w:val="-2"/>
              </w:rPr>
            </w:pPr>
            <w:r w:rsidRPr="00537CC2">
              <w:rPr>
                <w:rFonts w:ascii="Times New Roman" w:hAnsi="Times New Roman"/>
                <w:spacing w:val="-2"/>
              </w:rPr>
              <w:t>Na przykład w Belgii sformułowanie „programy ochrony powietrza określają odpowiednie działania, tak aby okres, w którym poziomy dopuszczalne i docelowe nie są dotrzymywane był jak najkrótszy” zostało wprowadzone w rozporządzeniu Rządu Flamandzkiego z dnia 1 czerwca 1995 r. w sprawie przepisów ogólnych i sektorowych dotyczących bezpieczeństwa środowiska.</w:t>
            </w:r>
          </w:p>
          <w:p w14:paraId="0BA021AB" w14:textId="0D788C96" w:rsidR="00805216" w:rsidRPr="00537CC2" w:rsidRDefault="00805216" w:rsidP="00805216">
            <w:pPr>
              <w:spacing w:line="240" w:lineRule="auto"/>
              <w:jc w:val="both"/>
              <w:rPr>
                <w:rFonts w:ascii="Times New Roman" w:hAnsi="Times New Roman"/>
                <w:spacing w:val="-2"/>
              </w:rPr>
            </w:pPr>
            <w:r w:rsidRPr="00537CC2">
              <w:rPr>
                <w:rFonts w:ascii="Times New Roman" w:hAnsi="Times New Roman"/>
                <w:spacing w:val="-2"/>
              </w:rPr>
              <w:t>W Estonii przygotowanie planów jakości powietrza reguluje ustawa o ochronie powietrza atmosferycznego (rozdział 3). Dostępna jest również skonsolidowana wersja angielska ustawy:</w:t>
            </w:r>
            <w:r w:rsidR="00094258">
              <w:rPr>
                <w:rFonts w:ascii="Times New Roman" w:hAnsi="Times New Roman"/>
                <w:spacing w:val="-2"/>
              </w:rPr>
              <w:t xml:space="preserve"> </w:t>
            </w:r>
            <w:r w:rsidRPr="00537CC2">
              <w:rPr>
                <w:rFonts w:ascii="Times New Roman" w:hAnsi="Times New Roman"/>
                <w:spacing w:val="-2"/>
              </w:rPr>
              <w:t xml:space="preserve">https://www.riigiteataja.ee/en/eli/510012018006/consolide. Dla celów niniejszej ustawy plan poprawy jakości powietrza jest planem poprawy jakości powietrza w strefie jakości powietrza, aglomeracji lub jej części zlokalizowanej na terenie gminy. Do procedury przygotowania planu </w:t>
            </w:r>
            <w:r w:rsidR="00444E02" w:rsidRPr="00537CC2">
              <w:rPr>
                <w:rFonts w:ascii="Times New Roman" w:hAnsi="Times New Roman"/>
                <w:spacing w:val="-2"/>
              </w:rPr>
              <w:t xml:space="preserve">mają </w:t>
            </w:r>
            <w:r w:rsidRPr="00537CC2">
              <w:rPr>
                <w:rFonts w:ascii="Times New Roman" w:hAnsi="Times New Roman"/>
                <w:spacing w:val="-2"/>
              </w:rPr>
              <w:t>zastosowanie przepisy ustawy o postępowaniu administracyjnym dotyczące postępowania otwartego.</w:t>
            </w:r>
          </w:p>
          <w:p w14:paraId="1938436A" w14:textId="15F36023" w:rsidR="00805216" w:rsidRPr="00537CC2" w:rsidRDefault="00805216" w:rsidP="00805216">
            <w:pPr>
              <w:spacing w:line="240" w:lineRule="auto"/>
              <w:jc w:val="both"/>
              <w:rPr>
                <w:rFonts w:ascii="Times New Roman" w:hAnsi="Times New Roman"/>
                <w:spacing w:val="-2"/>
              </w:rPr>
            </w:pPr>
            <w:r w:rsidRPr="00537CC2">
              <w:rPr>
                <w:rFonts w:ascii="Times New Roman" w:hAnsi="Times New Roman"/>
                <w:spacing w:val="-2"/>
              </w:rPr>
              <w:t>Jeżeli natomiast chodzi o obowiązek opracowania aktualizacji programów ochrony powietrza, o którym mowa w art. 91 ust.</w:t>
            </w:r>
            <w:r w:rsidR="0043193B">
              <w:rPr>
                <w:rFonts w:ascii="Times New Roman" w:hAnsi="Times New Roman"/>
                <w:spacing w:val="-2"/>
              </w:rPr>
              <w:t> </w:t>
            </w:r>
            <w:r w:rsidRPr="00537CC2">
              <w:rPr>
                <w:rFonts w:ascii="Times New Roman" w:hAnsi="Times New Roman"/>
                <w:spacing w:val="-2"/>
              </w:rPr>
              <w:t xml:space="preserve">9c </w:t>
            </w:r>
            <w:proofErr w:type="spellStart"/>
            <w:r w:rsidR="00EE70BA" w:rsidRPr="00537CC2">
              <w:rPr>
                <w:rFonts w:ascii="Times New Roman" w:hAnsi="Times New Roman"/>
                <w:spacing w:val="-2"/>
              </w:rPr>
              <w:t>u</w:t>
            </w:r>
            <w:r w:rsidRPr="00537CC2">
              <w:rPr>
                <w:rFonts w:ascii="Times New Roman" w:hAnsi="Times New Roman"/>
                <w:spacing w:val="-2"/>
              </w:rPr>
              <w:t>Poś</w:t>
            </w:r>
            <w:proofErr w:type="spellEnd"/>
            <w:r w:rsidRPr="00537CC2">
              <w:rPr>
                <w:rFonts w:ascii="Times New Roman" w:hAnsi="Times New Roman"/>
                <w:spacing w:val="-2"/>
              </w:rPr>
              <w:t>, to jest</w:t>
            </w:r>
            <w:r w:rsidR="00EE70BA" w:rsidRPr="00537CC2">
              <w:rPr>
                <w:rFonts w:ascii="Times New Roman" w:hAnsi="Times New Roman"/>
                <w:spacing w:val="-2"/>
              </w:rPr>
              <w:t xml:space="preserve"> to</w:t>
            </w:r>
            <w:r w:rsidRPr="00537CC2">
              <w:rPr>
                <w:rFonts w:ascii="Times New Roman" w:hAnsi="Times New Roman"/>
                <w:spacing w:val="-2"/>
              </w:rPr>
              <w:t xml:space="preserve"> generalnie rozwiązanie krajowe, które miało na celu wzmocnienie systemu zarządzania jakością powietrza na poziomie wojewódzkim. </w:t>
            </w:r>
          </w:p>
          <w:p w14:paraId="1E7EE605" w14:textId="77777777" w:rsidR="008B63E6" w:rsidRPr="00537CC2" w:rsidRDefault="008B63E6" w:rsidP="00805216">
            <w:pPr>
              <w:spacing w:line="240" w:lineRule="auto"/>
              <w:jc w:val="both"/>
              <w:rPr>
                <w:rFonts w:ascii="Times New Roman" w:hAnsi="Times New Roman"/>
                <w:spacing w:val="-2"/>
              </w:rPr>
            </w:pPr>
          </w:p>
          <w:p w14:paraId="054AFD40" w14:textId="77777777" w:rsidR="008B63E6" w:rsidRPr="00537CC2" w:rsidRDefault="008B63E6" w:rsidP="00805216">
            <w:pPr>
              <w:spacing w:line="240" w:lineRule="auto"/>
              <w:jc w:val="both"/>
              <w:rPr>
                <w:rFonts w:ascii="Times New Roman" w:hAnsi="Times New Roman"/>
                <w:spacing w:val="-2"/>
              </w:rPr>
            </w:pPr>
            <w:r w:rsidRPr="00537CC2">
              <w:rPr>
                <w:rFonts w:ascii="Times New Roman" w:hAnsi="Times New Roman"/>
                <w:b/>
                <w:bCs/>
                <w:spacing w:val="-2"/>
                <w:u w:val="single"/>
              </w:rPr>
              <w:t>Doprecyzowanie sposobu ustalania wysokości przeciętnego miesięcznego dochodu z gospodarstwa rolnego na potrzeby wydania zaświadczenia o dochodach, na potrzeby wnioskowania przez beneficjenta uprawnionego do podwyższonego i najwyższego poziomu dofinansowania o przyznanie środków w ramach Programu Priorytetowego „Czyste Powietrze”</w:t>
            </w:r>
          </w:p>
          <w:p w14:paraId="28E232E7" w14:textId="77777777" w:rsidR="008B63E6" w:rsidRPr="00537CC2" w:rsidRDefault="008B63E6" w:rsidP="00805216">
            <w:pPr>
              <w:spacing w:line="240" w:lineRule="auto"/>
              <w:jc w:val="both"/>
              <w:rPr>
                <w:rFonts w:ascii="Times New Roman" w:hAnsi="Times New Roman"/>
                <w:spacing w:val="-2"/>
              </w:rPr>
            </w:pPr>
            <w:r w:rsidRPr="00537CC2">
              <w:rPr>
                <w:rFonts w:ascii="Times New Roman" w:hAnsi="Times New Roman"/>
                <w:spacing w:val="-2"/>
              </w:rPr>
              <w:t xml:space="preserve">Zmiana przepisu art. 411 </w:t>
            </w:r>
            <w:proofErr w:type="spellStart"/>
            <w:r w:rsidRPr="00537CC2">
              <w:rPr>
                <w:rFonts w:ascii="Times New Roman" w:hAnsi="Times New Roman"/>
                <w:spacing w:val="-2"/>
              </w:rPr>
              <w:t>uPoś</w:t>
            </w:r>
            <w:proofErr w:type="spellEnd"/>
            <w:r w:rsidRPr="00537CC2">
              <w:rPr>
                <w:rFonts w:ascii="Times New Roman" w:hAnsi="Times New Roman"/>
                <w:spacing w:val="-2"/>
              </w:rPr>
              <w:t xml:space="preserve"> ma charakter wyłącznie krajowy. Nie wynika z przepisów UE oraz zobowiązań międzynarodowych. </w:t>
            </w:r>
          </w:p>
          <w:p w14:paraId="1ACC701A" w14:textId="6474B413" w:rsidR="00F12BC7" w:rsidRPr="00200A58" w:rsidRDefault="00200A58" w:rsidP="00A1355C">
            <w:pPr>
              <w:autoSpaceDE w:val="0"/>
              <w:autoSpaceDN w:val="0"/>
              <w:adjustRightInd w:val="0"/>
              <w:spacing w:line="240" w:lineRule="auto"/>
              <w:jc w:val="both"/>
              <w:rPr>
                <w:rFonts w:ascii="Times New Roman" w:hAnsi="Times New Roman"/>
                <w:lang w:eastAsia="pl-PL"/>
              </w:rPr>
            </w:pPr>
            <w:r>
              <w:rPr>
                <w:rFonts w:ascii="Times New Roman" w:hAnsi="Times New Roman"/>
                <w:spacing w:val="-2"/>
              </w:rPr>
              <w:t xml:space="preserve">Ponadto </w:t>
            </w:r>
            <w:r w:rsidRPr="00200A58">
              <w:rPr>
                <w:rFonts w:ascii="Times New Roman" w:hAnsi="Times New Roman"/>
                <w:lang w:eastAsia="pl-PL"/>
              </w:rPr>
              <w:t>charakter krajowy</w:t>
            </w:r>
            <w:r>
              <w:rPr>
                <w:rFonts w:ascii="Times New Roman" w:hAnsi="Times New Roman"/>
                <w:lang w:eastAsia="pl-PL"/>
              </w:rPr>
              <w:t xml:space="preserve"> mają także </w:t>
            </w:r>
            <w:r>
              <w:rPr>
                <w:rFonts w:ascii="Times New Roman" w:hAnsi="Times New Roman"/>
                <w:spacing w:val="-2"/>
              </w:rPr>
              <w:t>z</w:t>
            </w:r>
            <w:r w:rsidR="00703573" w:rsidRPr="00200A58">
              <w:rPr>
                <w:rFonts w:ascii="Times New Roman" w:hAnsi="Times New Roman"/>
                <w:spacing w:val="-2"/>
              </w:rPr>
              <w:t>mian</w:t>
            </w:r>
            <w:r>
              <w:rPr>
                <w:rFonts w:ascii="Times New Roman" w:hAnsi="Times New Roman"/>
                <w:spacing w:val="-2"/>
              </w:rPr>
              <w:t>y</w:t>
            </w:r>
            <w:r w:rsidR="00703573" w:rsidRPr="00200A58">
              <w:rPr>
                <w:rFonts w:ascii="Times New Roman" w:hAnsi="Times New Roman"/>
                <w:spacing w:val="-2"/>
              </w:rPr>
              <w:t xml:space="preserve"> przepisów</w:t>
            </w:r>
            <w:r w:rsidR="007572DB">
              <w:rPr>
                <w:rFonts w:ascii="Times New Roman" w:hAnsi="Times New Roman"/>
                <w:spacing w:val="-2"/>
              </w:rPr>
              <w:t xml:space="preserve"> </w:t>
            </w:r>
            <w:r w:rsidR="00F12BC7" w:rsidRPr="00200A58">
              <w:rPr>
                <w:rFonts w:ascii="Times New Roman" w:hAnsi="Times New Roman"/>
                <w:lang w:eastAsia="pl-PL"/>
              </w:rPr>
              <w:t xml:space="preserve">ustawy z dnia 21 listopada 2008 r. </w:t>
            </w:r>
            <w:r w:rsidR="00F12BC7" w:rsidRPr="003171F4">
              <w:rPr>
                <w:rFonts w:ascii="Times New Roman" w:hAnsi="Times New Roman"/>
                <w:i/>
                <w:iCs/>
                <w:lang w:eastAsia="pl-PL"/>
              </w:rPr>
              <w:t>o wspieraniu termomodernizacji i remontów oraz o centralnej ewidencji emisyjności</w:t>
            </w:r>
            <w:r w:rsidR="007572DB" w:rsidRPr="003171F4">
              <w:rPr>
                <w:rFonts w:ascii="Times New Roman" w:hAnsi="Times New Roman"/>
                <w:i/>
                <w:iCs/>
                <w:lang w:eastAsia="pl-PL"/>
              </w:rPr>
              <w:t xml:space="preserve"> budynków</w:t>
            </w:r>
            <w:r w:rsidR="007572DB">
              <w:rPr>
                <w:rFonts w:ascii="Times New Roman" w:hAnsi="Times New Roman"/>
                <w:lang w:eastAsia="pl-PL"/>
              </w:rPr>
              <w:t xml:space="preserve"> (Dz.</w:t>
            </w:r>
            <w:r w:rsidR="001222FA">
              <w:rPr>
                <w:rFonts w:ascii="Times New Roman" w:hAnsi="Times New Roman"/>
                <w:lang w:eastAsia="pl-PL"/>
              </w:rPr>
              <w:t xml:space="preserve"> </w:t>
            </w:r>
            <w:r w:rsidR="007572DB">
              <w:rPr>
                <w:rFonts w:ascii="Times New Roman" w:hAnsi="Times New Roman"/>
                <w:lang w:eastAsia="pl-PL"/>
              </w:rPr>
              <w:t>U</w:t>
            </w:r>
            <w:r w:rsidR="00774F09">
              <w:rPr>
                <w:rFonts w:ascii="Times New Roman" w:hAnsi="Times New Roman"/>
                <w:lang w:eastAsia="pl-PL"/>
              </w:rPr>
              <w:t>.</w:t>
            </w:r>
            <w:r w:rsidR="007572DB">
              <w:rPr>
                <w:rFonts w:ascii="Times New Roman" w:hAnsi="Times New Roman"/>
                <w:lang w:eastAsia="pl-PL"/>
              </w:rPr>
              <w:t xml:space="preserve"> </w:t>
            </w:r>
            <w:r w:rsidR="00F1492B" w:rsidRPr="00F1492B">
              <w:rPr>
                <w:rFonts w:ascii="Times New Roman" w:hAnsi="Times New Roman"/>
                <w:lang w:eastAsia="pl-PL"/>
              </w:rPr>
              <w:t>z 202</w:t>
            </w:r>
            <w:r w:rsidR="008400C7">
              <w:rPr>
                <w:rFonts w:ascii="Times New Roman" w:hAnsi="Times New Roman"/>
                <w:lang w:eastAsia="pl-PL"/>
              </w:rPr>
              <w:t>3</w:t>
            </w:r>
            <w:r w:rsidR="00F1492B" w:rsidRPr="00F1492B">
              <w:rPr>
                <w:rFonts w:ascii="Times New Roman" w:hAnsi="Times New Roman"/>
                <w:lang w:eastAsia="pl-PL"/>
              </w:rPr>
              <w:t xml:space="preserve"> r. poz. </w:t>
            </w:r>
            <w:r w:rsidR="008400C7">
              <w:rPr>
                <w:rFonts w:ascii="Times New Roman" w:hAnsi="Times New Roman"/>
                <w:lang w:eastAsia="pl-PL"/>
              </w:rPr>
              <w:t>2496</w:t>
            </w:r>
            <w:r w:rsidR="007572DB">
              <w:rPr>
                <w:rFonts w:ascii="Times New Roman" w:hAnsi="Times New Roman"/>
                <w:lang w:eastAsia="pl-PL"/>
              </w:rPr>
              <w:t>).</w:t>
            </w:r>
          </w:p>
          <w:p w14:paraId="7C3F33FE" w14:textId="77777777" w:rsidR="00F12BC7" w:rsidRPr="00537CC2" w:rsidRDefault="00F12BC7" w:rsidP="00F12BC7">
            <w:pPr>
              <w:spacing w:line="240" w:lineRule="auto"/>
              <w:jc w:val="both"/>
              <w:rPr>
                <w:rFonts w:ascii="Times New Roman" w:hAnsi="Times New Roman"/>
                <w:spacing w:val="-2"/>
              </w:rPr>
            </w:pPr>
          </w:p>
          <w:p w14:paraId="1FBA8040" w14:textId="263EB4D6" w:rsidR="00D32720" w:rsidRPr="00537CC2" w:rsidRDefault="00D32720" w:rsidP="00D32720">
            <w:pPr>
              <w:spacing w:line="240" w:lineRule="auto"/>
              <w:jc w:val="both"/>
              <w:rPr>
                <w:rFonts w:ascii="Times New Roman" w:hAnsi="Times New Roman"/>
              </w:rPr>
            </w:pPr>
            <w:r w:rsidRPr="00537CC2">
              <w:rPr>
                <w:rFonts w:ascii="Times New Roman" w:hAnsi="Times New Roman"/>
                <w:b/>
                <w:bCs/>
                <w:spacing w:val="-2"/>
                <w:u w:val="single"/>
              </w:rPr>
              <w:t xml:space="preserve">Wymagania jakościowe dla paliw </w:t>
            </w:r>
            <w:r w:rsidRPr="00537CC2">
              <w:rPr>
                <w:rFonts w:ascii="Times New Roman" w:hAnsi="Times New Roman"/>
                <w:b/>
                <w:bCs/>
                <w:u w:val="single"/>
              </w:rPr>
              <w:t xml:space="preserve">stałych </w:t>
            </w:r>
            <w:proofErr w:type="spellStart"/>
            <w:r w:rsidRPr="00537CC2">
              <w:rPr>
                <w:rFonts w:ascii="Times New Roman" w:hAnsi="Times New Roman"/>
                <w:b/>
                <w:bCs/>
                <w:u w:val="single"/>
              </w:rPr>
              <w:t>biomasowych</w:t>
            </w:r>
            <w:proofErr w:type="spellEnd"/>
            <w:r w:rsidRPr="00537CC2">
              <w:rPr>
                <w:rFonts w:ascii="Times New Roman" w:hAnsi="Times New Roman"/>
                <w:b/>
                <w:bCs/>
                <w:u w:val="single"/>
              </w:rPr>
              <w:t xml:space="preserve"> </w:t>
            </w:r>
            <w:r w:rsidR="00444E02">
              <w:rPr>
                <w:rFonts w:ascii="Times New Roman" w:hAnsi="Times New Roman"/>
                <w:b/>
                <w:bCs/>
                <w:u w:val="single"/>
              </w:rPr>
              <w:t>−</w:t>
            </w:r>
            <w:r w:rsidRPr="00537CC2">
              <w:rPr>
                <w:rFonts w:ascii="Times New Roman" w:hAnsi="Times New Roman"/>
                <w:b/>
                <w:bCs/>
                <w:u w:val="single"/>
              </w:rPr>
              <w:t xml:space="preserve"> biomasy pozyskanej z drzew i krzewów </w:t>
            </w:r>
            <w:r w:rsidR="00444E02">
              <w:rPr>
                <w:rFonts w:ascii="Times New Roman" w:hAnsi="Times New Roman"/>
                <w:b/>
                <w:bCs/>
                <w:u w:val="single"/>
              </w:rPr>
              <w:t>−</w:t>
            </w:r>
            <w:r w:rsidRPr="00537CC2">
              <w:rPr>
                <w:rFonts w:ascii="Times New Roman" w:hAnsi="Times New Roman"/>
                <w:b/>
                <w:bCs/>
                <w:u w:val="single"/>
              </w:rPr>
              <w:t xml:space="preserve"> </w:t>
            </w:r>
            <w:proofErr w:type="spellStart"/>
            <w:r w:rsidRPr="00537CC2">
              <w:rPr>
                <w:rFonts w:ascii="Times New Roman" w:hAnsi="Times New Roman"/>
                <w:b/>
                <w:bCs/>
                <w:u w:val="single"/>
              </w:rPr>
              <w:t>peletu</w:t>
            </w:r>
            <w:proofErr w:type="spellEnd"/>
            <w:r w:rsidRPr="00537CC2">
              <w:rPr>
                <w:rFonts w:ascii="Times New Roman" w:hAnsi="Times New Roman"/>
                <w:b/>
                <w:bCs/>
                <w:u w:val="single"/>
              </w:rPr>
              <w:t>, wprowadzanych do obrotu z przeznaczanie do użycia w sektorze bytowo-komunalnym</w:t>
            </w:r>
          </w:p>
          <w:p w14:paraId="5DEF336D" w14:textId="34BBC981" w:rsidR="00C3543B" w:rsidRPr="00145F5E" w:rsidRDefault="00D32720" w:rsidP="00145F5E">
            <w:pPr>
              <w:spacing w:after="120" w:line="240" w:lineRule="auto"/>
              <w:jc w:val="both"/>
              <w:rPr>
                <w:rFonts w:ascii="Times New Roman" w:hAnsi="Times New Roman"/>
                <w:b/>
                <w:bCs/>
              </w:rPr>
            </w:pPr>
            <w:r w:rsidRPr="00537CC2">
              <w:rPr>
                <w:rFonts w:ascii="Times New Roman" w:hAnsi="Times New Roman"/>
              </w:rPr>
              <w:t xml:space="preserve">Z przeprowadzonego </w:t>
            </w:r>
            <w:r w:rsidR="00C76328">
              <w:rPr>
                <w:rFonts w:ascii="Times New Roman" w:hAnsi="Times New Roman"/>
              </w:rPr>
              <w:t xml:space="preserve">w 2022 r. </w:t>
            </w:r>
            <w:r w:rsidRPr="00537CC2">
              <w:rPr>
                <w:rFonts w:ascii="Times New Roman" w:hAnsi="Times New Roman"/>
              </w:rPr>
              <w:t xml:space="preserve">przeglądu regulacji prawnych zarówno krajowych jak i wybranych krajów europejskich – największych konsumentów </w:t>
            </w:r>
            <w:proofErr w:type="spellStart"/>
            <w:r w:rsidRPr="00537CC2">
              <w:rPr>
                <w:rFonts w:ascii="Times New Roman" w:hAnsi="Times New Roman"/>
              </w:rPr>
              <w:t>peletu</w:t>
            </w:r>
            <w:proofErr w:type="spellEnd"/>
            <w:r w:rsidRPr="00537CC2">
              <w:rPr>
                <w:rFonts w:ascii="Times New Roman" w:hAnsi="Times New Roman"/>
              </w:rPr>
              <w:t xml:space="preserve"> w 2020 r. </w:t>
            </w:r>
            <w:r w:rsidR="00E35BF5" w:rsidRPr="00E35BF5">
              <w:rPr>
                <w:rFonts w:ascii="Times New Roman" w:hAnsi="Times New Roman"/>
              </w:rPr>
              <w:t>–</w:t>
            </w:r>
            <w:r w:rsidRPr="00537CC2">
              <w:rPr>
                <w:rFonts w:ascii="Times New Roman" w:hAnsi="Times New Roman"/>
              </w:rPr>
              <w:t xml:space="preserve"> </w:t>
            </w:r>
            <w:r w:rsidRPr="00A10E27">
              <w:rPr>
                <w:rFonts w:ascii="Times New Roman" w:hAnsi="Times New Roman"/>
                <w:lang w:bidi="pl-PL"/>
              </w:rPr>
              <w:t>Włochy, Niemcy, Dania, Francja oraz Szwecja wynika</w:t>
            </w:r>
            <w:r w:rsidR="00C76328">
              <w:rPr>
                <w:rFonts w:ascii="Times New Roman" w:hAnsi="Times New Roman"/>
                <w:lang w:bidi="pl-PL"/>
              </w:rPr>
              <w:t>ło</w:t>
            </w:r>
            <w:r w:rsidRPr="00A10E27">
              <w:rPr>
                <w:rFonts w:ascii="Times New Roman" w:hAnsi="Times New Roman"/>
                <w:lang w:bidi="pl-PL"/>
              </w:rPr>
              <w:t xml:space="preserve">, że nie ustanowiono wymagań prawnych dla paliw stałych </w:t>
            </w:r>
            <w:proofErr w:type="spellStart"/>
            <w:r w:rsidRPr="00A10E27">
              <w:rPr>
                <w:rFonts w:ascii="Times New Roman" w:hAnsi="Times New Roman"/>
                <w:lang w:bidi="pl-PL"/>
              </w:rPr>
              <w:t>biomasowych</w:t>
            </w:r>
            <w:proofErr w:type="spellEnd"/>
            <w:r w:rsidRPr="00A10E27">
              <w:rPr>
                <w:rFonts w:ascii="Times New Roman" w:hAnsi="Times New Roman"/>
                <w:lang w:bidi="pl-PL"/>
              </w:rPr>
              <w:t xml:space="preserve"> wprowadzanych do obrotu </w:t>
            </w:r>
            <w:r w:rsidRPr="00537CC2">
              <w:rPr>
                <w:rFonts w:ascii="Times New Roman" w:hAnsi="Times New Roman"/>
              </w:rPr>
              <w:t>z przeznaczanie do użycia w</w:t>
            </w:r>
            <w:r w:rsidR="0043193B">
              <w:rPr>
                <w:rFonts w:ascii="Times New Roman" w:hAnsi="Times New Roman"/>
              </w:rPr>
              <w:t> </w:t>
            </w:r>
            <w:r w:rsidRPr="00537CC2">
              <w:rPr>
                <w:rFonts w:ascii="Times New Roman" w:hAnsi="Times New Roman"/>
              </w:rPr>
              <w:t>sektorze bytowo-komunalnym. Natomiast od dnia 1 września 2023 r. zacz</w:t>
            </w:r>
            <w:r w:rsidR="00212174">
              <w:rPr>
                <w:rFonts w:ascii="Times New Roman" w:hAnsi="Times New Roman"/>
              </w:rPr>
              <w:t>ę</w:t>
            </w:r>
            <w:r w:rsidR="00B659F0">
              <w:rPr>
                <w:rFonts w:ascii="Times New Roman" w:hAnsi="Times New Roman"/>
              </w:rPr>
              <w:t>ły</w:t>
            </w:r>
            <w:r w:rsidRPr="00537CC2">
              <w:rPr>
                <w:rFonts w:ascii="Times New Roman" w:hAnsi="Times New Roman"/>
              </w:rPr>
              <w:t xml:space="preserve"> obowiązywać takie wymagania we Francji. </w:t>
            </w:r>
            <w:r w:rsidRPr="00A10E27">
              <w:rPr>
                <w:rFonts w:ascii="Times New Roman" w:hAnsi="Times New Roman"/>
                <w:lang w:bidi="pl-PL"/>
              </w:rPr>
              <w:t>W dniu 30 marca 2022 r. opublikowane zostało</w:t>
            </w:r>
            <w:r w:rsidRPr="00537CC2">
              <w:rPr>
                <w:rFonts w:ascii="Times New Roman" w:hAnsi="Times New Roman"/>
              </w:rPr>
              <w:t xml:space="preserve"> r</w:t>
            </w:r>
            <w:r w:rsidRPr="00A10E27">
              <w:rPr>
                <w:rFonts w:ascii="Times New Roman" w:hAnsi="Times New Roman"/>
              </w:rPr>
              <w:t>ozporządzenie</w:t>
            </w:r>
            <w:r w:rsidR="00094258">
              <w:rPr>
                <w:rFonts w:ascii="Times New Roman" w:hAnsi="Times New Roman"/>
              </w:rPr>
              <w:t xml:space="preserve"> </w:t>
            </w:r>
            <w:r w:rsidRPr="00A10E27">
              <w:rPr>
                <w:rFonts w:ascii="Times New Roman" w:hAnsi="Times New Roman"/>
              </w:rPr>
              <w:t>w sprawie kryteriów technicznych, jakie muszą spełniać niektóre kategorie paliw stałych wprowadzanych na rynek i przeznaczonych do ogrzewania, w celu ograniczenia wpływu ich spalania na jakość powietrza (</w:t>
            </w:r>
            <w:proofErr w:type="spellStart"/>
            <w:r w:rsidRPr="00A10E27">
              <w:rPr>
                <w:rFonts w:ascii="Times New Roman" w:hAnsi="Times New Roman"/>
              </w:rPr>
              <w:t>Journal</w:t>
            </w:r>
            <w:proofErr w:type="spellEnd"/>
            <w:r w:rsidRPr="00A10E27">
              <w:rPr>
                <w:rFonts w:ascii="Times New Roman" w:hAnsi="Times New Roman"/>
              </w:rPr>
              <w:t xml:space="preserve"> </w:t>
            </w:r>
            <w:proofErr w:type="spellStart"/>
            <w:r w:rsidRPr="00A10E27">
              <w:rPr>
                <w:rFonts w:ascii="Times New Roman" w:hAnsi="Times New Roman"/>
              </w:rPr>
              <w:t>Officiel</w:t>
            </w:r>
            <w:proofErr w:type="spellEnd"/>
            <w:r w:rsidRPr="00A10E27">
              <w:rPr>
                <w:rFonts w:ascii="Times New Roman" w:hAnsi="Times New Roman"/>
              </w:rPr>
              <w:t xml:space="preserve"> De La </w:t>
            </w:r>
            <w:proofErr w:type="spellStart"/>
            <w:r w:rsidRPr="00A10E27">
              <w:rPr>
                <w:rFonts w:ascii="Times New Roman" w:hAnsi="Times New Roman"/>
              </w:rPr>
              <w:t>République</w:t>
            </w:r>
            <w:proofErr w:type="spellEnd"/>
            <w:r w:rsidRPr="00A10E27">
              <w:rPr>
                <w:rFonts w:ascii="Times New Roman" w:hAnsi="Times New Roman"/>
              </w:rPr>
              <w:t xml:space="preserve"> </w:t>
            </w:r>
            <w:proofErr w:type="spellStart"/>
            <w:r w:rsidRPr="00A10E27">
              <w:rPr>
                <w:rFonts w:ascii="Times New Roman" w:hAnsi="Times New Roman"/>
              </w:rPr>
              <w:t>Française</w:t>
            </w:r>
            <w:proofErr w:type="spellEnd"/>
            <w:r w:rsidRPr="00A10E27">
              <w:rPr>
                <w:rFonts w:ascii="Times New Roman" w:hAnsi="Times New Roman"/>
              </w:rPr>
              <w:t>,</w:t>
            </w:r>
            <w:r w:rsidR="00094258">
              <w:rPr>
                <w:rFonts w:ascii="Times New Roman" w:hAnsi="Times New Roman"/>
              </w:rPr>
              <w:t xml:space="preserve"> </w:t>
            </w:r>
            <w:proofErr w:type="spellStart"/>
            <w:r w:rsidRPr="00A10E27">
              <w:rPr>
                <w:rFonts w:ascii="Times New Roman" w:hAnsi="Times New Roman"/>
              </w:rPr>
              <w:t>Ministère</w:t>
            </w:r>
            <w:proofErr w:type="spellEnd"/>
            <w:r w:rsidRPr="00A10E27">
              <w:rPr>
                <w:rFonts w:ascii="Times New Roman" w:hAnsi="Times New Roman"/>
              </w:rPr>
              <w:t xml:space="preserve"> De La </w:t>
            </w:r>
            <w:proofErr w:type="spellStart"/>
            <w:r w:rsidRPr="00A10E27">
              <w:rPr>
                <w:rFonts w:ascii="Times New Roman" w:hAnsi="Times New Roman"/>
              </w:rPr>
              <w:t>Transition</w:t>
            </w:r>
            <w:proofErr w:type="spellEnd"/>
            <w:r w:rsidRPr="00A10E27">
              <w:rPr>
                <w:rFonts w:ascii="Times New Roman" w:hAnsi="Times New Roman"/>
              </w:rPr>
              <w:t xml:space="preserve"> </w:t>
            </w:r>
            <w:proofErr w:type="spellStart"/>
            <w:r w:rsidRPr="00A10E27">
              <w:rPr>
                <w:rFonts w:ascii="Times New Roman" w:hAnsi="Times New Roman"/>
              </w:rPr>
              <w:t>Écologique</w:t>
            </w:r>
            <w:proofErr w:type="spellEnd"/>
            <w:r w:rsidRPr="00A10E27">
              <w:rPr>
                <w:rFonts w:ascii="Times New Roman" w:hAnsi="Times New Roman"/>
              </w:rPr>
              <w:t xml:space="preserve">, </w:t>
            </w:r>
            <w:proofErr w:type="spellStart"/>
            <w:r w:rsidRPr="00A10E27">
              <w:rPr>
                <w:rFonts w:ascii="Times New Roman" w:hAnsi="Times New Roman"/>
              </w:rPr>
              <w:t>Arrêté</w:t>
            </w:r>
            <w:proofErr w:type="spellEnd"/>
            <w:r w:rsidRPr="00A10E27">
              <w:rPr>
                <w:rFonts w:ascii="Times New Roman" w:hAnsi="Times New Roman"/>
              </w:rPr>
              <w:t xml:space="preserve"> </w:t>
            </w:r>
            <w:proofErr w:type="spellStart"/>
            <w:r w:rsidRPr="00A10E27">
              <w:rPr>
                <w:rFonts w:ascii="Times New Roman" w:hAnsi="Times New Roman"/>
              </w:rPr>
              <w:t>du</w:t>
            </w:r>
            <w:proofErr w:type="spellEnd"/>
            <w:r w:rsidRPr="00A10E27">
              <w:rPr>
                <w:rFonts w:ascii="Times New Roman" w:hAnsi="Times New Roman"/>
              </w:rPr>
              <w:t xml:space="preserve"> 30 mars 2022 </w:t>
            </w:r>
            <w:proofErr w:type="spellStart"/>
            <w:r w:rsidRPr="00A10E27">
              <w:rPr>
                <w:rFonts w:ascii="Times New Roman" w:hAnsi="Times New Roman"/>
              </w:rPr>
              <w:t>relatif</w:t>
            </w:r>
            <w:proofErr w:type="spellEnd"/>
            <w:r w:rsidRPr="00A10E27">
              <w:rPr>
                <w:rFonts w:ascii="Times New Roman" w:hAnsi="Times New Roman"/>
              </w:rPr>
              <w:t xml:space="preserve"> </w:t>
            </w:r>
            <w:proofErr w:type="spellStart"/>
            <w:r w:rsidRPr="00A10E27">
              <w:rPr>
                <w:rFonts w:ascii="Times New Roman" w:hAnsi="Times New Roman"/>
              </w:rPr>
              <w:t>aux</w:t>
            </w:r>
            <w:proofErr w:type="spellEnd"/>
            <w:r w:rsidRPr="00A10E27">
              <w:rPr>
                <w:rFonts w:ascii="Times New Roman" w:hAnsi="Times New Roman"/>
              </w:rPr>
              <w:t xml:space="preserve"> </w:t>
            </w:r>
            <w:proofErr w:type="spellStart"/>
            <w:r w:rsidRPr="00A10E27">
              <w:rPr>
                <w:rFonts w:ascii="Times New Roman" w:hAnsi="Times New Roman"/>
              </w:rPr>
              <w:t>critères</w:t>
            </w:r>
            <w:proofErr w:type="spellEnd"/>
            <w:r w:rsidRPr="00A10E27">
              <w:rPr>
                <w:rFonts w:ascii="Times New Roman" w:hAnsi="Times New Roman"/>
              </w:rPr>
              <w:t xml:space="preserve"> </w:t>
            </w:r>
            <w:proofErr w:type="spellStart"/>
            <w:r w:rsidRPr="00A10E27">
              <w:rPr>
                <w:rFonts w:ascii="Times New Roman" w:hAnsi="Times New Roman"/>
              </w:rPr>
              <w:t>techniques</w:t>
            </w:r>
            <w:proofErr w:type="spellEnd"/>
            <w:r w:rsidRPr="00A10E27">
              <w:rPr>
                <w:rFonts w:ascii="Times New Roman" w:hAnsi="Times New Roman"/>
              </w:rPr>
              <w:t xml:space="preserve"> </w:t>
            </w:r>
            <w:proofErr w:type="spellStart"/>
            <w:r w:rsidRPr="00A10E27">
              <w:rPr>
                <w:rFonts w:ascii="Times New Roman" w:hAnsi="Times New Roman"/>
              </w:rPr>
              <w:t>auxquels</w:t>
            </w:r>
            <w:proofErr w:type="spellEnd"/>
            <w:r w:rsidRPr="00A10E27">
              <w:rPr>
                <w:rFonts w:ascii="Times New Roman" w:hAnsi="Times New Roman"/>
              </w:rPr>
              <w:t xml:space="preserve"> </w:t>
            </w:r>
            <w:proofErr w:type="spellStart"/>
            <w:r w:rsidRPr="00A10E27">
              <w:rPr>
                <w:rFonts w:ascii="Times New Roman" w:hAnsi="Times New Roman"/>
              </w:rPr>
              <w:t>doivent</w:t>
            </w:r>
            <w:proofErr w:type="spellEnd"/>
            <w:r w:rsidRPr="00A10E27">
              <w:rPr>
                <w:rFonts w:ascii="Times New Roman" w:hAnsi="Times New Roman"/>
              </w:rPr>
              <w:t xml:space="preserve"> </w:t>
            </w:r>
            <w:proofErr w:type="spellStart"/>
            <w:r w:rsidRPr="00A10E27">
              <w:rPr>
                <w:rFonts w:ascii="Times New Roman" w:hAnsi="Times New Roman"/>
              </w:rPr>
              <w:t>répondre</w:t>
            </w:r>
            <w:proofErr w:type="spellEnd"/>
            <w:r w:rsidRPr="00A10E27">
              <w:rPr>
                <w:rFonts w:ascii="Times New Roman" w:hAnsi="Times New Roman"/>
              </w:rPr>
              <w:t xml:space="preserve"> </w:t>
            </w:r>
            <w:proofErr w:type="spellStart"/>
            <w:r w:rsidRPr="00A10E27">
              <w:rPr>
                <w:rFonts w:ascii="Times New Roman" w:hAnsi="Times New Roman"/>
              </w:rPr>
              <w:t>certaines</w:t>
            </w:r>
            <w:proofErr w:type="spellEnd"/>
            <w:r w:rsidRPr="00A10E27">
              <w:rPr>
                <w:rFonts w:ascii="Times New Roman" w:hAnsi="Times New Roman"/>
              </w:rPr>
              <w:t xml:space="preserve"> </w:t>
            </w:r>
            <w:proofErr w:type="spellStart"/>
            <w:r w:rsidRPr="00A10E27">
              <w:rPr>
                <w:rFonts w:ascii="Times New Roman" w:hAnsi="Times New Roman"/>
              </w:rPr>
              <w:t>catégories</w:t>
            </w:r>
            <w:proofErr w:type="spellEnd"/>
            <w:r w:rsidRPr="00A10E27">
              <w:rPr>
                <w:rFonts w:ascii="Times New Roman" w:hAnsi="Times New Roman"/>
              </w:rPr>
              <w:t xml:space="preserve"> de </w:t>
            </w:r>
            <w:proofErr w:type="spellStart"/>
            <w:r w:rsidRPr="00A10E27">
              <w:rPr>
                <w:rFonts w:ascii="Times New Roman" w:hAnsi="Times New Roman"/>
              </w:rPr>
              <w:t>combustibles</w:t>
            </w:r>
            <w:proofErr w:type="spellEnd"/>
            <w:r w:rsidRPr="00A10E27">
              <w:rPr>
                <w:rFonts w:ascii="Times New Roman" w:hAnsi="Times New Roman"/>
              </w:rPr>
              <w:t xml:space="preserve"> </w:t>
            </w:r>
            <w:proofErr w:type="spellStart"/>
            <w:r w:rsidRPr="00A10E27">
              <w:rPr>
                <w:rFonts w:ascii="Times New Roman" w:hAnsi="Times New Roman"/>
              </w:rPr>
              <w:t>solides</w:t>
            </w:r>
            <w:proofErr w:type="spellEnd"/>
            <w:r w:rsidRPr="00A10E27">
              <w:rPr>
                <w:rFonts w:ascii="Times New Roman" w:hAnsi="Times New Roman"/>
              </w:rPr>
              <w:t xml:space="preserve"> mis sur le </w:t>
            </w:r>
            <w:proofErr w:type="spellStart"/>
            <w:r w:rsidRPr="00A10E27">
              <w:rPr>
                <w:rFonts w:ascii="Times New Roman" w:hAnsi="Times New Roman"/>
              </w:rPr>
              <w:t>marché</w:t>
            </w:r>
            <w:proofErr w:type="spellEnd"/>
            <w:r w:rsidRPr="00A10E27">
              <w:rPr>
                <w:rFonts w:ascii="Times New Roman" w:hAnsi="Times New Roman"/>
              </w:rPr>
              <w:t xml:space="preserve"> et </w:t>
            </w:r>
            <w:proofErr w:type="spellStart"/>
            <w:r w:rsidRPr="00A10E27">
              <w:rPr>
                <w:rFonts w:ascii="Times New Roman" w:hAnsi="Times New Roman"/>
              </w:rPr>
              <w:t>destinés</w:t>
            </w:r>
            <w:proofErr w:type="spellEnd"/>
            <w:r w:rsidRPr="00A10E27">
              <w:rPr>
                <w:rFonts w:ascii="Times New Roman" w:hAnsi="Times New Roman"/>
              </w:rPr>
              <w:t xml:space="preserve"> au </w:t>
            </w:r>
            <w:proofErr w:type="spellStart"/>
            <w:r w:rsidRPr="00A10E27">
              <w:rPr>
                <w:rFonts w:ascii="Times New Roman" w:hAnsi="Times New Roman"/>
              </w:rPr>
              <w:t>chauffage</w:t>
            </w:r>
            <w:proofErr w:type="spellEnd"/>
            <w:r w:rsidRPr="00A10E27">
              <w:rPr>
                <w:rFonts w:ascii="Times New Roman" w:hAnsi="Times New Roman"/>
              </w:rPr>
              <w:t xml:space="preserve">, </w:t>
            </w:r>
            <w:proofErr w:type="spellStart"/>
            <w:r w:rsidRPr="00A10E27">
              <w:rPr>
                <w:rFonts w:ascii="Times New Roman" w:hAnsi="Times New Roman"/>
              </w:rPr>
              <w:t>afin</w:t>
            </w:r>
            <w:proofErr w:type="spellEnd"/>
            <w:r w:rsidRPr="00A10E27">
              <w:rPr>
                <w:rFonts w:ascii="Times New Roman" w:hAnsi="Times New Roman"/>
              </w:rPr>
              <w:t xml:space="preserve"> de limiter </w:t>
            </w:r>
            <w:proofErr w:type="spellStart"/>
            <w:r w:rsidRPr="00A10E27">
              <w:rPr>
                <w:rFonts w:ascii="Times New Roman" w:hAnsi="Times New Roman"/>
              </w:rPr>
              <w:t>l’impact</w:t>
            </w:r>
            <w:proofErr w:type="spellEnd"/>
            <w:r w:rsidRPr="00A10E27">
              <w:rPr>
                <w:rFonts w:ascii="Times New Roman" w:hAnsi="Times New Roman"/>
              </w:rPr>
              <w:t xml:space="preserve"> de </w:t>
            </w:r>
            <w:proofErr w:type="spellStart"/>
            <w:r w:rsidRPr="00A10E27">
              <w:rPr>
                <w:rFonts w:ascii="Times New Roman" w:hAnsi="Times New Roman"/>
              </w:rPr>
              <w:t>leur</w:t>
            </w:r>
            <w:proofErr w:type="spellEnd"/>
            <w:r w:rsidRPr="00A10E27">
              <w:rPr>
                <w:rFonts w:ascii="Times New Roman" w:hAnsi="Times New Roman"/>
              </w:rPr>
              <w:t xml:space="preserve"> </w:t>
            </w:r>
            <w:proofErr w:type="spellStart"/>
            <w:r w:rsidRPr="00A10E27">
              <w:rPr>
                <w:rFonts w:ascii="Times New Roman" w:hAnsi="Times New Roman"/>
              </w:rPr>
              <w:t>combustion</w:t>
            </w:r>
            <w:proofErr w:type="spellEnd"/>
            <w:r w:rsidRPr="00A10E27">
              <w:rPr>
                <w:rFonts w:ascii="Times New Roman" w:hAnsi="Times New Roman"/>
              </w:rPr>
              <w:t xml:space="preserve"> sur la </w:t>
            </w:r>
            <w:proofErr w:type="spellStart"/>
            <w:r w:rsidRPr="00A10E27">
              <w:rPr>
                <w:rFonts w:ascii="Times New Roman" w:hAnsi="Times New Roman"/>
              </w:rPr>
              <w:t>qualité</w:t>
            </w:r>
            <w:proofErr w:type="spellEnd"/>
            <w:r w:rsidRPr="00A10E27">
              <w:rPr>
                <w:rFonts w:ascii="Times New Roman" w:hAnsi="Times New Roman"/>
              </w:rPr>
              <w:t xml:space="preserve"> de </w:t>
            </w:r>
            <w:proofErr w:type="spellStart"/>
            <w:r w:rsidRPr="00A10E27">
              <w:rPr>
                <w:rFonts w:ascii="Times New Roman" w:hAnsi="Times New Roman"/>
              </w:rPr>
              <w:t>l’air</w:t>
            </w:r>
            <w:proofErr w:type="spellEnd"/>
            <w:r w:rsidRPr="00A10E27">
              <w:rPr>
                <w:rFonts w:ascii="Times New Roman" w:hAnsi="Times New Roman"/>
              </w:rPr>
              <w:t xml:space="preserve">.). </w:t>
            </w:r>
            <w:r w:rsidRPr="00A10E27">
              <w:rPr>
                <w:rFonts w:ascii="Times New Roman" w:hAnsi="Times New Roman"/>
              </w:rPr>
              <w:lastRenderedPageBreak/>
              <w:t xml:space="preserve">Zgodnie z ww. regulacjami prawnymi każde nieprzetworzone paliwo stałe pochodzące z biomasy, przeznaczone do spalania w indywidualnych urządzeniach grzewczych musi mieć zawartość wilgoci mniejszą lub równą 15%. </w:t>
            </w:r>
            <w:proofErr w:type="spellStart"/>
            <w:r w:rsidRPr="00A10E27">
              <w:rPr>
                <w:rFonts w:ascii="Times New Roman" w:hAnsi="Times New Roman"/>
              </w:rPr>
              <w:t>Pelety</w:t>
            </w:r>
            <w:proofErr w:type="spellEnd"/>
            <w:r w:rsidRPr="00A10E27">
              <w:rPr>
                <w:rFonts w:ascii="Times New Roman" w:hAnsi="Times New Roman"/>
              </w:rPr>
              <w:t xml:space="preserve"> stosowane w sektorze bytowo-komunalnym muszą spełniać wymagania normy ISO 17225-2 dla klas A1 i A2</w:t>
            </w:r>
            <w:r w:rsidRPr="00A10E27">
              <w:rPr>
                <w:rStyle w:val="Odwoanieprzypisudolnego"/>
                <w:rFonts w:ascii="Times New Roman" w:hAnsi="Times New Roman"/>
              </w:rPr>
              <w:footnoteReference w:id="5"/>
            </w:r>
            <w:r w:rsidR="00C76328" w:rsidRPr="0056270E">
              <w:rPr>
                <w:rFonts w:ascii="Times New Roman" w:hAnsi="Times New Roman"/>
                <w:vertAlign w:val="superscript"/>
              </w:rPr>
              <w:t>)</w:t>
            </w:r>
            <w:r w:rsidRPr="00A10E27">
              <w:rPr>
                <w:rFonts w:ascii="Times New Roman" w:hAnsi="Times New Roman"/>
              </w:rPr>
              <w:t xml:space="preserve">. Rozporządzenie precyzyjnie definiuje wymagania jakościowe dla </w:t>
            </w:r>
            <w:proofErr w:type="spellStart"/>
            <w:r w:rsidRPr="00A10E27">
              <w:rPr>
                <w:rFonts w:ascii="Times New Roman" w:hAnsi="Times New Roman"/>
              </w:rPr>
              <w:t>peletów</w:t>
            </w:r>
            <w:proofErr w:type="spellEnd"/>
            <w:r w:rsidRPr="00A10E27">
              <w:rPr>
                <w:rFonts w:ascii="Times New Roman" w:hAnsi="Times New Roman"/>
              </w:rPr>
              <w:t>, tj. zawartość wilgoci w stanie roboczym ≤ 10</w:t>
            </w:r>
            <w:r w:rsidR="003171F4">
              <w:rPr>
                <w:rFonts w:ascii="Times New Roman" w:hAnsi="Times New Roman"/>
              </w:rPr>
              <w:t> </w:t>
            </w:r>
            <w:r w:rsidRPr="00A10E27">
              <w:rPr>
                <w:rFonts w:ascii="Times New Roman" w:hAnsi="Times New Roman"/>
              </w:rPr>
              <w:t xml:space="preserve">% mas., zawartość popiołu w stanie suchym ≤ 1,2% mas., wartość opałowa w stanie roboczym ≥ 4,6 kWh/kg oraz zawartość azotu w stanie suchym ≤0,5% mas. Zgodnie z rozporządzeniem zawartość dodatków w </w:t>
            </w:r>
            <w:proofErr w:type="spellStart"/>
            <w:r w:rsidRPr="00A10E27">
              <w:rPr>
                <w:rFonts w:ascii="Times New Roman" w:hAnsi="Times New Roman"/>
              </w:rPr>
              <w:t>pelecie</w:t>
            </w:r>
            <w:proofErr w:type="spellEnd"/>
            <w:r w:rsidRPr="00A10E27">
              <w:rPr>
                <w:rFonts w:ascii="Times New Roman" w:hAnsi="Times New Roman"/>
              </w:rPr>
              <w:t xml:space="preserve"> nie może przekraczać 2% suchej masy. </w:t>
            </w:r>
          </w:p>
          <w:p w14:paraId="3C94CC04" w14:textId="77777777" w:rsidR="00C3543B" w:rsidRPr="00774C75" w:rsidRDefault="00C3543B" w:rsidP="00145F5E">
            <w:pPr>
              <w:spacing w:line="240" w:lineRule="auto"/>
              <w:jc w:val="both"/>
              <w:rPr>
                <w:rFonts w:ascii="Times New Roman" w:hAnsi="Times New Roman"/>
                <w:b/>
                <w:bCs/>
                <w:u w:val="single"/>
              </w:rPr>
            </w:pPr>
            <w:r w:rsidRPr="00D65186">
              <w:rPr>
                <w:rFonts w:ascii="Times New Roman" w:hAnsi="Times New Roman"/>
                <w:b/>
                <w:bCs/>
                <w:u w:val="single"/>
              </w:rPr>
              <w:t xml:space="preserve">Zmiany </w:t>
            </w:r>
            <w:r w:rsidRPr="00774C75">
              <w:rPr>
                <w:rFonts w:ascii="Times New Roman" w:hAnsi="Times New Roman"/>
                <w:b/>
                <w:bCs/>
                <w:u w:val="single"/>
              </w:rPr>
              <w:t xml:space="preserve">przepisów ustawy z dnia 17 lipca 2009 r. </w:t>
            </w:r>
            <w:r w:rsidRPr="00774C75">
              <w:rPr>
                <w:rFonts w:ascii="Times New Roman" w:hAnsi="Times New Roman"/>
                <w:b/>
                <w:bCs/>
                <w:i/>
                <w:iCs/>
                <w:u w:val="single"/>
              </w:rPr>
              <w:t>o systemie zarządzania emisjami gazów cieplarnianych i innych substancji</w:t>
            </w:r>
            <w:r w:rsidRPr="00774C75">
              <w:rPr>
                <w:rFonts w:ascii="Times New Roman" w:hAnsi="Times New Roman"/>
                <w:b/>
                <w:bCs/>
                <w:u w:val="single"/>
              </w:rPr>
              <w:t xml:space="preserve"> </w:t>
            </w:r>
          </w:p>
          <w:p w14:paraId="0E0F9B53" w14:textId="3A317847" w:rsidR="00C33BCA" w:rsidRPr="00774C75" w:rsidRDefault="00C3543B" w:rsidP="00C33BCA">
            <w:pPr>
              <w:spacing w:line="240" w:lineRule="auto"/>
              <w:jc w:val="both"/>
              <w:rPr>
                <w:rFonts w:ascii="Times New Roman" w:hAnsi="Times New Roman"/>
                <w:spacing w:val="-2"/>
              </w:rPr>
            </w:pPr>
            <w:r w:rsidRPr="00774C75">
              <w:rPr>
                <w:rFonts w:ascii="Times New Roman" w:hAnsi="Times New Roman"/>
              </w:rPr>
              <w:t>J</w:t>
            </w:r>
            <w:r w:rsidRPr="00774C75">
              <w:rPr>
                <w:rFonts w:ascii="Times New Roman" w:hAnsi="Times New Roman"/>
                <w:spacing w:val="-2"/>
              </w:rPr>
              <w:t>est to generalnie rozwiązanie krajowe, które ma na celu doprecyzowanie przepisów, wzmocnienie i usprawnienie systemu zarządzania emisjami</w:t>
            </w:r>
            <w:r w:rsidR="00C33BCA" w:rsidRPr="00774C75">
              <w:rPr>
                <w:rFonts w:ascii="Times New Roman" w:hAnsi="Times New Roman"/>
                <w:spacing w:val="-2"/>
              </w:rPr>
              <w:t xml:space="preserve">, w tym działań realizowanych przez </w:t>
            </w:r>
            <w:proofErr w:type="spellStart"/>
            <w:r w:rsidR="00C33BCA" w:rsidRPr="00774C75">
              <w:rPr>
                <w:rFonts w:ascii="Times New Roman" w:hAnsi="Times New Roman"/>
                <w:spacing w:val="-2"/>
              </w:rPr>
              <w:t>K</w:t>
            </w:r>
            <w:r w:rsidR="000E5DD9" w:rsidRPr="00774C75">
              <w:rPr>
                <w:rFonts w:ascii="Times New Roman" w:hAnsi="Times New Roman"/>
                <w:spacing w:val="-2"/>
              </w:rPr>
              <w:t>OBiZE</w:t>
            </w:r>
            <w:proofErr w:type="spellEnd"/>
            <w:r w:rsidR="00C33BCA" w:rsidRPr="00774C75">
              <w:rPr>
                <w:rFonts w:ascii="Times New Roman" w:hAnsi="Times New Roman"/>
                <w:spacing w:val="-2"/>
              </w:rPr>
              <w:t xml:space="preserve">. </w:t>
            </w:r>
          </w:p>
          <w:p w14:paraId="07C68630" w14:textId="680365CF" w:rsidR="00C33BCA" w:rsidRPr="00774C75" w:rsidRDefault="00C33BCA" w:rsidP="00C33BCA">
            <w:pPr>
              <w:spacing w:line="240" w:lineRule="auto"/>
              <w:jc w:val="both"/>
              <w:rPr>
                <w:rFonts w:ascii="Times New Roman" w:hAnsi="Times New Roman"/>
                <w:spacing w:val="-2"/>
              </w:rPr>
            </w:pPr>
            <w:r w:rsidRPr="00774C75">
              <w:rPr>
                <w:rFonts w:ascii="Times New Roman" w:hAnsi="Times New Roman"/>
                <w:spacing w:val="-2"/>
              </w:rPr>
              <w:t xml:space="preserve">Systemy zarządzania emisjami gazów cieplarnianych i innych substancji w państwach członkowskich </w:t>
            </w:r>
            <w:r w:rsidR="003A7129" w:rsidRPr="00774C75">
              <w:rPr>
                <w:rFonts w:ascii="Times New Roman" w:hAnsi="Times New Roman"/>
                <w:spacing w:val="-2"/>
              </w:rPr>
              <w:t xml:space="preserve">są </w:t>
            </w:r>
            <w:r w:rsidRPr="00774C75">
              <w:rPr>
                <w:rFonts w:ascii="Times New Roman" w:hAnsi="Times New Roman"/>
                <w:spacing w:val="-2"/>
              </w:rPr>
              <w:t>uzależnio</w:t>
            </w:r>
            <w:r w:rsidR="000E5DD9" w:rsidRPr="00774C75">
              <w:rPr>
                <w:rFonts w:ascii="Times New Roman" w:hAnsi="Times New Roman"/>
                <w:spacing w:val="-2"/>
              </w:rPr>
              <w:t xml:space="preserve">ne </w:t>
            </w:r>
            <w:r w:rsidRPr="00774C75">
              <w:rPr>
                <w:rFonts w:ascii="Times New Roman" w:hAnsi="Times New Roman"/>
                <w:spacing w:val="-2"/>
              </w:rPr>
              <w:t xml:space="preserve">od krajowych regulacji prawnych w zakresie ochrony powietrza. </w:t>
            </w:r>
          </w:p>
          <w:p w14:paraId="25D6312A" w14:textId="7FD302EF" w:rsidR="005636BE" w:rsidRPr="00774C75" w:rsidRDefault="005636BE" w:rsidP="00145F5E">
            <w:pPr>
              <w:autoSpaceDE w:val="0"/>
              <w:autoSpaceDN w:val="0"/>
              <w:adjustRightInd w:val="0"/>
              <w:spacing w:before="120" w:line="240" w:lineRule="auto"/>
              <w:jc w:val="both"/>
              <w:rPr>
                <w:rFonts w:ascii="Times New Roman" w:hAnsi="Times New Roman"/>
                <w:b/>
                <w:bCs/>
                <w:u w:val="single"/>
                <w:lang w:eastAsia="pl-PL"/>
              </w:rPr>
            </w:pPr>
            <w:bookmarkStart w:id="40" w:name="_Hlk158019430"/>
            <w:r w:rsidRPr="00774C75">
              <w:rPr>
                <w:rFonts w:ascii="Times New Roman" w:hAnsi="Times New Roman"/>
                <w:b/>
                <w:bCs/>
                <w:u w:val="single"/>
                <w:lang w:eastAsia="pl-PL"/>
              </w:rPr>
              <w:t>Rozszerzenie zakresu interwencji Funduszu Rozwoju Regionalnego</w:t>
            </w:r>
          </w:p>
          <w:p w14:paraId="7A193224" w14:textId="763D3990" w:rsidR="003F08C2" w:rsidRPr="00774C75" w:rsidRDefault="00BF0D67" w:rsidP="00537CC2">
            <w:pPr>
              <w:autoSpaceDE w:val="0"/>
              <w:autoSpaceDN w:val="0"/>
              <w:adjustRightInd w:val="0"/>
              <w:spacing w:line="240" w:lineRule="auto"/>
              <w:jc w:val="both"/>
              <w:rPr>
                <w:rFonts w:ascii="Times New Roman" w:hAnsi="Times New Roman"/>
                <w:lang w:eastAsia="pl-PL"/>
              </w:rPr>
            </w:pPr>
            <w:r w:rsidRPr="00774C75">
              <w:rPr>
                <w:rFonts w:ascii="Times New Roman" w:hAnsi="Times New Roman"/>
                <w:lang w:eastAsia="pl-PL"/>
              </w:rPr>
              <w:t>Fundusz przeznaczony dla miast na walkę z ociepleniem klimatu oraz zieloną transformację miast posiadają np. Niemcy.</w:t>
            </w:r>
          </w:p>
          <w:p w14:paraId="381D68DF" w14:textId="37CA814E" w:rsidR="003F08C2" w:rsidRPr="00145F5E" w:rsidRDefault="003F08C2" w:rsidP="003F08C2">
            <w:pPr>
              <w:autoSpaceDE w:val="0"/>
              <w:autoSpaceDN w:val="0"/>
              <w:adjustRightInd w:val="0"/>
              <w:spacing w:line="240" w:lineRule="auto"/>
              <w:jc w:val="both"/>
              <w:rPr>
                <w:rFonts w:ascii="Times New Roman" w:hAnsi="Times New Roman"/>
                <w:lang w:eastAsia="pl-PL"/>
              </w:rPr>
            </w:pPr>
            <w:r w:rsidRPr="00774C75">
              <w:rPr>
                <w:rFonts w:ascii="Times New Roman" w:hAnsi="Times New Roman"/>
                <w:lang w:eastAsia="pl-PL"/>
              </w:rPr>
              <w:t xml:space="preserve">Wprowadzony w 2022 roku Fundusz Klimatu i Transformacji ma działać do 2027 roku, ostatecznie jego wysokość to ok. 160 mld euro. Wsparcie jest oferowane w ramach czterech głównych programów, które dotyczą: budownictwa, rozwoju </w:t>
            </w:r>
            <w:proofErr w:type="spellStart"/>
            <w:r w:rsidRPr="00774C75">
              <w:rPr>
                <w:rFonts w:ascii="Times New Roman" w:hAnsi="Times New Roman"/>
                <w:lang w:eastAsia="pl-PL"/>
              </w:rPr>
              <w:t>elektromobilności</w:t>
            </w:r>
            <w:proofErr w:type="spellEnd"/>
            <w:r w:rsidRPr="00774C75">
              <w:rPr>
                <w:rFonts w:ascii="Times New Roman" w:hAnsi="Times New Roman"/>
                <w:lang w:eastAsia="pl-PL"/>
              </w:rPr>
              <w:t xml:space="preserve"> (w tym</w:t>
            </w:r>
            <w:r w:rsidRPr="00145F5E">
              <w:rPr>
                <w:rFonts w:ascii="Times New Roman" w:hAnsi="Times New Roman"/>
                <w:lang w:eastAsia="pl-PL"/>
              </w:rPr>
              <w:t xml:space="preserve"> infrastruktury do ładowania), rozwoju sektora wodorowego oraz zwiększania efektywności energetycznej.</w:t>
            </w:r>
          </w:p>
          <w:p w14:paraId="7C12B332" w14:textId="146BAC71" w:rsidR="003F08C2" w:rsidRPr="00145F5E" w:rsidRDefault="003F08C2" w:rsidP="003F08C2">
            <w:pPr>
              <w:autoSpaceDE w:val="0"/>
              <w:autoSpaceDN w:val="0"/>
              <w:adjustRightInd w:val="0"/>
              <w:spacing w:line="240" w:lineRule="auto"/>
              <w:jc w:val="both"/>
              <w:rPr>
                <w:rFonts w:ascii="Times New Roman" w:hAnsi="Times New Roman"/>
                <w:lang w:eastAsia="pl-PL"/>
              </w:rPr>
            </w:pPr>
            <w:r w:rsidRPr="00145F5E">
              <w:rPr>
                <w:rFonts w:ascii="Times New Roman" w:hAnsi="Times New Roman"/>
                <w:lang w:eastAsia="pl-PL"/>
              </w:rPr>
              <w:t>Konkretne działania podejmowane w ramach programu dotyczącego budownictwa (najbardziej adekwatnego w</w:t>
            </w:r>
            <w:r w:rsidR="00774F09">
              <w:rPr>
                <w:rFonts w:ascii="Times New Roman" w:hAnsi="Times New Roman"/>
                <w:lang w:eastAsia="pl-PL"/>
              </w:rPr>
              <w:t> </w:t>
            </w:r>
            <w:r w:rsidRPr="00145F5E">
              <w:rPr>
                <w:rFonts w:ascii="Times New Roman" w:hAnsi="Times New Roman"/>
                <w:lang w:eastAsia="pl-PL"/>
              </w:rPr>
              <w:t>zestawieniu z zakresem Funduszu na rzecz zielonej transformacji w miastach) obejmują finansowanie renowacji budynków w całym kraju celem zwiększenia ich efektywności energetycznej i wprowadzenia odnawialnych źródeł energii w sektorze budowlanym. O wsparcie w formie grantów lub preferencyjnych pożyczek mogą się starać osoby fizyczne, gminy, instytucje prawa publicznego, organizacje non-profit (w tym kościoły), spółki (w tym jednoosobowe działalności gospodarcze i spółki komunalne). Wsparcie można uzyskać na działania w budynkach mieszkalnych lub innych (np. budynkach użyteczności publicznej), obejmujące m.in. wykorzystanie nowych systemów grzewczych czy optymalizację istniejących systemów grzewczych, wykorzystanie zoptymalizowanej technologii systemowej.</w:t>
            </w:r>
          </w:p>
          <w:p w14:paraId="76A5BDB0" w14:textId="09DA1FC2" w:rsidR="003F08C2" w:rsidRPr="00145F5E" w:rsidRDefault="003F08C2" w:rsidP="003F08C2">
            <w:pPr>
              <w:autoSpaceDE w:val="0"/>
              <w:autoSpaceDN w:val="0"/>
              <w:adjustRightInd w:val="0"/>
              <w:spacing w:line="240" w:lineRule="auto"/>
              <w:jc w:val="both"/>
              <w:rPr>
                <w:rFonts w:ascii="Times New Roman" w:hAnsi="Times New Roman"/>
                <w:lang w:eastAsia="pl-PL"/>
              </w:rPr>
            </w:pPr>
            <w:r w:rsidRPr="00145F5E">
              <w:rPr>
                <w:rFonts w:ascii="Times New Roman" w:hAnsi="Times New Roman"/>
                <w:lang w:eastAsia="pl-PL"/>
              </w:rPr>
              <w:t xml:space="preserve">W ramach </w:t>
            </w:r>
            <w:r w:rsidR="0087793F" w:rsidRPr="00145F5E">
              <w:rPr>
                <w:rFonts w:ascii="Times New Roman" w:hAnsi="Times New Roman"/>
                <w:lang w:eastAsia="pl-PL"/>
              </w:rPr>
              <w:t>F</w:t>
            </w:r>
            <w:r w:rsidRPr="00145F5E">
              <w:rPr>
                <w:rFonts w:ascii="Times New Roman" w:hAnsi="Times New Roman"/>
                <w:lang w:eastAsia="pl-PL"/>
              </w:rPr>
              <w:t>unduszu wspierane będą także przedsięwzięcia związane z dekarbonizacją procesów przemysłowych (np. w</w:t>
            </w:r>
            <w:r w:rsidR="00E049AB" w:rsidRPr="00145F5E">
              <w:rPr>
                <w:rFonts w:ascii="Times New Roman" w:hAnsi="Times New Roman"/>
                <w:lang w:eastAsia="pl-PL"/>
              </w:rPr>
              <w:t> </w:t>
            </w:r>
            <w:r w:rsidRPr="00145F5E">
              <w:rPr>
                <w:rFonts w:ascii="Times New Roman" w:hAnsi="Times New Roman"/>
                <w:lang w:eastAsia="pl-PL"/>
              </w:rPr>
              <w:t xml:space="preserve">hutnictwie). Z </w:t>
            </w:r>
            <w:r w:rsidR="0087793F" w:rsidRPr="00145F5E">
              <w:rPr>
                <w:rFonts w:ascii="Times New Roman" w:hAnsi="Times New Roman"/>
                <w:lang w:eastAsia="pl-PL"/>
              </w:rPr>
              <w:t>F</w:t>
            </w:r>
            <w:r w:rsidRPr="00145F5E">
              <w:rPr>
                <w:rFonts w:ascii="Times New Roman" w:hAnsi="Times New Roman"/>
                <w:lang w:eastAsia="pl-PL"/>
              </w:rPr>
              <w:t>unduszu zostaną również sfinansowane: planowana od 2024 r. redukcja cen energii elektrycznej dla przedsiębiorstw, polegająca na obniżeniu akcyzy na prąd (z 20,5 do 0,5 euro/MWh), przedłużenie i rozszerzenie rekompensat pośrednich kosztów emisji CO</w:t>
            </w:r>
            <w:r w:rsidRPr="00145F5E">
              <w:rPr>
                <w:rFonts w:ascii="Times New Roman" w:hAnsi="Times New Roman"/>
                <w:vertAlign w:val="subscript"/>
                <w:lang w:eastAsia="pl-PL"/>
              </w:rPr>
              <w:t>2</w:t>
            </w:r>
            <w:r w:rsidRPr="00145F5E">
              <w:rPr>
                <w:rFonts w:ascii="Times New Roman" w:hAnsi="Times New Roman"/>
                <w:lang w:eastAsia="pl-PL"/>
              </w:rPr>
              <w:t xml:space="preserve"> dla przemysłu energochłonnego, dopłaty do budowy fabryk półprzewodników (na czele z inwestycjami Intela w Magdeburgu oraz TSMC w Dreźnie). Szybciej niż przewidywano wycofano dopłaty do zakupu aut elektrycznych.</w:t>
            </w:r>
          </w:p>
          <w:bookmarkEnd w:id="40"/>
          <w:p w14:paraId="0123F249" w14:textId="77777777" w:rsidR="00E304AE" w:rsidRPr="00537CC2" w:rsidRDefault="00E304AE" w:rsidP="00BF0D67">
            <w:pPr>
              <w:spacing w:line="240" w:lineRule="auto"/>
              <w:jc w:val="both"/>
              <w:rPr>
                <w:rFonts w:ascii="TimesNewRomanPSMT" w:hAnsi="TimesNewRomanPSMT" w:cs="TimesNewRomanPSMT"/>
                <w:lang w:eastAsia="pl-PL"/>
              </w:rPr>
            </w:pPr>
          </w:p>
          <w:p w14:paraId="5B12908B" w14:textId="77777777" w:rsidR="00E304AE" w:rsidRPr="00537CC2" w:rsidRDefault="00E304AE" w:rsidP="00E304AE">
            <w:pPr>
              <w:spacing w:line="240" w:lineRule="auto"/>
              <w:jc w:val="both"/>
              <w:rPr>
                <w:rFonts w:ascii="Times New Roman" w:eastAsia="Times New Roman" w:hAnsi="Times New Roman"/>
                <w:b/>
                <w:bCs/>
                <w:u w:val="single"/>
              </w:rPr>
            </w:pPr>
            <w:r w:rsidRPr="00537CC2">
              <w:rPr>
                <w:rFonts w:ascii="Times New Roman" w:eastAsia="Times New Roman" w:hAnsi="Times New Roman"/>
                <w:b/>
                <w:bCs/>
                <w:u w:val="single"/>
              </w:rPr>
              <w:t xml:space="preserve">Usprawnienie wdrażania programów i projektów z zakresu ochrony środowiska wdrażanych przez powiaty, gminy oraz NFOŚiGW i </w:t>
            </w:r>
            <w:proofErr w:type="spellStart"/>
            <w:r w:rsidRPr="00537CC2">
              <w:rPr>
                <w:rFonts w:ascii="Times New Roman" w:eastAsia="Times New Roman" w:hAnsi="Times New Roman"/>
                <w:b/>
                <w:bCs/>
                <w:u w:val="single"/>
              </w:rPr>
              <w:t>wfośigw</w:t>
            </w:r>
            <w:proofErr w:type="spellEnd"/>
          </w:p>
          <w:p w14:paraId="626DB8B2" w14:textId="13412395" w:rsidR="00E47E31" w:rsidRPr="0034095C" w:rsidRDefault="00E304AE" w:rsidP="00145F5E">
            <w:pPr>
              <w:spacing w:after="120" w:line="240" w:lineRule="auto"/>
              <w:jc w:val="both"/>
              <w:rPr>
                <w:rFonts w:ascii="Times New Roman" w:eastAsia="Times New Roman" w:hAnsi="Times New Roman"/>
              </w:rPr>
            </w:pPr>
            <w:r w:rsidRPr="00537CC2">
              <w:rPr>
                <w:rFonts w:ascii="Times New Roman" w:eastAsia="Times New Roman" w:hAnsi="Times New Roman"/>
              </w:rPr>
              <w:t xml:space="preserve">Zmiany przepisów w tym zakresie mają charakter krajowy. </w:t>
            </w:r>
          </w:p>
        </w:tc>
      </w:tr>
      <w:tr w:rsidR="00A96B6E" w:rsidRPr="007A2509" w14:paraId="1FFA7866" w14:textId="77777777" w:rsidTr="00515165">
        <w:trPr>
          <w:trHeight w:val="359"/>
        </w:trPr>
        <w:tc>
          <w:tcPr>
            <w:tcW w:w="10937" w:type="dxa"/>
            <w:gridSpan w:val="5"/>
            <w:shd w:val="clear" w:color="auto" w:fill="99CCFF"/>
            <w:vAlign w:val="center"/>
          </w:tcPr>
          <w:p w14:paraId="6C5F52DA" w14:textId="77777777" w:rsidR="00A96B6E" w:rsidRPr="007A2509" w:rsidRDefault="00A96B6E" w:rsidP="00851A61">
            <w:pPr>
              <w:numPr>
                <w:ilvl w:val="0"/>
                <w:numId w:val="1"/>
              </w:numPr>
              <w:spacing w:line="240" w:lineRule="auto"/>
              <w:ind w:left="318" w:hanging="284"/>
              <w:jc w:val="both"/>
              <w:rPr>
                <w:rFonts w:ascii="Times New Roman" w:hAnsi="Times New Roman"/>
                <w:b/>
                <w:color w:val="000000"/>
              </w:rPr>
            </w:pPr>
            <w:bookmarkStart w:id="41" w:name="_Hlk129784885"/>
            <w:r w:rsidRPr="007A2509">
              <w:rPr>
                <w:rFonts w:ascii="Times New Roman" w:hAnsi="Times New Roman"/>
                <w:b/>
                <w:color w:val="000000"/>
              </w:rPr>
              <w:lastRenderedPageBreak/>
              <w:t>Podmioty, na które oddziałuje projekt</w:t>
            </w:r>
            <w:bookmarkEnd w:id="41"/>
          </w:p>
        </w:tc>
      </w:tr>
      <w:tr w:rsidR="00A96B6E" w:rsidRPr="007A2509" w14:paraId="6E60D80F" w14:textId="77777777" w:rsidTr="00515165">
        <w:trPr>
          <w:trHeight w:val="142"/>
        </w:trPr>
        <w:tc>
          <w:tcPr>
            <w:tcW w:w="2668" w:type="dxa"/>
            <w:shd w:val="clear" w:color="auto" w:fill="auto"/>
          </w:tcPr>
          <w:p w14:paraId="66E996A0" w14:textId="77777777" w:rsidR="00A96B6E" w:rsidRPr="007A2509" w:rsidRDefault="00A96B6E"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Grupa</w:t>
            </w:r>
          </w:p>
        </w:tc>
        <w:tc>
          <w:tcPr>
            <w:tcW w:w="2292" w:type="dxa"/>
            <w:shd w:val="clear" w:color="auto" w:fill="auto"/>
          </w:tcPr>
          <w:p w14:paraId="2A447375" w14:textId="77777777" w:rsidR="00A96B6E" w:rsidRPr="007A2509" w:rsidRDefault="00A96B6E"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Wielkość</w:t>
            </w:r>
          </w:p>
        </w:tc>
        <w:tc>
          <w:tcPr>
            <w:tcW w:w="2996" w:type="dxa"/>
            <w:gridSpan w:val="2"/>
            <w:shd w:val="clear" w:color="auto" w:fill="auto"/>
          </w:tcPr>
          <w:p w14:paraId="1F0E2899" w14:textId="77777777" w:rsidR="00A96B6E" w:rsidRPr="007A2509" w:rsidRDefault="00A96B6E"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Źródło danych</w:t>
            </w:r>
            <w:r w:rsidRPr="007A2509" w:rsidDel="00260F33">
              <w:rPr>
                <w:rFonts w:ascii="Times New Roman" w:hAnsi="Times New Roman"/>
                <w:color w:val="000000"/>
                <w:spacing w:val="-2"/>
              </w:rPr>
              <w:t xml:space="preserve"> </w:t>
            </w:r>
          </w:p>
        </w:tc>
        <w:tc>
          <w:tcPr>
            <w:tcW w:w="2981" w:type="dxa"/>
            <w:shd w:val="clear" w:color="auto" w:fill="auto"/>
          </w:tcPr>
          <w:p w14:paraId="7D3827EE" w14:textId="77777777" w:rsidR="00A96B6E" w:rsidRPr="007A2509" w:rsidRDefault="00A96B6E"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Oddziaływanie</w:t>
            </w:r>
          </w:p>
        </w:tc>
      </w:tr>
      <w:tr w:rsidR="00927CD9" w:rsidRPr="007A2509" w14:paraId="337F3399" w14:textId="77777777" w:rsidTr="00515165">
        <w:trPr>
          <w:trHeight w:val="709"/>
        </w:trPr>
        <w:tc>
          <w:tcPr>
            <w:tcW w:w="2668" w:type="dxa"/>
            <w:tcBorders>
              <w:top w:val="nil"/>
            </w:tcBorders>
            <w:shd w:val="clear" w:color="auto" w:fill="auto"/>
          </w:tcPr>
          <w:p w14:paraId="4F459D70" w14:textId="77777777" w:rsidR="00927CD9" w:rsidRPr="007A2509" w:rsidRDefault="00065847" w:rsidP="007A2509">
            <w:pPr>
              <w:spacing w:line="240" w:lineRule="auto"/>
              <w:jc w:val="both"/>
              <w:rPr>
                <w:rFonts w:ascii="Times New Roman" w:hAnsi="Times New Roman"/>
              </w:rPr>
            </w:pPr>
            <w:r w:rsidRPr="007A2509">
              <w:rPr>
                <w:rFonts w:ascii="Times New Roman" w:hAnsi="Times New Roman"/>
              </w:rPr>
              <w:t>M</w:t>
            </w:r>
            <w:r w:rsidR="00927CD9" w:rsidRPr="007A2509">
              <w:rPr>
                <w:rFonts w:ascii="Times New Roman" w:hAnsi="Times New Roman"/>
              </w:rPr>
              <w:t xml:space="preserve">iasta </w:t>
            </w:r>
            <w:r w:rsidR="00240A1D" w:rsidRPr="007A2509">
              <w:rPr>
                <w:rFonts w:ascii="Times New Roman" w:hAnsi="Times New Roman"/>
              </w:rPr>
              <w:t xml:space="preserve">o liczbie mieszkańców </w:t>
            </w:r>
            <w:r w:rsidR="00604139">
              <w:rPr>
                <w:rFonts w:ascii="Times New Roman" w:hAnsi="Times New Roman"/>
              </w:rPr>
              <w:t xml:space="preserve">równej lub </w:t>
            </w:r>
            <w:r w:rsidR="00240A1D" w:rsidRPr="007A2509">
              <w:rPr>
                <w:rFonts w:ascii="Times New Roman" w:hAnsi="Times New Roman"/>
              </w:rPr>
              <w:t xml:space="preserve">większej niż </w:t>
            </w:r>
            <w:r w:rsidR="00927CD9" w:rsidRPr="007A2509">
              <w:rPr>
                <w:rFonts w:ascii="Times New Roman" w:hAnsi="Times New Roman"/>
              </w:rPr>
              <w:t>20 </w:t>
            </w:r>
            <w:r w:rsidR="00A961F1">
              <w:rPr>
                <w:rFonts w:ascii="Times New Roman" w:hAnsi="Times New Roman"/>
              </w:rPr>
              <w:t>tys.</w:t>
            </w:r>
            <w:r w:rsidR="00A961F1" w:rsidRPr="007A2509">
              <w:rPr>
                <w:rFonts w:ascii="Times New Roman" w:hAnsi="Times New Roman"/>
              </w:rPr>
              <w:t xml:space="preserve"> </w:t>
            </w:r>
          </w:p>
          <w:p w14:paraId="3CB5A742" w14:textId="77777777" w:rsidR="006C0019" w:rsidRPr="007A2509" w:rsidRDefault="006C0019" w:rsidP="007A2509">
            <w:pPr>
              <w:spacing w:line="240" w:lineRule="auto"/>
              <w:jc w:val="both"/>
              <w:rPr>
                <w:rFonts w:ascii="Times New Roman" w:hAnsi="Times New Roman"/>
              </w:rPr>
            </w:pPr>
          </w:p>
          <w:p w14:paraId="1FDE5317" w14:textId="77777777" w:rsidR="00B226F2" w:rsidRPr="007A2509" w:rsidRDefault="00B226F2" w:rsidP="007A2509">
            <w:pPr>
              <w:spacing w:line="240" w:lineRule="auto"/>
              <w:jc w:val="both"/>
              <w:rPr>
                <w:rFonts w:ascii="Times New Roman" w:hAnsi="Times New Roman"/>
              </w:rPr>
            </w:pPr>
          </w:p>
          <w:p w14:paraId="2F26511A" w14:textId="77777777" w:rsidR="001D1ACE" w:rsidRPr="007A2509" w:rsidRDefault="001D1ACE" w:rsidP="007A2509">
            <w:pPr>
              <w:spacing w:line="240" w:lineRule="auto"/>
              <w:jc w:val="both"/>
              <w:rPr>
                <w:rFonts w:ascii="Times New Roman" w:hAnsi="Times New Roman"/>
              </w:rPr>
            </w:pPr>
          </w:p>
          <w:p w14:paraId="6C0231AD" w14:textId="77777777" w:rsidR="001D1ACE" w:rsidRPr="007A2509" w:rsidRDefault="001D1ACE" w:rsidP="007A2509">
            <w:pPr>
              <w:spacing w:line="240" w:lineRule="auto"/>
              <w:jc w:val="both"/>
              <w:rPr>
                <w:rFonts w:ascii="Times New Roman" w:hAnsi="Times New Roman"/>
              </w:rPr>
            </w:pPr>
          </w:p>
          <w:p w14:paraId="2B38B4E2" w14:textId="77777777" w:rsidR="001D1ACE" w:rsidRPr="007A2509" w:rsidRDefault="001D1ACE" w:rsidP="007A2509">
            <w:pPr>
              <w:spacing w:line="240" w:lineRule="auto"/>
              <w:jc w:val="both"/>
              <w:rPr>
                <w:rFonts w:ascii="Times New Roman" w:hAnsi="Times New Roman"/>
                <w:color w:val="000000"/>
              </w:rPr>
            </w:pPr>
          </w:p>
          <w:p w14:paraId="397FFF78" w14:textId="77777777" w:rsidR="00065847" w:rsidRPr="007A2509" w:rsidRDefault="00065847" w:rsidP="007A2509">
            <w:pPr>
              <w:spacing w:line="240" w:lineRule="auto"/>
              <w:jc w:val="both"/>
              <w:rPr>
                <w:rFonts w:ascii="Times New Roman" w:hAnsi="Times New Roman"/>
                <w:color w:val="000000"/>
              </w:rPr>
            </w:pPr>
          </w:p>
          <w:p w14:paraId="7E786F5D" w14:textId="77777777" w:rsidR="00065847" w:rsidRPr="007A2509" w:rsidRDefault="00065847" w:rsidP="007A2509">
            <w:pPr>
              <w:spacing w:line="240" w:lineRule="auto"/>
              <w:jc w:val="both"/>
              <w:rPr>
                <w:rFonts w:ascii="Times New Roman" w:hAnsi="Times New Roman"/>
                <w:color w:val="000000"/>
              </w:rPr>
            </w:pPr>
          </w:p>
          <w:p w14:paraId="6D553BA4" w14:textId="77777777" w:rsidR="00065847" w:rsidRPr="007A2509" w:rsidRDefault="00065847" w:rsidP="007A2509">
            <w:pPr>
              <w:spacing w:line="240" w:lineRule="auto"/>
              <w:jc w:val="both"/>
              <w:rPr>
                <w:rFonts w:ascii="Times New Roman" w:hAnsi="Times New Roman"/>
                <w:color w:val="000000"/>
              </w:rPr>
            </w:pPr>
          </w:p>
          <w:p w14:paraId="79DE0254" w14:textId="77777777" w:rsidR="00065847" w:rsidRPr="007A2509" w:rsidRDefault="00065847" w:rsidP="007A2509">
            <w:pPr>
              <w:spacing w:line="240" w:lineRule="auto"/>
              <w:jc w:val="both"/>
              <w:rPr>
                <w:rFonts w:ascii="Times New Roman" w:hAnsi="Times New Roman"/>
                <w:color w:val="000000"/>
              </w:rPr>
            </w:pPr>
          </w:p>
          <w:p w14:paraId="550C452E" w14:textId="77777777" w:rsidR="00065847" w:rsidRPr="007A2509" w:rsidRDefault="00065847" w:rsidP="007A2509">
            <w:pPr>
              <w:spacing w:line="240" w:lineRule="auto"/>
              <w:jc w:val="both"/>
              <w:rPr>
                <w:rFonts w:ascii="Times New Roman" w:hAnsi="Times New Roman"/>
                <w:color w:val="000000"/>
              </w:rPr>
            </w:pPr>
          </w:p>
          <w:p w14:paraId="52C6C882" w14:textId="77777777" w:rsidR="00065847" w:rsidRPr="007A2509" w:rsidRDefault="00065847" w:rsidP="007A2509">
            <w:pPr>
              <w:spacing w:line="240" w:lineRule="auto"/>
              <w:jc w:val="both"/>
              <w:rPr>
                <w:rFonts w:ascii="Times New Roman" w:hAnsi="Times New Roman"/>
                <w:color w:val="000000"/>
              </w:rPr>
            </w:pPr>
          </w:p>
          <w:p w14:paraId="33366720" w14:textId="77777777" w:rsidR="00065847" w:rsidRPr="007A2509" w:rsidRDefault="00065847" w:rsidP="007A2509">
            <w:pPr>
              <w:spacing w:line="240" w:lineRule="auto"/>
              <w:jc w:val="both"/>
              <w:rPr>
                <w:rFonts w:ascii="Times New Roman" w:hAnsi="Times New Roman"/>
                <w:color w:val="000000"/>
              </w:rPr>
            </w:pPr>
          </w:p>
          <w:p w14:paraId="491F1556" w14:textId="77777777" w:rsidR="00065847" w:rsidRPr="007A2509" w:rsidRDefault="00065847" w:rsidP="007A2509">
            <w:pPr>
              <w:spacing w:line="240" w:lineRule="auto"/>
              <w:jc w:val="both"/>
              <w:rPr>
                <w:rFonts w:ascii="Times New Roman" w:hAnsi="Times New Roman"/>
                <w:color w:val="000000"/>
              </w:rPr>
            </w:pPr>
          </w:p>
          <w:p w14:paraId="48824E7F" w14:textId="77777777" w:rsidR="00065847" w:rsidRPr="007A2509" w:rsidRDefault="00065847" w:rsidP="007A2509">
            <w:pPr>
              <w:spacing w:line="240" w:lineRule="auto"/>
              <w:jc w:val="both"/>
              <w:rPr>
                <w:rFonts w:ascii="Times New Roman" w:hAnsi="Times New Roman"/>
                <w:color w:val="000000"/>
              </w:rPr>
            </w:pPr>
          </w:p>
          <w:p w14:paraId="4A0A3833" w14:textId="77777777" w:rsidR="001D1ACE" w:rsidRPr="007A2509" w:rsidRDefault="001D1ACE" w:rsidP="007A2509">
            <w:pPr>
              <w:spacing w:line="240" w:lineRule="auto"/>
              <w:jc w:val="both"/>
              <w:rPr>
                <w:rFonts w:ascii="Times New Roman" w:hAnsi="Times New Roman"/>
              </w:rPr>
            </w:pPr>
          </w:p>
        </w:tc>
        <w:tc>
          <w:tcPr>
            <w:tcW w:w="2292" w:type="dxa"/>
            <w:tcBorders>
              <w:top w:val="nil"/>
            </w:tcBorders>
            <w:shd w:val="clear" w:color="auto" w:fill="auto"/>
          </w:tcPr>
          <w:p w14:paraId="051AE31C" w14:textId="3A943F54" w:rsidR="00927CD9" w:rsidRPr="007A2509" w:rsidRDefault="00927CD9"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lastRenderedPageBreak/>
              <w:t>2</w:t>
            </w:r>
            <w:r w:rsidR="0046498D">
              <w:rPr>
                <w:rFonts w:ascii="Times New Roman" w:hAnsi="Times New Roman"/>
                <w:color w:val="000000"/>
                <w:spacing w:val="-2"/>
              </w:rPr>
              <w:t>09</w:t>
            </w:r>
          </w:p>
          <w:p w14:paraId="73874FD5" w14:textId="77777777" w:rsidR="006C0019" w:rsidRPr="007A2509" w:rsidRDefault="006C0019" w:rsidP="007A2509">
            <w:pPr>
              <w:spacing w:line="240" w:lineRule="auto"/>
              <w:jc w:val="both"/>
              <w:rPr>
                <w:rFonts w:ascii="Times New Roman" w:hAnsi="Times New Roman"/>
                <w:color w:val="000000"/>
                <w:spacing w:val="-2"/>
              </w:rPr>
            </w:pPr>
          </w:p>
          <w:p w14:paraId="290E9418" w14:textId="77777777" w:rsidR="006C0019" w:rsidRPr="007A2509" w:rsidRDefault="006C0019" w:rsidP="007A2509">
            <w:pPr>
              <w:spacing w:line="240" w:lineRule="auto"/>
              <w:jc w:val="both"/>
              <w:rPr>
                <w:rFonts w:ascii="Times New Roman" w:hAnsi="Times New Roman"/>
                <w:color w:val="000000"/>
                <w:spacing w:val="-2"/>
              </w:rPr>
            </w:pPr>
          </w:p>
          <w:p w14:paraId="2F541DFC" w14:textId="77777777" w:rsidR="006C0019" w:rsidRPr="007A2509" w:rsidRDefault="006C0019" w:rsidP="007A2509">
            <w:pPr>
              <w:spacing w:line="240" w:lineRule="auto"/>
              <w:jc w:val="both"/>
              <w:rPr>
                <w:rFonts w:ascii="Times New Roman" w:hAnsi="Times New Roman"/>
                <w:color w:val="000000"/>
                <w:spacing w:val="-2"/>
              </w:rPr>
            </w:pPr>
          </w:p>
          <w:p w14:paraId="490F080A" w14:textId="77777777" w:rsidR="006C0019" w:rsidRPr="007A2509" w:rsidRDefault="006C0019" w:rsidP="007A2509">
            <w:pPr>
              <w:spacing w:line="240" w:lineRule="auto"/>
              <w:jc w:val="both"/>
              <w:rPr>
                <w:rFonts w:ascii="Times New Roman" w:hAnsi="Times New Roman"/>
                <w:color w:val="000000"/>
                <w:spacing w:val="-2"/>
              </w:rPr>
            </w:pPr>
          </w:p>
          <w:p w14:paraId="60B44A03" w14:textId="77777777" w:rsidR="001D1ACE" w:rsidRPr="007A2509" w:rsidRDefault="001D1ACE" w:rsidP="007A2509">
            <w:pPr>
              <w:spacing w:line="240" w:lineRule="auto"/>
              <w:jc w:val="both"/>
              <w:rPr>
                <w:rFonts w:ascii="Times New Roman" w:hAnsi="Times New Roman"/>
                <w:color w:val="000000"/>
                <w:spacing w:val="-2"/>
              </w:rPr>
            </w:pPr>
          </w:p>
          <w:p w14:paraId="7F8841E2" w14:textId="77777777" w:rsidR="001D1ACE" w:rsidRPr="007A2509" w:rsidRDefault="001D1ACE" w:rsidP="007A2509">
            <w:pPr>
              <w:spacing w:line="240" w:lineRule="auto"/>
              <w:jc w:val="both"/>
              <w:rPr>
                <w:rFonts w:ascii="Times New Roman" w:hAnsi="Times New Roman"/>
                <w:color w:val="000000"/>
                <w:spacing w:val="-2"/>
              </w:rPr>
            </w:pPr>
          </w:p>
          <w:p w14:paraId="2954716A" w14:textId="77777777" w:rsidR="001D1ACE" w:rsidRPr="007A2509" w:rsidRDefault="001D1ACE" w:rsidP="007A2509">
            <w:pPr>
              <w:spacing w:line="240" w:lineRule="auto"/>
              <w:jc w:val="both"/>
              <w:rPr>
                <w:rFonts w:ascii="Times New Roman" w:hAnsi="Times New Roman"/>
                <w:color w:val="000000"/>
                <w:spacing w:val="-2"/>
              </w:rPr>
            </w:pPr>
          </w:p>
          <w:p w14:paraId="278FC228" w14:textId="77777777" w:rsidR="00065847" w:rsidRPr="007A2509" w:rsidRDefault="00065847" w:rsidP="007A2509">
            <w:pPr>
              <w:spacing w:line="240" w:lineRule="auto"/>
              <w:jc w:val="both"/>
              <w:rPr>
                <w:rFonts w:ascii="Times New Roman" w:hAnsi="Times New Roman"/>
                <w:color w:val="000000"/>
                <w:spacing w:val="-2"/>
              </w:rPr>
            </w:pPr>
          </w:p>
          <w:p w14:paraId="5118396B" w14:textId="77777777" w:rsidR="00065847" w:rsidRPr="007A2509" w:rsidRDefault="00065847" w:rsidP="007A2509">
            <w:pPr>
              <w:spacing w:line="240" w:lineRule="auto"/>
              <w:jc w:val="both"/>
              <w:rPr>
                <w:rFonts w:ascii="Times New Roman" w:hAnsi="Times New Roman"/>
                <w:color w:val="000000"/>
                <w:spacing w:val="-2"/>
              </w:rPr>
            </w:pPr>
          </w:p>
          <w:p w14:paraId="295FA340" w14:textId="77777777" w:rsidR="00065847" w:rsidRPr="007A2509" w:rsidRDefault="00065847" w:rsidP="007A2509">
            <w:pPr>
              <w:spacing w:line="240" w:lineRule="auto"/>
              <w:jc w:val="both"/>
              <w:rPr>
                <w:rFonts w:ascii="Times New Roman" w:hAnsi="Times New Roman"/>
                <w:color w:val="000000"/>
                <w:spacing w:val="-2"/>
              </w:rPr>
            </w:pPr>
          </w:p>
          <w:p w14:paraId="55069EDF" w14:textId="77777777" w:rsidR="00065847" w:rsidRPr="007A2509" w:rsidRDefault="00065847" w:rsidP="007A2509">
            <w:pPr>
              <w:spacing w:line="240" w:lineRule="auto"/>
              <w:jc w:val="both"/>
              <w:rPr>
                <w:rFonts w:ascii="Times New Roman" w:hAnsi="Times New Roman"/>
                <w:color w:val="000000"/>
                <w:spacing w:val="-2"/>
              </w:rPr>
            </w:pPr>
          </w:p>
          <w:p w14:paraId="7A09BBEE" w14:textId="77777777" w:rsidR="00065847" w:rsidRPr="007A2509" w:rsidRDefault="00065847" w:rsidP="007A2509">
            <w:pPr>
              <w:spacing w:line="240" w:lineRule="auto"/>
              <w:jc w:val="both"/>
              <w:rPr>
                <w:rFonts w:ascii="Times New Roman" w:hAnsi="Times New Roman"/>
                <w:color w:val="000000"/>
                <w:spacing w:val="-2"/>
              </w:rPr>
            </w:pPr>
          </w:p>
          <w:p w14:paraId="627BA161" w14:textId="77777777" w:rsidR="00065847" w:rsidRPr="007A2509" w:rsidRDefault="00065847" w:rsidP="007A2509">
            <w:pPr>
              <w:spacing w:line="240" w:lineRule="auto"/>
              <w:jc w:val="both"/>
              <w:rPr>
                <w:rFonts w:ascii="Times New Roman" w:hAnsi="Times New Roman"/>
                <w:color w:val="000000"/>
                <w:spacing w:val="-2"/>
              </w:rPr>
            </w:pPr>
          </w:p>
          <w:p w14:paraId="3BEAF342" w14:textId="77777777" w:rsidR="00065847" w:rsidRPr="007A2509" w:rsidRDefault="00065847" w:rsidP="007A2509">
            <w:pPr>
              <w:spacing w:line="240" w:lineRule="auto"/>
              <w:jc w:val="both"/>
              <w:rPr>
                <w:rFonts w:ascii="Times New Roman" w:hAnsi="Times New Roman"/>
                <w:color w:val="000000"/>
                <w:spacing w:val="-2"/>
              </w:rPr>
            </w:pPr>
          </w:p>
          <w:p w14:paraId="3F830FD5" w14:textId="77777777" w:rsidR="00065847" w:rsidRPr="007A2509" w:rsidRDefault="00065847" w:rsidP="007A2509">
            <w:pPr>
              <w:spacing w:line="240" w:lineRule="auto"/>
              <w:jc w:val="both"/>
              <w:rPr>
                <w:rFonts w:ascii="Times New Roman" w:hAnsi="Times New Roman"/>
                <w:color w:val="000000"/>
                <w:spacing w:val="-2"/>
              </w:rPr>
            </w:pPr>
          </w:p>
          <w:p w14:paraId="6D9F6FE6" w14:textId="77777777" w:rsidR="00065847" w:rsidRPr="007A2509" w:rsidRDefault="00065847" w:rsidP="007A2509">
            <w:pPr>
              <w:spacing w:line="240" w:lineRule="auto"/>
              <w:jc w:val="both"/>
              <w:rPr>
                <w:rFonts w:ascii="Times New Roman" w:hAnsi="Times New Roman"/>
                <w:color w:val="000000"/>
                <w:spacing w:val="-2"/>
              </w:rPr>
            </w:pPr>
          </w:p>
          <w:p w14:paraId="1894A97E" w14:textId="77777777" w:rsidR="001D1ACE" w:rsidRPr="007A2509" w:rsidRDefault="001D1ACE" w:rsidP="007A2509">
            <w:pPr>
              <w:spacing w:line="240" w:lineRule="auto"/>
              <w:jc w:val="both"/>
              <w:rPr>
                <w:rFonts w:ascii="Times New Roman" w:hAnsi="Times New Roman"/>
                <w:color w:val="000000"/>
                <w:spacing w:val="-2"/>
              </w:rPr>
            </w:pPr>
          </w:p>
        </w:tc>
        <w:tc>
          <w:tcPr>
            <w:tcW w:w="2996" w:type="dxa"/>
            <w:gridSpan w:val="2"/>
            <w:tcBorders>
              <w:top w:val="nil"/>
            </w:tcBorders>
            <w:shd w:val="clear" w:color="auto" w:fill="auto"/>
          </w:tcPr>
          <w:p w14:paraId="1A36FFA6" w14:textId="644E4378" w:rsidR="00927CD9" w:rsidRPr="007A2509" w:rsidRDefault="00927CD9" w:rsidP="007A2509">
            <w:pPr>
              <w:spacing w:line="240" w:lineRule="auto"/>
              <w:jc w:val="both"/>
              <w:rPr>
                <w:rFonts w:ascii="Times New Roman" w:hAnsi="Times New Roman"/>
                <w:color w:val="000000"/>
                <w:spacing w:val="-2"/>
                <w:lang w:val="en-US"/>
              </w:rPr>
            </w:pPr>
            <w:r w:rsidRPr="007A2509">
              <w:rPr>
                <w:rFonts w:ascii="Times New Roman" w:hAnsi="Times New Roman"/>
                <w:color w:val="000000"/>
                <w:spacing w:val="-2"/>
                <w:lang w:val="en-US"/>
              </w:rPr>
              <w:lastRenderedPageBreak/>
              <w:t>GUS</w:t>
            </w:r>
            <w:r w:rsidR="001D1ACE" w:rsidRPr="007A2509">
              <w:rPr>
                <w:rFonts w:ascii="Times New Roman" w:hAnsi="Times New Roman"/>
                <w:color w:val="000000"/>
                <w:spacing w:val="-2"/>
                <w:lang w:val="en-US"/>
              </w:rPr>
              <w:t xml:space="preserve"> (</w:t>
            </w:r>
            <w:proofErr w:type="spellStart"/>
            <w:r w:rsidR="009E2F75">
              <w:rPr>
                <w:rFonts w:ascii="Times New Roman" w:hAnsi="Times New Roman"/>
                <w:color w:val="000000"/>
                <w:spacing w:val="-2"/>
                <w:lang w:val="en-US"/>
              </w:rPr>
              <w:t>stan</w:t>
            </w:r>
            <w:proofErr w:type="spellEnd"/>
            <w:r w:rsidR="009E2F75">
              <w:rPr>
                <w:rFonts w:ascii="Times New Roman" w:hAnsi="Times New Roman"/>
                <w:color w:val="000000"/>
                <w:spacing w:val="-2"/>
                <w:lang w:val="en-US"/>
              </w:rPr>
              <w:t xml:space="preserve"> </w:t>
            </w:r>
            <w:proofErr w:type="spellStart"/>
            <w:r w:rsidR="009E2F75">
              <w:rPr>
                <w:rFonts w:ascii="Times New Roman" w:hAnsi="Times New Roman"/>
                <w:color w:val="000000"/>
                <w:spacing w:val="-2"/>
                <w:lang w:val="en-US"/>
              </w:rPr>
              <w:t>na</w:t>
            </w:r>
            <w:proofErr w:type="spellEnd"/>
            <w:r w:rsidR="009E2F75">
              <w:rPr>
                <w:rFonts w:ascii="Times New Roman" w:hAnsi="Times New Roman"/>
                <w:color w:val="000000"/>
                <w:spacing w:val="-2"/>
                <w:lang w:val="en-US"/>
              </w:rPr>
              <w:t xml:space="preserve"> 31.12.</w:t>
            </w:r>
            <w:r w:rsidR="001D1ACE" w:rsidRPr="007A2509">
              <w:rPr>
                <w:rFonts w:ascii="Times New Roman" w:hAnsi="Times New Roman"/>
                <w:color w:val="000000"/>
                <w:spacing w:val="-2"/>
                <w:lang w:val="en-US"/>
              </w:rPr>
              <w:t>202</w:t>
            </w:r>
            <w:r w:rsidR="0046498D">
              <w:rPr>
                <w:rFonts w:ascii="Times New Roman" w:hAnsi="Times New Roman"/>
                <w:color w:val="000000"/>
                <w:spacing w:val="-2"/>
                <w:lang w:val="en-US"/>
              </w:rPr>
              <w:t>3</w:t>
            </w:r>
            <w:r w:rsidR="001D1ACE" w:rsidRPr="007A2509">
              <w:rPr>
                <w:rFonts w:ascii="Times New Roman" w:hAnsi="Times New Roman"/>
                <w:color w:val="000000"/>
                <w:spacing w:val="-2"/>
                <w:lang w:val="en-US"/>
              </w:rPr>
              <w:t xml:space="preserve"> r.)</w:t>
            </w:r>
            <w:r w:rsidR="00D42805">
              <w:rPr>
                <w:rFonts w:ascii="Times New Roman" w:hAnsi="Times New Roman"/>
                <w:color w:val="000000"/>
                <w:spacing w:val="-2"/>
                <w:lang w:val="en-US"/>
              </w:rPr>
              <w:t xml:space="preserve"> </w:t>
            </w:r>
          </w:p>
          <w:p w14:paraId="4AFA319C" w14:textId="77777777" w:rsidR="001D1ACE" w:rsidRPr="007A2509" w:rsidRDefault="001D1ACE" w:rsidP="007A2509">
            <w:pPr>
              <w:spacing w:line="240" w:lineRule="auto"/>
              <w:jc w:val="both"/>
              <w:rPr>
                <w:rFonts w:ascii="Times New Roman" w:hAnsi="Times New Roman"/>
                <w:color w:val="000000"/>
                <w:spacing w:val="-2"/>
                <w:lang w:val="en-US"/>
              </w:rPr>
            </w:pPr>
          </w:p>
          <w:p w14:paraId="7B4E1140" w14:textId="77777777" w:rsidR="001D1ACE" w:rsidRPr="007A2509" w:rsidRDefault="001D1ACE" w:rsidP="007A2509">
            <w:pPr>
              <w:spacing w:line="240" w:lineRule="auto"/>
              <w:jc w:val="both"/>
              <w:rPr>
                <w:rFonts w:ascii="Times New Roman" w:hAnsi="Times New Roman"/>
                <w:color w:val="000000"/>
                <w:spacing w:val="-2"/>
                <w:lang w:val="en-US"/>
              </w:rPr>
            </w:pPr>
          </w:p>
          <w:p w14:paraId="7CF8AD72" w14:textId="77777777" w:rsidR="001D1ACE" w:rsidRPr="007A2509" w:rsidRDefault="001D1ACE" w:rsidP="007A2509">
            <w:pPr>
              <w:spacing w:line="240" w:lineRule="auto"/>
              <w:jc w:val="both"/>
              <w:rPr>
                <w:rFonts w:ascii="Times New Roman" w:hAnsi="Times New Roman"/>
                <w:color w:val="000000"/>
                <w:spacing w:val="-2"/>
                <w:lang w:val="en-US"/>
              </w:rPr>
            </w:pPr>
          </w:p>
          <w:p w14:paraId="6B22EF83" w14:textId="77777777" w:rsidR="001D1ACE" w:rsidRPr="007A2509" w:rsidRDefault="001D1ACE" w:rsidP="007A2509">
            <w:pPr>
              <w:spacing w:line="240" w:lineRule="auto"/>
              <w:jc w:val="both"/>
              <w:rPr>
                <w:rFonts w:ascii="Times New Roman" w:hAnsi="Times New Roman"/>
                <w:color w:val="000000"/>
                <w:spacing w:val="-2"/>
                <w:lang w:val="en-US"/>
              </w:rPr>
            </w:pPr>
          </w:p>
          <w:p w14:paraId="364B7398" w14:textId="77777777" w:rsidR="001D1ACE" w:rsidRPr="007A2509" w:rsidRDefault="001D1ACE" w:rsidP="007A2509">
            <w:pPr>
              <w:spacing w:line="240" w:lineRule="auto"/>
              <w:jc w:val="both"/>
              <w:rPr>
                <w:rFonts w:ascii="Times New Roman" w:hAnsi="Times New Roman"/>
                <w:color w:val="000000"/>
                <w:spacing w:val="-2"/>
                <w:lang w:val="en-US"/>
              </w:rPr>
            </w:pPr>
          </w:p>
          <w:p w14:paraId="079E6391" w14:textId="77777777" w:rsidR="001D1ACE" w:rsidRPr="007A2509" w:rsidRDefault="001D1ACE" w:rsidP="007A2509">
            <w:pPr>
              <w:spacing w:line="240" w:lineRule="auto"/>
              <w:jc w:val="both"/>
              <w:rPr>
                <w:rFonts w:ascii="Times New Roman" w:hAnsi="Times New Roman"/>
                <w:color w:val="000000"/>
                <w:spacing w:val="-2"/>
                <w:lang w:val="en-US"/>
              </w:rPr>
            </w:pPr>
          </w:p>
          <w:p w14:paraId="625E60E1" w14:textId="77777777" w:rsidR="001D1ACE" w:rsidRPr="007A2509" w:rsidRDefault="001D1ACE" w:rsidP="007A2509">
            <w:pPr>
              <w:spacing w:line="240" w:lineRule="auto"/>
              <w:jc w:val="both"/>
              <w:rPr>
                <w:rFonts w:ascii="Times New Roman" w:hAnsi="Times New Roman"/>
                <w:color w:val="000000"/>
                <w:spacing w:val="-2"/>
                <w:lang w:val="en-US"/>
              </w:rPr>
            </w:pPr>
          </w:p>
          <w:p w14:paraId="59B78236" w14:textId="77777777" w:rsidR="00065847" w:rsidRPr="007A2509" w:rsidRDefault="00065847" w:rsidP="007A2509">
            <w:pPr>
              <w:spacing w:line="240" w:lineRule="auto"/>
              <w:jc w:val="both"/>
              <w:rPr>
                <w:rFonts w:ascii="Times New Roman" w:hAnsi="Times New Roman"/>
                <w:color w:val="000000"/>
                <w:spacing w:val="-2"/>
                <w:lang w:val="en-US"/>
              </w:rPr>
            </w:pPr>
          </w:p>
          <w:p w14:paraId="700B2FB9" w14:textId="77777777" w:rsidR="00065847" w:rsidRPr="007A2509" w:rsidRDefault="00065847" w:rsidP="007A2509">
            <w:pPr>
              <w:spacing w:line="240" w:lineRule="auto"/>
              <w:jc w:val="both"/>
              <w:rPr>
                <w:rFonts w:ascii="Times New Roman" w:hAnsi="Times New Roman"/>
                <w:color w:val="000000"/>
                <w:spacing w:val="-2"/>
                <w:lang w:val="en-US"/>
              </w:rPr>
            </w:pPr>
          </w:p>
          <w:p w14:paraId="7832D1CD" w14:textId="77777777" w:rsidR="00065847" w:rsidRPr="007A2509" w:rsidRDefault="00065847" w:rsidP="007A2509">
            <w:pPr>
              <w:spacing w:line="240" w:lineRule="auto"/>
              <w:jc w:val="both"/>
              <w:rPr>
                <w:rFonts w:ascii="Times New Roman" w:hAnsi="Times New Roman"/>
                <w:color w:val="000000"/>
                <w:spacing w:val="-2"/>
                <w:lang w:val="en-US"/>
              </w:rPr>
            </w:pPr>
          </w:p>
          <w:p w14:paraId="50A7A094" w14:textId="77777777" w:rsidR="00065847" w:rsidRPr="007A2509" w:rsidRDefault="00065847" w:rsidP="007A2509">
            <w:pPr>
              <w:spacing w:line="240" w:lineRule="auto"/>
              <w:jc w:val="both"/>
              <w:rPr>
                <w:rFonts w:ascii="Times New Roman" w:hAnsi="Times New Roman"/>
                <w:color w:val="000000"/>
                <w:spacing w:val="-2"/>
                <w:lang w:val="en-US"/>
              </w:rPr>
            </w:pPr>
          </w:p>
          <w:p w14:paraId="49C83863" w14:textId="77777777" w:rsidR="00065847" w:rsidRPr="007A2509" w:rsidRDefault="00065847" w:rsidP="007A2509">
            <w:pPr>
              <w:spacing w:line="240" w:lineRule="auto"/>
              <w:jc w:val="both"/>
              <w:rPr>
                <w:rFonts w:ascii="Times New Roman" w:hAnsi="Times New Roman"/>
                <w:color w:val="000000"/>
                <w:spacing w:val="-2"/>
                <w:lang w:val="en-US"/>
              </w:rPr>
            </w:pPr>
          </w:p>
          <w:p w14:paraId="21281A03" w14:textId="77777777" w:rsidR="00065847" w:rsidRPr="007A2509" w:rsidRDefault="00065847" w:rsidP="007A2509">
            <w:pPr>
              <w:spacing w:line="240" w:lineRule="auto"/>
              <w:jc w:val="both"/>
              <w:rPr>
                <w:rFonts w:ascii="Times New Roman" w:hAnsi="Times New Roman"/>
                <w:color w:val="000000"/>
                <w:spacing w:val="-2"/>
                <w:lang w:val="en-US"/>
              </w:rPr>
            </w:pPr>
          </w:p>
          <w:p w14:paraId="718E470B" w14:textId="77777777" w:rsidR="00065847" w:rsidRPr="007A2509" w:rsidRDefault="00065847" w:rsidP="007A2509">
            <w:pPr>
              <w:spacing w:line="240" w:lineRule="auto"/>
              <w:jc w:val="both"/>
              <w:rPr>
                <w:rFonts w:ascii="Times New Roman" w:hAnsi="Times New Roman"/>
                <w:color w:val="000000"/>
                <w:spacing w:val="-2"/>
                <w:lang w:val="en-US"/>
              </w:rPr>
            </w:pPr>
          </w:p>
          <w:p w14:paraId="4892FE9E" w14:textId="77777777" w:rsidR="00065847" w:rsidRPr="007A2509" w:rsidRDefault="00065847" w:rsidP="007A2509">
            <w:pPr>
              <w:spacing w:line="240" w:lineRule="auto"/>
              <w:jc w:val="both"/>
              <w:rPr>
                <w:rFonts w:ascii="Times New Roman" w:hAnsi="Times New Roman"/>
                <w:color w:val="000000"/>
                <w:spacing w:val="-2"/>
                <w:lang w:val="en-US"/>
              </w:rPr>
            </w:pPr>
          </w:p>
          <w:p w14:paraId="4A3ED8ED" w14:textId="77777777" w:rsidR="00065847" w:rsidRPr="007A2509" w:rsidRDefault="00065847" w:rsidP="007A2509">
            <w:pPr>
              <w:spacing w:line="240" w:lineRule="auto"/>
              <w:jc w:val="both"/>
              <w:rPr>
                <w:rFonts w:ascii="Times New Roman" w:hAnsi="Times New Roman"/>
                <w:color w:val="000000"/>
                <w:spacing w:val="-2"/>
                <w:lang w:val="en-US"/>
              </w:rPr>
            </w:pPr>
          </w:p>
          <w:p w14:paraId="6814DAA8" w14:textId="77777777" w:rsidR="001D1ACE" w:rsidRPr="007A2509" w:rsidRDefault="001D1ACE" w:rsidP="007A2509">
            <w:pPr>
              <w:spacing w:line="240" w:lineRule="auto"/>
              <w:jc w:val="both"/>
              <w:rPr>
                <w:rFonts w:ascii="Times New Roman" w:hAnsi="Times New Roman"/>
                <w:color w:val="000000"/>
                <w:spacing w:val="-2"/>
                <w:lang w:val="en-US"/>
              </w:rPr>
            </w:pPr>
          </w:p>
        </w:tc>
        <w:tc>
          <w:tcPr>
            <w:tcW w:w="2981" w:type="dxa"/>
            <w:tcBorders>
              <w:top w:val="nil"/>
            </w:tcBorders>
            <w:shd w:val="clear" w:color="auto" w:fill="auto"/>
          </w:tcPr>
          <w:p w14:paraId="031541B7" w14:textId="297F3726" w:rsidR="00240A1D" w:rsidRPr="007A2509" w:rsidRDefault="000E71A4" w:rsidP="00851A61">
            <w:pPr>
              <w:numPr>
                <w:ilvl w:val="0"/>
                <w:numId w:val="5"/>
              </w:numPr>
              <w:spacing w:line="240" w:lineRule="auto"/>
              <w:ind w:left="305" w:hanging="305"/>
              <w:rPr>
                <w:rFonts w:ascii="Times New Roman" w:hAnsi="Times New Roman"/>
              </w:rPr>
            </w:pPr>
            <w:r>
              <w:rPr>
                <w:rFonts w:ascii="Times New Roman" w:hAnsi="Times New Roman"/>
              </w:rPr>
              <w:lastRenderedPageBreak/>
              <w:t>O</w:t>
            </w:r>
            <w:r w:rsidR="006C0019" w:rsidRPr="007A2509">
              <w:rPr>
                <w:rFonts w:ascii="Times New Roman" w:hAnsi="Times New Roman"/>
              </w:rPr>
              <w:t xml:space="preserve">bligatoryjne </w:t>
            </w:r>
            <w:r w:rsidR="00082ABC" w:rsidRPr="007A2509">
              <w:rPr>
                <w:rFonts w:ascii="Times New Roman" w:hAnsi="Times New Roman"/>
              </w:rPr>
              <w:t>opracowanie i przyjęcie</w:t>
            </w:r>
            <w:r w:rsidR="00BA23BB" w:rsidRPr="007A2509">
              <w:rPr>
                <w:rFonts w:ascii="Times New Roman" w:hAnsi="Times New Roman"/>
              </w:rPr>
              <w:t xml:space="preserve"> </w:t>
            </w:r>
            <w:r w:rsidR="00E85414" w:rsidRPr="007A2509">
              <w:rPr>
                <w:rFonts w:ascii="Times New Roman" w:hAnsi="Times New Roman"/>
              </w:rPr>
              <w:t>miejskich planów adaptacji</w:t>
            </w:r>
            <w:r w:rsidR="009D5A19" w:rsidRPr="007A2509">
              <w:rPr>
                <w:rFonts w:ascii="Times New Roman" w:hAnsi="Times New Roman"/>
              </w:rPr>
              <w:t xml:space="preserve"> </w:t>
            </w:r>
            <w:r w:rsidR="00433114" w:rsidRPr="007A2509">
              <w:rPr>
                <w:rFonts w:ascii="Times New Roman" w:hAnsi="Times New Roman"/>
              </w:rPr>
              <w:t xml:space="preserve">w </w:t>
            </w:r>
            <w:r w:rsidR="00087882">
              <w:rPr>
                <w:rFonts w:ascii="Times New Roman" w:hAnsi="Times New Roman"/>
              </w:rPr>
              <w:t>1</w:t>
            </w:r>
            <w:r w:rsidR="00EA184C">
              <w:rPr>
                <w:rFonts w:ascii="Times New Roman" w:hAnsi="Times New Roman"/>
              </w:rPr>
              <w:t>0</w:t>
            </w:r>
            <w:r w:rsidR="0046498D">
              <w:rPr>
                <w:rFonts w:ascii="Times New Roman" w:hAnsi="Times New Roman"/>
              </w:rPr>
              <w:t>3</w:t>
            </w:r>
            <w:r w:rsidR="00087882" w:rsidRPr="007A2509">
              <w:rPr>
                <w:rFonts w:ascii="Times New Roman" w:hAnsi="Times New Roman"/>
              </w:rPr>
              <w:t xml:space="preserve"> </w:t>
            </w:r>
            <w:r w:rsidR="00433114" w:rsidRPr="007A2509">
              <w:rPr>
                <w:rFonts w:ascii="Times New Roman" w:hAnsi="Times New Roman"/>
              </w:rPr>
              <w:t>gmin</w:t>
            </w:r>
            <w:r w:rsidR="006C0019" w:rsidRPr="007A2509">
              <w:rPr>
                <w:rFonts w:ascii="Times New Roman" w:hAnsi="Times New Roman"/>
              </w:rPr>
              <w:t>ach</w:t>
            </w:r>
            <w:r w:rsidR="00433114" w:rsidRPr="007A2509">
              <w:rPr>
                <w:rFonts w:ascii="Times New Roman" w:hAnsi="Times New Roman"/>
              </w:rPr>
              <w:t xml:space="preserve"> o statusie miasta</w:t>
            </w:r>
            <w:r>
              <w:rPr>
                <w:rFonts w:ascii="Times New Roman" w:hAnsi="Times New Roman"/>
              </w:rPr>
              <w:t>.</w:t>
            </w:r>
          </w:p>
          <w:p w14:paraId="6186C56C" w14:textId="131E71B5" w:rsidR="00FA6CA8" w:rsidRPr="007A2509" w:rsidRDefault="000E71A4" w:rsidP="00851A61">
            <w:pPr>
              <w:numPr>
                <w:ilvl w:val="0"/>
                <w:numId w:val="5"/>
              </w:numPr>
              <w:spacing w:line="240" w:lineRule="auto"/>
              <w:ind w:left="305" w:hanging="305"/>
              <w:rPr>
                <w:rFonts w:ascii="Times New Roman" w:hAnsi="Times New Roman"/>
              </w:rPr>
            </w:pPr>
            <w:r>
              <w:rPr>
                <w:rFonts w:ascii="Times New Roman" w:hAnsi="Times New Roman"/>
              </w:rPr>
              <w:t>U</w:t>
            </w:r>
            <w:r w:rsidR="00065847" w:rsidRPr="007A2509">
              <w:rPr>
                <w:rFonts w:ascii="Times New Roman" w:hAnsi="Times New Roman"/>
              </w:rPr>
              <w:t xml:space="preserve">względnianie </w:t>
            </w:r>
            <w:r w:rsidR="008870C1">
              <w:rPr>
                <w:rFonts w:ascii="Times New Roman" w:hAnsi="Times New Roman"/>
              </w:rPr>
              <w:t xml:space="preserve">w </w:t>
            </w:r>
            <w:r w:rsidR="00654BDE">
              <w:rPr>
                <w:rFonts w:ascii="Times New Roman" w:hAnsi="Times New Roman"/>
              </w:rPr>
              <w:t>nowo</w:t>
            </w:r>
            <w:r w:rsidR="00A961F1">
              <w:rPr>
                <w:rFonts w:ascii="Times New Roman" w:hAnsi="Times New Roman"/>
              </w:rPr>
              <w:t xml:space="preserve"> </w:t>
            </w:r>
            <w:r w:rsidR="00654BDE">
              <w:rPr>
                <w:rFonts w:ascii="Times New Roman" w:hAnsi="Times New Roman"/>
              </w:rPr>
              <w:t xml:space="preserve">powstających i aktualizowanych </w:t>
            </w:r>
            <w:r w:rsidR="00445687">
              <w:rPr>
                <w:rFonts w:ascii="Times New Roman" w:hAnsi="Times New Roman"/>
              </w:rPr>
              <w:t>planach ogólnych</w:t>
            </w:r>
            <w:r w:rsidR="00065847" w:rsidRPr="007A2509">
              <w:rPr>
                <w:rFonts w:ascii="Times New Roman" w:hAnsi="Times New Roman"/>
              </w:rPr>
              <w:t xml:space="preserve"> gmin oraz miejscowych </w:t>
            </w:r>
            <w:r w:rsidR="003E49EE" w:rsidRPr="007A2509">
              <w:rPr>
                <w:rFonts w:ascii="Times New Roman" w:hAnsi="Times New Roman"/>
              </w:rPr>
              <w:t>plan</w:t>
            </w:r>
            <w:r w:rsidR="003E49EE">
              <w:rPr>
                <w:rFonts w:ascii="Times New Roman" w:hAnsi="Times New Roman"/>
              </w:rPr>
              <w:t>ach</w:t>
            </w:r>
            <w:r w:rsidR="003E49EE" w:rsidRPr="007A2509">
              <w:rPr>
                <w:rFonts w:ascii="Times New Roman" w:hAnsi="Times New Roman"/>
              </w:rPr>
              <w:t xml:space="preserve"> </w:t>
            </w:r>
            <w:r w:rsidR="00065847" w:rsidRPr="007A2509">
              <w:rPr>
                <w:rFonts w:ascii="Times New Roman" w:hAnsi="Times New Roman"/>
              </w:rPr>
              <w:t xml:space="preserve">zagospodarowania przestrzennego wniosków i rekomendacji z opracowanych </w:t>
            </w:r>
            <w:r w:rsidR="003E49EE">
              <w:rPr>
                <w:rFonts w:ascii="Times New Roman" w:hAnsi="Times New Roman"/>
              </w:rPr>
              <w:t>MPA</w:t>
            </w:r>
            <w:r>
              <w:rPr>
                <w:rFonts w:ascii="Times New Roman" w:hAnsi="Times New Roman"/>
              </w:rPr>
              <w:t>.</w:t>
            </w:r>
          </w:p>
          <w:p w14:paraId="0A50A611" w14:textId="77777777" w:rsidR="001D1ACE" w:rsidRDefault="000E71A4" w:rsidP="00851A61">
            <w:pPr>
              <w:numPr>
                <w:ilvl w:val="0"/>
                <w:numId w:val="5"/>
              </w:numPr>
              <w:spacing w:line="240" w:lineRule="auto"/>
              <w:ind w:left="305" w:hanging="305"/>
              <w:rPr>
                <w:rFonts w:ascii="Times New Roman" w:hAnsi="Times New Roman"/>
              </w:rPr>
            </w:pPr>
            <w:r>
              <w:rPr>
                <w:rFonts w:ascii="Times New Roman" w:hAnsi="Times New Roman"/>
              </w:rPr>
              <w:t>U</w:t>
            </w:r>
            <w:r w:rsidR="00065847" w:rsidRPr="007A2509">
              <w:rPr>
                <w:rFonts w:ascii="Times New Roman" w:hAnsi="Times New Roman"/>
              </w:rPr>
              <w:t xml:space="preserve">względnianie dodatkowych elementów </w:t>
            </w:r>
            <w:r w:rsidR="00A345A1">
              <w:rPr>
                <w:rFonts w:ascii="Times New Roman" w:hAnsi="Times New Roman"/>
              </w:rPr>
              <w:t xml:space="preserve">dot. adaptacji </w:t>
            </w:r>
            <w:r w:rsidR="00065847" w:rsidRPr="007A2509">
              <w:rPr>
                <w:rFonts w:ascii="Times New Roman" w:hAnsi="Times New Roman"/>
              </w:rPr>
              <w:t xml:space="preserve">w planowaniu i </w:t>
            </w:r>
            <w:r w:rsidR="00065847" w:rsidRPr="007A2509">
              <w:rPr>
                <w:rFonts w:ascii="Times New Roman" w:hAnsi="Times New Roman"/>
              </w:rPr>
              <w:lastRenderedPageBreak/>
              <w:t>zagospodarowaniu przestrzennym</w:t>
            </w:r>
            <w:r>
              <w:rPr>
                <w:rFonts w:ascii="Times New Roman" w:hAnsi="Times New Roman"/>
              </w:rPr>
              <w:t>.</w:t>
            </w:r>
          </w:p>
          <w:p w14:paraId="52FF9EE2" w14:textId="28D71F62" w:rsidR="003E49EE" w:rsidRPr="007A2509" w:rsidRDefault="000E71A4" w:rsidP="00851A61">
            <w:pPr>
              <w:numPr>
                <w:ilvl w:val="0"/>
                <w:numId w:val="5"/>
              </w:numPr>
              <w:spacing w:line="240" w:lineRule="auto"/>
              <w:ind w:left="305" w:hanging="305"/>
              <w:rPr>
                <w:rFonts w:ascii="Times New Roman" w:hAnsi="Times New Roman"/>
              </w:rPr>
            </w:pPr>
            <w:r>
              <w:rPr>
                <w:rFonts w:ascii="Times New Roman" w:hAnsi="Times New Roman"/>
              </w:rPr>
              <w:t>P</w:t>
            </w:r>
            <w:r w:rsidR="003E49EE">
              <w:rPr>
                <w:rFonts w:ascii="Times New Roman" w:hAnsi="Times New Roman"/>
              </w:rPr>
              <w:t>rzekazywanie do IOŚ-PIB co 2 lata sprawozdań z</w:t>
            </w:r>
            <w:r w:rsidR="003E49EE" w:rsidRPr="003E49EE">
              <w:rPr>
                <w:rFonts w:ascii="Times New Roman" w:hAnsi="Times New Roman"/>
              </w:rPr>
              <w:t xml:space="preserve"> </w:t>
            </w:r>
            <w:r w:rsidR="00702CA9" w:rsidRPr="003E49EE">
              <w:rPr>
                <w:rFonts w:ascii="Times New Roman" w:hAnsi="Times New Roman"/>
              </w:rPr>
              <w:t>monitor</w:t>
            </w:r>
            <w:r w:rsidR="00702CA9">
              <w:rPr>
                <w:rFonts w:ascii="Times New Roman" w:hAnsi="Times New Roman"/>
              </w:rPr>
              <w:t>owania</w:t>
            </w:r>
            <w:r w:rsidR="00702CA9" w:rsidRPr="003E49EE">
              <w:rPr>
                <w:rFonts w:ascii="Times New Roman" w:hAnsi="Times New Roman"/>
              </w:rPr>
              <w:t xml:space="preserve"> </w:t>
            </w:r>
            <w:r w:rsidR="003E49EE" w:rsidRPr="003E49EE">
              <w:rPr>
                <w:rFonts w:ascii="Times New Roman" w:hAnsi="Times New Roman"/>
              </w:rPr>
              <w:t xml:space="preserve">wdrażania działań adaptacyjnych zawartych w </w:t>
            </w:r>
            <w:r w:rsidR="003E49EE">
              <w:rPr>
                <w:rFonts w:ascii="Times New Roman" w:hAnsi="Times New Roman"/>
              </w:rPr>
              <w:t>MPA</w:t>
            </w:r>
            <w:r>
              <w:rPr>
                <w:rFonts w:ascii="Times New Roman" w:hAnsi="Times New Roman"/>
              </w:rPr>
              <w:t>.</w:t>
            </w:r>
          </w:p>
        </w:tc>
      </w:tr>
      <w:tr w:rsidR="003E49EE" w:rsidRPr="007A2509" w14:paraId="1BCD37F4" w14:textId="77777777" w:rsidTr="00515165">
        <w:trPr>
          <w:trHeight w:val="142"/>
        </w:trPr>
        <w:tc>
          <w:tcPr>
            <w:tcW w:w="2668" w:type="dxa"/>
            <w:shd w:val="clear" w:color="auto" w:fill="auto"/>
          </w:tcPr>
          <w:p w14:paraId="31EB32D9" w14:textId="77777777" w:rsidR="003E49EE" w:rsidRPr="007A2509" w:rsidRDefault="003E49EE" w:rsidP="007A2509">
            <w:pPr>
              <w:spacing w:line="240" w:lineRule="auto"/>
              <w:jc w:val="both"/>
              <w:rPr>
                <w:rFonts w:ascii="Times New Roman" w:hAnsi="Times New Roman"/>
                <w:color w:val="000000"/>
              </w:rPr>
            </w:pPr>
            <w:r>
              <w:rPr>
                <w:rFonts w:ascii="Times New Roman" w:hAnsi="Times New Roman"/>
                <w:color w:val="000000"/>
              </w:rPr>
              <w:lastRenderedPageBreak/>
              <w:t>Instytut Ochrony Środowis</w:t>
            </w:r>
            <w:r w:rsidR="00A345A1">
              <w:rPr>
                <w:rFonts w:ascii="Times New Roman" w:hAnsi="Times New Roman"/>
                <w:color w:val="000000"/>
              </w:rPr>
              <w:t>k</w:t>
            </w:r>
            <w:r>
              <w:rPr>
                <w:rFonts w:ascii="Times New Roman" w:hAnsi="Times New Roman"/>
                <w:color w:val="000000"/>
              </w:rPr>
              <w:t>a – Państwowy Instytut Badawczy</w:t>
            </w:r>
          </w:p>
        </w:tc>
        <w:tc>
          <w:tcPr>
            <w:tcW w:w="2292" w:type="dxa"/>
            <w:shd w:val="clear" w:color="auto" w:fill="auto"/>
          </w:tcPr>
          <w:p w14:paraId="270A8680" w14:textId="77777777" w:rsidR="003E49EE" w:rsidRPr="007A2509" w:rsidRDefault="00F454EE" w:rsidP="007A2509">
            <w:pPr>
              <w:spacing w:line="240" w:lineRule="auto"/>
              <w:jc w:val="both"/>
              <w:rPr>
                <w:rFonts w:ascii="Times New Roman" w:hAnsi="Times New Roman"/>
                <w:color w:val="000000"/>
                <w:spacing w:val="-2"/>
              </w:rPr>
            </w:pPr>
            <w:r>
              <w:rPr>
                <w:rFonts w:ascii="Times New Roman" w:hAnsi="Times New Roman"/>
                <w:color w:val="000000"/>
                <w:spacing w:val="-2"/>
              </w:rPr>
              <w:t>1</w:t>
            </w:r>
          </w:p>
        </w:tc>
        <w:tc>
          <w:tcPr>
            <w:tcW w:w="2996" w:type="dxa"/>
            <w:gridSpan w:val="2"/>
            <w:shd w:val="clear" w:color="auto" w:fill="auto"/>
          </w:tcPr>
          <w:p w14:paraId="59D6A3E8" w14:textId="77777777" w:rsidR="003E49EE" w:rsidRPr="007A2509" w:rsidRDefault="003E49EE" w:rsidP="007A2509">
            <w:pPr>
              <w:spacing w:line="240" w:lineRule="auto"/>
              <w:jc w:val="both"/>
              <w:rPr>
                <w:rFonts w:ascii="Times New Roman" w:hAnsi="Times New Roman"/>
                <w:color w:val="000000"/>
                <w:spacing w:val="-2"/>
                <w:lang w:val="en-US"/>
              </w:rPr>
            </w:pPr>
          </w:p>
        </w:tc>
        <w:tc>
          <w:tcPr>
            <w:tcW w:w="2981" w:type="dxa"/>
            <w:shd w:val="clear" w:color="auto" w:fill="auto"/>
          </w:tcPr>
          <w:p w14:paraId="1A5AD918" w14:textId="5FDBC4F2" w:rsidR="003E49EE" w:rsidRDefault="000E71A4" w:rsidP="005C4CF5">
            <w:pPr>
              <w:numPr>
                <w:ilvl w:val="0"/>
                <w:numId w:val="9"/>
              </w:numPr>
              <w:spacing w:line="240" w:lineRule="auto"/>
              <w:ind w:left="302" w:hanging="283"/>
              <w:rPr>
                <w:rFonts w:ascii="Times New Roman" w:hAnsi="Times New Roman"/>
              </w:rPr>
            </w:pPr>
            <w:r>
              <w:rPr>
                <w:rFonts w:ascii="Times New Roman" w:hAnsi="Times New Roman"/>
              </w:rPr>
              <w:t>U</w:t>
            </w:r>
            <w:r w:rsidR="00A345A1">
              <w:rPr>
                <w:rFonts w:ascii="Times New Roman" w:hAnsi="Times New Roman"/>
              </w:rPr>
              <w:t xml:space="preserve">ruchomienie </w:t>
            </w:r>
            <w:r w:rsidR="00E63DA9" w:rsidRPr="00E63DA9">
              <w:rPr>
                <w:rFonts w:ascii="Times New Roman" w:hAnsi="Times New Roman"/>
              </w:rPr>
              <w:t>narzędzia informatycznego</w:t>
            </w:r>
            <w:r w:rsidR="00A345A1">
              <w:rPr>
                <w:rFonts w:ascii="Times New Roman" w:hAnsi="Times New Roman"/>
              </w:rPr>
              <w:t>, za pomocą które</w:t>
            </w:r>
            <w:r w:rsidR="00E63DA9">
              <w:rPr>
                <w:rFonts w:ascii="Times New Roman" w:hAnsi="Times New Roman"/>
              </w:rPr>
              <w:t>go</w:t>
            </w:r>
            <w:r w:rsidR="00A345A1">
              <w:rPr>
                <w:rFonts w:ascii="Times New Roman" w:hAnsi="Times New Roman"/>
              </w:rPr>
              <w:t xml:space="preserve"> będą składane przez miasta sprawozdania z </w:t>
            </w:r>
            <w:r w:rsidR="00702CA9">
              <w:rPr>
                <w:rFonts w:ascii="Times New Roman" w:hAnsi="Times New Roman"/>
              </w:rPr>
              <w:t xml:space="preserve">monitorowania </w:t>
            </w:r>
            <w:r w:rsidR="00A345A1">
              <w:rPr>
                <w:rFonts w:ascii="Times New Roman" w:hAnsi="Times New Roman"/>
              </w:rPr>
              <w:t>wdrażania działań adaptacyjnych zawartych w MPA</w:t>
            </w:r>
            <w:r>
              <w:rPr>
                <w:rFonts w:ascii="Times New Roman" w:hAnsi="Times New Roman"/>
              </w:rPr>
              <w:t>.</w:t>
            </w:r>
          </w:p>
          <w:p w14:paraId="2A473115" w14:textId="77777777" w:rsidR="00A345A1" w:rsidRDefault="000E71A4" w:rsidP="005C4CF5">
            <w:pPr>
              <w:numPr>
                <w:ilvl w:val="0"/>
                <w:numId w:val="9"/>
              </w:numPr>
              <w:spacing w:line="240" w:lineRule="auto"/>
              <w:ind w:left="305" w:hanging="286"/>
              <w:rPr>
                <w:rFonts w:ascii="Times New Roman" w:hAnsi="Times New Roman"/>
              </w:rPr>
            </w:pPr>
            <w:r>
              <w:rPr>
                <w:rFonts w:ascii="Times New Roman" w:hAnsi="Times New Roman"/>
              </w:rPr>
              <w:t>W</w:t>
            </w:r>
            <w:r w:rsidR="00A345A1">
              <w:rPr>
                <w:rFonts w:ascii="Times New Roman" w:hAnsi="Times New Roman"/>
              </w:rPr>
              <w:t>eryfikacja</w:t>
            </w:r>
            <w:r>
              <w:rPr>
                <w:rFonts w:ascii="Times New Roman" w:hAnsi="Times New Roman"/>
              </w:rPr>
              <w:t xml:space="preserve"> i</w:t>
            </w:r>
            <w:r w:rsidR="00A345A1">
              <w:rPr>
                <w:rFonts w:ascii="Times New Roman" w:hAnsi="Times New Roman"/>
              </w:rPr>
              <w:t xml:space="preserve"> analiza nadsyłanych sprawozdań</w:t>
            </w:r>
            <w:r>
              <w:rPr>
                <w:rFonts w:ascii="Times New Roman" w:hAnsi="Times New Roman"/>
              </w:rPr>
              <w:t>.</w:t>
            </w:r>
          </w:p>
          <w:p w14:paraId="0832B16C" w14:textId="0D1F69A9" w:rsidR="00A345A1" w:rsidRPr="00992927" w:rsidDel="003E49EE" w:rsidRDefault="000E71A4" w:rsidP="005C4CF5">
            <w:pPr>
              <w:numPr>
                <w:ilvl w:val="0"/>
                <w:numId w:val="9"/>
              </w:numPr>
              <w:spacing w:line="240" w:lineRule="auto"/>
              <w:ind w:left="305" w:hanging="286"/>
              <w:rPr>
                <w:rFonts w:ascii="Times New Roman" w:hAnsi="Times New Roman"/>
              </w:rPr>
            </w:pPr>
            <w:r>
              <w:rPr>
                <w:rFonts w:ascii="Times New Roman" w:hAnsi="Times New Roman"/>
              </w:rPr>
              <w:t>P</w:t>
            </w:r>
            <w:r w:rsidR="00A345A1">
              <w:rPr>
                <w:rFonts w:ascii="Times New Roman" w:hAnsi="Times New Roman"/>
              </w:rPr>
              <w:t xml:space="preserve">odsumowanie </w:t>
            </w:r>
            <w:r w:rsidR="00702CA9">
              <w:rPr>
                <w:rFonts w:ascii="Times New Roman" w:hAnsi="Times New Roman"/>
              </w:rPr>
              <w:t xml:space="preserve">sprawozdań </w:t>
            </w:r>
            <w:r w:rsidR="00A345A1">
              <w:rPr>
                <w:rFonts w:ascii="Times New Roman" w:hAnsi="Times New Roman"/>
              </w:rPr>
              <w:t xml:space="preserve">i przekazanie informacji do </w:t>
            </w:r>
            <w:proofErr w:type="spellStart"/>
            <w:r w:rsidR="00A345A1">
              <w:rPr>
                <w:rFonts w:ascii="Times New Roman" w:hAnsi="Times New Roman"/>
              </w:rPr>
              <w:t>MKiŚ</w:t>
            </w:r>
            <w:proofErr w:type="spellEnd"/>
            <w:r>
              <w:rPr>
                <w:rFonts w:ascii="Times New Roman" w:hAnsi="Times New Roman"/>
              </w:rPr>
              <w:t>.</w:t>
            </w:r>
          </w:p>
        </w:tc>
      </w:tr>
      <w:tr w:rsidR="00BF0D67" w:rsidRPr="00445441" w14:paraId="79662548" w14:textId="77777777" w:rsidTr="00515165">
        <w:trPr>
          <w:trHeight w:val="142"/>
        </w:trPr>
        <w:tc>
          <w:tcPr>
            <w:tcW w:w="2668" w:type="dxa"/>
            <w:shd w:val="clear" w:color="auto" w:fill="auto"/>
          </w:tcPr>
          <w:p w14:paraId="1DD90F4C" w14:textId="18DA59DE" w:rsidR="00BF0D67" w:rsidRPr="00445441" w:rsidRDefault="00BF0D67" w:rsidP="00BF0D67">
            <w:pPr>
              <w:spacing w:line="240" w:lineRule="auto"/>
              <w:rPr>
                <w:rFonts w:ascii="Times New Roman" w:hAnsi="Times New Roman"/>
              </w:rPr>
            </w:pPr>
            <w:bookmarkStart w:id="42" w:name="_Hlk157780735"/>
            <w:r w:rsidRPr="00145F5E">
              <w:rPr>
                <w:rFonts w:ascii="Times New Roman" w:hAnsi="Times New Roman"/>
                <w:lang w:eastAsia="pl-PL"/>
              </w:rPr>
              <w:t>Miasta lub miejskie</w:t>
            </w:r>
            <w:r w:rsidR="006D4B5D" w:rsidRPr="00145F5E">
              <w:rPr>
                <w:rFonts w:ascii="Times New Roman" w:hAnsi="Times New Roman"/>
                <w:lang w:eastAsia="pl-PL"/>
              </w:rPr>
              <w:t xml:space="preserve"> </w:t>
            </w:r>
            <w:r w:rsidRPr="00145F5E">
              <w:rPr>
                <w:rFonts w:ascii="Times New Roman" w:hAnsi="Times New Roman"/>
                <w:lang w:eastAsia="pl-PL"/>
              </w:rPr>
              <w:t>obszary funkcjonalne</w:t>
            </w:r>
          </w:p>
        </w:tc>
        <w:tc>
          <w:tcPr>
            <w:tcW w:w="2292" w:type="dxa"/>
            <w:shd w:val="clear" w:color="auto" w:fill="auto"/>
          </w:tcPr>
          <w:p w14:paraId="3676F616" w14:textId="191046FD" w:rsidR="00BF0D67" w:rsidRPr="00445441" w:rsidRDefault="00A0521B" w:rsidP="00BF0D67">
            <w:pPr>
              <w:spacing w:line="240" w:lineRule="auto"/>
              <w:jc w:val="both"/>
              <w:rPr>
                <w:rFonts w:ascii="Times New Roman" w:hAnsi="Times New Roman"/>
                <w:spacing w:val="-2"/>
              </w:rPr>
            </w:pPr>
            <w:r w:rsidRPr="00145F5E">
              <w:rPr>
                <w:rFonts w:ascii="Times New Roman" w:hAnsi="Times New Roman"/>
                <w:lang w:eastAsia="pl-PL"/>
              </w:rPr>
              <w:t xml:space="preserve">1013 </w:t>
            </w:r>
            <w:r w:rsidR="00BF0D67" w:rsidRPr="00145F5E">
              <w:rPr>
                <w:rFonts w:ascii="Times New Roman" w:hAnsi="Times New Roman"/>
                <w:lang w:eastAsia="pl-PL"/>
              </w:rPr>
              <w:t>miast oraz brak</w:t>
            </w:r>
            <w:r w:rsidR="006D4B5D" w:rsidRPr="00145F5E">
              <w:rPr>
                <w:rFonts w:ascii="Times New Roman" w:hAnsi="Times New Roman"/>
                <w:lang w:eastAsia="pl-PL"/>
              </w:rPr>
              <w:t xml:space="preserve"> </w:t>
            </w:r>
            <w:r w:rsidR="00BF0D67" w:rsidRPr="00145F5E">
              <w:rPr>
                <w:rFonts w:ascii="Times New Roman" w:hAnsi="Times New Roman"/>
                <w:lang w:eastAsia="pl-PL"/>
              </w:rPr>
              <w:t>dokładnych danych</w:t>
            </w:r>
            <w:r w:rsidR="006D4B5D" w:rsidRPr="00145F5E">
              <w:rPr>
                <w:rFonts w:ascii="Times New Roman" w:hAnsi="Times New Roman"/>
                <w:lang w:eastAsia="pl-PL"/>
              </w:rPr>
              <w:t xml:space="preserve"> </w:t>
            </w:r>
            <w:r w:rsidR="00BF0D67" w:rsidRPr="00145F5E">
              <w:rPr>
                <w:rFonts w:ascii="Times New Roman" w:hAnsi="Times New Roman"/>
                <w:lang w:eastAsia="pl-PL"/>
              </w:rPr>
              <w:t>odnośnie wszystkich</w:t>
            </w:r>
            <w:r w:rsidR="006D4B5D" w:rsidRPr="00145F5E">
              <w:rPr>
                <w:rFonts w:ascii="Times New Roman" w:hAnsi="Times New Roman"/>
                <w:lang w:eastAsia="pl-PL"/>
              </w:rPr>
              <w:t xml:space="preserve"> </w:t>
            </w:r>
            <w:r w:rsidR="00BF0D67" w:rsidRPr="00145F5E">
              <w:rPr>
                <w:rFonts w:ascii="Times New Roman" w:hAnsi="Times New Roman"/>
                <w:lang w:eastAsia="pl-PL"/>
              </w:rPr>
              <w:t>miejskich obszarów</w:t>
            </w:r>
            <w:r w:rsidR="006D4B5D" w:rsidRPr="00145F5E">
              <w:rPr>
                <w:rFonts w:ascii="Times New Roman" w:hAnsi="Times New Roman"/>
                <w:lang w:eastAsia="pl-PL"/>
              </w:rPr>
              <w:t xml:space="preserve"> </w:t>
            </w:r>
            <w:r w:rsidR="00BF0D67" w:rsidRPr="00145F5E">
              <w:rPr>
                <w:rFonts w:ascii="Times New Roman" w:hAnsi="Times New Roman"/>
                <w:lang w:eastAsia="pl-PL"/>
              </w:rPr>
              <w:t>funkcjonalnych poza</w:t>
            </w:r>
            <w:r w:rsidR="006D4B5D" w:rsidRPr="00145F5E">
              <w:rPr>
                <w:rFonts w:ascii="Times New Roman" w:hAnsi="Times New Roman"/>
                <w:lang w:eastAsia="pl-PL"/>
              </w:rPr>
              <w:t xml:space="preserve"> </w:t>
            </w:r>
            <w:r w:rsidR="00BF0D67" w:rsidRPr="00145F5E">
              <w:rPr>
                <w:rFonts w:ascii="Times New Roman" w:hAnsi="Times New Roman"/>
                <w:lang w:eastAsia="pl-PL"/>
              </w:rPr>
              <w:t>tymi wyznaczonymi w</w:t>
            </w:r>
            <w:r w:rsidR="006D4B5D" w:rsidRPr="00145F5E">
              <w:rPr>
                <w:rFonts w:ascii="Times New Roman" w:hAnsi="Times New Roman"/>
                <w:lang w:eastAsia="pl-PL"/>
              </w:rPr>
              <w:t xml:space="preserve"> </w:t>
            </w:r>
            <w:r w:rsidR="00BF0D67" w:rsidRPr="00145F5E">
              <w:rPr>
                <w:rFonts w:ascii="Times New Roman" w:hAnsi="Times New Roman"/>
                <w:lang w:eastAsia="pl-PL"/>
              </w:rPr>
              <w:t>SRW</w:t>
            </w:r>
          </w:p>
        </w:tc>
        <w:tc>
          <w:tcPr>
            <w:tcW w:w="2996" w:type="dxa"/>
            <w:gridSpan w:val="2"/>
            <w:shd w:val="clear" w:color="auto" w:fill="auto"/>
          </w:tcPr>
          <w:p w14:paraId="0CCB89FB" w14:textId="4FF3ADC3" w:rsidR="00BF0D67" w:rsidRPr="00445441" w:rsidRDefault="0042317D" w:rsidP="007A2509">
            <w:pPr>
              <w:spacing w:line="240" w:lineRule="auto"/>
              <w:jc w:val="both"/>
              <w:rPr>
                <w:rFonts w:ascii="Times New Roman" w:hAnsi="Times New Roman"/>
                <w:spacing w:val="-2"/>
              </w:rPr>
            </w:pPr>
            <w:r w:rsidRPr="00445441">
              <w:rPr>
                <w:rFonts w:ascii="Times New Roman" w:hAnsi="Times New Roman"/>
                <w:spacing w:val="-2"/>
              </w:rPr>
              <w:t xml:space="preserve">GUS, </w:t>
            </w:r>
            <w:r w:rsidR="001F5B30" w:rsidRPr="00445441">
              <w:rPr>
                <w:rFonts w:ascii="Times New Roman" w:hAnsi="Times New Roman"/>
                <w:spacing w:val="-2"/>
              </w:rPr>
              <w:t>Krajowy Rejestr Urzędowy Podziału Terytorialnego Kraju</w:t>
            </w:r>
          </w:p>
        </w:tc>
        <w:tc>
          <w:tcPr>
            <w:tcW w:w="2981" w:type="dxa"/>
            <w:shd w:val="clear" w:color="auto" w:fill="auto"/>
          </w:tcPr>
          <w:p w14:paraId="712D7ECB" w14:textId="16BE0AC5" w:rsidR="00BF0D67" w:rsidRPr="00445441" w:rsidRDefault="00BF0D67" w:rsidP="00BF0D67">
            <w:pPr>
              <w:spacing w:line="240" w:lineRule="auto"/>
              <w:rPr>
                <w:rFonts w:ascii="Times New Roman" w:hAnsi="Times New Roman"/>
                <w:bCs/>
              </w:rPr>
            </w:pPr>
            <w:r w:rsidRPr="00145F5E">
              <w:rPr>
                <w:rFonts w:ascii="Times New Roman" w:hAnsi="Times New Roman"/>
                <w:lang w:eastAsia="pl-PL"/>
              </w:rPr>
              <w:t>Możliwość skorzystania ze</w:t>
            </w:r>
            <w:r w:rsidR="006D4B5D" w:rsidRPr="00145F5E">
              <w:rPr>
                <w:rFonts w:ascii="Times New Roman" w:hAnsi="Times New Roman"/>
                <w:lang w:eastAsia="pl-PL"/>
              </w:rPr>
              <w:t xml:space="preserve"> </w:t>
            </w:r>
            <w:r w:rsidRPr="00145F5E">
              <w:rPr>
                <w:rFonts w:ascii="Times New Roman" w:hAnsi="Times New Roman"/>
                <w:lang w:eastAsia="pl-PL"/>
              </w:rPr>
              <w:t xml:space="preserve">środków </w:t>
            </w:r>
            <w:r w:rsidR="0042317D" w:rsidRPr="00145F5E">
              <w:rPr>
                <w:rFonts w:ascii="Times New Roman" w:hAnsi="Times New Roman"/>
                <w:lang w:eastAsia="pl-PL"/>
              </w:rPr>
              <w:t xml:space="preserve">Funduszu Rozwoju Regionalnego na cele w zakresie </w:t>
            </w:r>
            <w:r w:rsidRPr="00145F5E">
              <w:rPr>
                <w:rFonts w:ascii="Times New Roman" w:hAnsi="Times New Roman"/>
                <w:lang w:eastAsia="pl-PL"/>
              </w:rPr>
              <w:t>zielon</w:t>
            </w:r>
            <w:r w:rsidR="0042317D" w:rsidRPr="00145F5E">
              <w:rPr>
                <w:rFonts w:ascii="Times New Roman" w:hAnsi="Times New Roman"/>
                <w:lang w:eastAsia="pl-PL"/>
              </w:rPr>
              <w:t>ej</w:t>
            </w:r>
            <w:r w:rsidRPr="00145F5E">
              <w:rPr>
                <w:rFonts w:ascii="Times New Roman" w:hAnsi="Times New Roman"/>
                <w:lang w:eastAsia="pl-PL"/>
              </w:rPr>
              <w:t xml:space="preserve"> transformacj</w:t>
            </w:r>
            <w:r w:rsidR="0042317D" w:rsidRPr="00145F5E">
              <w:rPr>
                <w:rFonts w:ascii="Times New Roman" w:hAnsi="Times New Roman"/>
                <w:lang w:eastAsia="pl-PL"/>
              </w:rPr>
              <w:t>i</w:t>
            </w:r>
            <w:r w:rsidR="006D4B5D" w:rsidRPr="00145F5E">
              <w:rPr>
                <w:rFonts w:ascii="Times New Roman" w:hAnsi="Times New Roman"/>
                <w:lang w:eastAsia="pl-PL"/>
              </w:rPr>
              <w:t xml:space="preserve"> </w:t>
            </w:r>
            <w:r w:rsidRPr="00145F5E">
              <w:rPr>
                <w:rFonts w:ascii="Times New Roman" w:hAnsi="Times New Roman"/>
                <w:lang w:eastAsia="pl-PL"/>
              </w:rPr>
              <w:t>obszarów miejskich.</w:t>
            </w:r>
          </w:p>
        </w:tc>
      </w:tr>
      <w:bookmarkEnd w:id="42"/>
      <w:tr w:rsidR="00927CD9" w:rsidRPr="007A2509" w14:paraId="38DC7AB9" w14:textId="77777777" w:rsidTr="00515165">
        <w:trPr>
          <w:trHeight w:val="142"/>
        </w:trPr>
        <w:tc>
          <w:tcPr>
            <w:tcW w:w="2668" w:type="dxa"/>
            <w:shd w:val="clear" w:color="auto" w:fill="auto"/>
          </w:tcPr>
          <w:p w14:paraId="5EB13EF4" w14:textId="32D6520D" w:rsidR="00927CD9" w:rsidRPr="007A2509" w:rsidRDefault="00927CD9" w:rsidP="007A2509">
            <w:pPr>
              <w:spacing w:line="240" w:lineRule="auto"/>
              <w:rPr>
                <w:rFonts w:ascii="Times New Roman" w:hAnsi="Times New Roman"/>
                <w:color w:val="000000"/>
              </w:rPr>
            </w:pPr>
            <w:r w:rsidRPr="007A2509">
              <w:rPr>
                <w:rFonts w:ascii="Times New Roman" w:hAnsi="Times New Roman"/>
                <w:color w:val="000000"/>
              </w:rPr>
              <w:t>Przedsiębiorcy,</w:t>
            </w:r>
            <w:r w:rsidR="00C0646A" w:rsidRPr="007A2509">
              <w:rPr>
                <w:rFonts w:ascii="Times New Roman" w:hAnsi="Times New Roman"/>
                <w:color w:val="000000"/>
              </w:rPr>
              <w:t xml:space="preserve"> </w:t>
            </w:r>
            <w:r w:rsidR="008B0E88" w:rsidRPr="007A2509">
              <w:rPr>
                <w:rFonts w:ascii="Times New Roman" w:hAnsi="Times New Roman"/>
                <w:color w:val="000000"/>
              </w:rPr>
              <w:t>a także pozostali inwestorzy</w:t>
            </w:r>
            <w:r w:rsidR="00C0646A" w:rsidRPr="007A2509">
              <w:rPr>
                <w:rFonts w:ascii="Times New Roman" w:hAnsi="Times New Roman"/>
                <w:color w:val="000000"/>
              </w:rPr>
              <w:t xml:space="preserve"> </w:t>
            </w:r>
            <w:r w:rsidRPr="007A2509">
              <w:rPr>
                <w:rFonts w:ascii="Times New Roman" w:hAnsi="Times New Roman"/>
                <w:color w:val="000000"/>
              </w:rPr>
              <w:t>opracowujący</w:t>
            </w:r>
            <w:r w:rsidR="008B0E88" w:rsidRPr="007A2509">
              <w:rPr>
                <w:rFonts w:ascii="Times New Roman" w:hAnsi="Times New Roman"/>
                <w:color w:val="000000"/>
              </w:rPr>
              <w:t xml:space="preserve"> </w:t>
            </w:r>
            <w:r w:rsidR="009747A8" w:rsidRPr="007A2509">
              <w:rPr>
                <w:rFonts w:ascii="Times New Roman" w:hAnsi="Times New Roman"/>
                <w:color w:val="000000"/>
              </w:rPr>
              <w:t xml:space="preserve">raporty o oddziaływaniu przedsięwzięcia </w:t>
            </w:r>
            <w:r w:rsidR="008B0E88" w:rsidRPr="007A2509">
              <w:rPr>
                <w:rFonts w:ascii="Times New Roman" w:hAnsi="Times New Roman"/>
                <w:color w:val="000000"/>
              </w:rPr>
              <w:t xml:space="preserve">na środowisko (zarówno wykonawcy jak i zamawiający), organy właściwe w zakresie prowadzenia postępowania w sprawie </w:t>
            </w:r>
            <w:proofErr w:type="spellStart"/>
            <w:r w:rsidR="00E916A3" w:rsidRPr="007A2509">
              <w:rPr>
                <w:rFonts w:ascii="Times New Roman" w:hAnsi="Times New Roman"/>
                <w:color w:val="000000"/>
              </w:rPr>
              <w:t>ooś</w:t>
            </w:r>
            <w:proofErr w:type="spellEnd"/>
            <w:r w:rsidR="008B0E88" w:rsidRPr="007A2509">
              <w:rPr>
                <w:rFonts w:ascii="Times New Roman" w:hAnsi="Times New Roman"/>
                <w:color w:val="000000"/>
              </w:rPr>
              <w:t xml:space="preserve"> oraz opiniujące i uzgadniające</w:t>
            </w:r>
          </w:p>
        </w:tc>
        <w:tc>
          <w:tcPr>
            <w:tcW w:w="2292" w:type="dxa"/>
            <w:shd w:val="clear" w:color="auto" w:fill="auto"/>
          </w:tcPr>
          <w:p w14:paraId="50C903F6" w14:textId="77777777" w:rsidR="00927CD9" w:rsidRPr="007A2509" w:rsidRDefault="00EF5D7F" w:rsidP="007A2509">
            <w:pPr>
              <w:spacing w:line="240" w:lineRule="auto"/>
              <w:jc w:val="both"/>
              <w:rPr>
                <w:rFonts w:ascii="Times New Roman" w:hAnsi="Times New Roman"/>
                <w:color w:val="000000"/>
                <w:spacing w:val="-2"/>
              </w:rPr>
            </w:pPr>
            <w:proofErr w:type="spellStart"/>
            <w:r w:rsidRPr="007A2509">
              <w:rPr>
                <w:rFonts w:ascii="Times New Roman" w:hAnsi="Times New Roman"/>
                <w:color w:val="000000"/>
                <w:spacing w:val="-2"/>
              </w:rPr>
              <w:t>bd</w:t>
            </w:r>
            <w:proofErr w:type="spellEnd"/>
          </w:p>
        </w:tc>
        <w:tc>
          <w:tcPr>
            <w:tcW w:w="2996" w:type="dxa"/>
            <w:gridSpan w:val="2"/>
            <w:shd w:val="clear" w:color="auto" w:fill="auto"/>
          </w:tcPr>
          <w:p w14:paraId="4AA9CEBB" w14:textId="77777777" w:rsidR="00927CD9" w:rsidRPr="007A2509" w:rsidRDefault="00927CD9" w:rsidP="007A2509">
            <w:pPr>
              <w:spacing w:line="240" w:lineRule="auto"/>
              <w:jc w:val="both"/>
              <w:rPr>
                <w:rFonts w:ascii="Times New Roman" w:hAnsi="Times New Roman"/>
                <w:color w:val="000000"/>
                <w:spacing w:val="-2"/>
              </w:rPr>
            </w:pPr>
          </w:p>
        </w:tc>
        <w:tc>
          <w:tcPr>
            <w:tcW w:w="2981" w:type="dxa"/>
            <w:shd w:val="clear" w:color="auto" w:fill="auto"/>
          </w:tcPr>
          <w:p w14:paraId="6F6CB805" w14:textId="77777777" w:rsidR="00927CD9" w:rsidRPr="007A2509" w:rsidRDefault="00927CD9" w:rsidP="007A2509">
            <w:pPr>
              <w:spacing w:line="240" w:lineRule="auto"/>
              <w:rPr>
                <w:rFonts w:ascii="Times New Roman" w:hAnsi="Times New Roman"/>
              </w:rPr>
            </w:pPr>
            <w:r w:rsidRPr="007A2509">
              <w:rPr>
                <w:rFonts w:ascii="Times New Roman" w:hAnsi="Times New Roman"/>
                <w:bCs/>
                <w:color w:val="000000"/>
              </w:rPr>
              <w:t>Koniecznoś</w:t>
            </w:r>
            <w:r w:rsidR="002214E0" w:rsidRPr="007A2509">
              <w:rPr>
                <w:rFonts w:ascii="Times New Roman" w:hAnsi="Times New Roman"/>
                <w:bCs/>
                <w:color w:val="000000"/>
              </w:rPr>
              <w:t>ć</w:t>
            </w:r>
            <w:r w:rsidRPr="007A2509">
              <w:rPr>
                <w:rFonts w:ascii="Times New Roman" w:hAnsi="Times New Roman"/>
                <w:bCs/>
                <w:color w:val="000000"/>
              </w:rPr>
              <w:t xml:space="preserve"> wykonania analiz </w:t>
            </w:r>
            <w:r w:rsidR="00A11425" w:rsidRPr="007A2509">
              <w:rPr>
                <w:rFonts w:ascii="Times New Roman" w:hAnsi="Times New Roman"/>
                <w:bCs/>
                <w:color w:val="000000"/>
              </w:rPr>
              <w:t xml:space="preserve">podatności </w:t>
            </w:r>
            <w:r w:rsidRPr="007A2509">
              <w:rPr>
                <w:rFonts w:ascii="Times New Roman" w:hAnsi="Times New Roman"/>
                <w:bCs/>
                <w:color w:val="000000"/>
              </w:rPr>
              <w:t xml:space="preserve">w postępowaniu </w:t>
            </w:r>
            <w:proofErr w:type="spellStart"/>
            <w:r w:rsidR="00E916A3" w:rsidRPr="007A2509">
              <w:rPr>
                <w:rFonts w:ascii="Times New Roman" w:hAnsi="Times New Roman"/>
                <w:bCs/>
                <w:color w:val="000000"/>
              </w:rPr>
              <w:t>ooś</w:t>
            </w:r>
            <w:proofErr w:type="spellEnd"/>
            <w:r w:rsidR="008B0E88" w:rsidRPr="007A2509">
              <w:rPr>
                <w:rFonts w:ascii="Times New Roman" w:hAnsi="Times New Roman"/>
                <w:bCs/>
                <w:color w:val="000000"/>
              </w:rPr>
              <w:t xml:space="preserve"> (doprecyzowanie </w:t>
            </w:r>
            <w:r w:rsidR="002214E0" w:rsidRPr="007A2509">
              <w:rPr>
                <w:rFonts w:ascii="Times New Roman" w:hAnsi="Times New Roman"/>
                <w:bCs/>
                <w:color w:val="000000"/>
              </w:rPr>
              <w:t xml:space="preserve">wymogu </w:t>
            </w:r>
            <w:r w:rsidR="008B0E88" w:rsidRPr="007A2509">
              <w:rPr>
                <w:rFonts w:ascii="Times New Roman" w:hAnsi="Times New Roman"/>
                <w:bCs/>
                <w:color w:val="000000"/>
              </w:rPr>
              <w:t xml:space="preserve">istniejącego w </w:t>
            </w:r>
            <w:proofErr w:type="spellStart"/>
            <w:r w:rsidR="002214E0" w:rsidRPr="007A2509">
              <w:rPr>
                <w:rFonts w:ascii="Times New Roman" w:hAnsi="Times New Roman"/>
                <w:bCs/>
                <w:color w:val="000000"/>
              </w:rPr>
              <w:t>Uooś</w:t>
            </w:r>
            <w:proofErr w:type="spellEnd"/>
            <w:r w:rsidR="008B0E88" w:rsidRPr="007A2509">
              <w:rPr>
                <w:rFonts w:ascii="Times New Roman" w:hAnsi="Times New Roman"/>
                <w:bCs/>
                <w:color w:val="000000"/>
              </w:rPr>
              <w:t xml:space="preserve">) </w:t>
            </w:r>
          </w:p>
        </w:tc>
      </w:tr>
      <w:tr w:rsidR="00927CD9" w:rsidRPr="007A2509" w14:paraId="63A87EA3" w14:textId="77777777" w:rsidTr="00515165">
        <w:trPr>
          <w:trHeight w:val="142"/>
        </w:trPr>
        <w:tc>
          <w:tcPr>
            <w:tcW w:w="2668" w:type="dxa"/>
            <w:shd w:val="clear" w:color="auto" w:fill="auto"/>
          </w:tcPr>
          <w:p w14:paraId="7D5CDC0D" w14:textId="77777777" w:rsidR="00927CD9" w:rsidRPr="007A2509" w:rsidRDefault="00927CD9" w:rsidP="007A2509">
            <w:pPr>
              <w:spacing w:line="240" w:lineRule="auto"/>
              <w:jc w:val="both"/>
              <w:rPr>
                <w:rFonts w:ascii="Times New Roman" w:hAnsi="Times New Roman"/>
                <w:color w:val="000000"/>
                <w:spacing w:val="-2"/>
              </w:rPr>
            </w:pPr>
            <w:r w:rsidRPr="007A2509">
              <w:rPr>
                <w:rFonts w:ascii="Times New Roman" w:hAnsi="Times New Roman"/>
                <w:color w:val="000000"/>
              </w:rPr>
              <w:t xml:space="preserve">Urzędy marszałkowskie </w:t>
            </w:r>
          </w:p>
        </w:tc>
        <w:tc>
          <w:tcPr>
            <w:tcW w:w="2292" w:type="dxa"/>
            <w:shd w:val="clear" w:color="auto" w:fill="auto"/>
          </w:tcPr>
          <w:p w14:paraId="6E72DE8C" w14:textId="77777777" w:rsidR="00927CD9" w:rsidRPr="007A2509" w:rsidRDefault="00927CD9"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16</w:t>
            </w:r>
          </w:p>
        </w:tc>
        <w:tc>
          <w:tcPr>
            <w:tcW w:w="2996" w:type="dxa"/>
            <w:gridSpan w:val="2"/>
            <w:shd w:val="clear" w:color="auto" w:fill="auto"/>
          </w:tcPr>
          <w:p w14:paraId="47D09C91" w14:textId="77777777" w:rsidR="00927CD9" w:rsidRPr="007A2509" w:rsidRDefault="00927CD9" w:rsidP="007A2509">
            <w:pPr>
              <w:spacing w:line="240" w:lineRule="auto"/>
              <w:jc w:val="both"/>
              <w:rPr>
                <w:rFonts w:ascii="Times New Roman" w:hAnsi="Times New Roman"/>
                <w:color w:val="000000"/>
                <w:spacing w:val="-2"/>
              </w:rPr>
            </w:pPr>
          </w:p>
        </w:tc>
        <w:tc>
          <w:tcPr>
            <w:tcW w:w="2981" w:type="dxa"/>
            <w:shd w:val="clear" w:color="auto" w:fill="auto"/>
          </w:tcPr>
          <w:p w14:paraId="29133C52" w14:textId="77777777" w:rsidR="00927CD9" w:rsidRDefault="00927CD9" w:rsidP="005C4CF5">
            <w:pPr>
              <w:numPr>
                <w:ilvl w:val="0"/>
                <w:numId w:val="15"/>
              </w:numPr>
              <w:spacing w:line="240" w:lineRule="auto"/>
              <w:ind w:left="438" w:hanging="425"/>
              <w:rPr>
                <w:rFonts w:ascii="Times New Roman" w:hAnsi="Times New Roman"/>
              </w:rPr>
            </w:pPr>
            <w:r w:rsidRPr="007A2509">
              <w:rPr>
                <w:rFonts w:ascii="Times New Roman" w:hAnsi="Times New Roman"/>
              </w:rPr>
              <w:t xml:space="preserve">Rozszerzenie zakresu prowadzenia polityki rozwoju </w:t>
            </w:r>
            <w:bookmarkStart w:id="43" w:name="highlightHit_57"/>
            <w:bookmarkEnd w:id="43"/>
            <w:r w:rsidRPr="007A2509">
              <w:rPr>
                <w:rStyle w:val="highlight"/>
                <w:rFonts w:ascii="Times New Roman" w:hAnsi="Times New Roman"/>
              </w:rPr>
              <w:t>województwa o</w:t>
            </w:r>
            <w:r w:rsidRPr="007A2509">
              <w:rPr>
                <w:rFonts w:ascii="Times New Roman" w:hAnsi="Times New Roman"/>
              </w:rPr>
              <w:t xml:space="preserve"> </w:t>
            </w:r>
            <w:r w:rsidR="00A345A1" w:rsidRPr="00A345A1">
              <w:rPr>
                <w:rFonts w:ascii="Times New Roman" w:hAnsi="Times New Roman"/>
              </w:rPr>
              <w:t>tworzeni</w:t>
            </w:r>
            <w:r w:rsidR="00A345A1">
              <w:rPr>
                <w:rFonts w:ascii="Times New Roman" w:hAnsi="Times New Roman"/>
              </w:rPr>
              <w:t>e</w:t>
            </w:r>
            <w:r w:rsidR="00A345A1" w:rsidRPr="00A345A1">
              <w:rPr>
                <w:rFonts w:ascii="Times New Roman" w:hAnsi="Times New Roman"/>
              </w:rPr>
              <w:t xml:space="preserve"> warunków dla prowadzenia działań na rzecz ochrony klimatu oraz działań adaptacyjnych, zmniejszających podatność regionu na zmiany klimatu</w:t>
            </w:r>
            <w:r w:rsidR="00805216">
              <w:rPr>
                <w:rFonts w:ascii="Times New Roman" w:hAnsi="Times New Roman"/>
              </w:rPr>
              <w:t>.</w:t>
            </w:r>
          </w:p>
          <w:p w14:paraId="61FDE0DE" w14:textId="77777777" w:rsidR="00805216" w:rsidRPr="007A2509" w:rsidRDefault="00805216" w:rsidP="005C4CF5">
            <w:pPr>
              <w:numPr>
                <w:ilvl w:val="0"/>
                <w:numId w:val="15"/>
              </w:numPr>
              <w:spacing w:line="240" w:lineRule="auto"/>
              <w:ind w:left="438" w:hanging="425"/>
              <w:rPr>
                <w:rFonts w:ascii="Times New Roman" w:hAnsi="Times New Roman"/>
                <w:color w:val="000000"/>
                <w:spacing w:val="-2"/>
              </w:rPr>
            </w:pPr>
            <w:r>
              <w:rPr>
                <w:rFonts w:ascii="Times New Roman" w:hAnsi="Times New Roman"/>
              </w:rPr>
              <w:t>Zmiana terminu na opracowanie i określenie w drodze uchwały sejmiku województwa aktualizacji programu ochrony powietrza.</w:t>
            </w:r>
          </w:p>
        </w:tc>
      </w:tr>
      <w:tr w:rsidR="00927CD9" w:rsidRPr="007A2509" w14:paraId="172772C4" w14:textId="77777777" w:rsidTr="00515165">
        <w:trPr>
          <w:trHeight w:val="142"/>
        </w:trPr>
        <w:tc>
          <w:tcPr>
            <w:tcW w:w="2668" w:type="dxa"/>
            <w:shd w:val="clear" w:color="auto" w:fill="auto"/>
          </w:tcPr>
          <w:p w14:paraId="520F12D3" w14:textId="77777777" w:rsidR="00927CD9" w:rsidRPr="007A2509" w:rsidRDefault="00927CD9" w:rsidP="007A2509">
            <w:pPr>
              <w:tabs>
                <w:tab w:val="left" w:pos="1560"/>
              </w:tabs>
              <w:spacing w:line="240" w:lineRule="auto"/>
              <w:rPr>
                <w:rFonts w:ascii="Times New Roman" w:hAnsi="Times New Roman"/>
                <w:color w:val="000000"/>
              </w:rPr>
            </w:pPr>
            <w:r w:rsidRPr="007A2509">
              <w:rPr>
                <w:rFonts w:ascii="Times New Roman" w:hAnsi="Times New Roman"/>
                <w:color w:val="000000"/>
              </w:rPr>
              <w:t>Firmy, instytuty opracowujące</w:t>
            </w:r>
            <w:r w:rsidR="00C0646A" w:rsidRPr="007A2509">
              <w:rPr>
                <w:rFonts w:ascii="Times New Roman" w:hAnsi="Times New Roman"/>
                <w:color w:val="000000"/>
              </w:rPr>
              <w:t xml:space="preserve"> </w:t>
            </w:r>
            <w:r w:rsidR="00E916A3" w:rsidRPr="007A2509">
              <w:rPr>
                <w:rFonts w:ascii="Times New Roman" w:hAnsi="Times New Roman"/>
                <w:color w:val="000000"/>
              </w:rPr>
              <w:t>MPA</w:t>
            </w:r>
          </w:p>
        </w:tc>
        <w:tc>
          <w:tcPr>
            <w:tcW w:w="2292" w:type="dxa"/>
            <w:shd w:val="clear" w:color="auto" w:fill="auto"/>
          </w:tcPr>
          <w:p w14:paraId="2751F9CD" w14:textId="77777777" w:rsidR="00EF2F36" w:rsidRPr="007A2509" w:rsidRDefault="001647C1"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 xml:space="preserve">Brak dokładnych danych. </w:t>
            </w:r>
          </w:p>
          <w:p w14:paraId="0EE8FC73" w14:textId="77777777" w:rsidR="00927CD9" w:rsidRPr="007A2509" w:rsidRDefault="001647C1" w:rsidP="007A2509">
            <w:pPr>
              <w:spacing w:line="240" w:lineRule="auto"/>
              <w:jc w:val="both"/>
              <w:rPr>
                <w:rFonts w:ascii="Times New Roman" w:hAnsi="Times New Roman"/>
                <w:color w:val="000000"/>
                <w:spacing w:val="-2"/>
              </w:rPr>
            </w:pPr>
            <w:r w:rsidRPr="007A2509">
              <w:rPr>
                <w:rFonts w:ascii="Times New Roman" w:hAnsi="Times New Roman"/>
                <w:color w:val="000000"/>
                <w:spacing w:val="-2"/>
              </w:rPr>
              <w:t xml:space="preserve">25 firm z rozeznania </w:t>
            </w:r>
            <w:proofErr w:type="spellStart"/>
            <w:r w:rsidRPr="007A2509">
              <w:rPr>
                <w:rFonts w:ascii="Times New Roman" w:hAnsi="Times New Roman"/>
                <w:color w:val="000000"/>
                <w:spacing w:val="-2"/>
              </w:rPr>
              <w:t>MKiŚ</w:t>
            </w:r>
            <w:proofErr w:type="spellEnd"/>
          </w:p>
        </w:tc>
        <w:tc>
          <w:tcPr>
            <w:tcW w:w="2996" w:type="dxa"/>
            <w:gridSpan w:val="2"/>
            <w:shd w:val="clear" w:color="auto" w:fill="auto"/>
          </w:tcPr>
          <w:p w14:paraId="1B298C7D" w14:textId="77777777" w:rsidR="00927CD9" w:rsidRPr="007A2509" w:rsidRDefault="00927CD9" w:rsidP="007A2509">
            <w:pPr>
              <w:spacing w:line="240" w:lineRule="auto"/>
              <w:jc w:val="both"/>
              <w:rPr>
                <w:rFonts w:ascii="Times New Roman" w:hAnsi="Times New Roman"/>
                <w:color w:val="000000"/>
                <w:spacing w:val="-2"/>
              </w:rPr>
            </w:pPr>
          </w:p>
        </w:tc>
        <w:tc>
          <w:tcPr>
            <w:tcW w:w="2981" w:type="dxa"/>
            <w:shd w:val="clear" w:color="auto" w:fill="auto"/>
          </w:tcPr>
          <w:p w14:paraId="23FF608B" w14:textId="710E8CD9" w:rsidR="00927CD9" w:rsidRPr="007A2509" w:rsidRDefault="00927CD9" w:rsidP="007A2509">
            <w:pPr>
              <w:spacing w:line="240" w:lineRule="auto"/>
              <w:rPr>
                <w:rFonts w:ascii="Times New Roman" w:hAnsi="Times New Roman"/>
                <w:color w:val="000000"/>
                <w:spacing w:val="-2"/>
              </w:rPr>
            </w:pPr>
            <w:r w:rsidRPr="007A2509">
              <w:rPr>
                <w:rFonts w:ascii="Times New Roman" w:hAnsi="Times New Roman"/>
                <w:color w:val="000000"/>
                <w:spacing w:val="-2"/>
              </w:rPr>
              <w:t>Zwiększenie</w:t>
            </w:r>
            <w:r w:rsidR="00A637DC">
              <w:rPr>
                <w:rFonts w:ascii="Times New Roman" w:hAnsi="Times New Roman"/>
                <w:color w:val="000000"/>
                <w:spacing w:val="-2"/>
              </w:rPr>
              <w:t xml:space="preserve"> potrzeb rynku</w:t>
            </w:r>
            <w:r w:rsidRPr="007A2509">
              <w:rPr>
                <w:rFonts w:ascii="Times New Roman" w:hAnsi="Times New Roman"/>
                <w:color w:val="000000"/>
                <w:spacing w:val="-2"/>
              </w:rPr>
              <w:t xml:space="preserve"> oraz dochodów w związku z</w:t>
            </w:r>
            <w:r w:rsidR="002214E0" w:rsidRPr="007A2509">
              <w:rPr>
                <w:rFonts w:ascii="Times New Roman" w:hAnsi="Times New Roman"/>
                <w:color w:val="000000"/>
                <w:spacing w:val="-2"/>
              </w:rPr>
              <w:t>e</w:t>
            </w:r>
            <w:r w:rsidRPr="007A2509">
              <w:rPr>
                <w:rFonts w:ascii="Times New Roman" w:hAnsi="Times New Roman"/>
                <w:color w:val="000000"/>
                <w:spacing w:val="-2"/>
              </w:rPr>
              <w:t xml:space="preserve"> </w:t>
            </w:r>
            <w:r w:rsidR="009D5A19" w:rsidRPr="007A2509">
              <w:rPr>
                <w:rFonts w:ascii="Times New Roman" w:hAnsi="Times New Roman"/>
                <w:color w:val="000000"/>
                <w:spacing w:val="-2"/>
              </w:rPr>
              <w:t xml:space="preserve">wspieraniem miast w opracowywaniu </w:t>
            </w:r>
            <w:r w:rsidR="009B5D0D">
              <w:rPr>
                <w:rFonts w:ascii="Times New Roman" w:hAnsi="Times New Roman"/>
                <w:color w:val="000000"/>
                <w:spacing w:val="-2"/>
              </w:rPr>
              <w:t>MPA</w:t>
            </w:r>
            <w:r w:rsidRPr="007A2509">
              <w:rPr>
                <w:rFonts w:ascii="Times New Roman" w:hAnsi="Times New Roman"/>
                <w:color w:val="000000"/>
                <w:spacing w:val="-2"/>
              </w:rPr>
              <w:t>.</w:t>
            </w:r>
          </w:p>
        </w:tc>
      </w:tr>
      <w:tr w:rsidR="00723662" w:rsidRPr="007A2509" w14:paraId="4EF62B33" w14:textId="77777777" w:rsidTr="00515165">
        <w:trPr>
          <w:trHeight w:val="142"/>
        </w:trPr>
        <w:tc>
          <w:tcPr>
            <w:tcW w:w="2668" w:type="dxa"/>
            <w:shd w:val="clear" w:color="auto" w:fill="auto"/>
          </w:tcPr>
          <w:p w14:paraId="20D24065" w14:textId="3C17CB05" w:rsidR="00723662" w:rsidRPr="00723662" w:rsidRDefault="00723662" w:rsidP="00FF24EE">
            <w:pPr>
              <w:tabs>
                <w:tab w:val="left" w:pos="1560"/>
              </w:tabs>
              <w:spacing w:line="240" w:lineRule="auto"/>
              <w:rPr>
                <w:rFonts w:ascii="Times New Roman" w:hAnsi="Times New Roman"/>
                <w:color w:val="000000"/>
              </w:rPr>
            </w:pPr>
            <w:r w:rsidRPr="007242CB">
              <w:rPr>
                <w:rFonts w:ascii="Times New Roman" w:hAnsi="Times New Roman"/>
              </w:rPr>
              <w:lastRenderedPageBreak/>
              <w:t xml:space="preserve">Gminy, </w:t>
            </w:r>
            <w:r w:rsidR="00401195">
              <w:rPr>
                <w:rFonts w:ascii="Times New Roman" w:hAnsi="Times New Roman"/>
              </w:rPr>
              <w:t xml:space="preserve">w tym </w:t>
            </w:r>
            <w:r w:rsidR="00DD2BBA">
              <w:rPr>
                <w:rFonts w:ascii="Times New Roman" w:hAnsi="Times New Roman"/>
              </w:rPr>
              <w:t xml:space="preserve">także </w:t>
            </w:r>
            <w:r w:rsidR="00401195">
              <w:rPr>
                <w:rFonts w:ascii="Times New Roman" w:hAnsi="Times New Roman"/>
              </w:rPr>
              <w:t>te</w:t>
            </w:r>
            <w:r w:rsidR="00DD2BBA">
              <w:rPr>
                <w:rFonts w:ascii="Times New Roman" w:hAnsi="Times New Roman"/>
              </w:rPr>
              <w:t xml:space="preserve">, </w:t>
            </w:r>
            <w:r w:rsidRPr="007242CB">
              <w:rPr>
                <w:rFonts w:ascii="Times New Roman" w:hAnsi="Times New Roman"/>
              </w:rPr>
              <w:t>które podpisały porozumienie na realizację przedsięwzięcia niskoemisyjnego</w:t>
            </w:r>
            <w:r w:rsidR="00FA7ABF">
              <w:rPr>
                <w:rFonts w:ascii="Times New Roman" w:hAnsi="Times New Roman"/>
              </w:rPr>
              <w:t>,</w:t>
            </w:r>
            <w:r w:rsidRPr="007242CB">
              <w:rPr>
                <w:rFonts w:ascii="Times New Roman" w:hAnsi="Times New Roman"/>
              </w:rPr>
              <w:t xml:space="preserve"> oraz gminy zainteresowane przystąpieniem do Programu „Stop Smog”</w:t>
            </w:r>
            <w:r w:rsidR="00E304AE">
              <w:rPr>
                <w:rFonts w:ascii="Times New Roman" w:hAnsi="Times New Roman"/>
              </w:rPr>
              <w:t xml:space="preserve"> oraz gminy</w:t>
            </w:r>
            <w:r w:rsidR="00496E5E">
              <w:rPr>
                <w:rFonts w:ascii="Times New Roman" w:hAnsi="Times New Roman"/>
              </w:rPr>
              <w:t>,</w:t>
            </w:r>
            <w:r w:rsidR="00E304AE">
              <w:rPr>
                <w:rFonts w:ascii="Times New Roman" w:hAnsi="Times New Roman"/>
              </w:rPr>
              <w:t xml:space="preserve"> </w:t>
            </w:r>
            <w:r w:rsidR="00E304AE" w:rsidRPr="00B30012">
              <w:rPr>
                <w:rFonts w:ascii="Times New Roman" w:hAnsi="Times New Roman"/>
              </w:rPr>
              <w:t>które</w:t>
            </w:r>
            <w:r w:rsidR="00FF24EE">
              <w:rPr>
                <w:rFonts w:ascii="Times New Roman" w:hAnsi="Times New Roman"/>
              </w:rPr>
              <w:t xml:space="preserve"> </w:t>
            </w:r>
            <w:r w:rsidR="00E304AE" w:rsidRPr="00B30012">
              <w:rPr>
                <w:rFonts w:ascii="Times New Roman" w:hAnsi="Times New Roman"/>
              </w:rPr>
              <w:t>podpisały umowy z</w:t>
            </w:r>
            <w:r w:rsidR="00FF24EE">
              <w:rPr>
                <w:rFonts w:ascii="Times New Roman" w:hAnsi="Times New Roman"/>
              </w:rPr>
              <w:t xml:space="preserve"> </w:t>
            </w:r>
            <w:proofErr w:type="spellStart"/>
            <w:r w:rsidR="00E304AE" w:rsidRPr="00B30012">
              <w:rPr>
                <w:rFonts w:ascii="Times New Roman" w:hAnsi="Times New Roman"/>
              </w:rPr>
              <w:t>wfośigw</w:t>
            </w:r>
            <w:proofErr w:type="spellEnd"/>
            <w:r w:rsidR="00E304AE" w:rsidRPr="00B30012">
              <w:rPr>
                <w:rFonts w:ascii="Times New Roman" w:hAnsi="Times New Roman"/>
              </w:rPr>
              <w:t xml:space="preserve"> o dofinansowanie</w:t>
            </w:r>
            <w:r w:rsidR="00FF24EE">
              <w:rPr>
                <w:rFonts w:ascii="Times New Roman" w:hAnsi="Times New Roman"/>
              </w:rPr>
              <w:t xml:space="preserve"> </w:t>
            </w:r>
            <w:r w:rsidR="00E304AE" w:rsidRPr="00B30012">
              <w:rPr>
                <w:rFonts w:ascii="Times New Roman" w:hAnsi="Times New Roman"/>
              </w:rPr>
              <w:t>w ramach programu</w:t>
            </w:r>
            <w:r w:rsidR="00FF24EE">
              <w:rPr>
                <w:rFonts w:ascii="Times New Roman" w:hAnsi="Times New Roman"/>
              </w:rPr>
              <w:t xml:space="preserve"> </w:t>
            </w:r>
            <w:r w:rsidR="00E304AE" w:rsidRPr="00B30012">
              <w:rPr>
                <w:rFonts w:ascii="Times New Roman" w:hAnsi="Times New Roman"/>
              </w:rPr>
              <w:t>priorytetowego „Ciepłe</w:t>
            </w:r>
            <w:r w:rsidR="00FF24EE">
              <w:rPr>
                <w:rFonts w:ascii="Times New Roman" w:hAnsi="Times New Roman"/>
              </w:rPr>
              <w:t xml:space="preserve"> </w:t>
            </w:r>
            <w:r w:rsidR="00E304AE" w:rsidRPr="00B30012">
              <w:rPr>
                <w:rFonts w:ascii="Times New Roman" w:hAnsi="Times New Roman"/>
              </w:rPr>
              <w:t>Mieszkanie</w:t>
            </w:r>
            <w:r w:rsidR="00E304AE">
              <w:rPr>
                <w:rFonts w:ascii="Times New Roman" w:hAnsi="Times New Roman"/>
              </w:rPr>
              <w:t>”</w:t>
            </w:r>
          </w:p>
        </w:tc>
        <w:tc>
          <w:tcPr>
            <w:tcW w:w="2292" w:type="dxa"/>
            <w:shd w:val="clear" w:color="auto" w:fill="auto"/>
          </w:tcPr>
          <w:p w14:paraId="4EC32906" w14:textId="31BBAC6A" w:rsidR="00FD6D85" w:rsidRDefault="00723662" w:rsidP="00FD6D85">
            <w:pPr>
              <w:spacing w:line="240" w:lineRule="auto"/>
              <w:jc w:val="both"/>
              <w:rPr>
                <w:rFonts w:ascii="Times New Roman" w:hAnsi="Times New Roman"/>
              </w:rPr>
            </w:pPr>
            <w:r w:rsidRPr="007242CB">
              <w:rPr>
                <w:rFonts w:ascii="Times New Roman" w:hAnsi="Times New Roman"/>
              </w:rPr>
              <w:t xml:space="preserve">2477 gmin, w tym </w:t>
            </w:r>
            <w:r w:rsidR="00FD6D85">
              <w:rPr>
                <w:rFonts w:ascii="Times New Roman" w:hAnsi="Times New Roman"/>
              </w:rPr>
              <w:t>28</w:t>
            </w:r>
            <w:r w:rsidRPr="007242CB">
              <w:rPr>
                <w:rFonts w:ascii="Times New Roman" w:hAnsi="Times New Roman"/>
              </w:rPr>
              <w:t xml:space="preserve"> gmin, które zawarło porozumienie</w:t>
            </w:r>
            <w:r w:rsidR="00E304AE">
              <w:rPr>
                <w:rFonts w:ascii="Times New Roman" w:hAnsi="Times New Roman"/>
              </w:rPr>
              <w:t xml:space="preserve">, a także </w:t>
            </w:r>
            <w:r w:rsidR="00FD6D85">
              <w:rPr>
                <w:rFonts w:ascii="Times New Roman" w:hAnsi="Times New Roman"/>
              </w:rPr>
              <w:t xml:space="preserve">374 gminy które wzięły udział w ramach I </w:t>
            </w:r>
            <w:r w:rsidR="00FD6D85" w:rsidRPr="00B30012">
              <w:rPr>
                <w:rFonts w:ascii="Times New Roman" w:hAnsi="Times New Roman"/>
              </w:rPr>
              <w:t xml:space="preserve">naboru </w:t>
            </w:r>
            <w:r w:rsidR="00FD6D85">
              <w:rPr>
                <w:rFonts w:ascii="Times New Roman" w:hAnsi="Times New Roman"/>
              </w:rPr>
              <w:t xml:space="preserve">oraz 512 które zgłosiły się w ramach II naboru </w:t>
            </w:r>
            <w:r w:rsidR="00FD6D85" w:rsidRPr="00B30012">
              <w:rPr>
                <w:rFonts w:ascii="Times New Roman" w:hAnsi="Times New Roman"/>
              </w:rPr>
              <w:t>programu „Ciepłe Mieszkanie</w:t>
            </w:r>
            <w:r w:rsidR="00FD6D85">
              <w:rPr>
                <w:rFonts w:ascii="Times New Roman" w:hAnsi="Times New Roman"/>
              </w:rPr>
              <w:t>”.</w:t>
            </w:r>
          </w:p>
          <w:p w14:paraId="3009AC10" w14:textId="50E7403C" w:rsidR="00FD6D85" w:rsidRDefault="00FD6D85" w:rsidP="00FD6D85">
            <w:pPr>
              <w:spacing w:line="240" w:lineRule="auto"/>
              <w:jc w:val="both"/>
              <w:rPr>
                <w:rFonts w:ascii="Times New Roman" w:hAnsi="Times New Roman"/>
              </w:rPr>
            </w:pPr>
          </w:p>
          <w:p w14:paraId="3CFD20CF" w14:textId="25C2EBC6" w:rsidR="00723662" w:rsidRPr="00723662" w:rsidRDefault="00723662" w:rsidP="00723662">
            <w:pPr>
              <w:spacing w:line="240" w:lineRule="auto"/>
              <w:jc w:val="both"/>
              <w:rPr>
                <w:rFonts w:ascii="Times New Roman" w:hAnsi="Times New Roman"/>
                <w:color w:val="000000"/>
              </w:rPr>
            </w:pPr>
          </w:p>
        </w:tc>
        <w:tc>
          <w:tcPr>
            <w:tcW w:w="2996" w:type="dxa"/>
            <w:gridSpan w:val="2"/>
            <w:shd w:val="clear" w:color="auto" w:fill="auto"/>
          </w:tcPr>
          <w:p w14:paraId="55E06EED" w14:textId="77777777" w:rsidR="00723662" w:rsidRPr="00723662" w:rsidRDefault="00723662" w:rsidP="00723662">
            <w:pPr>
              <w:spacing w:line="240" w:lineRule="auto"/>
              <w:jc w:val="both"/>
              <w:rPr>
                <w:rFonts w:ascii="Times New Roman" w:hAnsi="Times New Roman"/>
                <w:color w:val="000000"/>
              </w:rPr>
            </w:pPr>
          </w:p>
        </w:tc>
        <w:tc>
          <w:tcPr>
            <w:tcW w:w="2981" w:type="dxa"/>
            <w:shd w:val="clear" w:color="auto" w:fill="auto"/>
          </w:tcPr>
          <w:p w14:paraId="5E35BF3B" w14:textId="257FB2EA" w:rsidR="00E304AE" w:rsidRPr="00723662" w:rsidRDefault="00401195" w:rsidP="00723662">
            <w:pPr>
              <w:spacing w:line="240" w:lineRule="auto"/>
              <w:rPr>
                <w:rFonts w:ascii="Times New Roman" w:hAnsi="Times New Roman"/>
                <w:color w:val="000000"/>
              </w:rPr>
            </w:pPr>
            <w:r>
              <w:rPr>
                <w:rFonts w:ascii="Times New Roman" w:hAnsi="Times New Roman"/>
              </w:rPr>
              <w:t xml:space="preserve">Zapewnienie możliwości </w:t>
            </w:r>
            <w:r w:rsidRPr="00D161EC">
              <w:rPr>
                <w:rFonts w:ascii="Times New Roman" w:hAnsi="Times New Roman"/>
              </w:rPr>
              <w:t xml:space="preserve">wydawania </w:t>
            </w:r>
            <w:r w:rsidRPr="000F6514">
              <w:rPr>
                <w:rFonts w:ascii="Times New Roman" w:hAnsi="Times New Roman"/>
              </w:rPr>
              <w:t>zaświadczeń o dochodach na potrzeby wnioskowania przez beneficjenta uprawnionego do podwyższonego i najwyższego poziomu dofinansowania o przyznanie środków w ramach Programu Priorytetowego „Czyste Powietrze”</w:t>
            </w:r>
            <w:r w:rsidRPr="00D161EC">
              <w:rPr>
                <w:rFonts w:ascii="Times New Roman" w:hAnsi="Times New Roman"/>
              </w:rPr>
              <w:t>, a</w:t>
            </w:r>
            <w:r w:rsidRPr="00401195">
              <w:rPr>
                <w:rFonts w:ascii="Times New Roman" w:hAnsi="Times New Roman"/>
              </w:rPr>
              <w:t xml:space="preserve"> także </w:t>
            </w:r>
            <w:r>
              <w:rPr>
                <w:rFonts w:ascii="Times New Roman" w:hAnsi="Times New Roman"/>
              </w:rPr>
              <w:t>p</w:t>
            </w:r>
            <w:r w:rsidR="00723662" w:rsidRPr="007242CB">
              <w:rPr>
                <w:rFonts w:ascii="Times New Roman" w:hAnsi="Times New Roman"/>
              </w:rPr>
              <w:t>ozyskani</w:t>
            </w:r>
            <w:r w:rsidR="00DD2BBA">
              <w:rPr>
                <w:rFonts w:ascii="Times New Roman" w:hAnsi="Times New Roman"/>
              </w:rPr>
              <w:t>e</w:t>
            </w:r>
            <w:r w:rsidR="00723662" w:rsidRPr="007242CB">
              <w:rPr>
                <w:rFonts w:ascii="Times New Roman" w:hAnsi="Times New Roman"/>
              </w:rPr>
              <w:t xml:space="preserve"> wyższych środków na realizację przedsięwzięć niskoemisyjnych w gminie</w:t>
            </w:r>
            <w:r>
              <w:rPr>
                <w:rFonts w:ascii="Times New Roman" w:hAnsi="Times New Roman"/>
              </w:rPr>
              <w:t xml:space="preserve"> w ramach Programu „Stop Smog”</w:t>
            </w:r>
            <w:r w:rsidR="00723662" w:rsidRPr="007242CB">
              <w:rPr>
                <w:rFonts w:ascii="Times New Roman" w:hAnsi="Times New Roman"/>
              </w:rPr>
              <w:t xml:space="preserve">. </w:t>
            </w:r>
            <w:r w:rsidR="00E304AE" w:rsidRPr="00B30012">
              <w:rPr>
                <w:rFonts w:ascii="Times New Roman" w:hAnsi="Times New Roman"/>
              </w:rPr>
              <w:t>Przyznanie gminom możliwości doprecyzowania szczegółowych kryteriów lub warunków</w:t>
            </w:r>
            <w:r w:rsidR="00FA7ABF">
              <w:rPr>
                <w:rFonts w:ascii="Times New Roman" w:hAnsi="Times New Roman"/>
              </w:rPr>
              <w:t>,</w:t>
            </w:r>
            <w:r w:rsidR="00E304AE" w:rsidRPr="00B30012">
              <w:rPr>
                <w:rFonts w:ascii="Times New Roman" w:hAnsi="Times New Roman"/>
              </w:rPr>
              <w:t xml:space="preserve"> jakie będą musiały zostać spełnione przez podmiot lub jednostkę ubiegające się o udzielenie dotacji celowej, w tym także wynikających z wymagań określonych w przepisach odrębnych lub umowie dotacji zawartej przez gminę z </w:t>
            </w:r>
            <w:r w:rsidR="00F668FD">
              <w:rPr>
                <w:rFonts w:ascii="Times New Roman" w:hAnsi="Times New Roman"/>
              </w:rPr>
              <w:t>NFOŚiGW</w:t>
            </w:r>
            <w:r w:rsidR="00E304AE" w:rsidRPr="00B30012">
              <w:rPr>
                <w:rFonts w:ascii="Times New Roman" w:hAnsi="Times New Roman"/>
              </w:rPr>
              <w:t xml:space="preserve"> lub wojewódzkim funduszem. W wyniku zmiany nie będzie budziła wątpliwości możliwość wprowadzenia w uchwale organu stanowiącego gminy w przedmiocie zasad udzielenia dotacji celowej dodatkowego kryterium dotyczącego określonej cechy, jaką musi posiadać potencjalny beneficjent dotacji celowej </w:t>
            </w:r>
            <w:r w:rsidR="00E304AE">
              <w:rPr>
                <w:rFonts w:ascii="Times New Roman" w:hAnsi="Times New Roman"/>
              </w:rPr>
              <w:t>np</w:t>
            </w:r>
            <w:r w:rsidR="00E304AE" w:rsidRPr="00B30012">
              <w:rPr>
                <w:rFonts w:ascii="Times New Roman" w:hAnsi="Times New Roman"/>
              </w:rPr>
              <w:t>. określonego poziomu dochodu</w:t>
            </w:r>
            <w:r w:rsidR="00E304AE">
              <w:rPr>
                <w:rFonts w:ascii="Times New Roman" w:hAnsi="Times New Roman"/>
              </w:rPr>
              <w:t>.</w:t>
            </w:r>
          </w:p>
        </w:tc>
      </w:tr>
      <w:tr w:rsidR="00723662" w:rsidRPr="007A2509" w14:paraId="45E01B2E" w14:textId="77777777" w:rsidTr="00515165">
        <w:trPr>
          <w:trHeight w:val="142"/>
        </w:trPr>
        <w:tc>
          <w:tcPr>
            <w:tcW w:w="2668" w:type="dxa"/>
            <w:shd w:val="clear" w:color="auto" w:fill="auto"/>
          </w:tcPr>
          <w:p w14:paraId="54E42B87" w14:textId="77777777" w:rsidR="00723662" w:rsidRPr="00723662" w:rsidRDefault="00723662" w:rsidP="00723662">
            <w:pPr>
              <w:tabs>
                <w:tab w:val="left" w:pos="1560"/>
              </w:tabs>
              <w:spacing w:line="240" w:lineRule="auto"/>
              <w:rPr>
                <w:rFonts w:ascii="Times New Roman" w:hAnsi="Times New Roman"/>
              </w:rPr>
            </w:pPr>
            <w:r w:rsidRPr="00723662">
              <w:rPr>
                <w:rFonts w:ascii="Times New Roman" w:hAnsi="Times New Roman"/>
                <w:lang w:eastAsia="pl-PL"/>
              </w:rPr>
              <w:t>Gospodarstwa rolne</w:t>
            </w:r>
          </w:p>
        </w:tc>
        <w:tc>
          <w:tcPr>
            <w:tcW w:w="2292" w:type="dxa"/>
            <w:shd w:val="clear" w:color="auto" w:fill="auto"/>
          </w:tcPr>
          <w:p w14:paraId="5066B861" w14:textId="77777777" w:rsidR="00723662" w:rsidRPr="00723662" w:rsidRDefault="00723662" w:rsidP="00723662">
            <w:pPr>
              <w:spacing w:line="240" w:lineRule="auto"/>
              <w:jc w:val="both"/>
              <w:rPr>
                <w:rFonts w:ascii="Times New Roman" w:hAnsi="Times New Roman"/>
              </w:rPr>
            </w:pPr>
            <w:r w:rsidRPr="00723662">
              <w:rPr>
                <w:rFonts w:ascii="Times New Roman" w:hAnsi="Times New Roman"/>
                <w:lang w:eastAsia="pl-PL"/>
              </w:rPr>
              <w:t>Brak dokładnych danych</w:t>
            </w:r>
          </w:p>
        </w:tc>
        <w:tc>
          <w:tcPr>
            <w:tcW w:w="2996" w:type="dxa"/>
            <w:gridSpan w:val="2"/>
            <w:shd w:val="clear" w:color="auto" w:fill="auto"/>
          </w:tcPr>
          <w:p w14:paraId="0FBC2F04" w14:textId="77777777" w:rsidR="00723662" w:rsidRPr="00723662" w:rsidRDefault="00723662" w:rsidP="00723662">
            <w:pPr>
              <w:spacing w:line="240" w:lineRule="auto"/>
              <w:jc w:val="both"/>
              <w:rPr>
                <w:rFonts w:ascii="Times New Roman" w:hAnsi="Times New Roman"/>
                <w:color w:val="000000"/>
              </w:rPr>
            </w:pPr>
          </w:p>
        </w:tc>
        <w:tc>
          <w:tcPr>
            <w:tcW w:w="2981" w:type="dxa"/>
            <w:shd w:val="clear" w:color="auto" w:fill="auto"/>
          </w:tcPr>
          <w:p w14:paraId="416474C2" w14:textId="77777777" w:rsidR="00723662" w:rsidRPr="00723662" w:rsidRDefault="00723662" w:rsidP="00723662">
            <w:pPr>
              <w:spacing w:line="240" w:lineRule="auto"/>
              <w:rPr>
                <w:rFonts w:ascii="Times New Roman" w:hAnsi="Times New Roman"/>
              </w:rPr>
            </w:pPr>
            <w:r w:rsidRPr="00723662">
              <w:rPr>
                <w:rFonts w:ascii="Times New Roman" w:hAnsi="Times New Roman"/>
                <w:lang w:eastAsia="pl-PL"/>
              </w:rPr>
              <w:t>Zapewnienie możliwości uzyskania zaświadczenia o dochodach od gminy w okresie od 1 sierpnia do dnia ogłoszenia w Dzienniku Urzędowym Rzeczypospolitej Polskiej „Monitor Polski” przez Prezesa Głównego Urzędu Statystycznego</w:t>
            </w:r>
            <w:r w:rsidRPr="00723662">
              <w:rPr>
                <w:rFonts w:ascii="Times New Roman" w:hAnsi="Times New Roman"/>
              </w:rPr>
              <w:t xml:space="preserve"> </w:t>
            </w:r>
            <w:r w:rsidRPr="00723662">
              <w:rPr>
                <w:rFonts w:ascii="Times New Roman" w:hAnsi="Times New Roman"/>
                <w:lang w:eastAsia="pl-PL"/>
              </w:rPr>
              <w:t xml:space="preserve">przeciętnego dochodu z pracy w indywidualnych gospodarstwach rolnych z 1 ha przeliczeniowego </w:t>
            </w:r>
          </w:p>
        </w:tc>
      </w:tr>
      <w:tr w:rsidR="00020619" w:rsidRPr="007A2509" w14:paraId="43C0716D" w14:textId="77777777" w:rsidTr="00515165">
        <w:trPr>
          <w:trHeight w:val="142"/>
        </w:trPr>
        <w:tc>
          <w:tcPr>
            <w:tcW w:w="2668" w:type="dxa"/>
            <w:shd w:val="clear" w:color="auto" w:fill="auto"/>
          </w:tcPr>
          <w:p w14:paraId="417F9258" w14:textId="77777777" w:rsidR="00020619" w:rsidRPr="00723662" w:rsidRDefault="00020619" w:rsidP="00723662">
            <w:pPr>
              <w:tabs>
                <w:tab w:val="left" w:pos="1560"/>
              </w:tabs>
              <w:spacing w:line="240" w:lineRule="auto"/>
              <w:rPr>
                <w:rFonts w:ascii="Times New Roman" w:hAnsi="Times New Roman"/>
                <w:lang w:eastAsia="pl-PL"/>
              </w:rPr>
            </w:pPr>
            <w:r>
              <w:rPr>
                <w:rFonts w:ascii="Times New Roman" w:hAnsi="Times New Roman"/>
                <w:lang w:eastAsia="pl-PL"/>
              </w:rPr>
              <w:t>Krajowy Ośr</w:t>
            </w:r>
            <w:r w:rsidR="00F50B09">
              <w:rPr>
                <w:rFonts w:ascii="Times New Roman" w:hAnsi="Times New Roman"/>
                <w:lang w:eastAsia="pl-PL"/>
              </w:rPr>
              <w:t>o</w:t>
            </w:r>
            <w:r>
              <w:rPr>
                <w:rFonts w:ascii="Times New Roman" w:hAnsi="Times New Roman"/>
                <w:lang w:eastAsia="pl-PL"/>
              </w:rPr>
              <w:t xml:space="preserve">dek </w:t>
            </w:r>
            <w:r w:rsidR="00F50B09">
              <w:rPr>
                <w:rFonts w:ascii="Times New Roman" w:hAnsi="Times New Roman"/>
                <w:lang w:eastAsia="pl-PL"/>
              </w:rPr>
              <w:t>Bilansowania</w:t>
            </w:r>
            <w:r>
              <w:rPr>
                <w:rFonts w:ascii="Times New Roman" w:hAnsi="Times New Roman"/>
                <w:lang w:eastAsia="pl-PL"/>
              </w:rPr>
              <w:t xml:space="preserve"> i Zarządzania Emisjami</w:t>
            </w:r>
          </w:p>
        </w:tc>
        <w:tc>
          <w:tcPr>
            <w:tcW w:w="2292" w:type="dxa"/>
            <w:shd w:val="clear" w:color="auto" w:fill="auto"/>
          </w:tcPr>
          <w:p w14:paraId="561E239E" w14:textId="77777777" w:rsidR="00020619" w:rsidRPr="00723662" w:rsidRDefault="00020619" w:rsidP="00723662">
            <w:pPr>
              <w:spacing w:line="240" w:lineRule="auto"/>
              <w:jc w:val="both"/>
              <w:rPr>
                <w:rFonts w:ascii="Times New Roman" w:hAnsi="Times New Roman"/>
                <w:lang w:eastAsia="pl-PL"/>
              </w:rPr>
            </w:pPr>
            <w:r>
              <w:rPr>
                <w:rFonts w:ascii="Times New Roman" w:hAnsi="Times New Roman"/>
                <w:lang w:eastAsia="pl-PL"/>
              </w:rPr>
              <w:t>1</w:t>
            </w:r>
          </w:p>
        </w:tc>
        <w:tc>
          <w:tcPr>
            <w:tcW w:w="2996" w:type="dxa"/>
            <w:gridSpan w:val="2"/>
            <w:shd w:val="clear" w:color="auto" w:fill="auto"/>
          </w:tcPr>
          <w:p w14:paraId="5D494295" w14:textId="77777777" w:rsidR="00020619" w:rsidRPr="00723662" w:rsidRDefault="00020619" w:rsidP="00723662">
            <w:pPr>
              <w:spacing w:line="240" w:lineRule="auto"/>
              <w:jc w:val="both"/>
              <w:rPr>
                <w:rFonts w:ascii="Times New Roman" w:hAnsi="Times New Roman"/>
                <w:color w:val="000000"/>
              </w:rPr>
            </w:pPr>
          </w:p>
        </w:tc>
        <w:tc>
          <w:tcPr>
            <w:tcW w:w="2981" w:type="dxa"/>
            <w:shd w:val="clear" w:color="auto" w:fill="auto"/>
          </w:tcPr>
          <w:p w14:paraId="5E8C3454" w14:textId="77777777" w:rsidR="00020619" w:rsidRPr="00723662" w:rsidRDefault="00020619" w:rsidP="00723662">
            <w:pPr>
              <w:spacing w:line="240" w:lineRule="auto"/>
              <w:rPr>
                <w:rFonts w:ascii="Times New Roman" w:hAnsi="Times New Roman"/>
                <w:lang w:eastAsia="pl-PL"/>
              </w:rPr>
            </w:pPr>
            <w:r>
              <w:rPr>
                <w:rFonts w:ascii="Times New Roman" w:hAnsi="Times New Roman"/>
                <w:lang w:eastAsia="pl-PL"/>
              </w:rPr>
              <w:t>Realizacja zadań ustawowych</w:t>
            </w:r>
          </w:p>
        </w:tc>
      </w:tr>
      <w:tr w:rsidR="00020619" w:rsidRPr="007A2509" w14:paraId="003448F4" w14:textId="77777777" w:rsidTr="00515165">
        <w:trPr>
          <w:trHeight w:val="142"/>
        </w:trPr>
        <w:tc>
          <w:tcPr>
            <w:tcW w:w="2668" w:type="dxa"/>
            <w:shd w:val="clear" w:color="auto" w:fill="auto"/>
          </w:tcPr>
          <w:p w14:paraId="48CC468D" w14:textId="68543C51" w:rsidR="00020619" w:rsidRDefault="00020619" w:rsidP="00723662">
            <w:pPr>
              <w:tabs>
                <w:tab w:val="left" w:pos="1560"/>
              </w:tabs>
              <w:spacing w:line="240" w:lineRule="auto"/>
              <w:rPr>
                <w:rFonts w:ascii="Times New Roman" w:hAnsi="Times New Roman"/>
                <w:lang w:eastAsia="pl-PL"/>
              </w:rPr>
            </w:pPr>
            <w:r>
              <w:rPr>
                <w:rFonts w:ascii="Times New Roman" w:hAnsi="Times New Roman"/>
                <w:lang w:eastAsia="pl-PL"/>
              </w:rPr>
              <w:t xml:space="preserve">Minister Klimatu i Środowiska </w:t>
            </w:r>
          </w:p>
        </w:tc>
        <w:tc>
          <w:tcPr>
            <w:tcW w:w="2292" w:type="dxa"/>
            <w:shd w:val="clear" w:color="auto" w:fill="auto"/>
          </w:tcPr>
          <w:p w14:paraId="5FBB74E6" w14:textId="77777777" w:rsidR="00020619" w:rsidRDefault="00020619" w:rsidP="00723662">
            <w:pPr>
              <w:spacing w:line="240" w:lineRule="auto"/>
              <w:jc w:val="both"/>
              <w:rPr>
                <w:rFonts w:ascii="Times New Roman" w:hAnsi="Times New Roman"/>
                <w:lang w:eastAsia="pl-PL"/>
              </w:rPr>
            </w:pPr>
            <w:r>
              <w:rPr>
                <w:rFonts w:ascii="Times New Roman" w:hAnsi="Times New Roman"/>
                <w:lang w:eastAsia="pl-PL"/>
              </w:rPr>
              <w:t>1</w:t>
            </w:r>
          </w:p>
        </w:tc>
        <w:tc>
          <w:tcPr>
            <w:tcW w:w="2996" w:type="dxa"/>
            <w:gridSpan w:val="2"/>
            <w:shd w:val="clear" w:color="auto" w:fill="auto"/>
          </w:tcPr>
          <w:p w14:paraId="3580880D" w14:textId="77777777" w:rsidR="00020619" w:rsidRPr="00723662" w:rsidRDefault="00020619" w:rsidP="00723662">
            <w:pPr>
              <w:spacing w:line="240" w:lineRule="auto"/>
              <w:jc w:val="both"/>
              <w:rPr>
                <w:rFonts w:ascii="Times New Roman" w:hAnsi="Times New Roman"/>
                <w:color w:val="000000"/>
              </w:rPr>
            </w:pPr>
          </w:p>
        </w:tc>
        <w:tc>
          <w:tcPr>
            <w:tcW w:w="2981" w:type="dxa"/>
            <w:shd w:val="clear" w:color="auto" w:fill="auto"/>
          </w:tcPr>
          <w:p w14:paraId="1EF0352A" w14:textId="77777777" w:rsidR="00020619" w:rsidRPr="00723662" w:rsidRDefault="00020619" w:rsidP="00723662">
            <w:pPr>
              <w:spacing w:line="240" w:lineRule="auto"/>
              <w:rPr>
                <w:rFonts w:ascii="Times New Roman" w:hAnsi="Times New Roman"/>
                <w:lang w:eastAsia="pl-PL"/>
              </w:rPr>
            </w:pPr>
            <w:r>
              <w:rPr>
                <w:rFonts w:ascii="Times New Roman" w:hAnsi="Times New Roman"/>
                <w:lang w:eastAsia="pl-PL"/>
              </w:rPr>
              <w:t>Realizacja zadań ustawowych</w:t>
            </w:r>
          </w:p>
        </w:tc>
      </w:tr>
      <w:tr w:rsidR="00BF0D67" w:rsidRPr="00445441" w14:paraId="2F9D0A44" w14:textId="77777777" w:rsidTr="00515165">
        <w:trPr>
          <w:trHeight w:val="142"/>
        </w:trPr>
        <w:tc>
          <w:tcPr>
            <w:tcW w:w="2668" w:type="dxa"/>
            <w:shd w:val="clear" w:color="auto" w:fill="auto"/>
          </w:tcPr>
          <w:p w14:paraId="169BF19A" w14:textId="49F75385" w:rsidR="00BF0D67" w:rsidRPr="00445441" w:rsidRDefault="00BF0D67" w:rsidP="003171F4">
            <w:pPr>
              <w:autoSpaceDE w:val="0"/>
              <w:autoSpaceDN w:val="0"/>
              <w:adjustRightInd w:val="0"/>
              <w:spacing w:line="240" w:lineRule="auto"/>
              <w:rPr>
                <w:rFonts w:ascii="Times New Roman" w:hAnsi="Times New Roman"/>
                <w:lang w:eastAsia="pl-PL"/>
              </w:rPr>
            </w:pPr>
            <w:r w:rsidRPr="00145F5E">
              <w:rPr>
                <w:rFonts w:ascii="Times New Roman" w:hAnsi="Times New Roman"/>
                <w:lang w:eastAsia="pl-PL"/>
              </w:rPr>
              <w:t>Minister właściwy do</w:t>
            </w:r>
            <w:r w:rsidR="003171F4" w:rsidRPr="00145F5E">
              <w:rPr>
                <w:rFonts w:ascii="Times New Roman" w:hAnsi="Times New Roman"/>
                <w:lang w:eastAsia="pl-PL"/>
              </w:rPr>
              <w:t xml:space="preserve"> </w:t>
            </w:r>
            <w:r w:rsidRPr="00145F5E">
              <w:rPr>
                <w:rFonts w:ascii="Times New Roman" w:hAnsi="Times New Roman"/>
                <w:lang w:eastAsia="pl-PL"/>
              </w:rPr>
              <w:t>spraw rozwoju</w:t>
            </w:r>
            <w:r w:rsidR="003171F4" w:rsidRPr="00145F5E">
              <w:rPr>
                <w:rFonts w:ascii="Times New Roman" w:hAnsi="Times New Roman"/>
                <w:lang w:eastAsia="pl-PL"/>
              </w:rPr>
              <w:t xml:space="preserve"> </w:t>
            </w:r>
            <w:r w:rsidRPr="00145F5E">
              <w:rPr>
                <w:rFonts w:ascii="Times New Roman" w:hAnsi="Times New Roman"/>
                <w:lang w:eastAsia="pl-PL"/>
              </w:rPr>
              <w:t>regionalnego</w:t>
            </w:r>
          </w:p>
        </w:tc>
        <w:tc>
          <w:tcPr>
            <w:tcW w:w="2292" w:type="dxa"/>
            <w:shd w:val="clear" w:color="auto" w:fill="auto"/>
          </w:tcPr>
          <w:p w14:paraId="77905CBC" w14:textId="77777777" w:rsidR="00BF0D67" w:rsidRPr="00445441" w:rsidRDefault="00BF0D67" w:rsidP="00723662">
            <w:pPr>
              <w:spacing w:line="240" w:lineRule="auto"/>
              <w:jc w:val="both"/>
              <w:rPr>
                <w:rFonts w:ascii="Times New Roman" w:hAnsi="Times New Roman"/>
                <w:lang w:eastAsia="pl-PL"/>
              </w:rPr>
            </w:pPr>
            <w:r w:rsidRPr="00445441">
              <w:rPr>
                <w:rFonts w:ascii="Times New Roman" w:hAnsi="Times New Roman"/>
                <w:lang w:eastAsia="pl-PL"/>
              </w:rPr>
              <w:t>1</w:t>
            </w:r>
          </w:p>
        </w:tc>
        <w:tc>
          <w:tcPr>
            <w:tcW w:w="2996" w:type="dxa"/>
            <w:gridSpan w:val="2"/>
            <w:shd w:val="clear" w:color="auto" w:fill="auto"/>
          </w:tcPr>
          <w:p w14:paraId="00A75A98" w14:textId="43774665" w:rsidR="00BF0D67" w:rsidRPr="00445441" w:rsidRDefault="00BF0D67" w:rsidP="003171F4">
            <w:pPr>
              <w:spacing w:line="240" w:lineRule="auto"/>
              <w:jc w:val="both"/>
              <w:rPr>
                <w:rFonts w:ascii="Times New Roman" w:hAnsi="Times New Roman"/>
              </w:rPr>
            </w:pPr>
            <w:r w:rsidRPr="00445441">
              <w:rPr>
                <w:rFonts w:ascii="Times New Roman" w:hAnsi="Times New Roman"/>
              </w:rPr>
              <w:t>ustawa z dnia 4 września 1997</w:t>
            </w:r>
            <w:r w:rsidR="003171F4" w:rsidRPr="00445441">
              <w:rPr>
                <w:rFonts w:ascii="Times New Roman" w:hAnsi="Times New Roman"/>
              </w:rPr>
              <w:t xml:space="preserve"> </w:t>
            </w:r>
            <w:r w:rsidRPr="00445441">
              <w:rPr>
                <w:rFonts w:ascii="Times New Roman" w:hAnsi="Times New Roman"/>
              </w:rPr>
              <w:t xml:space="preserve">r. </w:t>
            </w:r>
            <w:r w:rsidRPr="00445441">
              <w:rPr>
                <w:rFonts w:ascii="Times New Roman" w:hAnsi="Times New Roman"/>
                <w:i/>
                <w:iCs/>
              </w:rPr>
              <w:t>o działach administracji</w:t>
            </w:r>
            <w:r w:rsidR="003171F4" w:rsidRPr="00445441">
              <w:rPr>
                <w:rFonts w:ascii="Times New Roman" w:hAnsi="Times New Roman"/>
                <w:i/>
                <w:iCs/>
              </w:rPr>
              <w:t xml:space="preserve"> </w:t>
            </w:r>
            <w:r w:rsidRPr="00445441">
              <w:rPr>
                <w:rFonts w:ascii="Times New Roman" w:hAnsi="Times New Roman"/>
                <w:i/>
                <w:iCs/>
              </w:rPr>
              <w:lastRenderedPageBreak/>
              <w:t>rządowej</w:t>
            </w:r>
            <w:r w:rsidRPr="00445441">
              <w:rPr>
                <w:rFonts w:ascii="Times New Roman" w:hAnsi="Times New Roman"/>
              </w:rPr>
              <w:t xml:space="preserve"> (Dz. U. z 20</w:t>
            </w:r>
            <w:r w:rsidR="003A7129" w:rsidRPr="00445441">
              <w:rPr>
                <w:rFonts w:ascii="Times New Roman" w:hAnsi="Times New Roman"/>
              </w:rPr>
              <w:t>22</w:t>
            </w:r>
            <w:r w:rsidRPr="00445441">
              <w:rPr>
                <w:rFonts w:ascii="Times New Roman" w:hAnsi="Times New Roman"/>
              </w:rPr>
              <w:t xml:space="preserve"> r. poz.</w:t>
            </w:r>
            <w:r w:rsidR="003171F4" w:rsidRPr="00445441">
              <w:rPr>
                <w:rFonts w:ascii="Times New Roman" w:hAnsi="Times New Roman"/>
              </w:rPr>
              <w:t xml:space="preserve"> </w:t>
            </w:r>
            <w:r w:rsidR="003A7129" w:rsidRPr="00445441">
              <w:rPr>
                <w:rFonts w:ascii="Times New Roman" w:hAnsi="Times New Roman"/>
              </w:rPr>
              <w:t>2</w:t>
            </w:r>
            <w:r w:rsidRPr="00445441">
              <w:rPr>
                <w:rFonts w:ascii="Times New Roman" w:hAnsi="Times New Roman"/>
              </w:rPr>
              <w:t>5</w:t>
            </w:r>
            <w:r w:rsidR="003A7129" w:rsidRPr="00445441">
              <w:rPr>
                <w:rFonts w:ascii="Times New Roman" w:hAnsi="Times New Roman"/>
              </w:rPr>
              <w:t>12</w:t>
            </w:r>
            <w:r w:rsidRPr="00445441">
              <w:rPr>
                <w:rFonts w:ascii="Times New Roman" w:hAnsi="Times New Roman"/>
              </w:rPr>
              <w:t>)</w:t>
            </w:r>
          </w:p>
        </w:tc>
        <w:tc>
          <w:tcPr>
            <w:tcW w:w="2981" w:type="dxa"/>
            <w:shd w:val="clear" w:color="auto" w:fill="auto"/>
          </w:tcPr>
          <w:p w14:paraId="0C122834" w14:textId="2566E929" w:rsidR="00BF0D67" w:rsidRPr="00445441" w:rsidRDefault="00BF0D67" w:rsidP="003171F4">
            <w:pPr>
              <w:autoSpaceDE w:val="0"/>
              <w:autoSpaceDN w:val="0"/>
              <w:adjustRightInd w:val="0"/>
              <w:spacing w:line="240" w:lineRule="auto"/>
              <w:rPr>
                <w:rFonts w:ascii="Times New Roman" w:hAnsi="Times New Roman"/>
                <w:lang w:eastAsia="pl-PL"/>
              </w:rPr>
            </w:pPr>
            <w:r w:rsidRPr="00145F5E">
              <w:rPr>
                <w:rFonts w:ascii="Times New Roman" w:hAnsi="Times New Roman"/>
                <w:lang w:eastAsia="pl-PL"/>
              </w:rPr>
              <w:lastRenderedPageBreak/>
              <w:t>Obligatoryjne uwzględnienie</w:t>
            </w:r>
            <w:r w:rsidR="003171F4" w:rsidRPr="00145F5E">
              <w:rPr>
                <w:rFonts w:ascii="Times New Roman" w:hAnsi="Times New Roman"/>
                <w:lang w:eastAsia="pl-PL"/>
              </w:rPr>
              <w:t xml:space="preserve"> </w:t>
            </w:r>
            <w:r w:rsidRPr="00145F5E">
              <w:rPr>
                <w:rFonts w:ascii="Times New Roman" w:hAnsi="Times New Roman"/>
                <w:lang w:eastAsia="pl-PL"/>
              </w:rPr>
              <w:t>aspektów zrównoważonego</w:t>
            </w:r>
            <w:r w:rsidR="003171F4" w:rsidRPr="00145F5E">
              <w:rPr>
                <w:rFonts w:ascii="Times New Roman" w:hAnsi="Times New Roman"/>
                <w:lang w:eastAsia="pl-PL"/>
              </w:rPr>
              <w:t xml:space="preserve"> </w:t>
            </w:r>
            <w:r w:rsidRPr="00145F5E">
              <w:rPr>
                <w:rFonts w:ascii="Times New Roman" w:hAnsi="Times New Roman"/>
                <w:lang w:eastAsia="pl-PL"/>
              </w:rPr>
              <w:t xml:space="preserve">rozwoju w polityce </w:t>
            </w:r>
            <w:r w:rsidRPr="00145F5E">
              <w:rPr>
                <w:rFonts w:ascii="Times New Roman" w:hAnsi="Times New Roman"/>
                <w:lang w:eastAsia="pl-PL"/>
              </w:rPr>
              <w:lastRenderedPageBreak/>
              <w:t>rozwojowej</w:t>
            </w:r>
            <w:r w:rsidR="00A0521B" w:rsidRPr="00145F5E">
              <w:rPr>
                <w:rFonts w:ascii="Times New Roman" w:hAnsi="Times New Roman"/>
                <w:lang w:eastAsia="pl-PL"/>
              </w:rPr>
              <w:t xml:space="preserve"> </w:t>
            </w:r>
            <w:r w:rsidRPr="00145F5E">
              <w:rPr>
                <w:rFonts w:ascii="Times New Roman" w:hAnsi="Times New Roman"/>
                <w:lang w:eastAsia="pl-PL"/>
              </w:rPr>
              <w:t>kraju</w:t>
            </w:r>
            <w:r w:rsidR="001034AE" w:rsidRPr="00145F5E">
              <w:rPr>
                <w:rFonts w:ascii="Times New Roman" w:hAnsi="Times New Roman"/>
                <w:lang w:eastAsia="pl-PL"/>
              </w:rPr>
              <w:t xml:space="preserve"> </w:t>
            </w:r>
            <w:r w:rsidR="003A7129" w:rsidRPr="00145F5E">
              <w:rPr>
                <w:rFonts w:ascii="Times New Roman" w:hAnsi="Times New Roman"/>
                <w:lang w:eastAsia="pl-PL"/>
              </w:rPr>
              <w:t>n</w:t>
            </w:r>
            <w:r w:rsidRPr="00145F5E">
              <w:rPr>
                <w:rFonts w:ascii="Times New Roman" w:hAnsi="Times New Roman"/>
                <w:lang w:eastAsia="pl-PL"/>
              </w:rPr>
              <w:t>akierowanie środków</w:t>
            </w:r>
            <w:r w:rsidR="003171F4" w:rsidRPr="00145F5E">
              <w:rPr>
                <w:rFonts w:ascii="Times New Roman" w:hAnsi="Times New Roman"/>
                <w:lang w:eastAsia="pl-PL"/>
              </w:rPr>
              <w:t xml:space="preserve"> </w:t>
            </w:r>
            <w:r w:rsidRPr="00145F5E">
              <w:rPr>
                <w:rFonts w:ascii="Times New Roman" w:hAnsi="Times New Roman"/>
                <w:lang w:eastAsia="pl-PL"/>
              </w:rPr>
              <w:t>Funduszu Rozwoju</w:t>
            </w:r>
            <w:r w:rsidR="003171F4" w:rsidRPr="00145F5E">
              <w:rPr>
                <w:rFonts w:ascii="Times New Roman" w:hAnsi="Times New Roman"/>
                <w:lang w:eastAsia="pl-PL"/>
              </w:rPr>
              <w:t xml:space="preserve"> </w:t>
            </w:r>
            <w:r w:rsidRPr="00145F5E">
              <w:rPr>
                <w:rFonts w:ascii="Times New Roman" w:hAnsi="Times New Roman"/>
                <w:lang w:eastAsia="pl-PL"/>
              </w:rPr>
              <w:t>Regionalnego na zieloną</w:t>
            </w:r>
            <w:r w:rsidR="003171F4" w:rsidRPr="00145F5E">
              <w:rPr>
                <w:rFonts w:ascii="Times New Roman" w:hAnsi="Times New Roman"/>
                <w:lang w:eastAsia="pl-PL"/>
              </w:rPr>
              <w:t xml:space="preserve"> </w:t>
            </w:r>
            <w:r w:rsidRPr="00145F5E">
              <w:rPr>
                <w:rFonts w:ascii="Times New Roman" w:hAnsi="Times New Roman"/>
                <w:lang w:eastAsia="pl-PL"/>
              </w:rPr>
              <w:t>transformację obszarów</w:t>
            </w:r>
            <w:r w:rsidR="003171F4" w:rsidRPr="00145F5E">
              <w:rPr>
                <w:rFonts w:ascii="Times New Roman" w:hAnsi="Times New Roman"/>
                <w:lang w:eastAsia="pl-PL"/>
              </w:rPr>
              <w:t xml:space="preserve"> </w:t>
            </w:r>
            <w:r w:rsidRPr="00145F5E">
              <w:rPr>
                <w:rFonts w:ascii="Times New Roman" w:hAnsi="Times New Roman"/>
                <w:lang w:eastAsia="pl-PL"/>
              </w:rPr>
              <w:t>miejskich</w:t>
            </w:r>
          </w:p>
        </w:tc>
      </w:tr>
      <w:tr w:rsidR="00BF0D67" w:rsidRPr="007A2509" w14:paraId="2911792A" w14:textId="77777777" w:rsidTr="00515165">
        <w:trPr>
          <w:trHeight w:val="142"/>
        </w:trPr>
        <w:tc>
          <w:tcPr>
            <w:tcW w:w="2668" w:type="dxa"/>
            <w:shd w:val="clear" w:color="auto" w:fill="auto"/>
          </w:tcPr>
          <w:p w14:paraId="369F8F19" w14:textId="77777777" w:rsidR="00BF0D67" w:rsidRPr="00286667" w:rsidRDefault="00E304AE" w:rsidP="00723662">
            <w:pPr>
              <w:tabs>
                <w:tab w:val="left" w:pos="1560"/>
              </w:tabs>
              <w:spacing w:line="240" w:lineRule="auto"/>
              <w:rPr>
                <w:rFonts w:ascii="Times New Roman" w:hAnsi="Times New Roman"/>
                <w:lang w:eastAsia="pl-PL"/>
              </w:rPr>
            </w:pPr>
            <w:r w:rsidRPr="00286667">
              <w:rPr>
                <w:rFonts w:ascii="Times New Roman" w:hAnsi="Times New Roman"/>
                <w:lang w:eastAsia="pl-PL"/>
              </w:rPr>
              <w:lastRenderedPageBreak/>
              <w:t>Narodowy Fundusz Ochrony Środowiska i Gospodarki Wodnej</w:t>
            </w:r>
          </w:p>
        </w:tc>
        <w:tc>
          <w:tcPr>
            <w:tcW w:w="2292" w:type="dxa"/>
            <w:shd w:val="clear" w:color="auto" w:fill="auto"/>
          </w:tcPr>
          <w:p w14:paraId="224174FF" w14:textId="77777777" w:rsidR="00BF0D67" w:rsidRPr="00286667" w:rsidRDefault="00E304AE" w:rsidP="00723662">
            <w:pPr>
              <w:spacing w:line="240" w:lineRule="auto"/>
              <w:jc w:val="both"/>
              <w:rPr>
                <w:rFonts w:ascii="Times New Roman" w:hAnsi="Times New Roman"/>
                <w:lang w:eastAsia="pl-PL"/>
              </w:rPr>
            </w:pPr>
            <w:r w:rsidRPr="00286667">
              <w:rPr>
                <w:rFonts w:ascii="Times New Roman" w:hAnsi="Times New Roman"/>
                <w:lang w:eastAsia="pl-PL"/>
              </w:rPr>
              <w:t>1</w:t>
            </w:r>
          </w:p>
        </w:tc>
        <w:tc>
          <w:tcPr>
            <w:tcW w:w="2996" w:type="dxa"/>
            <w:gridSpan w:val="2"/>
            <w:shd w:val="clear" w:color="auto" w:fill="auto"/>
          </w:tcPr>
          <w:p w14:paraId="443215FB" w14:textId="77777777" w:rsidR="00BF0D67" w:rsidRPr="00286667" w:rsidRDefault="00BF0D67" w:rsidP="00723662">
            <w:pPr>
              <w:spacing w:line="240" w:lineRule="auto"/>
              <w:jc w:val="both"/>
              <w:rPr>
                <w:rFonts w:ascii="Times New Roman" w:hAnsi="Times New Roman"/>
              </w:rPr>
            </w:pPr>
          </w:p>
        </w:tc>
        <w:tc>
          <w:tcPr>
            <w:tcW w:w="2981" w:type="dxa"/>
            <w:shd w:val="clear" w:color="auto" w:fill="auto"/>
          </w:tcPr>
          <w:p w14:paraId="508212A1" w14:textId="77777777" w:rsidR="00BF0D67" w:rsidRPr="00286667" w:rsidRDefault="00E304AE" w:rsidP="00723662">
            <w:pPr>
              <w:spacing w:line="240" w:lineRule="auto"/>
              <w:rPr>
                <w:rFonts w:ascii="Times New Roman" w:hAnsi="Times New Roman"/>
                <w:lang w:eastAsia="pl-PL"/>
              </w:rPr>
            </w:pPr>
            <w:r w:rsidRPr="00286667">
              <w:rPr>
                <w:rFonts w:ascii="Times New Roman" w:eastAsia="Times New Roman" w:hAnsi="Times New Roman"/>
              </w:rPr>
              <w:t xml:space="preserve">Usprawnienie wdrażania programów priorytetowych NFOŚiGW, w których następuje udostępnienie przez NFOŚiGW środków finansowych </w:t>
            </w:r>
            <w:proofErr w:type="spellStart"/>
            <w:r w:rsidRPr="00286667">
              <w:rPr>
                <w:rFonts w:ascii="Times New Roman" w:eastAsia="Times New Roman" w:hAnsi="Times New Roman"/>
              </w:rPr>
              <w:t>wfośigw</w:t>
            </w:r>
            <w:proofErr w:type="spellEnd"/>
            <w:r w:rsidRPr="00286667">
              <w:rPr>
                <w:rFonts w:ascii="Times New Roman" w:eastAsia="Times New Roman" w:hAnsi="Times New Roman"/>
              </w:rPr>
              <w:t xml:space="preserve"> z przeznaczeniem na udzielanie dotacji na wskazane przez NFOŚiGW programy i przedsięwzięcia.</w:t>
            </w:r>
          </w:p>
        </w:tc>
      </w:tr>
      <w:tr w:rsidR="00E304AE" w:rsidRPr="007A2509" w14:paraId="769D5D82" w14:textId="77777777" w:rsidTr="00515165">
        <w:trPr>
          <w:trHeight w:val="142"/>
        </w:trPr>
        <w:tc>
          <w:tcPr>
            <w:tcW w:w="2668" w:type="dxa"/>
            <w:shd w:val="clear" w:color="auto" w:fill="auto"/>
          </w:tcPr>
          <w:p w14:paraId="1E620F76" w14:textId="77777777" w:rsidR="00E304AE" w:rsidRPr="00286667" w:rsidRDefault="00E304AE" w:rsidP="00E304AE">
            <w:pPr>
              <w:tabs>
                <w:tab w:val="left" w:pos="1560"/>
              </w:tabs>
              <w:spacing w:line="240" w:lineRule="auto"/>
              <w:rPr>
                <w:rFonts w:ascii="Times New Roman" w:hAnsi="Times New Roman"/>
                <w:lang w:eastAsia="pl-PL"/>
              </w:rPr>
            </w:pPr>
            <w:r w:rsidRPr="00286667">
              <w:rPr>
                <w:rFonts w:ascii="Times New Roman" w:hAnsi="Times New Roman"/>
                <w:lang w:eastAsia="pl-PL"/>
              </w:rPr>
              <w:t>Wojewódzkie fundusze ochrony środowiska i gospodarki wodnej</w:t>
            </w:r>
          </w:p>
          <w:p w14:paraId="32F7D51F" w14:textId="77777777" w:rsidR="00E304AE" w:rsidRPr="00286667" w:rsidRDefault="00E304AE" w:rsidP="00723662">
            <w:pPr>
              <w:tabs>
                <w:tab w:val="left" w:pos="1560"/>
              </w:tabs>
              <w:spacing w:line="240" w:lineRule="auto"/>
              <w:rPr>
                <w:rFonts w:ascii="Times New Roman" w:hAnsi="Times New Roman"/>
                <w:lang w:eastAsia="pl-PL"/>
              </w:rPr>
            </w:pPr>
          </w:p>
        </w:tc>
        <w:tc>
          <w:tcPr>
            <w:tcW w:w="2292" w:type="dxa"/>
            <w:shd w:val="clear" w:color="auto" w:fill="auto"/>
          </w:tcPr>
          <w:p w14:paraId="68B7C307" w14:textId="77777777" w:rsidR="00E304AE" w:rsidRPr="00286667" w:rsidRDefault="00E304AE" w:rsidP="00723662">
            <w:pPr>
              <w:spacing w:line="240" w:lineRule="auto"/>
              <w:jc w:val="both"/>
              <w:rPr>
                <w:rFonts w:ascii="Times New Roman" w:hAnsi="Times New Roman"/>
                <w:lang w:eastAsia="pl-PL"/>
              </w:rPr>
            </w:pPr>
            <w:r w:rsidRPr="00286667">
              <w:rPr>
                <w:rFonts w:ascii="Times New Roman" w:hAnsi="Times New Roman"/>
                <w:lang w:eastAsia="pl-PL"/>
              </w:rPr>
              <w:t>16</w:t>
            </w:r>
          </w:p>
        </w:tc>
        <w:tc>
          <w:tcPr>
            <w:tcW w:w="2996" w:type="dxa"/>
            <w:gridSpan w:val="2"/>
            <w:shd w:val="clear" w:color="auto" w:fill="auto"/>
          </w:tcPr>
          <w:p w14:paraId="6CC1C94B" w14:textId="77777777" w:rsidR="00E304AE" w:rsidRPr="00286667" w:rsidRDefault="00E304AE" w:rsidP="00723662">
            <w:pPr>
              <w:spacing w:line="240" w:lineRule="auto"/>
              <w:jc w:val="both"/>
              <w:rPr>
                <w:rFonts w:ascii="Times New Roman" w:hAnsi="Times New Roman"/>
              </w:rPr>
            </w:pPr>
          </w:p>
        </w:tc>
        <w:tc>
          <w:tcPr>
            <w:tcW w:w="2981" w:type="dxa"/>
            <w:shd w:val="clear" w:color="auto" w:fill="auto"/>
          </w:tcPr>
          <w:p w14:paraId="2A9CEB12" w14:textId="529820ED" w:rsidR="00E304AE" w:rsidRPr="00E73DBA" w:rsidRDefault="00E304AE" w:rsidP="00E55CB1">
            <w:pPr>
              <w:spacing w:line="240" w:lineRule="auto"/>
              <w:jc w:val="both"/>
              <w:rPr>
                <w:rFonts w:ascii="Times New Roman" w:hAnsi="Times New Roman"/>
              </w:rPr>
            </w:pPr>
            <w:r w:rsidRPr="00E73DBA">
              <w:rPr>
                <w:rFonts w:ascii="Times New Roman" w:hAnsi="Times New Roman"/>
              </w:rPr>
              <w:t xml:space="preserve">Doprecyzowanie obowiązku prawnego ciążącego na </w:t>
            </w:r>
            <w:proofErr w:type="spellStart"/>
            <w:r w:rsidRPr="00515165">
              <w:rPr>
                <w:rFonts w:ascii="Times New Roman" w:hAnsi="Times New Roman"/>
                <w:lang w:eastAsia="pl-PL"/>
              </w:rPr>
              <w:t>wfo</w:t>
            </w:r>
            <w:r w:rsidR="00FA7ABF">
              <w:rPr>
                <w:rFonts w:ascii="Times New Roman" w:hAnsi="Times New Roman"/>
                <w:lang w:eastAsia="pl-PL"/>
              </w:rPr>
              <w:t>ś</w:t>
            </w:r>
            <w:r w:rsidRPr="00515165">
              <w:rPr>
                <w:rFonts w:ascii="Times New Roman" w:hAnsi="Times New Roman"/>
                <w:lang w:eastAsia="pl-PL"/>
              </w:rPr>
              <w:t>igw</w:t>
            </w:r>
            <w:proofErr w:type="spellEnd"/>
            <w:r w:rsidR="00D6220A">
              <w:rPr>
                <w:rFonts w:ascii="Times New Roman" w:hAnsi="Times New Roman"/>
                <w:lang w:eastAsia="pl-PL"/>
              </w:rPr>
              <w:t xml:space="preserve"> </w:t>
            </w:r>
            <w:r w:rsidRPr="00E73DBA">
              <w:rPr>
                <w:rFonts w:ascii="Times New Roman" w:hAnsi="Times New Roman"/>
              </w:rPr>
              <w:t xml:space="preserve">udostępniania NFOŚiGW oraz innym podmiotom danych osobowych osób fizycznych przetwarzanych w związku z wykonywaniem przez </w:t>
            </w:r>
            <w:proofErr w:type="spellStart"/>
            <w:r w:rsidRPr="00515165">
              <w:rPr>
                <w:rFonts w:ascii="Times New Roman" w:hAnsi="Times New Roman"/>
                <w:lang w:eastAsia="pl-PL"/>
              </w:rPr>
              <w:t>wfo</w:t>
            </w:r>
            <w:r w:rsidR="00FA7ABF">
              <w:rPr>
                <w:rFonts w:ascii="Times New Roman" w:hAnsi="Times New Roman"/>
                <w:lang w:eastAsia="pl-PL"/>
              </w:rPr>
              <w:t>ś</w:t>
            </w:r>
            <w:r w:rsidRPr="00515165">
              <w:rPr>
                <w:rFonts w:ascii="Times New Roman" w:hAnsi="Times New Roman"/>
                <w:lang w:eastAsia="pl-PL"/>
              </w:rPr>
              <w:t>igw</w:t>
            </w:r>
            <w:proofErr w:type="spellEnd"/>
            <w:r w:rsidRPr="00E73DBA">
              <w:rPr>
                <w:rFonts w:ascii="Times New Roman" w:hAnsi="Times New Roman"/>
              </w:rPr>
              <w:t xml:space="preserve"> zadań publicznych.</w:t>
            </w:r>
          </w:p>
          <w:p w14:paraId="615435B5" w14:textId="6B9E961A" w:rsidR="00F4724C" w:rsidRPr="00E73DBA" w:rsidRDefault="004B7035" w:rsidP="00E55CB1">
            <w:pPr>
              <w:spacing w:line="240" w:lineRule="auto"/>
              <w:jc w:val="both"/>
              <w:rPr>
                <w:rFonts w:ascii="Times New Roman" w:hAnsi="Times New Roman"/>
              </w:rPr>
            </w:pPr>
            <w:r w:rsidRPr="00E73DBA">
              <w:rPr>
                <w:rFonts w:ascii="Times New Roman" w:hAnsi="Times New Roman"/>
              </w:rPr>
              <w:t>Usprawnienie realizacji programów priorytetowych</w:t>
            </w:r>
            <w:r w:rsidR="006E74CC">
              <w:rPr>
                <w:rFonts w:ascii="Times New Roman" w:eastAsia="Times New Roman" w:hAnsi="Times New Roman"/>
              </w:rPr>
              <w:t>.</w:t>
            </w:r>
          </w:p>
        </w:tc>
      </w:tr>
      <w:tr w:rsidR="00C63D42" w:rsidRPr="007A2509" w14:paraId="33479ACA" w14:textId="77777777" w:rsidTr="00515165">
        <w:trPr>
          <w:trHeight w:val="142"/>
        </w:trPr>
        <w:tc>
          <w:tcPr>
            <w:tcW w:w="2668" w:type="dxa"/>
            <w:shd w:val="clear" w:color="auto" w:fill="auto"/>
          </w:tcPr>
          <w:p w14:paraId="3E1C59A4" w14:textId="1D503842" w:rsidR="00C63D42" w:rsidRPr="00286667" w:rsidRDefault="00C63D42" w:rsidP="00E304AE">
            <w:pPr>
              <w:tabs>
                <w:tab w:val="left" w:pos="1560"/>
              </w:tabs>
              <w:spacing w:line="240" w:lineRule="auto"/>
              <w:rPr>
                <w:rFonts w:ascii="Times New Roman" w:hAnsi="Times New Roman"/>
                <w:lang w:eastAsia="pl-PL"/>
              </w:rPr>
            </w:pPr>
            <w:r>
              <w:rPr>
                <w:rFonts w:ascii="Times New Roman" w:hAnsi="Times New Roman"/>
                <w:lang w:eastAsia="pl-PL"/>
              </w:rPr>
              <w:t xml:space="preserve">Członkowie organów </w:t>
            </w:r>
            <w:r w:rsidR="009558BE">
              <w:rPr>
                <w:rFonts w:ascii="Times New Roman" w:hAnsi="Times New Roman"/>
                <w:lang w:eastAsia="pl-PL"/>
              </w:rPr>
              <w:t>NFOŚiGW</w:t>
            </w:r>
            <w:r>
              <w:rPr>
                <w:rFonts w:ascii="Times New Roman" w:hAnsi="Times New Roman"/>
                <w:lang w:eastAsia="pl-PL"/>
              </w:rPr>
              <w:t xml:space="preserve"> oraz </w:t>
            </w:r>
            <w:proofErr w:type="spellStart"/>
            <w:r>
              <w:rPr>
                <w:rFonts w:ascii="Times New Roman" w:hAnsi="Times New Roman"/>
                <w:lang w:eastAsia="pl-PL"/>
              </w:rPr>
              <w:t>w</w:t>
            </w:r>
            <w:r w:rsidRPr="00286667">
              <w:rPr>
                <w:rFonts w:ascii="Times New Roman" w:hAnsi="Times New Roman"/>
                <w:lang w:eastAsia="pl-PL"/>
              </w:rPr>
              <w:t>fośigw</w:t>
            </w:r>
            <w:proofErr w:type="spellEnd"/>
          </w:p>
        </w:tc>
        <w:tc>
          <w:tcPr>
            <w:tcW w:w="2292" w:type="dxa"/>
            <w:shd w:val="clear" w:color="auto" w:fill="auto"/>
          </w:tcPr>
          <w:p w14:paraId="60A7B4C7" w14:textId="38E749FC" w:rsidR="00C63D42" w:rsidRPr="00286667" w:rsidRDefault="00C63D42" w:rsidP="00723662">
            <w:pPr>
              <w:spacing w:line="240" w:lineRule="auto"/>
              <w:jc w:val="both"/>
              <w:rPr>
                <w:rFonts w:ascii="Times New Roman" w:hAnsi="Times New Roman"/>
                <w:lang w:eastAsia="pl-PL"/>
              </w:rPr>
            </w:pPr>
            <w:r>
              <w:rPr>
                <w:rFonts w:ascii="Times New Roman" w:hAnsi="Times New Roman"/>
                <w:lang w:eastAsia="pl-PL"/>
              </w:rPr>
              <w:t>Max. 124 osoby</w:t>
            </w:r>
          </w:p>
        </w:tc>
        <w:tc>
          <w:tcPr>
            <w:tcW w:w="2996" w:type="dxa"/>
            <w:gridSpan w:val="2"/>
            <w:shd w:val="clear" w:color="auto" w:fill="auto"/>
          </w:tcPr>
          <w:p w14:paraId="1CCF2C15" w14:textId="77777777" w:rsidR="00C63D42" w:rsidRPr="00286667" w:rsidRDefault="00C63D42" w:rsidP="00723662">
            <w:pPr>
              <w:spacing w:line="240" w:lineRule="auto"/>
              <w:jc w:val="both"/>
              <w:rPr>
                <w:rFonts w:ascii="Times New Roman" w:hAnsi="Times New Roman"/>
              </w:rPr>
            </w:pPr>
          </w:p>
        </w:tc>
        <w:tc>
          <w:tcPr>
            <w:tcW w:w="2981" w:type="dxa"/>
            <w:shd w:val="clear" w:color="auto" w:fill="auto"/>
          </w:tcPr>
          <w:p w14:paraId="52DAE9C9" w14:textId="2CA0B558" w:rsidR="00C63D42" w:rsidRPr="00E73DBA" w:rsidRDefault="00C63D42" w:rsidP="00E55CB1">
            <w:pPr>
              <w:spacing w:line="240" w:lineRule="auto"/>
              <w:jc w:val="both"/>
              <w:rPr>
                <w:rFonts w:ascii="Times New Roman" w:hAnsi="Times New Roman"/>
              </w:rPr>
            </w:pPr>
            <w:r>
              <w:rPr>
                <w:rFonts w:ascii="Times New Roman" w:hAnsi="Times New Roman"/>
              </w:rPr>
              <w:t>obowiązek złożenia oświadczenia lustracyjnego</w:t>
            </w:r>
          </w:p>
        </w:tc>
      </w:tr>
      <w:tr w:rsidR="00FC7BE1" w:rsidRPr="007A2509" w14:paraId="45AAE182" w14:textId="77777777" w:rsidTr="00515165">
        <w:trPr>
          <w:trHeight w:val="142"/>
        </w:trPr>
        <w:tc>
          <w:tcPr>
            <w:tcW w:w="2668" w:type="dxa"/>
            <w:shd w:val="clear" w:color="auto" w:fill="auto"/>
          </w:tcPr>
          <w:p w14:paraId="72C4BFB0" w14:textId="5215EA2B" w:rsidR="00FC7BE1" w:rsidRPr="00286667" w:rsidRDefault="00FC7BE1" w:rsidP="00E304AE">
            <w:pPr>
              <w:tabs>
                <w:tab w:val="left" w:pos="1560"/>
              </w:tabs>
              <w:spacing w:line="240" w:lineRule="auto"/>
              <w:rPr>
                <w:rFonts w:ascii="Times New Roman" w:hAnsi="Times New Roman"/>
                <w:lang w:eastAsia="pl-PL"/>
              </w:rPr>
            </w:pPr>
            <w:r>
              <w:rPr>
                <w:rFonts w:ascii="Times New Roman" w:hAnsi="Times New Roman"/>
                <w:lang w:eastAsia="pl-PL"/>
              </w:rPr>
              <w:t xml:space="preserve">Państwowa Rada Ochrony Przyrody </w:t>
            </w:r>
          </w:p>
        </w:tc>
        <w:tc>
          <w:tcPr>
            <w:tcW w:w="2292" w:type="dxa"/>
            <w:shd w:val="clear" w:color="auto" w:fill="auto"/>
          </w:tcPr>
          <w:p w14:paraId="00FAC372" w14:textId="16464E33" w:rsidR="00FC7BE1" w:rsidRPr="00286667" w:rsidRDefault="00FC7BE1" w:rsidP="00723662">
            <w:pPr>
              <w:spacing w:line="240" w:lineRule="auto"/>
              <w:jc w:val="both"/>
              <w:rPr>
                <w:rFonts w:ascii="Times New Roman" w:hAnsi="Times New Roman"/>
                <w:lang w:eastAsia="pl-PL"/>
              </w:rPr>
            </w:pPr>
            <w:r>
              <w:rPr>
                <w:rFonts w:ascii="Times New Roman" w:hAnsi="Times New Roman"/>
                <w:lang w:eastAsia="pl-PL"/>
              </w:rPr>
              <w:t>1 (40 osób)</w:t>
            </w:r>
          </w:p>
        </w:tc>
        <w:tc>
          <w:tcPr>
            <w:tcW w:w="2996" w:type="dxa"/>
            <w:gridSpan w:val="2"/>
            <w:shd w:val="clear" w:color="auto" w:fill="auto"/>
          </w:tcPr>
          <w:p w14:paraId="2F288D4F" w14:textId="1059FAC5" w:rsidR="00FC7BE1" w:rsidRPr="00286667" w:rsidRDefault="00FC7BE1" w:rsidP="00723662">
            <w:pPr>
              <w:spacing w:line="240" w:lineRule="auto"/>
              <w:jc w:val="both"/>
              <w:rPr>
                <w:rFonts w:ascii="Times New Roman" w:hAnsi="Times New Roman"/>
              </w:rPr>
            </w:pPr>
            <w:r>
              <w:rPr>
                <w:rFonts w:ascii="Times New Roman" w:hAnsi="Times New Roman"/>
              </w:rPr>
              <w:t>Dane własne</w:t>
            </w:r>
          </w:p>
        </w:tc>
        <w:tc>
          <w:tcPr>
            <w:tcW w:w="2981" w:type="dxa"/>
            <w:shd w:val="clear" w:color="auto" w:fill="auto"/>
          </w:tcPr>
          <w:p w14:paraId="41C1DF93" w14:textId="0DCE4C86" w:rsidR="00FC7BE1" w:rsidRPr="00E73DBA" w:rsidRDefault="00FC7BE1">
            <w:pPr>
              <w:spacing w:line="240" w:lineRule="auto"/>
              <w:jc w:val="both"/>
              <w:rPr>
                <w:rFonts w:ascii="Times New Roman" w:hAnsi="Times New Roman"/>
              </w:rPr>
            </w:pPr>
            <w:r>
              <w:rPr>
                <w:rFonts w:ascii="Times New Roman" w:hAnsi="Times New Roman"/>
              </w:rPr>
              <w:t>Objęcie członkostwa w Radzie 5-letnią kadencją</w:t>
            </w:r>
          </w:p>
        </w:tc>
      </w:tr>
      <w:tr w:rsidR="00723662" w:rsidRPr="007A2509" w14:paraId="771E8743" w14:textId="77777777" w:rsidTr="00515165">
        <w:trPr>
          <w:trHeight w:val="302"/>
        </w:trPr>
        <w:tc>
          <w:tcPr>
            <w:tcW w:w="10937" w:type="dxa"/>
            <w:gridSpan w:val="5"/>
            <w:shd w:val="clear" w:color="auto" w:fill="99CCFF"/>
            <w:vAlign w:val="center"/>
          </w:tcPr>
          <w:p w14:paraId="0E192EA1" w14:textId="77777777" w:rsidR="00723662" w:rsidRPr="007A2509" w:rsidRDefault="00723662" w:rsidP="00723662">
            <w:pPr>
              <w:numPr>
                <w:ilvl w:val="0"/>
                <w:numId w:val="1"/>
              </w:numPr>
              <w:spacing w:line="240" w:lineRule="auto"/>
              <w:ind w:left="318" w:hanging="284"/>
              <w:jc w:val="both"/>
              <w:rPr>
                <w:rFonts w:ascii="Times New Roman" w:hAnsi="Times New Roman"/>
                <w:b/>
                <w:color w:val="000000"/>
              </w:rPr>
            </w:pPr>
            <w:r w:rsidRPr="00374B58">
              <w:rPr>
                <w:rFonts w:ascii="Times New Roman" w:hAnsi="Times New Roman"/>
                <w:b/>
              </w:rPr>
              <w:t>Informacje na temat zakresu, czasu trwania i podsumowanie wyników konsultacji</w:t>
            </w:r>
          </w:p>
        </w:tc>
      </w:tr>
      <w:tr w:rsidR="00723662" w:rsidRPr="007A2509" w14:paraId="7E64E07B" w14:textId="77777777" w:rsidTr="00515165">
        <w:trPr>
          <w:trHeight w:val="342"/>
        </w:trPr>
        <w:tc>
          <w:tcPr>
            <w:tcW w:w="10937" w:type="dxa"/>
            <w:gridSpan w:val="5"/>
            <w:shd w:val="clear" w:color="auto" w:fill="FFFFFF"/>
          </w:tcPr>
          <w:p w14:paraId="290C56E5" w14:textId="145C57D2" w:rsidR="00723662" w:rsidRPr="007A2509" w:rsidRDefault="00723662" w:rsidP="00723662">
            <w:pPr>
              <w:spacing w:line="240" w:lineRule="auto"/>
              <w:jc w:val="both"/>
              <w:rPr>
                <w:rFonts w:ascii="Times New Roman" w:hAnsi="Times New Roman"/>
                <w:color w:val="000000"/>
                <w:spacing w:val="-2"/>
              </w:rPr>
            </w:pPr>
            <w:r w:rsidRPr="007A2509">
              <w:rPr>
                <w:rFonts w:ascii="Times New Roman" w:hAnsi="Times New Roman"/>
                <w:color w:val="000000"/>
                <w:spacing w:val="-2"/>
              </w:rPr>
              <w:t>Projekt</w:t>
            </w:r>
            <w:r w:rsidR="00092DFA">
              <w:rPr>
                <w:rFonts w:ascii="Times New Roman" w:hAnsi="Times New Roman"/>
                <w:color w:val="000000"/>
                <w:spacing w:val="-2"/>
              </w:rPr>
              <w:t xml:space="preserve"> </w:t>
            </w:r>
            <w:r w:rsidR="00A0521B">
              <w:rPr>
                <w:rFonts w:ascii="Times New Roman" w:hAnsi="Times New Roman"/>
                <w:color w:val="000000"/>
                <w:spacing w:val="-2"/>
              </w:rPr>
              <w:t>w</w:t>
            </w:r>
            <w:r w:rsidR="00092DFA">
              <w:rPr>
                <w:rFonts w:ascii="Times New Roman" w:hAnsi="Times New Roman"/>
                <w:color w:val="000000"/>
                <w:spacing w:val="-2"/>
              </w:rPr>
              <w:t xml:space="preserve">pisany do poprzedniego Wykazu prac legislacyjnych </w:t>
            </w:r>
            <w:r w:rsidR="00734218">
              <w:rPr>
                <w:rFonts w:ascii="Times New Roman" w:hAnsi="Times New Roman"/>
                <w:color w:val="000000"/>
                <w:spacing w:val="-2"/>
              </w:rPr>
              <w:t xml:space="preserve">i programowych </w:t>
            </w:r>
            <w:r w:rsidR="00092DFA">
              <w:rPr>
                <w:rFonts w:ascii="Times New Roman" w:hAnsi="Times New Roman"/>
                <w:color w:val="000000"/>
                <w:spacing w:val="-2"/>
              </w:rPr>
              <w:t xml:space="preserve">Rady Ministrów </w:t>
            </w:r>
            <w:r w:rsidR="00734218">
              <w:rPr>
                <w:rFonts w:ascii="Times New Roman" w:hAnsi="Times New Roman"/>
                <w:color w:val="000000"/>
                <w:spacing w:val="-2"/>
              </w:rPr>
              <w:t>pod nr</w:t>
            </w:r>
            <w:r w:rsidR="00092DFA">
              <w:rPr>
                <w:rFonts w:ascii="Times New Roman" w:hAnsi="Times New Roman"/>
                <w:color w:val="000000"/>
                <w:spacing w:val="-2"/>
              </w:rPr>
              <w:t xml:space="preserve"> UD 246</w:t>
            </w:r>
            <w:r w:rsidR="00A0521B">
              <w:rPr>
                <w:rFonts w:ascii="Times New Roman" w:hAnsi="Times New Roman"/>
                <w:color w:val="000000"/>
                <w:spacing w:val="-2"/>
              </w:rPr>
              <w:t xml:space="preserve"> i UD8</w:t>
            </w:r>
            <w:r w:rsidRPr="007A2509">
              <w:rPr>
                <w:rFonts w:ascii="Times New Roman" w:hAnsi="Times New Roman"/>
                <w:color w:val="000000"/>
                <w:spacing w:val="-2"/>
              </w:rPr>
              <w:t xml:space="preserve"> zgodnie z art. 5 ustawy z dnia 7 lipca 2005 r. </w:t>
            </w:r>
            <w:r w:rsidRPr="00C3424F">
              <w:rPr>
                <w:rFonts w:ascii="Times New Roman" w:hAnsi="Times New Roman"/>
                <w:i/>
                <w:iCs/>
                <w:color w:val="000000"/>
                <w:spacing w:val="-2"/>
              </w:rPr>
              <w:t>o działalności lobbingowej w procesie stanowienia prawa</w:t>
            </w:r>
            <w:r w:rsidRPr="007A2509">
              <w:rPr>
                <w:rFonts w:ascii="Times New Roman" w:hAnsi="Times New Roman"/>
                <w:color w:val="000000"/>
                <w:spacing w:val="-2"/>
              </w:rPr>
              <w:t xml:space="preserve"> i § 52 uchwały nr 190 Rady Ministrów z dnia 29 października 2013 r. – </w:t>
            </w:r>
            <w:r w:rsidRPr="00C3424F">
              <w:rPr>
                <w:rFonts w:ascii="Times New Roman" w:hAnsi="Times New Roman"/>
                <w:i/>
                <w:iCs/>
                <w:color w:val="000000"/>
                <w:spacing w:val="-2"/>
              </w:rPr>
              <w:t>Regulamin pracy Rady Ministrów</w:t>
            </w:r>
            <w:r w:rsidRPr="007A2509">
              <w:rPr>
                <w:rFonts w:ascii="Times New Roman" w:hAnsi="Times New Roman"/>
                <w:color w:val="000000"/>
                <w:spacing w:val="-2"/>
              </w:rPr>
              <w:t>, zosta</w:t>
            </w:r>
            <w:r w:rsidR="003A7129">
              <w:rPr>
                <w:rFonts w:ascii="Times New Roman" w:hAnsi="Times New Roman"/>
                <w:color w:val="000000"/>
                <w:spacing w:val="-2"/>
              </w:rPr>
              <w:t>ł</w:t>
            </w:r>
            <w:r w:rsidRPr="007A2509">
              <w:rPr>
                <w:rFonts w:ascii="Times New Roman" w:hAnsi="Times New Roman"/>
                <w:color w:val="000000"/>
                <w:spacing w:val="-2"/>
              </w:rPr>
              <w:t xml:space="preserve"> udostępniony w Biuletynie Informacji Publicznej, na stronie podmiotowej Rządowego Centrum Legislacji, w serwisie Rządowy Proces Legislacyjny</w:t>
            </w:r>
            <w:r w:rsidR="00AC18F9">
              <w:rPr>
                <w:rFonts w:ascii="Times New Roman" w:hAnsi="Times New Roman"/>
                <w:color w:val="000000"/>
                <w:spacing w:val="-2"/>
              </w:rPr>
              <w:t>, a</w:t>
            </w:r>
            <w:r w:rsidR="00E049AB">
              <w:rPr>
                <w:rFonts w:ascii="Times New Roman" w:hAnsi="Times New Roman"/>
                <w:color w:val="000000"/>
                <w:spacing w:val="-2"/>
              </w:rPr>
              <w:t> </w:t>
            </w:r>
            <w:r w:rsidR="00AC18F9">
              <w:rPr>
                <w:rFonts w:ascii="Times New Roman" w:hAnsi="Times New Roman"/>
                <w:color w:val="000000"/>
                <w:spacing w:val="-2"/>
              </w:rPr>
              <w:t xml:space="preserve">także podlegał uzgodnieniom, opiniowaniu, konsultacjom i został pozytywnie zaopiniowany przez </w:t>
            </w:r>
            <w:proofErr w:type="spellStart"/>
            <w:r w:rsidR="00AC18F9">
              <w:rPr>
                <w:rFonts w:ascii="Times New Roman" w:hAnsi="Times New Roman"/>
                <w:color w:val="000000"/>
                <w:spacing w:val="-2"/>
              </w:rPr>
              <w:t>KWRiST</w:t>
            </w:r>
            <w:proofErr w:type="spellEnd"/>
            <w:r w:rsidR="00AC18F9">
              <w:rPr>
                <w:rFonts w:ascii="Times New Roman" w:hAnsi="Times New Roman"/>
                <w:color w:val="000000"/>
                <w:spacing w:val="-2"/>
              </w:rPr>
              <w:t>.</w:t>
            </w:r>
            <w:r w:rsidRPr="007A2509">
              <w:rPr>
                <w:rFonts w:ascii="Times New Roman" w:hAnsi="Times New Roman"/>
                <w:color w:val="000000"/>
                <w:spacing w:val="-2"/>
              </w:rPr>
              <w:t xml:space="preserve"> </w:t>
            </w:r>
          </w:p>
          <w:p w14:paraId="6F6EBB8D" w14:textId="77777777" w:rsidR="00FA7ABF" w:rsidRPr="007A2509" w:rsidRDefault="00FA7ABF" w:rsidP="00723662">
            <w:pPr>
              <w:spacing w:line="240" w:lineRule="auto"/>
              <w:jc w:val="both"/>
              <w:rPr>
                <w:rFonts w:ascii="Times New Roman" w:hAnsi="Times New Roman"/>
                <w:color w:val="000000"/>
                <w:spacing w:val="-2"/>
              </w:rPr>
            </w:pPr>
          </w:p>
          <w:p w14:paraId="596E5DDD" w14:textId="3FA406F5" w:rsidR="00723662" w:rsidRPr="007A2509" w:rsidRDefault="00AC18F9" w:rsidP="00723662">
            <w:pPr>
              <w:spacing w:line="240" w:lineRule="auto"/>
              <w:jc w:val="both"/>
              <w:rPr>
                <w:rFonts w:ascii="Times New Roman" w:hAnsi="Times New Roman"/>
                <w:color w:val="000000"/>
                <w:spacing w:val="-2"/>
              </w:rPr>
            </w:pPr>
            <w:r>
              <w:rPr>
                <w:rFonts w:ascii="Times New Roman" w:hAnsi="Times New Roman"/>
                <w:color w:val="000000"/>
                <w:spacing w:val="-2"/>
              </w:rPr>
              <w:t>Zaktualizowany p</w:t>
            </w:r>
            <w:r w:rsidR="00723662" w:rsidRPr="007A2509">
              <w:rPr>
                <w:rFonts w:ascii="Times New Roman" w:hAnsi="Times New Roman"/>
                <w:color w:val="000000"/>
                <w:spacing w:val="-2"/>
              </w:rPr>
              <w:t xml:space="preserve">rojekt </w:t>
            </w:r>
            <w:r w:rsidR="00A0521B">
              <w:rPr>
                <w:rFonts w:ascii="Times New Roman" w:hAnsi="Times New Roman"/>
                <w:color w:val="000000"/>
                <w:spacing w:val="-2"/>
              </w:rPr>
              <w:t>zostanie</w:t>
            </w:r>
            <w:r w:rsidR="00723662" w:rsidRPr="007A2509">
              <w:rPr>
                <w:rFonts w:ascii="Times New Roman" w:hAnsi="Times New Roman"/>
                <w:color w:val="000000"/>
                <w:spacing w:val="-2"/>
              </w:rPr>
              <w:t xml:space="preserve"> przekazany do konsultacji (21 dni) do następujących podmiotów: </w:t>
            </w:r>
          </w:p>
          <w:p w14:paraId="7A13DCD8" w14:textId="5531AE63"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Federacja Regionalnych Związków Gmin i Powiatów RP</w:t>
            </w:r>
            <w:r w:rsidR="00EE2C00">
              <w:rPr>
                <w:rFonts w:ascii="Times New Roman" w:hAnsi="Times New Roman"/>
                <w:color w:val="000000"/>
                <w:spacing w:val="-2"/>
              </w:rPr>
              <w:t>;</w:t>
            </w:r>
          </w:p>
          <w:p w14:paraId="670C4A72" w14:textId="6DFBEFB1"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Związek Miast Polskich</w:t>
            </w:r>
            <w:r w:rsidR="00EE2C00">
              <w:rPr>
                <w:rFonts w:ascii="Times New Roman" w:hAnsi="Times New Roman"/>
                <w:color w:val="000000"/>
                <w:spacing w:val="-2"/>
              </w:rPr>
              <w:t>;</w:t>
            </w:r>
          </w:p>
          <w:p w14:paraId="5D90DA8B" w14:textId="7527506F"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Związek Powiatów Polskich</w:t>
            </w:r>
            <w:r w:rsidR="00EE2C00">
              <w:rPr>
                <w:rFonts w:ascii="Times New Roman" w:hAnsi="Times New Roman"/>
                <w:color w:val="000000"/>
                <w:spacing w:val="-2"/>
              </w:rPr>
              <w:t>;</w:t>
            </w:r>
          </w:p>
          <w:p w14:paraId="191CEC40" w14:textId="0045AB56"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Związek Województw RP</w:t>
            </w:r>
            <w:r w:rsidR="00EE2C00">
              <w:rPr>
                <w:rFonts w:ascii="Times New Roman" w:hAnsi="Times New Roman"/>
                <w:color w:val="000000"/>
                <w:spacing w:val="-2"/>
              </w:rPr>
              <w:t>;</w:t>
            </w:r>
          </w:p>
          <w:p w14:paraId="05A0205B" w14:textId="0BCAC335"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Związek Samorządów Polskich</w:t>
            </w:r>
            <w:r w:rsidR="00EE2C00">
              <w:rPr>
                <w:rFonts w:ascii="Times New Roman" w:hAnsi="Times New Roman"/>
                <w:color w:val="000000"/>
                <w:spacing w:val="-2"/>
              </w:rPr>
              <w:t>;</w:t>
            </w:r>
          </w:p>
          <w:p w14:paraId="6B05F303" w14:textId="7CAF8E3C"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Unia Metropolii Polskich</w:t>
            </w:r>
            <w:r w:rsidR="00EE2C00">
              <w:rPr>
                <w:rFonts w:ascii="Times New Roman" w:hAnsi="Times New Roman"/>
                <w:color w:val="000000"/>
                <w:spacing w:val="-2"/>
              </w:rPr>
              <w:t>;</w:t>
            </w:r>
          </w:p>
          <w:p w14:paraId="22CFD2A8" w14:textId="298AF932"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Sendzimira</w:t>
            </w:r>
            <w:r w:rsidR="00EE2C00">
              <w:rPr>
                <w:rFonts w:ascii="Times New Roman" w:hAnsi="Times New Roman"/>
                <w:color w:val="000000"/>
                <w:spacing w:val="-2"/>
              </w:rPr>
              <w:t>;</w:t>
            </w:r>
          </w:p>
          <w:p w14:paraId="19D13A9F" w14:textId="5386B600"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Strefa Zieleni</w:t>
            </w:r>
            <w:r w:rsidR="00EE2C00">
              <w:rPr>
                <w:rFonts w:ascii="Times New Roman" w:hAnsi="Times New Roman"/>
                <w:color w:val="000000"/>
                <w:spacing w:val="-2"/>
              </w:rPr>
              <w:t>;</w:t>
            </w:r>
          </w:p>
          <w:p w14:paraId="0AC29319" w14:textId="3631DA77"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Instytut na rzecz Ekorozwoju</w:t>
            </w:r>
            <w:r w:rsidR="00EE2C00">
              <w:rPr>
                <w:rFonts w:ascii="Times New Roman" w:hAnsi="Times New Roman"/>
                <w:color w:val="000000"/>
                <w:spacing w:val="-2"/>
              </w:rPr>
              <w:t>;</w:t>
            </w:r>
          </w:p>
          <w:p w14:paraId="6591D56F" w14:textId="3196EAF6"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WWF Polska</w:t>
            </w:r>
            <w:r w:rsidR="00EE2C00">
              <w:rPr>
                <w:rFonts w:ascii="Times New Roman" w:hAnsi="Times New Roman"/>
                <w:color w:val="000000"/>
                <w:spacing w:val="-2"/>
              </w:rPr>
              <w:t>;</w:t>
            </w:r>
          </w:p>
          <w:p w14:paraId="26B5FBBC" w14:textId="05C0B025"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Polski Związek Firm Deweloperskich</w:t>
            </w:r>
            <w:r w:rsidR="00EE2C00">
              <w:rPr>
                <w:rFonts w:ascii="Times New Roman" w:hAnsi="Times New Roman"/>
                <w:color w:val="000000"/>
                <w:spacing w:val="-2"/>
              </w:rPr>
              <w:t>;</w:t>
            </w:r>
          </w:p>
          <w:p w14:paraId="2E87312B" w14:textId="4C322793"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Polska Izba Urbanistów</w:t>
            </w:r>
            <w:r w:rsidR="00EE2C00">
              <w:rPr>
                <w:rFonts w:ascii="Times New Roman" w:hAnsi="Times New Roman"/>
                <w:color w:val="000000"/>
                <w:spacing w:val="-2"/>
              </w:rPr>
              <w:t>;</w:t>
            </w:r>
          </w:p>
          <w:p w14:paraId="1375F83E" w14:textId="3B250BB8"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Towarzystwo Urbanistów Polskich</w:t>
            </w:r>
            <w:r w:rsidR="00EE2C00">
              <w:rPr>
                <w:rFonts w:ascii="Times New Roman" w:hAnsi="Times New Roman"/>
                <w:color w:val="000000"/>
                <w:spacing w:val="-2"/>
              </w:rPr>
              <w:t>;</w:t>
            </w:r>
          </w:p>
          <w:p w14:paraId="2FC13027" w14:textId="173F591A"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Urbaniści Polscy</w:t>
            </w:r>
            <w:r w:rsidR="00EE2C00">
              <w:rPr>
                <w:rFonts w:ascii="Times New Roman" w:hAnsi="Times New Roman"/>
                <w:color w:val="000000"/>
                <w:spacing w:val="-2"/>
              </w:rPr>
              <w:t>;</w:t>
            </w:r>
          </w:p>
          <w:p w14:paraId="2161028A" w14:textId="744A0A51"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Urbanistów ZOIU</w:t>
            </w:r>
            <w:r w:rsidR="00EE2C00">
              <w:rPr>
                <w:rFonts w:ascii="Times New Roman" w:hAnsi="Times New Roman"/>
                <w:color w:val="000000"/>
                <w:spacing w:val="-2"/>
              </w:rPr>
              <w:t>;</w:t>
            </w:r>
          </w:p>
          <w:p w14:paraId="21AB2EB8" w14:textId="577AB764"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Wykonawców Dachów Płaskich i Fasad (DAFA)</w:t>
            </w:r>
            <w:r w:rsidR="00EE2C00">
              <w:rPr>
                <w:rFonts w:ascii="Times New Roman" w:hAnsi="Times New Roman"/>
                <w:color w:val="000000"/>
                <w:spacing w:val="-2"/>
              </w:rPr>
              <w:t>;</w:t>
            </w:r>
          </w:p>
          <w:p w14:paraId="3F2C005E" w14:textId="230015D1"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 xml:space="preserve">Miesięcznik Zieleń Miejska </w:t>
            </w:r>
            <w:r w:rsidR="00212174">
              <w:rPr>
                <w:rFonts w:ascii="Times New Roman" w:hAnsi="Times New Roman"/>
                <w:color w:val="000000"/>
                <w:spacing w:val="-2"/>
              </w:rPr>
              <w:t>−</w:t>
            </w:r>
            <w:r w:rsidRPr="007A2509">
              <w:rPr>
                <w:rFonts w:ascii="Times New Roman" w:hAnsi="Times New Roman"/>
                <w:color w:val="000000"/>
                <w:spacing w:val="-2"/>
              </w:rPr>
              <w:t xml:space="preserve"> Abrys sp. z o.o.</w:t>
            </w:r>
            <w:r w:rsidR="00EE2C00">
              <w:rPr>
                <w:rFonts w:ascii="Times New Roman" w:hAnsi="Times New Roman"/>
                <w:color w:val="000000"/>
                <w:spacing w:val="-2"/>
              </w:rPr>
              <w:t>;</w:t>
            </w:r>
          </w:p>
          <w:p w14:paraId="1616E07B" w14:textId="7200F8BC"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Aktywności Społeczno</w:t>
            </w:r>
            <w:r w:rsidR="00FA7ABF">
              <w:rPr>
                <w:rFonts w:ascii="Times New Roman" w:hAnsi="Times New Roman"/>
                <w:color w:val="000000"/>
                <w:spacing w:val="-2"/>
              </w:rPr>
              <w:t>-</w:t>
            </w:r>
            <w:r w:rsidRPr="007A2509">
              <w:rPr>
                <w:rFonts w:ascii="Times New Roman" w:hAnsi="Times New Roman"/>
                <w:color w:val="000000"/>
                <w:spacing w:val="-2"/>
              </w:rPr>
              <w:t xml:space="preserve">Artystycznej </w:t>
            </w:r>
            <w:r w:rsidR="00B77718">
              <w:rPr>
                <w:rFonts w:ascii="Times New Roman" w:hAnsi="Times New Roman"/>
                <w:color w:val="000000"/>
                <w:spacing w:val="-2"/>
              </w:rPr>
              <w:t>„</w:t>
            </w:r>
            <w:r w:rsidRPr="007A2509">
              <w:rPr>
                <w:rFonts w:ascii="Times New Roman" w:hAnsi="Times New Roman"/>
                <w:color w:val="000000"/>
                <w:spacing w:val="-2"/>
              </w:rPr>
              <w:t>Nie Po Drodze</w:t>
            </w:r>
            <w:r w:rsidR="00445441">
              <w:rPr>
                <w:rFonts w:ascii="Times New Roman" w:hAnsi="Times New Roman"/>
                <w:color w:val="000000"/>
                <w:spacing w:val="-2"/>
              </w:rPr>
              <w:t>”</w:t>
            </w:r>
            <w:r w:rsidR="00EE2C00">
              <w:rPr>
                <w:rFonts w:ascii="Times New Roman" w:hAnsi="Times New Roman"/>
                <w:color w:val="000000"/>
                <w:spacing w:val="-2"/>
              </w:rPr>
              <w:t>;</w:t>
            </w:r>
          </w:p>
          <w:p w14:paraId="06AE895B" w14:textId="614EC31C"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Stowarzyszenie Białostockiego Obszaru Funkcjonalnego</w:t>
            </w:r>
            <w:r w:rsidR="00EE2C00">
              <w:rPr>
                <w:rFonts w:ascii="Times New Roman" w:hAnsi="Times New Roman"/>
                <w:color w:val="000000"/>
                <w:spacing w:val="-2"/>
              </w:rPr>
              <w:t>;</w:t>
            </w:r>
          </w:p>
          <w:p w14:paraId="70D82426" w14:textId="259FE63C"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Centrum Edukacji Ekologicznej Bydgoszcz</w:t>
            </w:r>
            <w:r w:rsidR="00EE2C00">
              <w:rPr>
                <w:rFonts w:ascii="Times New Roman" w:hAnsi="Times New Roman"/>
                <w:color w:val="000000"/>
                <w:spacing w:val="-2"/>
              </w:rPr>
              <w:t>;</w:t>
            </w:r>
          </w:p>
          <w:p w14:paraId="2EEFB992" w14:textId="02505634" w:rsidR="00723662"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lastRenderedPageBreak/>
              <w:t>Stowarzyszenie Ekologiczne EKO-UNIA</w:t>
            </w:r>
            <w:r w:rsidR="00EE2C00">
              <w:rPr>
                <w:rFonts w:ascii="Times New Roman" w:hAnsi="Times New Roman"/>
                <w:color w:val="000000"/>
                <w:spacing w:val="-2"/>
              </w:rPr>
              <w:t>;</w:t>
            </w:r>
          </w:p>
          <w:p w14:paraId="0CFB3EF9" w14:textId="701E145A" w:rsidR="00D06847" w:rsidRPr="007A2509" w:rsidRDefault="00D06847" w:rsidP="00A637DC">
            <w:pPr>
              <w:numPr>
                <w:ilvl w:val="0"/>
                <w:numId w:val="7"/>
              </w:numPr>
              <w:spacing w:line="240" w:lineRule="auto"/>
              <w:contextualSpacing/>
              <w:jc w:val="both"/>
              <w:rPr>
                <w:rFonts w:ascii="Times New Roman" w:hAnsi="Times New Roman"/>
                <w:color w:val="000000"/>
                <w:spacing w:val="-2"/>
              </w:rPr>
            </w:pPr>
            <w:r w:rsidRPr="00D06847">
              <w:rPr>
                <w:rFonts w:ascii="Times New Roman" w:hAnsi="Times New Roman"/>
                <w:color w:val="000000"/>
                <w:spacing w:val="-2"/>
              </w:rPr>
              <w:t>Stowarzyszeni</w:t>
            </w:r>
            <w:r>
              <w:rPr>
                <w:rFonts w:ascii="Times New Roman" w:hAnsi="Times New Roman"/>
                <w:color w:val="000000"/>
                <w:spacing w:val="-2"/>
              </w:rPr>
              <w:t>e</w:t>
            </w:r>
            <w:r w:rsidRPr="00D06847">
              <w:rPr>
                <w:rFonts w:ascii="Times New Roman" w:hAnsi="Times New Roman"/>
                <w:color w:val="000000"/>
                <w:spacing w:val="-2"/>
              </w:rPr>
              <w:t xml:space="preserve"> Ośrodek Działań Ekologicznych „Źródła”</w:t>
            </w:r>
            <w:r w:rsidR="0034095C">
              <w:rPr>
                <w:rFonts w:ascii="Times New Roman" w:hAnsi="Times New Roman"/>
                <w:color w:val="000000"/>
                <w:spacing w:val="-2"/>
              </w:rPr>
              <w:t>;</w:t>
            </w:r>
          </w:p>
          <w:p w14:paraId="3DAEE1F1" w14:textId="5F07CA87"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Polskie Stowarzyszenie Dachy Zielone</w:t>
            </w:r>
            <w:r w:rsidR="00EE2C00">
              <w:rPr>
                <w:rFonts w:ascii="Times New Roman" w:hAnsi="Times New Roman"/>
                <w:color w:val="000000"/>
                <w:spacing w:val="-2"/>
              </w:rPr>
              <w:t>;</w:t>
            </w:r>
          </w:p>
          <w:p w14:paraId="791EB476" w14:textId="48F17B61"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Międzynarodowy Instytut Polityki i Strategii Ekologicznej</w:t>
            </w:r>
            <w:r w:rsidR="00EE2C00">
              <w:rPr>
                <w:rFonts w:ascii="Times New Roman" w:hAnsi="Times New Roman"/>
                <w:color w:val="000000"/>
                <w:spacing w:val="-2"/>
              </w:rPr>
              <w:t>;</w:t>
            </w:r>
          </w:p>
          <w:p w14:paraId="0DD51BE6" w14:textId="77777777" w:rsidR="003D7D23"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Fundacja Ekonomistów Środowiska i Zasobów Naturalnych</w:t>
            </w:r>
            <w:r w:rsidR="003D7D23">
              <w:rPr>
                <w:rFonts w:ascii="Times New Roman" w:hAnsi="Times New Roman"/>
                <w:color w:val="000000"/>
                <w:spacing w:val="-2"/>
              </w:rPr>
              <w:t>;</w:t>
            </w:r>
          </w:p>
          <w:p w14:paraId="29FE11DF" w14:textId="10737D81" w:rsidR="00723662" w:rsidRDefault="003D7D23" w:rsidP="00A637DC">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Bank Gospodarstwa Krajowego</w:t>
            </w:r>
            <w:r w:rsidR="0046498D">
              <w:rPr>
                <w:rFonts w:ascii="Times New Roman" w:hAnsi="Times New Roman"/>
                <w:color w:val="000000"/>
                <w:spacing w:val="-2"/>
              </w:rPr>
              <w:t>;</w:t>
            </w:r>
          </w:p>
          <w:p w14:paraId="673DE0AE" w14:textId="26EC35F7" w:rsidR="0046498D" w:rsidRDefault="0046498D" w:rsidP="00A637DC">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F</w:t>
            </w:r>
            <w:r w:rsidRPr="0046498D">
              <w:rPr>
                <w:rFonts w:ascii="Times New Roman" w:hAnsi="Times New Roman"/>
                <w:color w:val="000000"/>
                <w:spacing w:val="-2"/>
              </w:rPr>
              <w:t>undacj</w:t>
            </w:r>
            <w:r>
              <w:rPr>
                <w:rFonts w:ascii="Times New Roman" w:hAnsi="Times New Roman"/>
                <w:color w:val="000000"/>
                <w:spacing w:val="-2"/>
              </w:rPr>
              <w:t>a</w:t>
            </w:r>
            <w:r w:rsidRPr="0046498D">
              <w:rPr>
                <w:rFonts w:ascii="Times New Roman" w:hAnsi="Times New Roman"/>
                <w:color w:val="000000"/>
                <w:spacing w:val="-2"/>
              </w:rPr>
              <w:t xml:space="preserve"> Czarnej Owcy Pana Kota</w:t>
            </w:r>
            <w:r>
              <w:rPr>
                <w:rFonts w:ascii="Times New Roman" w:hAnsi="Times New Roman"/>
                <w:color w:val="000000"/>
                <w:spacing w:val="-2"/>
              </w:rPr>
              <w:t>;</w:t>
            </w:r>
          </w:p>
          <w:p w14:paraId="395C565B" w14:textId="2581D01B" w:rsidR="0046498D" w:rsidRDefault="0046498D" w:rsidP="00A637DC">
            <w:pPr>
              <w:numPr>
                <w:ilvl w:val="0"/>
                <w:numId w:val="7"/>
              </w:numPr>
              <w:spacing w:line="240" w:lineRule="auto"/>
              <w:contextualSpacing/>
              <w:jc w:val="both"/>
              <w:rPr>
                <w:rFonts w:ascii="Times New Roman" w:hAnsi="Times New Roman"/>
                <w:color w:val="000000"/>
                <w:spacing w:val="-2"/>
              </w:rPr>
            </w:pPr>
            <w:r w:rsidRPr="0046498D">
              <w:rPr>
                <w:rFonts w:ascii="Times New Roman" w:hAnsi="Times New Roman"/>
                <w:color w:val="000000"/>
                <w:spacing w:val="-2"/>
              </w:rPr>
              <w:t>Fundacj</w:t>
            </w:r>
            <w:r>
              <w:rPr>
                <w:rFonts w:ascii="Times New Roman" w:hAnsi="Times New Roman"/>
                <w:color w:val="000000"/>
                <w:spacing w:val="-2"/>
              </w:rPr>
              <w:t>a</w:t>
            </w:r>
            <w:r w:rsidRPr="0046498D">
              <w:rPr>
                <w:rFonts w:ascii="Times New Roman" w:hAnsi="Times New Roman"/>
                <w:color w:val="000000"/>
                <w:spacing w:val="-2"/>
              </w:rPr>
              <w:t xml:space="preserve"> Niech Żyją</w:t>
            </w:r>
            <w:r>
              <w:rPr>
                <w:rFonts w:ascii="Times New Roman" w:hAnsi="Times New Roman"/>
                <w:color w:val="000000"/>
                <w:spacing w:val="-2"/>
              </w:rPr>
              <w:t>!;</w:t>
            </w:r>
          </w:p>
          <w:p w14:paraId="508E4B2C" w14:textId="7376326D" w:rsidR="0046498D" w:rsidRDefault="0046498D" w:rsidP="00A637DC">
            <w:pPr>
              <w:numPr>
                <w:ilvl w:val="0"/>
                <w:numId w:val="7"/>
              </w:numPr>
              <w:spacing w:line="240" w:lineRule="auto"/>
              <w:contextualSpacing/>
              <w:jc w:val="both"/>
              <w:rPr>
                <w:rFonts w:ascii="Times New Roman" w:hAnsi="Times New Roman"/>
                <w:color w:val="000000"/>
                <w:spacing w:val="-2"/>
              </w:rPr>
            </w:pPr>
            <w:r w:rsidRPr="0046498D">
              <w:rPr>
                <w:rFonts w:ascii="Times New Roman" w:hAnsi="Times New Roman"/>
                <w:color w:val="000000"/>
                <w:spacing w:val="-2"/>
              </w:rPr>
              <w:t xml:space="preserve">Green REV </w:t>
            </w:r>
            <w:proofErr w:type="spellStart"/>
            <w:r w:rsidRPr="0046498D">
              <w:rPr>
                <w:rFonts w:ascii="Times New Roman" w:hAnsi="Times New Roman"/>
                <w:color w:val="000000"/>
                <w:spacing w:val="-2"/>
              </w:rPr>
              <w:t>Institute</w:t>
            </w:r>
            <w:proofErr w:type="spellEnd"/>
            <w:r>
              <w:rPr>
                <w:rFonts w:ascii="Times New Roman" w:hAnsi="Times New Roman"/>
                <w:color w:val="000000"/>
                <w:spacing w:val="-2"/>
              </w:rPr>
              <w:t>;</w:t>
            </w:r>
          </w:p>
          <w:p w14:paraId="0B8F81DA" w14:textId="48E70955" w:rsidR="0046498D" w:rsidRPr="007A2509" w:rsidRDefault="0046498D" w:rsidP="00A637DC">
            <w:pPr>
              <w:numPr>
                <w:ilvl w:val="0"/>
                <w:numId w:val="7"/>
              </w:numPr>
              <w:spacing w:line="240" w:lineRule="auto"/>
              <w:contextualSpacing/>
              <w:jc w:val="both"/>
              <w:rPr>
                <w:rFonts w:ascii="Times New Roman" w:hAnsi="Times New Roman"/>
                <w:color w:val="000000"/>
                <w:spacing w:val="-2"/>
              </w:rPr>
            </w:pPr>
            <w:r w:rsidRPr="0046498D">
              <w:rPr>
                <w:rFonts w:ascii="Times New Roman" w:hAnsi="Times New Roman"/>
                <w:color w:val="000000"/>
                <w:spacing w:val="-2"/>
              </w:rPr>
              <w:t>Fundacj</w:t>
            </w:r>
            <w:r>
              <w:rPr>
                <w:rFonts w:ascii="Times New Roman" w:hAnsi="Times New Roman"/>
                <w:color w:val="000000"/>
                <w:spacing w:val="-2"/>
              </w:rPr>
              <w:t>a</w:t>
            </w:r>
            <w:r w:rsidRPr="0046498D">
              <w:rPr>
                <w:rFonts w:ascii="Times New Roman" w:hAnsi="Times New Roman"/>
                <w:color w:val="000000"/>
                <w:spacing w:val="-2"/>
              </w:rPr>
              <w:t xml:space="preserve"> Psubraty</w:t>
            </w:r>
            <w:r>
              <w:rPr>
                <w:rFonts w:ascii="Times New Roman" w:hAnsi="Times New Roman"/>
                <w:color w:val="000000"/>
                <w:spacing w:val="-2"/>
              </w:rPr>
              <w:t>.</w:t>
            </w:r>
          </w:p>
          <w:p w14:paraId="236720F4" w14:textId="77777777" w:rsidR="00FA7ABF" w:rsidRPr="007A2509" w:rsidRDefault="00FA7ABF" w:rsidP="00E55CB1">
            <w:pPr>
              <w:spacing w:line="240" w:lineRule="auto"/>
              <w:ind w:left="462"/>
              <w:contextualSpacing/>
              <w:jc w:val="both"/>
              <w:rPr>
                <w:rFonts w:ascii="Times New Roman" w:hAnsi="Times New Roman"/>
                <w:color w:val="000000"/>
                <w:spacing w:val="-2"/>
              </w:rPr>
            </w:pPr>
          </w:p>
          <w:p w14:paraId="13006D5C" w14:textId="246A131E" w:rsidR="00723662" w:rsidRPr="007A2509" w:rsidRDefault="00723662" w:rsidP="00723662">
            <w:pPr>
              <w:spacing w:line="240" w:lineRule="auto"/>
              <w:jc w:val="both"/>
              <w:rPr>
                <w:rFonts w:ascii="Times New Roman" w:hAnsi="Times New Roman"/>
                <w:color w:val="000000"/>
                <w:spacing w:val="-2"/>
              </w:rPr>
            </w:pPr>
            <w:r w:rsidRPr="007A2509">
              <w:rPr>
                <w:rFonts w:ascii="Times New Roman" w:hAnsi="Times New Roman"/>
                <w:color w:val="000000"/>
                <w:spacing w:val="-2"/>
              </w:rPr>
              <w:t xml:space="preserve">Projekt </w:t>
            </w:r>
            <w:r w:rsidR="00A0521B">
              <w:rPr>
                <w:rFonts w:ascii="Times New Roman" w:hAnsi="Times New Roman"/>
                <w:color w:val="000000"/>
                <w:spacing w:val="-2"/>
              </w:rPr>
              <w:t>zostanie</w:t>
            </w:r>
            <w:r w:rsidRPr="007A2509">
              <w:rPr>
                <w:rFonts w:ascii="Times New Roman" w:hAnsi="Times New Roman"/>
                <w:color w:val="000000"/>
                <w:spacing w:val="-2"/>
              </w:rPr>
              <w:t xml:space="preserve"> przekazany do zaopiniowania (21 dni) następującym podmiotom:</w:t>
            </w:r>
          </w:p>
          <w:p w14:paraId="127011A1" w14:textId="73171D04" w:rsidR="00723662" w:rsidRPr="007A2509" w:rsidRDefault="00723662" w:rsidP="00A637DC">
            <w:pPr>
              <w:pStyle w:val="Akapitzlist"/>
              <w:numPr>
                <w:ilvl w:val="0"/>
                <w:numId w:val="7"/>
              </w:numPr>
              <w:spacing w:line="240" w:lineRule="auto"/>
              <w:jc w:val="both"/>
              <w:rPr>
                <w:rFonts w:ascii="Times New Roman" w:hAnsi="Times New Roman"/>
                <w:color w:val="000000"/>
                <w:spacing w:val="-2"/>
              </w:rPr>
            </w:pPr>
            <w:r>
              <w:rPr>
                <w:rFonts w:ascii="Times New Roman" w:hAnsi="Times New Roman"/>
                <w:color w:val="000000"/>
                <w:spacing w:val="-2"/>
              </w:rPr>
              <w:t>m</w:t>
            </w:r>
            <w:r w:rsidRPr="007A2509">
              <w:rPr>
                <w:rFonts w:ascii="Times New Roman" w:hAnsi="Times New Roman"/>
                <w:color w:val="000000"/>
                <w:spacing w:val="-2"/>
              </w:rPr>
              <w:t>arszałkowie województw</w:t>
            </w:r>
            <w:r w:rsidR="00EE2C00">
              <w:rPr>
                <w:rFonts w:ascii="Times New Roman" w:hAnsi="Times New Roman"/>
                <w:color w:val="000000"/>
                <w:spacing w:val="-2"/>
              </w:rPr>
              <w:t>;</w:t>
            </w:r>
          </w:p>
          <w:p w14:paraId="70611198" w14:textId="58C1080E"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Instytut Ekonomii Środowiska</w:t>
            </w:r>
            <w:r w:rsidR="00EE2C00">
              <w:rPr>
                <w:rFonts w:ascii="Times New Roman" w:hAnsi="Times New Roman"/>
                <w:color w:val="000000"/>
                <w:spacing w:val="-2"/>
              </w:rPr>
              <w:t>;</w:t>
            </w:r>
          </w:p>
          <w:p w14:paraId="56ECF8B1" w14:textId="005EE69E" w:rsidR="00723662" w:rsidRPr="007A2509"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Instytut Metropolitalny</w:t>
            </w:r>
            <w:r w:rsidR="00EE2C00">
              <w:rPr>
                <w:rFonts w:ascii="Times New Roman" w:hAnsi="Times New Roman"/>
                <w:color w:val="000000"/>
                <w:spacing w:val="-2"/>
              </w:rPr>
              <w:t>;</w:t>
            </w:r>
          </w:p>
          <w:p w14:paraId="791942D1" w14:textId="77777777" w:rsidR="00A637DC" w:rsidRDefault="00723662"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Instytut Rozwoju Miast i Regionów</w:t>
            </w:r>
            <w:r w:rsidR="00A637DC">
              <w:rPr>
                <w:rFonts w:ascii="Times New Roman" w:hAnsi="Times New Roman"/>
                <w:color w:val="000000"/>
                <w:spacing w:val="-2"/>
              </w:rPr>
              <w:t>;</w:t>
            </w:r>
          </w:p>
          <w:p w14:paraId="64382989" w14:textId="77777777" w:rsidR="00A637DC" w:rsidRPr="007A2509" w:rsidRDefault="00A637DC" w:rsidP="00A637DC">
            <w:pPr>
              <w:numPr>
                <w:ilvl w:val="0"/>
                <w:numId w:val="7"/>
              </w:numPr>
              <w:spacing w:line="240" w:lineRule="auto"/>
              <w:contextualSpacing/>
              <w:jc w:val="both"/>
              <w:rPr>
                <w:rFonts w:ascii="Times New Roman" w:hAnsi="Times New Roman"/>
                <w:color w:val="000000"/>
                <w:spacing w:val="-2"/>
              </w:rPr>
            </w:pPr>
            <w:r w:rsidRPr="007A2509">
              <w:rPr>
                <w:rFonts w:ascii="Times New Roman" w:hAnsi="Times New Roman"/>
                <w:color w:val="000000"/>
                <w:spacing w:val="-2"/>
              </w:rPr>
              <w:t>Młodzieżowa Rada Klimatyczna</w:t>
            </w:r>
            <w:r>
              <w:rPr>
                <w:rFonts w:ascii="Times New Roman" w:hAnsi="Times New Roman"/>
                <w:color w:val="000000"/>
                <w:spacing w:val="-2"/>
              </w:rPr>
              <w:t>;</w:t>
            </w:r>
          </w:p>
          <w:p w14:paraId="492B68AD" w14:textId="77777777" w:rsidR="00D6220A" w:rsidRDefault="00D6220A" w:rsidP="00A637DC">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Narodowy Fundusz Ochrony Środowiska i Gospodarki Wodnej;</w:t>
            </w:r>
          </w:p>
          <w:p w14:paraId="7B28D6DA" w14:textId="5746D685" w:rsidR="00913C23" w:rsidRDefault="00C63D42" w:rsidP="00A637DC">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w</w:t>
            </w:r>
            <w:r w:rsidR="00D6220A">
              <w:rPr>
                <w:rFonts w:ascii="Times New Roman" w:hAnsi="Times New Roman"/>
                <w:color w:val="000000"/>
                <w:spacing w:val="-2"/>
              </w:rPr>
              <w:t>ojewódzkie fundusze ochrony środowiska i gos</w:t>
            </w:r>
            <w:r w:rsidR="00445441">
              <w:rPr>
                <w:rFonts w:ascii="Times New Roman" w:hAnsi="Times New Roman"/>
                <w:color w:val="000000"/>
                <w:spacing w:val="-2"/>
              </w:rPr>
              <w:t>p</w:t>
            </w:r>
            <w:r w:rsidR="00D6220A">
              <w:rPr>
                <w:rFonts w:ascii="Times New Roman" w:hAnsi="Times New Roman"/>
                <w:color w:val="000000"/>
                <w:spacing w:val="-2"/>
              </w:rPr>
              <w:t>odarki wodnej</w:t>
            </w:r>
            <w:r w:rsidR="00E737CD">
              <w:rPr>
                <w:rFonts w:ascii="Times New Roman" w:hAnsi="Times New Roman"/>
                <w:color w:val="000000"/>
                <w:spacing w:val="-2"/>
              </w:rPr>
              <w:t>;</w:t>
            </w:r>
          </w:p>
          <w:p w14:paraId="44F3E864" w14:textId="77777777" w:rsidR="00E737CD" w:rsidRDefault="00913C23" w:rsidP="00E737CD">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Państwowa Rada Ochrony Środowiska</w:t>
            </w:r>
            <w:r w:rsidR="00E737CD">
              <w:rPr>
                <w:rFonts w:ascii="Times New Roman" w:hAnsi="Times New Roman"/>
                <w:color w:val="000000"/>
                <w:spacing w:val="-2"/>
              </w:rPr>
              <w:t>;</w:t>
            </w:r>
          </w:p>
          <w:p w14:paraId="3927A7D2" w14:textId="618260E9" w:rsidR="00016D4A" w:rsidRDefault="00016D4A" w:rsidP="00E737CD">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Państwowa Rada Ochrony Przyrody;</w:t>
            </w:r>
            <w:bookmarkStart w:id="44" w:name="_GoBack"/>
            <w:bookmarkEnd w:id="44"/>
          </w:p>
          <w:p w14:paraId="29D2DCD4" w14:textId="0CA7C29D" w:rsidR="002F797F" w:rsidRDefault="002F797F" w:rsidP="00E737CD">
            <w:pPr>
              <w:numPr>
                <w:ilvl w:val="0"/>
                <w:numId w:val="7"/>
              </w:numPr>
              <w:spacing w:line="240" w:lineRule="auto"/>
              <w:contextualSpacing/>
              <w:jc w:val="both"/>
              <w:rPr>
                <w:rFonts w:ascii="Times New Roman" w:hAnsi="Times New Roman"/>
                <w:color w:val="000000"/>
                <w:spacing w:val="-2"/>
              </w:rPr>
            </w:pPr>
            <w:r>
              <w:rPr>
                <w:rFonts w:ascii="Times New Roman" w:hAnsi="Times New Roman"/>
                <w:color w:val="000000"/>
                <w:spacing w:val="-2"/>
              </w:rPr>
              <w:t>Instytut Pamięci Narodowej;</w:t>
            </w:r>
          </w:p>
          <w:p w14:paraId="5C0D7D89" w14:textId="1B6AD14A" w:rsidR="00723662" w:rsidRPr="00E737CD" w:rsidRDefault="003208C6" w:rsidP="003208C6">
            <w:pPr>
              <w:tabs>
                <w:tab w:val="left" w:pos="919"/>
                <w:tab w:val="left" w:pos="1061"/>
              </w:tabs>
              <w:spacing w:line="240" w:lineRule="auto"/>
              <w:contextualSpacing/>
              <w:jc w:val="both"/>
              <w:rPr>
                <w:rFonts w:ascii="Times New Roman" w:hAnsi="Times New Roman"/>
                <w:color w:val="000000"/>
                <w:spacing w:val="-2"/>
              </w:rPr>
            </w:pPr>
            <w:r>
              <w:rPr>
                <w:rFonts w:ascii="Times New Roman" w:hAnsi="Times New Roman"/>
                <w:color w:val="000000"/>
                <w:spacing w:val="-2"/>
              </w:rPr>
              <w:t xml:space="preserve">oraz na 30 dni do </w:t>
            </w:r>
            <w:r w:rsidR="00E737CD" w:rsidRPr="00E737CD">
              <w:rPr>
                <w:rFonts w:ascii="Times New Roman" w:hAnsi="Times New Roman"/>
                <w:color w:val="000000"/>
                <w:spacing w:val="-2"/>
              </w:rPr>
              <w:t>Rad</w:t>
            </w:r>
            <w:r>
              <w:rPr>
                <w:rFonts w:ascii="Times New Roman" w:hAnsi="Times New Roman"/>
                <w:color w:val="000000"/>
                <w:spacing w:val="-2"/>
              </w:rPr>
              <w:t>y</w:t>
            </w:r>
            <w:r w:rsidR="00E737CD" w:rsidRPr="00E737CD">
              <w:rPr>
                <w:rFonts w:ascii="Times New Roman" w:hAnsi="Times New Roman"/>
                <w:color w:val="000000"/>
                <w:spacing w:val="-2"/>
              </w:rPr>
              <w:t xml:space="preserve"> Działalności Pożytku Publicznego</w:t>
            </w:r>
            <w:r w:rsidR="00D6220A" w:rsidRPr="00E737CD">
              <w:rPr>
                <w:rFonts w:ascii="Times New Roman" w:hAnsi="Times New Roman"/>
                <w:color w:val="000000"/>
                <w:spacing w:val="-2"/>
              </w:rPr>
              <w:t>.</w:t>
            </w:r>
          </w:p>
          <w:p w14:paraId="26D97A53" w14:textId="7F7C9591" w:rsidR="00D647BB" w:rsidRDefault="00723662" w:rsidP="009603B5">
            <w:pPr>
              <w:autoSpaceDE w:val="0"/>
              <w:autoSpaceDN w:val="0"/>
              <w:adjustRightInd w:val="0"/>
              <w:spacing w:before="120" w:line="240" w:lineRule="auto"/>
              <w:jc w:val="both"/>
              <w:rPr>
                <w:rFonts w:ascii="Times New Roman" w:hAnsi="Times New Roman"/>
                <w:color w:val="000000"/>
                <w:lang w:eastAsia="pl-PL"/>
              </w:rPr>
            </w:pPr>
            <w:r w:rsidRPr="007A2509">
              <w:rPr>
                <w:rFonts w:ascii="Times New Roman" w:hAnsi="Times New Roman"/>
                <w:color w:val="000000"/>
                <w:lang w:eastAsia="pl-PL"/>
              </w:rPr>
              <w:t xml:space="preserve">Z uwagi na zakres projektu, który nie dotyczy zadań </w:t>
            </w:r>
            <w:r w:rsidR="00E35BF5">
              <w:rPr>
                <w:rFonts w:ascii="Times New Roman" w:hAnsi="Times New Roman"/>
                <w:color w:val="000000"/>
                <w:lang w:eastAsia="pl-PL"/>
              </w:rPr>
              <w:t>organizacji</w:t>
            </w:r>
            <w:r w:rsidR="00E35BF5" w:rsidRPr="007A2509">
              <w:rPr>
                <w:rFonts w:ascii="Times New Roman" w:hAnsi="Times New Roman"/>
                <w:color w:val="000000"/>
                <w:lang w:eastAsia="pl-PL"/>
              </w:rPr>
              <w:t xml:space="preserve"> </w:t>
            </w:r>
            <w:r w:rsidRPr="007A2509">
              <w:rPr>
                <w:rFonts w:ascii="Times New Roman" w:hAnsi="Times New Roman"/>
                <w:color w:val="000000"/>
                <w:lang w:eastAsia="pl-PL"/>
              </w:rPr>
              <w:t xml:space="preserve">zawodowych, projekt nie podlega opiniowaniu przez reprezentatywne związki zawodowe. </w:t>
            </w:r>
            <w:r w:rsidR="00D647BB">
              <w:rPr>
                <w:rFonts w:ascii="Times New Roman" w:hAnsi="Times New Roman"/>
                <w:color w:val="000000"/>
                <w:lang w:eastAsia="pl-PL"/>
              </w:rPr>
              <w:t xml:space="preserve">Należy jednak zaznaczyć, że prowadzone w przyszłości prace nad projektem rozporządzenia </w:t>
            </w:r>
            <w:r w:rsidR="00D647BB" w:rsidRPr="003215B0">
              <w:rPr>
                <w:rFonts w:ascii="Times New Roman" w:hAnsi="Times New Roman"/>
                <w:color w:val="000000"/>
                <w:lang w:eastAsia="pl-PL"/>
              </w:rPr>
              <w:t>określającego wymagania jakościowe dla biomasy pozyskanej z drzew i krzewów</w:t>
            </w:r>
            <w:r w:rsidR="00D647BB">
              <w:rPr>
                <w:rFonts w:ascii="Times New Roman" w:hAnsi="Times New Roman"/>
                <w:color w:val="000000"/>
                <w:lang w:eastAsia="pl-PL"/>
              </w:rPr>
              <w:t xml:space="preserve"> </w:t>
            </w:r>
            <w:r w:rsidR="009C0CA5">
              <w:rPr>
                <w:rFonts w:ascii="Times New Roman" w:hAnsi="Times New Roman"/>
                <w:color w:val="000000"/>
                <w:lang w:eastAsia="pl-PL"/>
              </w:rPr>
              <w:t>będą</w:t>
            </w:r>
            <w:r w:rsidR="00D647BB">
              <w:rPr>
                <w:rFonts w:ascii="Times New Roman" w:hAnsi="Times New Roman"/>
                <w:color w:val="000000"/>
                <w:lang w:eastAsia="pl-PL"/>
              </w:rPr>
              <w:t xml:space="preserve"> angażował</w:t>
            </w:r>
            <w:r w:rsidR="009C0CA5">
              <w:rPr>
                <w:rFonts w:ascii="Times New Roman" w:hAnsi="Times New Roman"/>
                <w:color w:val="000000"/>
                <w:lang w:eastAsia="pl-PL"/>
              </w:rPr>
              <w:t>y</w:t>
            </w:r>
            <w:r w:rsidR="00D647BB">
              <w:rPr>
                <w:rFonts w:ascii="Times New Roman" w:hAnsi="Times New Roman"/>
                <w:color w:val="000000"/>
                <w:lang w:eastAsia="pl-PL"/>
              </w:rPr>
              <w:t xml:space="preserve"> także przedstawicieli związków zawodowych. </w:t>
            </w:r>
          </w:p>
          <w:p w14:paraId="4B6F42E7" w14:textId="003694F4" w:rsidR="00723662" w:rsidRPr="007A2509" w:rsidRDefault="00723662" w:rsidP="00723662">
            <w:pPr>
              <w:autoSpaceDE w:val="0"/>
              <w:autoSpaceDN w:val="0"/>
              <w:adjustRightInd w:val="0"/>
              <w:spacing w:line="240" w:lineRule="auto"/>
              <w:jc w:val="both"/>
              <w:rPr>
                <w:rFonts w:ascii="Times New Roman" w:hAnsi="Times New Roman"/>
                <w:color w:val="000000"/>
                <w:lang w:eastAsia="pl-PL"/>
              </w:rPr>
            </w:pPr>
          </w:p>
          <w:p w14:paraId="066672A9" w14:textId="6982C699" w:rsidR="00723662" w:rsidRDefault="00723662" w:rsidP="00723662">
            <w:pPr>
              <w:spacing w:line="240" w:lineRule="auto"/>
              <w:jc w:val="both"/>
              <w:rPr>
                <w:rFonts w:ascii="Times New Roman" w:hAnsi="Times New Roman"/>
                <w:color w:val="000000"/>
                <w:spacing w:val="-2"/>
              </w:rPr>
            </w:pPr>
            <w:r w:rsidRPr="007A2509">
              <w:rPr>
                <w:rFonts w:ascii="Times New Roman" w:hAnsi="Times New Roman"/>
                <w:color w:val="000000"/>
                <w:spacing w:val="-2"/>
              </w:rPr>
              <w:t xml:space="preserve">Z uwagi na zakres projektu, który nie dotyczy praw i interesów </w:t>
            </w:r>
            <w:r w:rsidR="00AC5085">
              <w:rPr>
                <w:rFonts w:ascii="Times New Roman" w:hAnsi="Times New Roman"/>
                <w:color w:val="000000"/>
                <w:spacing w:val="-2"/>
              </w:rPr>
              <w:t>organizacji</w:t>
            </w:r>
            <w:r w:rsidR="00AC5085" w:rsidRPr="007A2509">
              <w:rPr>
                <w:rFonts w:ascii="Times New Roman" w:hAnsi="Times New Roman"/>
                <w:color w:val="000000"/>
                <w:spacing w:val="-2"/>
              </w:rPr>
              <w:t xml:space="preserve"> </w:t>
            </w:r>
            <w:r w:rsidRPr="007A2509">
              <w:rPr>
                <w:rFonts w:ascii="Times New Roman" w:hAnsi="Times New Roman"/>
                <w:color w:val="000000"/>
                <w:spacing w:val="-2"/>
              </w:rPr>
              <w:t xml:space="preserve">pracodawców, projekt nie podlega opiniowaniu przez reprezentatywne organizacje pracodawców. </w:t>
            </w:r>
          </w:p>
          <w:p w14:paraId="146DE876" w14:textId="77777777" w:rsidR="00AA08B4" w:rsidRPr="007A2509" w:rsidRDefault="00AA08B4" w:rsidP="00723662">
            <w:pPr>
              <w:spacing w:line="240" w:lineRule="auto"/>
              <w:jc w:val="both"/>
              <w:rPr>
                <w:rFonts w:ascii="Times New Roman" w:hAnsi="Times New Roman"/>
              </w:rPr>
            </w:pPr>
          </w:p>
          <w:p w14:paraId="23496F99" w14:textId="00379CD6" w:rsidR="00723662" w:rsidRDefault="00723662" w:rsidP="006F5EBA">
            <w:pPr>
              <w:autoSpaceDE w:val="0"/>
              <w:autoSpaceDN w:val="0"/>
              <w:adjustRightInd w:val="0"/>
              <w:spacing w:line="240" w:lineRule="auto"/>
              <w:jc w:val="both"/>
              <w:rPr>
                <w:rFonts w:ascii="Times New Roman" w:hAnsi="Times New Roman"/>
                <w:color w:val="000000"/>
                <w:lang w:eastAsia="pl-PL"/>
              </w:rPr>
            </w:pPr>
            <w:r w:rsidRPr="007A2509">
              <w:rPr>
                <w:rFonts w:ascii="Times New Roman" w:hAnsi="Times New Roman"/>
                <w:color w:val="000000"/>
                <w:lang w:eastAsia="pl-PL"/>
              </w:rPr>
              <w:t xml:space="preserve">Projekt </w:t>
            </w:r>
            <w:r w:rsidR="009C0CA5">
              <w:rPr>
                <w:rFonts w:ascii="Times New Roman" w:hAnsi="Times New Roman"/>
                <w:color w:val="000000"/>
                <w:lang w:eastAsia="pl-PL"/>
              </w:rPr>
              <w:t xml:space="preserve">ustawy </w:t>
            </w:r>
            <w:r w:rsidR="00A0521B">
              <w:rPr>
                <w:rFonts w:ascii="Times New Roman" w:hAnsi="Times New Roman"/>
                <w:color w:val="000000"/>
                <w:lang w:eastAsia="pl-PL"/>
              </w:rPr>
              <w:t>zostanie przekazy do zaopiniowania</w:t>
            </w:r>
            <w:r w:rsidR="00092DFA">
              <w:rPr>
                <w:rFonts w:ascii="Times New Roman" w:hAnsi="Times New Roman"/>
                <w:color w:val="000000"/>
                <w:lang w:eastAsia="pl-PL"/>
              </w:rPr>
              <w:t xml:space="preserve"> przez</w:t>
            </w:r>
            <w:r w:rsidR="00A72292">
              <w:rPr>
                <w:rFonts w:ascii="Times New Roman" w:hAnsi="Times New Roman"/>
                <w:color w:val="000000"/>
                <w:lang w:eastAsia="pl-PL"/>
              </w:rPr>
              <w:t xml:space="preserve"> </w:t>
            </w:r>
            <w:r w:rsidR="00092DFA" w:rsidRPr="007A2509">
              <w:rPr>
                <w:rFonts w:ascii="Times New Roman" w:hAnsi="Times New Roman"/>
                <w:color w:val="000000"/>
                <w:lang w:eastAsia="pl-PL"/>
              </w:rPr>
              <w:t>Komisj</w:t>
            </w:r>
            <w:r w:rsidR="00092DFA">
              <w:rPr>
                <w:rFonts w:ascii="Times New Roman" w:hAnsi="Times New Roman"/>
                <w:color w:val="000000"/>
                <w:lang w:eastAsia="pl-PL"/>
              </w:rPr>
              <w:t>ę</w:t>
            </w:r>
            <w:r w:rsidR="00092DFA" w:rsidRPr="007A2509">
              <w:rPr>
                <w:rFonts w:ascii="Times New Roman" w:hAnsi="Times New Roman"/>
                <w:color w:val="000000"/>
                <w:lang w:eastAsia="pl-PL"/>
              </w:rPr>
              <w:t xml:space="preserve"> Wspóln</w:t>
            </w:r>
            <w:r w:rsidR="00092DFA">
              <w:rPr>
                <w:rFonts w:ascii="Times New Roman" w:hAnsi="Times New Roman"/>
                <w:color w:val="000000"/>
                <w:lang w:eastAsia="pl-PL"/>
              </w:rPr>
              <w:t>ą</w:t>
            </w:r>
            <w:r w:rsidR="00092DFA" w:rsidRPr="007A2509">
              <w:rPr>
                <w:rFonts w:ascii="Times New Roman" w:hAnsi="Times New Roman"/>
                <w:color w:val="000000"/>
                <w:lang w:eastAsia="pl-PL"/>
              </w:rPr>
              <w:t xml:space="preserve"> </w:t>
            </w:r>
            <w:r w:rsidRPr="007A2509">
              <w:rPr>
                <w:rFonts w:ascii="Times New Roman" w:hAnsi="Times New Roman"/>
                <w:color w:val="000000"/>
                <w:lang w:eastAsia="pl-PL"/>
              </w:rPr>
              <w:t>Rządu i Samorządu Terytorialnego</w:t>
            </w:r>
            <w:r w:rsidR="00A80F3A">
              <w:rPr>
                <w:rFonts w:ascii="Times New Roman" w:hAnsi="Times New Roman"/>
                <w:color w:val="000000"/>
                <w:lang w:eastAsia="pl-PL"/>
              </w:rPr>
              <w:t xml:space="preserve"> (</w:t>
            </w:r>
            <w:proofErr w:type="spellStart"/>
            <w:r w:rsidR="00A80F3A">
              <w:rPr>
                <w:rFonts w:ascii="Times New Roman" w:hAnsi="Times New Roman"/>
                <w:color w:val="000000"/>
                <w:lang w:eastAsia="pl-PL"/>
              </w:rPr>
              <w:t>KWRiST</w:t>
            </w:r>
            <w:proofErr w:type="spellEnd"/>
            <w:r w:rsidR="00A80F3A">
              <w:rPr>
                <w:rFonts w:ascii="Times New Roman" w:hAnsi="Times New Roman"/>
                <w:color w:val="000000"/>
                <w:lang w:eastAsia="pl-PL"/>
              </w:rPr>
              <w:t>)</w:t>
            </w:r>
            <w:r w:rsidR="00092DFA">
              <w:rPr>
                <w:rFonts w:ascii="Times New Roman" w:hAnsi="Times New Roman"/>
                <w:color w:val="000000"/>
                <w:lang w:eastAsia="pl-PL"/>
              </w:rPr>
              <w:t>.</w:t>
            </w:r>
          </w:p>
          <w:p w14:paraId="534B0EE2" w14:textId="6E2E7421" w:rsidR="00723662" w:rsidRPr="007A2509" w:rsidRDefault="00723662" w:rsidP="00374B58">
            <w:pPr>
              <w:autoSpaceDE w:val="0"/>
              <w:autoSpaceDN w:val="0"/>
              <w:adjustRightInd w:val="0"/>
              <w:spacing w:before="240" w:line="240" w:lineRule="auto"/>
              <w:jc w:val="both"/>
              <w:rPr>
                <w:rFonts w:ascii="Times New Roman" w:hAnsi="Times New Roman"/>
                <w:color w:val="000000"/>
                <w:lang w:eastAsia="pl-PL"/>
              </w:rPr>
            </w:pPr>
            <w:r w:rsidRPr="007A2509">
              <w:rPr>
                <w:rFonts w:ascii="Times New Roman" w:hAnsi="Times New Roman"/>
                <w:color w:val="000000"/>
                <w:lang w:eastAsia="pl-PL"/>
              </w:rPr>
              <w:t xml:space="preserve">Projekt </w:t>
            </w:r>
            <w:r>
              <w:rPr>
                <w:rFonts w:ascii="Times New Roman" w:hAnsi="Times New Roman"/>
                <w:color w:val="000000"/>
                <w:lang w:eastAsia="pl-PL"/>
              </w:rPr>
              <w:t xml:space="preserve">ustawy </w:t>
            </w:r>
            <w:r w:rsidRPr="007A2509">
              <w:rPr>
                <w:rFonts w:ascii="Times New Roman" w:hAnsi="Times New Roman"/>
                <w:color w:val="000000"/>
                <w:lang w:eastAsia="pl-PL"/>
              </w:rPr>
              <w:t xml:space="preserve">nie dotyczy spraw, o których mowa w art. 1 ustawy z dnia 24 lipca 2015 r. </w:t>
            </w:r>
            <w:r w:rsidRPr="003171F4">
              <w:rPr>
                <w:rFonts w:ascii="Times New Roman" w:hAnsi="Times New Roman"/>
                <w:i/>
                <w:iCs/>
                <w:color w:val="000000"/>
                <w:lang w:eastAsia="pl-PL"/>
              </w:rPr>
              <w:t>o Radzie Dialogu Społecznego</w:t>
            </w:r>
            <w:r w:rsidRPr="007A2509">
              <w:rPr>
                <w:rFonts w:ascii="Times New Roman" w:hAnsi="Times New Roman"/>
                <w:color w:val="000000"/>
                <w:lang w:eastAsia="pl-PL"/>
              </w:rPr>
              <w:t xml:space="preserve"> i</w:t>
            </w:r>
            <w:r>
              <w:rPr>
                <w:rFonts w:ascii="Times New Roman" w:hAnsi="Times New Roman"/>
                <w:color w:val="000000"/>
                <w:lang w:eastAsia="pl-PL"/>
              </w:rPr>
              <w:t> </w:t>
            </w:r>
            <w:r w:rsidRPr="007A2509">
              <w:rPr>
                <w:rFonts w:ascii="Times New Roman" w:hAnsi="Times New Roman"/>
                <w:color w:val="000000"/>
                <w:lang w:eastAsia="pl-PL"/>
              </w:rPr>
              <w:t>innych instytucji dialogu społecznego, wobec czego nie wymaga zaopiniowania przez RDS.</w:t>
            </w:r>
          </w:p>
          <w:p w14:paraId="2A865483" w14:textId="5909BD36" w:rsidR="00723662" w:rsidRPr="007A2509" w:rsidRDefault="00723662" w:rsidP="00E55CB1">
            <w:pPr>
              <w:spacing w:line="240" w:lineRule="auto"/>
              <w:jc w:val="both"/>
              <w:rPr>
                <w:rFonts w:ascii="Times New Roman" w:hAnsi="Times New Roman"/>
                <w:lang w:eastAsia="pl-PL"/>
              </w:rPr>
            </w:pPr>
            <w:r w:rsidRPr="007A2509">
              <w:rPr>
                <w:rFonts w:ascii="Times New Roman" w:hAnsi="Times New Roman"/>
                <w:color w:val="000000"/>
                <w:lang w:eastAsia="pl-PL"/>
              </w:rPr>
              <w:t>Projekt ustawy nie wymaga przedstawienia właściwym instytucjom i organom Unii Europejskiej, w tym Europejskiemu Bankowi Centralnemu, celem uzyskania opinii, dokonania powiadomienia, konsultacji albo uzgodnienia projektu.</w:t>
            </w:r>
          </w:p>
        </w:tc>
      </w:tr>
    </w:tbl>
    <w:p w14:paraId="2EF66B62" w14:textId="77777777" w:rsidR="00BC3C23" w:rsidRPr="00515165" w:rsidRDefault="00BC3C23">
      <w:pPr>
        <w:rPr>
          <w:sz w:val="2"/>
          <w:szCs w:val="2"/>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80"/>
        <w:gridCol w:w="680"/>
        <w:gridCol w:w="796"/>
        <w:gridCol w:w="709"/>
        <w:gridCol w:w="708"/>
        <w:gridCol w:w="709"/>
        <w:gridCol w:w="709"/>
        <w:gridCol w:w="850"/>
        <w:gridCol w:w="851"/>
        <w:gridCol w:w="850"/>
        <w:gridCol w:w="709"/>
        <w:gridCol w:w="986"/>
        <w:gridCol w:w="6"/>
      </w:tblGrid>
      <w:tr w:rsidR="007E6AA4" w:rsidRPr="007E6AA4" w14:paraId="3D7E91AA" w14:textId="77777777" w:rsidTr="009603B5">
        <w:trPr>
          <w:gridAfter w:val="1"/>
          <w:wAfter w:w="6" w:type="dxa"/>
          <w:trHeight w:val="22"/>
        </w:trPr>
        <w:tc>
          <w:tcPr>
            <w:tcW w:w="10938" w:type="dxa"/>
            <w:gridSpan w:val="13"/>
            <w:shd w:val="clear" w:color="auto" w:fill="99CCFF"/>
          </w:tcPr>
          <w:p w14:paraId="6283F8E9" w14:textId="23B63C4F" w:rsidR="007E6AA4" w:rsidRPr="00515165" w:rsidRDefault="007E6AA4" w:rsidP="00723662">
            <w:pPr>
              <w:spacing w:line="240" w:lineRule="auto"/>
              <w:jc w:val="both"/>
              <w:rPr>
                <w:rFonts w:ascii="Times New Roman" w:hAnsi="Times New Roman"/>
                <w:b/>
                <w:bCs/>
                <w:color w:val="000000"/>
                <w:lang w:eastAsia="pl-PL"/>
              </w:rPr>
            </w:pPr>
            <w:r w:rsidRPr="00515165">
              <w:rPr>
                <w:rFonts w:ascii="Times New Roman" w:hAnsi="Times New Roman"/>
                <w:b/>
                <w:bCs/>
                <w:color w:val="000000"/>
              </w:rPr>
              <w:t>6. Wpływ na sektor finansów publicznych</w:t>
            </w:r>
          </w:p>
        </w:tc>
      </w:tr>
      <w:tr w:rsidR="007E6AA4" w:rsidRPr="007E6AA4" w14:paraId="7033733A" w14:textId="77777777" w:rsidTr="009603B5">
        <w:trPr>
          <w:gridAfter w:val="1"/>
          <w:wAfter w:w="6" w:type="dxa"/>
          <w:trHeight w:val="21"/>
        </w:trPr>
        <w:tc>
          <w:tcPr>
            <w:tcW w:w="1701" w:type="dxa"/>
            <w:vMerge w:val="restart"/>
            <w:shd w:val="clear" w:color="auto" w:fill="FFFFFF"/>
            <w:vAlign w:val="center"/>
          </w:tcPr>
          <w:p w14:paraId="5E6B8F39" w14:textId="53E36740" w:rsidR="007E6AA4" w:rsidRPr="00515165" w:rsidRDefault="007E6AA4"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pacing w:val="-2"/>
                <w:sz w:val="16"/>
                <w:szCs w:val="16"/>
              </w:rPr>
              <w:t>(ceny stałe z2021 r.)</w:t>
            </w:r>
          </w:p>
        </w:tc>
        <w:tc>
          <w:tcPr>
            <w:tcW w:w="9237" w:type="dxa"/>
            <w:gridSpan w:val="12"/>
            <w:shd w:val="clear" w:color="auto" w:fill="FFFFFF"/>
            <w:vAlign w:val="center"/>
          </w:tcPr>
          <w:p w14:paraId="2C1A50F9" w14:textId="5201B903" w:rsidR="007E6AA4" w:rsidRPr="00515165" w:rsidRDefault="007E6AA4" w:rsidP="00515165">
            <w:pPr>
              <w:spacing w:line="240" w:lineRule="auto"/>
              <w:jc w:val="center"/>
              <w:rPr>
                <w:rFonts w:ascii="Times New Roman" w:hAnsi="Times New Roman"/>
                <w:color w:val="000000"/>
                <w:sz w:val="16"/>
                <w:szCs w:val="16"/>
                <w:lang w:eastAsia="pl-PL"/>
              </w:rPr>
            </w:pPr>
            <w:r w:rsidRPr="00515165">
              <w:rPr>
                <w:rFonts w:ascii="Times New Roman" w:hAnsi="Times New Roman"/>
                <w:color w:val="000000"/>
                <w:sz w:val="16"/>
                <w:szCs w:val="16"/>
              </w:rPr>
              <w:t>Skutki w okresie 10 lat od wejścia w życie zmian [mln zł]</w:t>
            </w:r>
          </w:p>
        </w:tc>
      </w:tr>
      <w:tr w:rsidR="00A0521B" w:rsidRPr="007E6AA4" w14:paraId="0B5730D6" w14:textId="77777777" w:rsidTr="009603B5">
        <w:trPr>
          <w:trHeight w:val="21"/>
        </w:trPr>
        <w:tc>
          <w:tcPr>
            <w:tcW w:w="1701" w:type="dxa"/>
            <w:vMerge/>
            <w:shd w:val="clear" w:color="auto" w:fill="FFFFFF"/>
          </w:tcPr>
          <w:p w14:paraId="1D2D3105" w14:textId="77777777" w:rsidR="00A0521B" w:rsidRPr="00515165" w:rsidRDefault="00A0521B" w:rsidP="007E6AA4">
            <w:pPr>
              <w:spacing w:line="240" w:lineRule="auto"/>
              <w:jc w:val="both"/>
              <w:rPr>
                <w:rFonts w:ascii="Times New Roman" w:hAnsi="Times New Roman"/>
                <w:color w:val="000000"/>
                <w:spacing w:val="-2"/>
                <w:sz w:val="16"/>
                <w:szCs w:val="16"/>
              </w:rPr>
            </w:pPr>
          </w:p>
        </w:tc>
        <w:tc>
          <w:tcPr>
            <w:tcW w:w="680" w:type="dxa"/>
            <w:shd w:val="clear" w:color="auto" w:fill="FFFFFF"/>
            <w:vAlign w:val="center"/>
          </w:tcPr>
          <w:p w14:paraId="44B387F6" w14:textId="288FFEBF"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0</w:t>
            </w:r>
          </w:p>
        </w:tc>
        <w:tc>
          <w:tcPr>
            <w:tcW w:w="680" w:type="dxa"/>
            <w:shd w:val="clear" w:color="auto" w:fill="FFFFFF"/>
            <w:vAlign w:val="center"/>
          </w:tcPr>
          <w:p w14:paraId="3673D251" w14:textId="372CB795"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1</w:t>
            </w:r>
          </w:p>
        </w:tc>
        <w:tc>
          <w:tcPr>
            <w:tcW w:w="796" w:type="dxa"/>
            <w:shd w:val="clear" w:color="auto" w:fill="FFFFFF"/>
            <w:vAlign w:val="center"/>
          </w:tcPr>
          <w:p w14:paraId="14584120" w14:textId="498BB2EF"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2</w:t>
            </w:r>
          </w:p>
        </w:tc>
        <w:tc>
          <w:tcPr>
            <w:tcW w:w="709" w:type="dxa"/>
            <w:shd w:val="clear" w:color="auto" w:fill="FFFFFF"/>
            <w:vAlign w:val="center"/>
          </w:tcPr>
          <w:p w14:paraId="18C717FB" w14:textId="0F5C5292"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3</w:t>
            </w:r>
          </w:p>
        </w:tc>
        <w:tc>
          <w:tcPr>
            <w:tcW w:w="708" w:type="dxa"/>
            <w:shd w:val="clear" w:color="auto" w:fill="FFFFFF"/>
            <w:vAlign w:val="center"/>
          </w:tcPr>
          <w:p w14:paraId="28EFCA3B" w14:textId="63D8530D"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4</w:t>
            </w:r>
          </w:p>
        </w:tc>
        <w:tc>
          <w:tcPr>
            <w:tcW w:w="709" w:type="dxa"/>
            <w:shd w:val="clear" w:color="auto" w:fill="FFFFFF"/>
            <w:vAlign w:val="center"/>
          </w:tcPr>
          <w:p w14:paraId="122E0F4E" w14:textId="7CF6F369"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5</w:t>
            </w:r>
          </w:p>
        </w:tc>
        <w:tc>
          <w:tcPr>
            <w:tcW w:w="709" w:type="dxa"/>
            <w:shd w:val="clear" w:color="auto" w:fill="FFFFFF"/>
            <w:vAlign w:val="center"/>
          </w:tcPr>
          <w:p w14:paraId="0C0DDCF6" w14:textId="28E4ED3F"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6</w:t>
            </w:r>
          </w:p>
        </w:tc>
        <w:tc>
          <w:tcPr>
            <w:tcW w:w="850" w:type="dxa"/>
            <w:shd w:val="clear" w:color="auto" w:fill="FFFFFF"/>
            <w:vAlign w:val="center"/>
          </w:tcPr>
          <w:p w14:paraId="0AE270A2" w14:textId="716E4527"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7</w:t>
            </w:r>
          </w:p>
        </w:tc>
        <w:tc>
          <w:tcPr>
            <w:tcW w:w="851" w:type="dxa"/>
            <w:shd w:val="clear" w:color="auto" w:fill="FFFFFF"/>
            <w:vAlign w:val="center"/>
          </w:tcPr>
          <w:p w14:paraId="2C07B139" w14:textId="2E5FDD02"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8</w:t>
            </w:r>
          </w:p>
        </w:tc>
        <w:tc>
          <w:tcPr>
            <w:tcW w:w="850" w:type="dxa"/>
            <w:shd w:val="clear" w:color="auto" w:fill="FFFFFF"/>
            <w:vAlign w:val="center"/>
          </w:tcPr>
          <w:p w14:paraId="3E269E4A" w14:textId="2EAE68AC"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9</w:t>
            </w:r>
          </w:p>
        </w:tc>
        <w:tc>
          <w:tcPr>
            <w:tcW w:w="709" w:type="dxa"/>
            <w:shd w:val="clear" w:color="auto" w:fill="FFFFFF"/>
            <w:vAlign w:val="center"/>
          </w:tcPr>
          <w:p w14:paraId="6A935AC4" w14:textId="73F26B3E"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z w:val="16"/>
                <w:szCs w:val="16"/>
              </w:rPr>
              <w:t>10</w:t>
            </w:r>
          </w:p>
        </w:tc>
        <w:tc>
          <w:tcPr>
            <w:tcW w:w="992" w:type="dxa"/>
            <w:gridSpan w:val="2"/>
            <w:vMerge w:val="restart"/>
            <w:shd w:val="clear" w:color="auto" w:fill="FFFFFF"/>
            <w:vAlign w:val="center"/>
          </w:tcPr>
          <w:p w14:paraId="721C3CB7" w14:textId="45D0CEFC"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pacing w:val="-2"/>
                <w:sz w:val="16"/>
                <w:szCs w:val="16"/>
              </w:rPr>
              <w:t>Łącznie</w:t>
            </w:r>
          </w:p>
          <w:p w14:paraId="2C68C5BB" w14:textId="65ACB474" w:rsidR="00A0521B" w:rsidRPr="00515165" w:rsidRDefault="00A0521B" w:rsidP="00515165">
            <w:pPr>
              <w:spacing w:line="240" w:lineRule="auto"/>
              <w:jc w:val="center"/>
              <w:rPr>
                <w:rFonts w:ascii="Times New Roman" w:hAnsi="Times New Roman"/>
                <w:color w:val="000000"/>
                <w:spacing w:val="-2"/>
                <w:sz w:val="16"/>
                <w:szCs w:val="16"/>
              </w:rPr>
            </w:pPr>
            <w:r w:rsidRPr="00515165">
              <w:rPr>
                <w:rFonts w:ascii="Times New Roman" w:hAnsi="Times New Roman"/>
                <w:color w:val="000000"/>
                <w:spacing w:val="-2"/>
                <w:sz w:val="16"/>
                <w:szCs w:val="16"/>
              </w:rPr>
              <w:t>202</w:t>
            </w:r>
            <w:r>
              <w:rPr>
                <w:rFonts w:ascii="Times New Roman" w:hAnsi="Times New Roman"/>
                <w:color w:val="000000"/>
                <w:spacing w:val="-2"/>
                <w:sz w:val="16"/>
                <w:szCs w:val="16"/>
              </w:rPr>
              <w:t>5</w:t>
            </w:r>
            <w:r w:rsidR="00FA7ABF">
              <w:rPr>
                <w:rFonts w:ascii="Times New Roman" w:hAnsi="Times New Roman"/>
                <w:color w:val="000000"/>
                <w:spacing w:val="-2"/>
                <w:sz w:val="16"/>
                <w:szCs w:val="16"/>
              </w:rPr>
              <w:t>–</w:t>
            </w:r>
            <w:r w:rsidRPr="00515165">
              <w:rPr>
                <w:rFonts w:ascii="Times New Roman" w:hAnsi="Times New Roman"/>
                <w:color w:val="000000"/>
                <w:spacing w:val="-2"/>
                <w:sz w:val="16"/>
                <w:szCs w:val="16"/>
              </w:rPr>
              <w:t>203</w:t>
            </w:r>
            <w:r>
              <w:rPr>
                <w:rFonts w:ascii="Times New Roman" w:hAnsi="Times New Roman"/>
                <w:color w:val="000000"/>
                <w:spacing w:val="-2"/>
                <w:sz w:val="16"/>
                <w:szCs w:val="16"/>
              </w:rPr>
              <w:t>5</w:t>
            </w:r>
          </w:p>
        </w:tc>
      </w:tr>
      <w:tr w:rsidR="00A0521B" w:rsidRPr="007E2BFD" w14:paraId="7EC068A6" w14:textId="77777777" w:rsidTr="009603B5">
        <w:trPr>
          <w:trHeight w:val="21"/>
        </w:trPr>
        <w:tc>
          <w:tcPr>
            <w:tcW w:w="1701" w:type="dxa"/>
            <w:vMerge/>
            <w:shd w:val="clear" w:color="auto" w:fill="FFFFFF"/>
          </w:tcPr>
          <w:p w14:paraId="383413E7" w14:textId="77777777" w:rsidR="00A0521B" w:rsidRPr="00727348" w:rsidRDefault="00A0521B" w:rsidP="007E6AA4">
            <w:pPr>
              <w:spacing w:line="240" w:lineRule="auto"/>
              <w:jc w:val="both"/>
              <w:rPr>
                <w:rFonts w:ascii="Times New Roman" w:hAnsi="Times New Roman"/>
                <w:spacing w:val="-2"/>
              </w:rPr>
            </w:pPr>
          </w:p>
        </w:tc>
        <w:tc>
          <w:tcPr>
            <w:tcW w:w="680" w:type="dxa"/>
            <w:shd w:val="clear" w:color="auto" w:fill="FFFFFF"/>
            <w:vAlign w:val="center"/>
          </w:tcPr>
          <w:p w14:paraId="4732A7B1" w14:textId="2CEE49AC"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202</w:t>
            </w:r>
            <w:r>
              <w:rPr>
                <w:rFonts w:ascii="Times New Roman" w:hAnsi="Times New Roman"/>
                <w:sz w:val="16"/>
                <w:szCs w:val="16"/>
              </w:rPr>
              <w:t>5</w:t>
            </w:r>
          </w:p>
        </w:tc>
        <w:tc>
          <w:tcPr>
            <w:tcW w:w="680" w:type="dxa"/>
            <w:shd w:val="clear" w:color="auto" w:fill="FFFFFF"/>
            <w:vAlign w:val="center"/>
          </w:tcPr>
          <w:p w14:paraId="7D58091D" w14:textId="4C8D21F4"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202</w:t>
            </w:r>
            <w:r>
              <w:rPr>
                <w:rFonts w:ascii="Times New Roman" w:hAnsi="Times New Roman"/>
                <w:sz w:val="16"/>
                <w:szCs w:val="16"/>
              </w:rPr>
              <w:t>6</w:t>
            </w:r>
          </w:p>
        </w:tc>
        <w:tc>
          <w:tcPr>
            <w:tcW w:w="796" w:type="dxa"/>
            <w:shd w:val="clear" w:color="auto" w:fill="FFFFFF"/>
            <w:vAlign w:val="center"/>
          </w:tcPr>
          <w:p w14:paraId="3562993E" w14:textId="5D5C58A4"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202</w:t>
            </w:r>
            <w:r>
              <w:rPr>
                <w:rFonts w:ascii="Times New Roman" w:hAnsi="Times New Roman"/>
                <w:sz w:val="16"/>
                <w:szCs w:val="16"/>
              </w:rPr>
              <w:t>7</w:t>
            </w:r>
          </w:p>
        </w:tc>
        <w:tc>
          <w:tcPr>
            <w:tcW w:w="709" w:type="dxa"/>
            <w:shd w:val="clear" w:color="auto" w:fill="FFFFFF"/>
            <w:vAlign w:val="center"/>
          </w:tcPr>
          <w:p w14:paraId="229DB52B" w14:textId="3AC184F6"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202</w:t>
            </w:r>
            <w:r>
              <w:rPr>
                <w:rFonts w:ascii="Times New Roman" w:hAnsi="Times New Roman"/>
                <w:sz w:val="16"/>
                <w:szCs w:val="16"/>
              </w:rPr>
              <w:t>8</w:t>
            </w:r>
          </w:p>
        </w:tc>
        <w:tc>
          <w:tcPr>
            <w:tcW w:w="708" w:type="dxa"/>
            <w:shd w:val="clear" w:color="auto" w:fill="FFFFFF"/>
            <w:vAlign w:val="center"/>
          </w:tcPr>
          <w:p w14:paraId="173BFDB4" w14:textId="2D16B519"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202</w:t>
            </w:r>
            <w:r>
              <w:rPr>
                <w:rFonts w:ascii="Times New Roman" w:hAnsi="Times New Roman"/>
                <w:sz w:val="16"/>
                <w:szCs w:val="16"/>
              </w:rPr>
              <w:t>9</w:t>
            </w:r>
          </w:p>
        </w:tc>
        <w:tc>
          <w:tcPr>
            <w:tcW w:w="709" w:type="dxa"/>
            <w:shd w:val="clear" w:color="auto" w:fill="FFFFFF"/>
            <w:vAlign w:val="center"/>
          </w:tcPr>
          <w:p w14:paraId="73809603" w14:textId="5B2E50DA"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w:t>
            </w:r>
            <w:r>
              <w:rPr>
                <w:rFonts w:ascii="Times New Roman" w:hAnsi="Times New Roman"/>
                <w:sz w:val="16"/>
                <w:szCs w:val="16"/>
              </w:rPr>
              <w:t>30</w:t>
            </w:r>
          </w:p>
        </w:tc>
        <w:tc>
          <w:tcPr>
            <w:tcW w:w="709" w:type="dxa"/>
            <w:shd w:val="clear" w:color="auto" w:fill="FFFFFF"/>
            <w:vAlign w:val="center"/>
          </w:tcPr>
          <w:p w14:paraId="2707F710" w14:textId="1AE0B40F"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w:t>
            </w:r>
            <w:r>
              <w:rPr>
                <w:rFonts w:ascii="Times New Roman" w:hAnsi="Times New Roman"/>
                <w:sz w:val="16"/>
                <w:szCs w:val="16"/>
              </w:rPr>
              <w:t>31</w:t>
            </w:r>
          </w:p>
        </w:tc>
        <w:tc>
          <w:tcPr>
            <w:tcW w:w="850" w:type="dxa"/>
            <w:shd w:val="clear" w:color="auto" w:fill="FFFFFF"/>
            <w:vAlign w:val="center"/>
          </w:tcPr>
          <w:p w14:paraId="779DF1F5" w14:textId="39685667"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203</w:t>
            </w:r>
            <w:r>
              <w:rPr>
                <w:rFonts w:ascii="Times New Roman" w:hAnsi="Times New Roman"/>
                <w:sz w:val="16"/>
                <w:szCs w:val="16"/>
              </w:rPr>
              <w:t>2</w:t>
            </w:r>
          </w:p>
        </w:tc>
        <w:tc>
          <w:tcPr>
            <w:tcW w:w="851" w:type="dxa"/>
            <w:shd w:val="clear" w:color="auto" w:fill="FFFFFF"/>
            <w:vAlign w:val="center"/>
          </w:tcPr>
          <w:p w14:paraId="01583959" w14:textId="72C774AC"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203</w:t>
            </w:r>
            <w:r>
              <w:rPr>
                <w:rFonts w:ascii="Times New Roman" w:hAnsi="Times New Roman"/>
                <w:sz w:val="16"/>
                <w:szCs w:val="16"/>
              </w:rPr>
              <w:t>3</w:t>
            </w:r>
          </w:p>
        </w:tc>
        <w:tc>
          <w:tcPr>
            <w:tcW w:w="850" w:type="dxa"/>
            <w:shd w:val="clear" w:color="auto" w:fill="FFFFFF"/>
            <w:vAlign w:val="center"/>
          </w:tcPr>
          <w:p w14:paraId="309CA9D4" w14:textId="68D3E0B8"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203</w:t>
            </w:r>
            <w:r>
              <w:rPr>
                <w:rFonts w:ascii="Times New Roman" w:hAnsi="Times New Roman"/>
                <w:sz w:val="16"/>
                <w:szCs w:val="16"/>
              </w:rPr>
              <w:t>4</w:t>
            </w:r>
          </w:p>
        </w:tc>
        <w:tc>
          <w:tcPr>
            <w:tcW w:w="709" w:type="dxa"/>
            <w:shd w:val="clear" w:color="auto" w:fill="FFFFFF"/>
            <w:vAlign w:val="center"/>
          </w:tcPr>
          <w:p w14:paraId="052C0116" w14:textId="2360E4F6" w:rsidR="00A0521B" w:rsidRPr="00727348" w:rsidRDefault="00A0521B" w:rsidP="00515165">
            <w:pPr>
              <w:spacing w:line="240" w:lineRule="auto"/>
              <w:jc w:val="center"/>
              <w:rPr>
                <w:rFonts w:ascii="Times New Roman" w:hAnsi="Times New Roman"/>
                <w:spacing w:val="-2"/>
                <w:sz w:val="16"/>
                <w:szCs w:val="16"/>
              </w:rPr>
            </w:pPr>
            <w:r w:rsidRPr="00727348">
              <w:rPr>
                <w:rFonts w:ascii="Times New Roman" w:hAnsi="Times New Roman"/>
                <w:sz w:val="16"/>
                <w:szCs w:val="16"/>
              </w:rPr>
              <w:t>203</w:t>
            </w:r>
            <w:r>
              <w:rPr>
                <w:rFonts w:ascii="Times New Roman" w:hAnsi="Times New Roman"/>
                <w:sz w:val="16"/>
                <w:szCs w:val="16"/>
              </w:rPr>
              <w:t>5</w:t>
            </w:r>
          </w:p>
        </w:tc>
        <w:tc>
          <w:tcPr>
            <w:tcW w:w="992" w:type="dxa"/>
            <w:gridSpan w:val="2"/>
            <w:vMerge/>
            <w:shd w:val="clear" w:color="auto" w:fill="FFFFFF"/>
            <w:vAlign w:val="center"/>
          </w:tcPr>
          <w:p w14:paraId="3B168185" w14:textId="10B2D8CE" w:rsidR="00A0521B" w:rsidRPr="00727348" w:rsidRDefault="00A0521B" w:rsidP="00515165">
            <w:pPr>
              <w:spacing w:line="240" w:lineRule="auto"/>
              <w:jc w:val="center"/>
              <w:rPr>
                <w:rFonts w:ascii="Times New Roman" w:hAnsi="Times New Roman"/>
                <w:spacing w:val="-2"/>
                <w:sz w:val="18"/>
                <w:szCs w:val="18"/>
              </w:rPr>
            </w:pPr>
          </w:p>
        </w:tc>
      </w:tr>
      <w:tr w:rsidR="009603B5" w:rsidRPr="007E2BFD" w14:paraId="64FF110E" w14:textId="77777777" w:rsidTr="009603B5">
        <w:trPr>
          <w:trHeight w:val="21"/>
        </w:trPr>
        <w:tc>
          <w:tcPr>
            <w:tcW w:w="1701" w:type="dxa"/>
            <w:shd w:val="clear" w:color="auto" w:fill="FFFFFF"/>
            <w:vAlign w:val="center"/>
          </w:tcPr>
          <w:p w14:paraId="03F81FDA" w14:textId="46A179DA" w:rsidR="00A10EFB" w:rsidRPr="007E2BFD" w:rsidRDefault="00A10EFB" w:rsidP="00A10EFB">
            <w:pPr>
              <w:spacing w:line="240" w:lineRule="auto"/>
              <w:jc w:val="both"/>
              <w:rPr>
                <w:rFonts w:ascii="Times New Roman" w:hAnsi="Times New Roman"/>
                <w:spacing w:val="-2"/>
                <w:sz w:val="14"/>
                <w:szCs w:val="14"/>
              </w:rPr>
            </w:pPr>
            <w:r w:rsidRPr="007E2BFD">
              <w:rPr>
                <w:rFonts w:ascii="Times New Roman" w:hAnsi="Times New Roman"/>
                <w:b/>
                <w:bCs/>
                <w:sz w:val="14"/>
                <w:szCs w:val="14"/>
              </w:rPr>
              <w:t>Dochody ogółem</w:t>
            </w:r>
          </w:p>
        </w:tc>
        <w:tc>
          <w:tcPr>
            <w:tcW w:w="680" w:type="dxa"/>
            <w:shd w:val="clear" w:color="auto" w:fill="FFFFFF"/>
          </w:tcPr>
          <w:p w14:paraId="26BBB8F7" w14:textId="3BCC74B7"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w:t>
            </w:r>
          </w:p>
        </w:tc>
        <w:tc>
          <w:tcPr>
            <w:tcW w:w="680" w:type="dxa"/>
            <w:shd w:val="clear" w:color="auto" w:fill="FFFFFF"/>
          </w:tcPr>
          <w:p w14:paraId="0AB3A517" w14:textId="2DA66620"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0,079</w:t>
            </w:r>
          </w:p>
        </w:tc>
        <w:tc>
          <w:tcPr>
            <w:tcW w:w="796" w:type="dxa"/>
            <w:shd w:val="clear" w:color="auto" w:fill="FFFFFF"/>
          </w:tcPr>
          <w:p w14:paraId="28D1102A" w14:textId="63A8A4B4"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0,016</w:t>
            </w:r>
          </w:p>
        </w:tc>
        <w:tc>
          <w:tcPr>
            <w:tcW w:w="709" w:type="dxa"/>
            <w:shd w:val="clear" w:color="auto" w:fill="FFFFFF"/>
          </w:tcPr>
          <w:p w14:paraId="7765E68F" w14:textId="57C36761"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0,127</w:t>
            </w:r>
          </w:p>
        </w:tc>
        <w:tc>
          <w:tcPr>
            <w:tcW w:w="708" w:type="dxa"/>
            <w:shd w:val="clear" w:color="auto" w:fill="FFFFFF"/>
          </w:tcPr>
          <w:p w14:paraId="1B4AEAD8" w14:textId="7E61D3D8"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0,016</w:t>
            </w:r>
          </w:p>
        </w:tc>
        <w:tc>
          <w:tcPr>
            <w:tcW w:w="709" w:type="dxa"/>
            <w:shd w:val="clear" w:color="auto" w:fill="FFFFFF"/>
          </w:tcPr>
          <w:p w14:paraId="242033B7" w14:textId="0A08FCFC"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0,173</w:t>
            </w:r>
          </w:p>
        </w:tc>
        <w:tc>
          <w:tcPr>
            <w:tcW w:w="709" w:type="dxa"/>
            <w:shd w:val="clear" w:color="auto" w:fill="FFFFFF"/>
          </w:tcPr>
          <w:p w14:paraId="026CC5C1" w14:textId="15DDF83C"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0,016</w:t>
            </w:r>
          </w:p>
        </w:tc>
        <w:tc>
          <w:tcPr>
            <w:tcW w:w="850" w:type="dxa"/>
            <w:shd w:val="clear" w:color="auto" w:fill="FFFFFF"/>
          </w:tcPr>
          <w:p w14:paraId="21EB4186" w14:textId="7F88E179"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0,173</w:t>
            </w:r>
          </w:p>
        </w:tc>
        <w:tc>
          <w:tcPr>
            <w:tcW w:w="851" w:type="dxa"/>
            <w:shd w:val="clear" w:color="auto" w:fill="FFFFFF"/>
          </w:tcPr>
          <w:p w14:paraId="593D854D" w14:textId="413ECA54"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0,016</w:t>
            </w:r>
          </w:p>
        </w:tc>
        <w:tc>
          <w:tcPr>
            <w:tcW w:w="850" w:type="dxa"/>
            <w:shd w:val="clear" w:color="auto" w:fill="FFFFFF"/>
          </w:tcPr>
          <w:p w14:paraId="282FC0BA" w14:textId="20E4DD99"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0,173</w:t>
            </w:r>
          </w:p>
        </w:tc>
        <w:tc>
          <w:tcPr>
            <w:tcW w:w="709" w:type="dxa"/>
            <w:shd w:val="clear" w:color="auto" w:fill="FFFFFF"/>
          </w:tcPr>
          <w:p w14:paraId="4B016CAC" w14:textId="0715EB56"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0,016</w:t>
            </w:r>
          </w:p>
        </w:tc>
        <w:tc>
          <w:tcPr>
            <w:tcW w:w="992" w:type="dxa"/>
            <w:gridSpan w:val="2"/>
            <w:shd w:val="clear" w:color="auto" w:fill="FFFFFF"/>
          </w:tcPr>
          <w:p w14:paraId="11E1E03F" w14:textId="6EF1F0EC" w:rsidR="00A10EFB" w:rsidRPr="00A10EFB" w:rsidRDefault="00A10EFB" w:rsidP="00A10EFB">
            <w:pPr>
              <w:spacing w:line="240" w:lineRule="auto"/>
              <w:jc w:val="right"/>
              <w:rPr>
                <w:rFonts w:ascii="Times New Roman" w:hAnsi="Times New Roman"/>
                <w:b/>
                <w:bCs/>
                <w:sz w:val="14"/>
                <w:szCs w:val="14"/>
              </w:rPr>
            </w:pPr>
            <w:r w:rsidRPr="009C0671">
              <w:rPr>
                <w:rFonts w:ascii="Times New Roman" w:hAnsi="Times New Roman"/>
                <w:b/>
                <w:bCs/>
                <w:sz w:val="14"/>
                <w:szCs w:val="14"/>
              </w:rPr>
              <w:t>0,805</w:t>
            </w:r>
          </w:p>
        </w:tc>
      </w:tr>
      <w:tr w:rsidR="00A0521B" w:rsidRPr="007E2BFD" w14:paraId="66DDBBD9" w14:textId="77777777" w:rsidTr="009603B5">
        <w:trPr>
          <w:trHeight w:val="21"/>
        </w:trPr>
        <w:tc>
          <w:tcPr>
            <w:tcW w:w="1701" w:type="dxa"/>
            <w:shd w:val="clear" w:color="auto" w:fill="FFFFFF"/>
            <w:vAlign w:val="center"/>
          </w:tcPr>
          <w:p w14:paraId="06CA52AF" w14:textId="52B46DCB"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budżet państwa </w:t>
            </w:r>
            <w:r w:rsidR="00783664">
              <w:rPr>
                <w:rFonts w:ascii="Times New Roman" w:hAnsi="Times New Roman"/>
                <w:sz w:val="14"/>
                <w:szCs w:val="14"/>
              </w:rPr>
              <w:t>(</w:t>
            </w:r>
            <w:r w:rsidRPr="007E2BFD">
              <w:rPr>
                <w:rFonts w:ascii="Times New Roman" w:hAnsi="Times New Roman"/>
                <w:sz w:val="14"/>
                <w:szCs w:val="14"/>
              </w:rPr>
              <w:t>PIT</w:t>
            </w:r>
            <w:r w:rsidR="00783664">
              <w:rPr>
                <w:rFonts w:ascii="Times New Roman" w:hAnsi="Times New Roman"/>
                <w:sz w:val="14"/>
                <w:szCs w:val="14"/>
              </w:rPr>
              <w:t>)</w:t>
            </w:r>
          </w:p>
        </w:tc>
        <w:tc>
          <w:tcPr>
            <w:tcW w:w="680" w:type="dxa"/>
            <w:shd w:val="clear" w:color="auto" w:fill="FFFFFF"/>
            <w:vAlign w:val="center"/>
          </w:tcPr>
          <w:p w14:paraId="1F8ECD5D" w14:textId="6EE4D97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446932E4" w14:textId="7EA77E6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0,005</w:t>
            </w:r>
          </w:p>
        </w:tc>
        <w:tc>
          <w:tcPr>
            <w:tcW w:w="796" w:type="dxa"/>
            <w:shd w:val="clear" w:color="auto" w:fill="FFFFFF"/>
            <w:vAlign w:val="center"/>
          </w:tcPr>
          <w:p w14:paraId="12D220F5" w14:textId="6339F27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22471F76" w14:textId="31C80C7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0,008</w:t>
            </w:r>
          </w:p>
        </w:tc>
        <w:tc>
          <w:tcPr>
            <w:tcW w:w="708" w:type="dxa"/>
            <w:shd w:val="clear" w:color="auto" w:fill="FFFFFF"/>
            <w:vAlign w:val="center"/>
          </w:tcPr>
          <w:p w14:paraId="1D8EBE26" w14:textId="31E50FEB"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082167D6" w14:textId="1733A658"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049940C8" w14:textId="013E127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0656E970" w14:textId="38CBB78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851" w:type="dxa"/>
            <w:shd w:val="clear" w:color="auto" w:fill="FFFFFF"/>
            <w:vAlign w:val="center"/>
          </w:tcPr>
          <w:p w14:paraId="4F462AAE" w14:textId="0356336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51E02981" w14:textId="2155D8A9"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1FA520F8" w14:textId="549B21D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992" w:type="dxa"/>
            <w:gridSpan w:val="2"/>
            <w:shd w:val="clear" w:color="auto" w:fill="FFFFFF"/>
            <w:vAlign w:val="center"/>
          </w:tcPr>
          <w:p w14:paraId="26E384B8" w14:textId="37CB817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0,049</w:t>
            </w:r>
          </w:p>
        </w:tc>
      </w:tr>
      <w:tr w:rsidR="00A0521B" w:rsidRPr="007E2BFD" w14:paraId="421349C6" w14:textId="77777777" w:rsidTr="009603B5">
        <w:trPr>
          <w:trHeight w:val="21"/>
        </w:trPr>
        <w:tc>
          <w:tcPr>
            <w:tcW w:w="1701" w:type="dxa"/>
            <w:shd w:val="clear" w:color="auto" w:fill="FFFFFF"/>
            <w:vAlign w:val="center"/>
          </w:tcPr>
          <w:p w14:paraId="737F8EEE" w14:textId="5C787AF5"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NFOŚiGW </w:t>
            </w:r>
          </w:p>
        </w:tc>
        <w:tc>
          <w:tcPr>
            <w:tcW w:w="680" w:type="dxa"/>
            <w:shd w:val="clear" w:color="auto" w:fill="FFFFFF"/>
            <w:vAlign w:val="center"/>
          </w:tcPr>
          <w:p w14:paraId="01041768" w14:textId="1511EE3C"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1502A65C" w14:textId="2743138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96" w:type="dxa"/>
            <w:shd w:val="clear" w:color="auto" w:fill="FFFFFF"/>
            <w:vAlign w:val="center"/>
          </w:tcPr>
          <w:p w14:paraId="21B4C608" w14:textId="4F3B97DB"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2F1DDF23" w14:textId="1EAD507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8" w:type="dxa"/>
            <w:shd w:val="clear" w:color="auto" w:fill="FFFFFF"/>
            <w:vAlign w:val="center"/>
          </w:tcPr>
          <w:p w14:paraId="280602B8" w14:textId="5C8FBF6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09A30322" w14:textId="18609B0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4DBBE69C" w14:textId="38C92663"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3C8ADA28" w14:textId="015397F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1" w:type="dxa"/>
            <w:shd w:val="clear" w:color="auto" w:fill="FFFFFF"/>
            <w:vAlign w:val="center"/>
          </w:tcPr>
          <w:p w14:paraId="35E00CD8" w14:textId="3FF0630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6F598BEA" w14:textId="362783A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59597ADB" w14:textId="28AB6B9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992" w:type="dxa"/>
            <w:gridSpan w:val="2"/>
            <w:shd w:val="clear" w:color="auto" w:fill="FFFFFF"/>
            <w:vAlign w:val="center"/>
          </w:tcPr>
          <w:p w14:paraId="5AF02429" w14:textId="26C3E78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0,000</w:t>
            </w:r>
          </w:p>
        </w:tc>
      </w:tr>
      <w:tr w:rsidR="00A0521B" w:rsidRPr="007E2BFD" w14:paraId="61AF6826" w14:textId="77777777" w:rsidTr="009603B5">
        <w:trPr>
          <w:trHeight w:val="21"/>
        </w:trPr>
        <w:tc>
          <w:tcPr>
            <w:tcW w:w="1701" w:type="dxa"/>
            <w:shd w:val="clear" w:color="auto" w:fill="FFFFFF"/>
            <w:vAlign w:val="center"/>
          </w:tcPr>
          <w:p w14:paraId="3349766E" w14:textId="6BED367B"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FUS </w:t>
            </w:r>
          </w:p>
        </w:tc>
        <w:tc>
          <w:tcPr>
            <w:tcW w:w="680" w:type="dxa"/>
            <w:shd w:val="clear" w:color="auto" w:fill="FFFFFF"/>
            <w:vAlign w:val="center"/>
          </w:tcPr>
          <w:p w14:paraId="59CFD60F" w14:textId="064FFFDA"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1553D9FD" w14:textId="1029FDD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0,052</w:t>
            </w:r>
          </w:p>
        </w:tc>
        <w:tc>
          <w:tcPr>
            <w:tcW w:w="796" w:type="dxa"/>
            <w:shd w:val="clear" w:color="auto" w:fill="FFFFFF"/>
            <w:vAlign w:val="center"/>
          </w:tcPr>
          <w:p w14:paraId="4CDE7EE6" w14:textId="11CABDD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0EB71C0B" w14:textId="753826B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0,083</w:t>
            </w:r>
          </w:p>
        </w:tc>
        <w:tc>
          <w:tcPr>
            <w:tcW w:w="708" w:type="dxa"/>
            <w:shd w:val="clear" w:color="auto" w:fill="FFFFFF"/>
            <w:vAlign w:val="center"/>
          </w:tcPr>
          <w:p w14:paraId="21BB8759" w14:textId="463D4DD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32442166" w14:textId="7E2BF280"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0,112</w:t>
            </w:r>
          </w:p>
        </w:tc>
        <w:tc>
          <w:tcPr>
            <w:tcW w:w="709" w:type="dxa"/>
            <w:shd w:val="clear" w:color="auto" w:fill="FFFFFF"/>
            <w:vAlign w:val="center"/>
          </w:tcPr>
          <w:p w14:paraId="7AC20524" w14:textId="4A0043E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850" w:type="dxa"/>
            <w:shd w:val="clear" w:color="auto" w:fill="FFFFFF"/>
            <w:vAlign w:val="center"/>
          </w:tcPr>
          <w:p w14:paraId="004C3409" w14:textId="7B09C77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0,112</w:t>
            </w:r>
          </w:p>
        </w:tc>
        <w:tc>
          <w:tcPr>
            <w:tcW w:w="851" w:type="dxa"/>
            <w:shd w:val="clear" w:color="auto" w:fill="FFFFFF"/>
            <w:vAlign w:val="center"/>
          </w:tcPr>
          <w:p w14:paraId="0674FDC9" w14:textId="5333E35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850" w:type="dxa"/>
            <w:shd w:val="clear" w:color="auto" w:fill="FFFFFF"/>
            <w:vAlign w:val="center"/>
          </w:tcPr>
          <w:p w14:paraId="5138CA8E" w14:textId="3E2907B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0,112</w:t>
            </w:r>
          </w:p>
        </w:tc>
        <w:tc>
          <w:tcPr>
            <w:tcW w:w="709" w:type="dxa"/>
            <w:shd w:val="clear" w:color="auto" w:fill="FFFFFF"/>
            <w:vAlign w:val="center"/>
          </w:tcPr>
          <w:p w14:paraId="0ABF9D31" w14:textId="5E39802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992" w:type="dxa"/>
            <w:gridSpan w:val="2"/>
            <w:shd w:val="clear" w:color="auto" w:fill="FFFFFF"/>
            <w:vAlign w:val="center"/>
          </w:tcPr>
          <w:p w14:paraId="519B542E" w14:textId="47BE22B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0,531</w:t>
            </w:r>
          </w:p>
        </w:tc>
      </w:tr>
      <w:tr w:rsidR="00A0521B" w:rsidRPr="007E2BFD" w14:paraId="172E3B87" w14:textId="77777777" w:rsidTr="009603B5">
        <w:trPr>
          <w:trHeight w:val="21"/>
        </w:trPr>
        <w:tc>
          <w:tcPr>
            <w:tcW w:w="1701" w:type="dxa"/>
            <w:shd w:val="clear" w:color="auto" w:fill="FFFFFF"/>
            <w:vAlign w:val="center"/>
          </w:tcPr>
          <w:p w14:paraId="2664331B" w14:textId="461708B7"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NFZ </w:t>
            </w:r>
          </w:p>
        </w:tc>
        <w:tc>
          <w:tcPr>
            <w:tcW w:w="680" w:type="dxa"/>
            <w:shd w:val="clear" w:color="auto" w:fill="FFFFFF"/>
            <w:vAlign w:val="center"/>
          </w:tcPr>
          <w:p w14:paraId="1D6ECFEB" w14:textId="7CB628FF"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3F2B34ED" w14:textId="3619D13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0,013</w:t>
            </w:r>
          </w:p>
        </w:tc>
        <w:tc>
          <w:tcPr>
            <w:tcW w:w="796" w:type="dxa"/>
            <w:shd w:val="clear" w:color="auto" w:fill="FFFFFF"/>
            <w:vAlign w:val="center"/>
          </w:tcPr>
          <w:p w14:paraId="779A37AB" w14:textId="2ABE19C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709" w:type="dxa"/>
            <w:shd w:val="clear" w:color="auto" w:fill="FFFFFF"/>
            <w:vAlign w:val="center"/>
          </w:tcPr>
          <w:p w14:paraId="72569793" w14:textId="7B6A321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0,020</w:t>
            </w:r>
          </w:p>
        </w:tc>
        <w:tc>
          <w:tcPr>
            <w:tcW w:w="708" w:type="dxa"/>
            <w:shd w:val="clear" w:color="auto" w:fill="FFFFFF"/>
            <w:vAlign w:val="center"/>
          </w:tcPr>
          <w:p w14:paraId="7F01D75D" w14:textId="238E67D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709" w:type="dxa"/>
            <w:shd w:val="clear" w:color="auto" w:fill="FFFFFF"/>
            <w:vAlign w:val="center"/>
          </w:tcPr>
          <w:p w14:paraId="04AFF975" w14:textId="048210C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0,028</w:t>
            </w:r>
          </w:p>
        </w:tc>
        <w:tc>
          <w:tcPr>
            <w:tcW w:w="709" w:type="dxa"/>
            <w:shd w:val="clear" w:color="auto" w:fill="FFFFFF"/>
            <w:vAlign w:val="center"/>
          </w:tcPr>
          <w:p w14:paraId="6E01BBEB" w14:textId="263DEBD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850" w:type="dxa"/>
            <w:shd w:val="clear" w:color="auto" w:fill="FFFFFF"/>
            <w:vAlign w:val="center"/>
          </w:tcPr>
          <w:p w14:paraId="53930BF9" w14:textId="6124079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0,028</w:t>
            </w:r>
          </w:p>
        </w:tc>
        <w:tc>
          <w:tcPr>
            <w:tcW w:w="851" w:type="dxa"/>
            <w:shd w:val="clear" w:color="auto" w:fill="FFFFFF"/>
            <w:vAlign w:val="center"/>
          </w:tcPr>
          <w:p w14:paraId="4B3F34FC" w14:textId="75DA596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850" w:type="dxa"/>
            <w:shd w:val="clear" w:color="auto" w:fill="FFFFFF"/>
            <w:vAlign w:val="center"/>
          </w:tcPr>
          <w:p w14:paraId="52E0861B" w14:textId="2C65D490"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0,028</w:t>
            </w:r>
          </w:p>
        </w:tc>
        <w:tc>
          <w:tcPr>
            <w:tcW w:w="709" w:type="dxa"/>
            <w:shd w:val="clear" w:color="auto" w:fill="FFFFFF"/>
            <w:vAlign w:val="center"/>
          </w:tcPr>
          <w:p w14:paraId="0A859C7E" w14:textId="4566561C"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992" w:type="dxa"/>
            <w:gridSpan w:val="2"/>
            <w:shd w:val="clear" w:color="auto" w:fill="FFFFFF"/>
            <w:vAlign w:val="center"/>
          </w:tcPr>
          <w:p w14:paraId="389D59BD" w14:textId="2F7BE8A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0,132</w:t>
            </w:r>
          </w:p>
        </w:tc>
      </w:tr>
      <w:tr w:rsidR="00A0521B" w:rsidRPr="007E2BFD" w14:paraId="4AA50EBD" w14:textId="77777777" w:rsidTr="009603B5">
        <w:trPr>
          <w:trHeight w:val="21"/>
        </w:trPr>
        <w:tc>
          <w:tcPr>
            <w:tcW w:w="1701" w:type="dxa"/>
            <w:shd w:val="clear" w:color="auto" w:fill="FFFFFF"/>
            <w:vAlign w:val="center"/>
          </w:tcPr>
          <w:p w14:paraId="466B7E10" w14:textId="54B81718"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Fundusz Pracy</w:t>
            </w:r>
          </w:p>
        </w:tc>
        <w:tc>
          <w:tcPr>
            <w:tcW w:w="680" w:type="dxa"/>
            <w:shd w:val="clear" w:color="auto" w:fill="FFFFFF"/>
            <w:vAlign w:val="center"/>
          </w:tcPr>
          <w:p w14:paraId="5A6A555E" w14:textId="355AD4C0"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3C59D02A" w14:textId="3B02F01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0,002</w:t>
            </w:r>
          </w:p>
        </w:tc>
        <w:tc>
          <w:tcPr>
            <w:tcW w:w="796" w:type="dxa"/>
            <w:shd w:val="clear" w:color="auto" w:fill="FFFFFF"/>
            <w:vAlign w:val="center"/>
          </w:tcPr>
          <w:p w14:paraId="5C93AD01" w14:textId="67319099"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2860DFB9" w14:textId="5897A59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0,003</w:t>
            </w:r>
          </w:p>
        </w:tc>
        <w:tc>
          <w:tcPr>
            <w:tcW w:w="708" w:type="dxa"/>
            <w:shd w:val="clear" w:color="auto" w:fill="FFFFFF"/>
            <w:vAlign w:val="center"/>
          </w:tcPr>
          <w:p w14:paraId="27738650" w14:textId="5950659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15F47731" w14:textId="328C591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0,004</w:t>
            </w:r>
          </w:p>
        </w:tc>
        <w:tc>
          <w:tcPr>
            <w:tcW w:w="709" w:type="dxa"/>
            <w:shd w:val="clear" w:color="auto" w:fill="FFFFFF"/>
            <w:vAlign w:val="center"/>
          </w:tcPr>
          <w:p w14:paraId="5E8D5B41" w14:textId="1E99A6C9"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6FF2BF40" w14:textId="2561B5E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0,004</w:t>
            </w:r>
          </w:p>
        </w:tc>
        <w:tc>
          <w:tcPr>
            <w:tcW w:w="851" w:type="dxa"/>
            <w:shd w:val="clear" w:color="auto" w:fill="FFFFFF"/>
            <w:vAlign w:val="center"/>
          </w:tcPr>
          <w:p w14:paraId="4E9FF701" w14:textId="354F7C2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69D3CBD6" w14:textId="55C525C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0,004</w:t>
            </w:r>
          </w:p>
        </w:tc>
        <w:tc>
          <w:tcPr>
            <w:tcW w:w="709" w:type="dxa"/>
            <w:shd w:val="clear" w:color="auto" w:fill="FFFFFF"/>
            <w:vAlign w:val="center"/>
          </w:tcPr>
          <w:p w14:paraId="7D3FAED9" w14:textId="46704C8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992" w:type="dxa"/>
            <w:gridSpan w:val="2"/>
            <w:shd w:val="clear" w:color="auto" w:fill="FFFFFF"/>
            <w:vAlign w:val="center"/>
          </w:tcPr>
          <w:p w14:paraId="15C04F37" w14:textId="3A1090F3"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0,017</w:t>
            </w:r>
          </w:p>
        </w:tc>
      </w:tr>
      <w:tr w:rsidR="00A0521B" w:rsidRPr="007E2BFD" w14:paraId="5F3F307F" w14:textId="77777777" w:rsidTr="009603B5">
        <w:trPr>
          <w:trHeight w:val="21"/>
        </w:trPr>
        <w:tc>
          <w:tcPr>
            <w:tcW w:w="1701" w:type="dxa"/>
            <w:shd w:val="clear" w:color="auto" w:fill="FFFFFF"/>
            <w:vAlign w:val="center"/>
          </w:tcPr>
          <w:p w14:paraId="1F7CC8E6" w14:textId="78A0AC34"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Fundusz Solidarnościowy</w:t>
            </w:r>
          </w:p>
        </w:tc>
        <w:tc>
          <w:tcPr>
            <w:tcW w:w="680" w:type="dxa"/>
            <w:shd w:val="clear" w:color="auto" w:fill="FFFFFF"/>
            <w:vAlign w:val="center"/>
          </w:tcPr>
          <w:p w14:paraId="100D9F39" w14:textId="46FB3AA8"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75A206A6" w14:textId="497424F3"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0,002</w:t>
            </w:r>
          </w:p>
        </w:tc>
        <w:tc>
          <w:tcPr>
            <w:tcW w:w="796" w:type="dxa"/>
            <w:shd w:val="clear" w:color="auto" w:fill="FFFFFF"/>
            <w:vAlign w:val="center"/>
          </w:tcPr>
          <w:p w14:paraId="63E6104E" w14:textId="15B8E73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0,001</w:t>
            </w:r>
          </w:p>
        </w:tc>
        <w:tc>
          <w:tcPr>
            <w:tcW w:w="709" w:type="dxa"/>
            <w:shd w:val="clear" w:color="auto" w:fill="FFFFFF"/>
            <w:vAlign w:val="center"/>
          </w:tcPr>
          <w:p w14:paraId="0C0C5FDF" w14:textId="6D4B387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0,004</w:t>
            </w:r>
          </w:p>
        </w:tc>
        <w:tc>
          <w:tcPr>
            <w:tcW w:w="708" w:type="dxa"/>
            <w:shd w:val="clear" w:color="auto" w:fill="FFFFFF"/>
            <w:vAlign w:val="center"/>
          </w:tcPr>
          <w:p w14:paraId="51C6B831" w14:textId="570EBE7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0,001</w:t>
            </w:r>
          </w:p>
        </w:tc>
        <w:tc>
          <w:tcPr>
            <w:tcW w:w="709" w:type="dxa"/>
            <w:shd w:val="clear" w:color="auto" w:fill="FFFFFF"/>
            <w:vAlign w:val="center"/>
          </w:tcPr>
          <w:p w14:paraId="4F9502E5" w14:textId="7518DA3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0,005</w:t>
            </w:r>
          </w:p>
        </w:tc>
        <w:tc>
          <w:tcPr>
            <w:tcW w:w="709" w:type="dxa"/>
            <w:shd w:val="clear" w:color="auto" w:fill="FFFFFF"/>
            <w:vAlign w:val="center"/>
          </w:tcPr>
          <w:p w14:paraId="229CF5E4" w14:textId="647AAB2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0,001</w:t>
            </w:r>
          </w:p>
        </w:tc>
        <w:tc>
          <w:tcPr>
            <w:tcW w:w="850" w:type="dxa"/>
            <w:shd w:val="clear" w:color="auto" w:fill="FFFFFF"/>
            <w:vAlign w:val="center"/>
          </w:tcPr>
          <w:p w14:paraId="7A91F87A" w14:textId="6B13C4BE"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0,005</w:t>
            </w:r>
          </w:p>
        </w:tc>
        <w:tc>
          <w:tcPr>
            <w:tcW w:w="851" w:type="dxa"/>
            <w:shd w:val="clear" w:color="auto" w:fill="FFFFFF"/>
            <w:vAlign w:val="center"/>
          </w:tcPr>
          <w:p w14:paraId="4CF6598E" w14:textId="05F3CBA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0,001</w:t>
            </w:r>
          </w:p>
        </w:tc>
        <w:tc>
          <w:tcPr>
            <w:tcW w:w="850" w:type="dxa"/>
            <w:shd w:val="clear" w:color="auto" w:fill="FFFFFF"/>
            <w:vAlign w:val="center"/>
          </w:tcPr>
          <w:p w14:paraId="21D67288" w14:textId="30D744A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0,005</w:t>
            </w:r>
          </w:p>
        </w:tc>
        <w:tc>
          <w:tcPr>
            <w:tcW w:w="709" w:type="dxa"/>
            <w:shd w:val="clear" w:color="auto" w:fill="FFFFFF"/>
            <w:vAlign w:val="center"/>
          </w:tcPr>
          <w:p w14:paraId="3AF48BFF" w14:textId="2991D62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0,001</w:t>
            </w:r>
          </w:p>
        </w:tc>
        <w:tc>
          <w:tcPr>
            <w:tcW w:w="992" w:type="dxa"/>
            <w:gridSpan w:val="2"/>
            <w:shd w:val="clear" w:color="auto" w:fill="FFFFFF"/>
            <w:vAlign w:val="center"/>
          </w:tcPr>
          <w:p w14:paraId="52AB7F24" w14:textId="2F0516E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0,026</w:t>
            </w:r>
          </w:p>
        </w:tc>
      </w:tr>
      <w:tr w:rsidR="00A0521B" w:rsidRPr="007E2BFD" w14:paraId="76602A8F" w14:textId="77777777" w:rsidTr="009603B5">
        <w:trPr>
          <w:trHeight w:val="21"/>
        </w:trPr>
        <w:tc>
          <w:tcPr>
            <w:tcW w:w="1701" w:type="dxa"/>
            <w:shd w:val="clear" w:color="auto" w:fill="FFFFFF"/>
            <w:vAlign w:val="center"/>
          </w:tcPr>
          <w:p w14:paraId="69781354" w14:textId="2F060AEF"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JST (PIT) </w:t>
            </w:r>
          </w:p>
        </w:tc>
        <w:tc>
          <w:tcPr>
            <w:tcW w:w="680" w:type="dxa"/>
            <w:shd w:val="clear" w:color="auto" w:fill="FFFFFF"/>
            <w:vAlign w:val="center"/>
          </w:tcPr>
          <w:p w14:paraId="622E0BB4" w14:textId="15DE4CBE"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1B83E4D0" w14:textId="769B0429"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0,005</w:t>
            </w:r>
          </w:p>
        </w:tc>
        <w:tc>
          <w:tcPr>
            <w:tcW w:w="796" w:type="dxa"/>
            <w:shd w:val="clear" w:color="auto" w:fill="FFFFFF"/>
            <w:vAlign w:val="center"/>
          </w:tcPr>
          <w:p w14:paraId="2DEDD309" w14:textId="54BA569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17C5C116" w14:textId="78662AB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0,009</w:t>
            </w:r>
          </w:p>
        </w:tc>
        <w:tc>
          <w:tcPr>
            <w:tcW w:w="708" w:type="dxa"/>
            <w:shd w:val="clear" w:color="auto" w:fill="FFFFFF"/>
            <w:vAlign w:val="center"/>
          </w:tcPr>
          <w:p w14:paraId="188D210B" w14:textId="3B6F04F5"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79395160" w14:textId="7295E7AF"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26F3BA6D" w14:textId="481AACA9"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6F43A676" w14:textId="42F1471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851" w:type="dxa"/>
            <w:shd w:val="clear" w:color="auto" w:fill="FFFFFF"/>
            <w:vAlign w:val="center"/>
          </w:tcPr>
          <w:p w14:paraId="1155E5EB" w14:textId="07C44C9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27623553" w14:textId="5C890F06"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0,012</w:t>
            </w:r>
          </w:p>
        </w:tc>
        <w:tc>
          <w:tcPr>
            <w:tcW w:w="709" w:type="dxa"/>
            <w:shd w:val="clear" w:color="auto" w:fill="FFFFFF"/>
            <w:vAlign w:val="center"/>
          </w:tcPr>
          <w:p w14:paraId="7DA47988" w14:textId="031C4E68"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992" w:type="dxa"/>
            <w:gridSpan w:val="2"/>
            <w:shd w:val="clear" w:color="auto" w:fill="FFFFFF"/>
            <w:vAlign w:val="center"/>
          </w:tcPr>
          <w:p w14:paraId="29D74214" w14:textId="2DC3928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0,050</w:t>
            </w:r>
          </w:p>
        </w:tc>
      </w:tr>
      <w:tr w:rsidR="009603B5" w:rsidRPr="007E2BFD" w14:paraId="2AB4DCF2" w14:textId="77777777" w:rsidTr="009603B5">
        <w:trPr>
          <w:trHeight w:val="21"/>
        </w:trPr>
        <w:tc>
          <w:tcPr>
            <w:tcW w:w="1701" w:type="dxa"/>
            <w:shd w:val="clear" w:color="auto" w:fill="FFFFFF"/>
            <w:vAlign w:val="center"/>
          </w:tcPr>
          <w:p w14:paraId="7DA1DF8C" w14:textId="1314AA3E" w:rsidR="00A10EFB" w:rsidRPr="007E2BFD" w:rsidRDefault="00A10EFB" w:rsidP="00A10EFB">
            <w:pPr>
              <w:spacing w:line="240" w:lineRule="auto"/>
              <w:jc w:val="both"/>
              <w:rPr>
                <w:rFonts w:ascii="Times New Roman" w:hAnsi="Times New Roman"/>
                <w:spacing w:val="-2"/>
                <w:sz w:val="14"/>
                <w:szCs w:val="14"/>
              </w:rPr>
            </w:pPr>
            <w:r w:rsidRPr="007E2BFD">
              <w:rPr>
                <w:rFonts w:ascii="Times New Roman" w:hAnsi="Times New Roman"/>
                <w:b/>
                <w:bCs/>
                <w:sz w:val="14"/>
                <w:szCs w:val="14"/>
              </w:rPr>
              <w:t xml:space="preserve">Wydatki ogółem </w:t>
            </w:r>
          </w:p>
        </w:tc>
        <w:tc>
          <w:tcPr>
            <w:tcW w:w="680" w:type="dxa"/>
            <w:shd w:val="clear" w:color="auto" w:fill="FFFFFF"/>
          </w:tcPr>
          <w:p w14:paraId="0633F6B5" w14:textId="1AD3DB20"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w:t>
            </w:r>
          </w:p>
        </w:tc>
        <w:tc>
          <w:tcPr>
            <w:tcW w:w="680" w:type="dxa"/>
            <w:shd w:val="clear" w:color="auto" w:fill="FFFFFF"/>
          </w:tcPr>
          <w:p w14:paraId="128C2EC3" w14:textId="4C8A22DB"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0,2</w:t>
            </w:r>
          </w:p>
        </w:tc>
        <w:tc>
          <w:tcPr>
            <w:tcW w:w="796" w:type="dxa"/>
            <w:shd w:val="clear" w:color="auto" w:fill="FFFFFF"/>
          </w:tcPr>
          <w:p w14:paraId="26EA9A60" w14:textId="6A68094B"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0,05</w:t>
            </w:r>
          </w:p>
        </w:tc>
        <w:tc>
          <w:tcPr>
            <w:tcW w:w="709" w:type="dxa"/>
            <w:shd w:val="clear" w:color="auto" w:fill="FFFFFF"/>
          </w:tcPr>
          <w:p w14:paraId="11311CCF" w14:textId="34396501"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0,32</w:t>
            </w:r>
          </w:p>
        </w:tc>
        <w:tc>
          <w:tcPr>
            <w:tcW w:w="708" w:type="dxa"/>
            <w:shd w:val="clear" w:color="auto" w:fill="FFFFFF"/>
          </w:tcPr>
          <w:p w14:paraId="242AF310" w14:textId="18E49A47"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0,05</w:t>
            </w:r>
          </w:p>
        </w:tc>
        <w:tc>
          <w:tcPr>
            <w:tcW w:w="709" w:type="dxa"/>
            <w:shd w:val="clear" w:color="auto" w:fill="FFFFFF"/>
          </w:tcPr>
          <w:p w14:paraId="1EBB79B1" w14:textId="14FF5124"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0,431</w:t>
            </w:r>
          </w:p>
        </w:tc>
        <w:tc>
          <w:tcPr>
            <w:tcW w:w="709" w:type="dxa"/>
            <w:shd w:val="clear" w:color="auto" w:fill="FFFFFF"/>
          </w:tcPr>
          <w:p w14:paraId="19383CB7" w14:textId="21D88029"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0,05</w:t>
            </w:r>
          </w:p>
        </w:tc>
        <w:tc>
          <w:tcPr>
            <w:tcW w:w="850" w:type="dxa"/>
            <w:shd w:val="clear" w:color="auto" w:fill="FFFFFF"/>
          </w:tcPr>
          <w:p w14:paraId="1D7E01EA" w14:textId="09B97393"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0,431</w:t>
            </w:r>
          </w:p>
        </w:tc>
        <w:tc>
          <w:tcPr>
            <w:tcW w:w="851" w:type="dxa"/>
            <w:shd w:val="clear" w:color="auto" w:fill="FFFFFF"/>
          </w:tcPr>
          <w:p w14:paraId="061C21CA" w14:textId="2A93773D"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0,05</w:t>
            </w:r>
          </w:p>
        </w:tc>
        <w:tc>
          <w:tcPr>
            <w:tcW w:w="850" w:type="dxa"/>
            <w:shd w:val="clear" w:color="auto" w:fill="FFFFFF"/>
          </w:tcPr>
          <w:p w14:paraId="0048E335" w14:textId="765238C5"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0,431</w:t>
            </w:r>
          </w:p>
        </w:tc>
        <w:tc>
          <w:tcPr>
            <w:tcW w:w="709" w:type="dxa"/>
            <w:shd w:val="clear" w:color="auto" w:fill="FFFFFF"/>
          </w:tcPr>
          <w:p w14:paraId="07410ACD" w14:textId="4B58E70F"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0,05</w:t>
            </w:r>
          </w:p>
        </w:tc>
        <w:tc>
          <w:tcPr>
            <w:tcW w:w="992" w:type="dxa"/>
            <w:gridSpan w:val="2"/>
            <w:shd w:val="clear" w:color="auto" w:fill="FFFFFF"/>
          </w:tcPr>
          <w:p w14:paraId="654803D5" w14:textId="2CA51047" w:rsidR="00A10EFB" w:rsidRPr="009C0671" w:rsidRDefault="00A10EFB" w:rsidP="00A10EFB">
            <w:pPr>
              <w:spacing w:line="240" w:lineRule="auto"/>
              <w:jc w:val="right"/>
              <w:rPr>
                <w:rFonts w:ascii="Times New Roman" w:hAnsi="Times New Roman"/>
                <w:b/>
                <w:bCs/>
                <w:spacing w:val="-2"/>
                <w:sz w:val="14"/>
                <w:szCs w:val="14"/>
              </w:rPr>
            </w:pPr>
            <w:r w:rsidRPr="009C0671">
              <w:rPr>
                <w:rFonts w:ascii="Times New Roman" w:hAnsi="Times New Roman"/>
                <w:b/>
                <w:bCs/>
                <w:sz w:val="14"/>
                <w:szCs w:val="14"/>
              </w:rPr>
              <w:t>2,063</w:t>
            </w:r>
          </w:p>
        </w:tc>
      </w:tr>
      <w:tr w:rsidR="00A0521B" w:rsidRPr="007E2BFD" w14:paraId="550102DF" w14:textId="77777777" w:rsidTr="009603B5">
        <w:trPr>
          <w:trHeight w:val="21"/>
        </w:trPr>
        <w:tc>
          <w:tcPr>
            <w:tcW w:w="1701" w:type="dxa"/>
            <w:shd w:val="clear" w:color="auto" w:fill="FFFFFF"/>
            <w:vAlign w:val="center"/>
          </w:tcPr>
          <w:p w14:paraId="2C09897C" w14:textId="536E47DD" w:rsidR="00A0521B" w:rsidRPr="007E2BFD" w:rsidRDefault="00A0521B" w:rsidP="00DF1C66">
            <w:pPr>
              <w:spacing w:line="240" w:lineRule="auto"/>
              <w:jc w:val="both"/>
              <w:rPr>
                <w:rFonts w:ascii="Times New Roman" w:hAnsi="Times New Roman"/>
                <w:spacing w:val="-2"/>
                <w:sz w:val="14"/>
                <w:szCs w:val="14"/>
              </w:rPr>
            </w:pPr>
            <w:r w:rsidRPr="007E2BFD">
              <w:rPr>
                <w:rFonts w:ascii="Times New Roman" w:hAnsi="Times New Roman"/>
                <w:sz w:val="14"/>
                <w:szCs w:val="14"/>
              </w:rPr>
              <w:t xml:space="preserve">budżet państwa </w:t>
            </w:r>
          </w:p>
        </w:tc>
        <w:tc>
          <w:tcPr>
            <w:tcW w:w="680" w:type="dxa"/>
            <w:shd w:val="clear" w:color="auto" w:fill="FFFFFF"/>
            <w:vAlign w:val="center"/>
          </w:tcPr>
          <w:p w14:paraId="735BCAF9" w14:textId="48C7BB7B"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23869ECE" w14:textId="22DBC6DD"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96" w:type="dxa"/>
            <w:shd w:val="clear" w:color="auto" w:fill="FFFFFF"/>
            <w:vAlign w:val="center"/>
          </w:tcPr>
          <w:p w14:paraId="7E87117C" w14:textId="23B674D0"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1EB6BB49" w14:textId="49B22923"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8" w:type="dxa"/>
            <w:shd w:val="clear" w:color="auto" w:fill="FFFFFF"/>
            <w:vAlign w:val="center"/>
          </w:tcPr>
          <w:p w14:paraId="633B8F19" w14:textId="1CFE9BA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7EED9908" w14:textId="06E719B8"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7C14B7C5" w14:textId="22C12D9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41DB081D" w14:textId="11154F14"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1" w:type="dxa"/>
            <w:shd w:val="clear" w:color="auto" w:fill="FFFFFF"/>
            <w:vAlign w:val="center"/>
          </w:tcPr>
          <w:p w14:paraId="0AD30AA5" w14:textId="5DE91291"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850" w:type="dxa"/>
            <w:shd w:val="clear" w:color="auto" w:fill="FFFFFF"/>
            <w:vAlign w:val="center"/>
          </w:tcPr>
          <w:p w14:paraId="5D4C01B4" w14:textId="59B448C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709" w:type="dxa"/>
            <w:shd w:val="clear" w:color="auto" w:fill="FFFFFF"/>
            <w:vAlign w:val="center"/>
          </w:tcPr>
          <w:p w14:paraId="47EA4536" w14:textId="2297CA27"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0,000</w:t>
            </w:r>
          </w:p>
        </w:tc>
        <w:tc>
          <w:tcPr>
            <w:tcW w:w="992" w:type="dxa"/>
            <w:gridSpan w:val="2"/>
            <w:shd w:val="clear" w:color="auto" w:fill="FFFFFF"/>
            <w:vAlign w:val="center"/>
          </w:tcPr>
          <w:p w14:paraId="016DF4E6" w14:textId="24E9F58A" w:rsidR="00A0521B" w:rsidRPr="007E2BFD" w:rsidRDefault="00A0521B" w:rsidP="00CF5B83">
            <w:pPr>
              <w:spacing w:line="240" w:lineRule="auto"/>
              <w:jc w:val="right"/>
              <w:rPr>
                <w:rFonts w:ascii="Times New Roman" w:hAnsi="Times New Roman"/>
                <w:spacing w:val="-2"/>
                <w:sz w:val="14"/>
                <w:szCs w:val="14"/>
              </w:rPr>
            </w:pPr>
            <w:r w:rsidRPr="007E2BFD">
              <w:rPr>
                <w:rFonts w:ascii="Times New Roman" w:hAnsi="Times New Roman"/>
                <w:b/>
                <w:bCs/>
                <w:sz w:val="14"/>
                <w:szCs w:val="14"/>
              </w:rPr>
              <w:t>0,000</w:t>
            </w:r>
          </w:p>
        </w:tc>
      </w:tr>
      <w:tr w:rsidR="00A0521B" w:rsidRPr="007E2BFD" w14:paraId="63E4C483" w14:textId="77777777" w:rsidTr="009603B5">
        <w:trPr>
          <w:trHeight w:val="21"/>
        </w:trPr>
        <w:tc>
          <w:tcPr>
            <w:tcW w:w="1701" w:type="dxa"/>
            <w:shd w:val="clear" w:color="auto" w:fill="FFFFFF"/>
            <w:vAlign w:val="center"/>
          </w:tcPr>
          <w:p w14:paraId="7F78AF54" w14:textId="3170417D" w:rsidR="00A0521B" w:rsidRPr="007E2BFD" w:rsidRDefault="00A0521B" w:rsidP="00BA760C">
            <w:pPr>
              <w:spacing w:line="240" w:lineRule="auto"/>
              <w:jc w:val="both"/>
              <w:rPr>
                <w:rFonts w:ascii="Times New Roman" w:hAnsi="Times New Roman"/>
                <w:spacing w:val="-2"/>
                <w:sz w:val="14"/>
                <w:szCs w:val="14"/>
              </w:rPr>
            </w:pPr>
            <w:r w:rsidRPr="007E2BFD">
              <w:rPr>
                <w:rFonts w:ascii="Times New Roman" w:hAnsi="Times New Roman"/>
                <w:sz w:val="14"/>
                <w:szCs w:val="14"/>
              </w:rPr>
              <w:t>NFOŚiGW</w:t>
            </w:r>
          </w:p>
        </w:tc>
        <w:tc>
          <w:tcPr>
            <w:tcW w:w="680" w:type="dxa"/>
            <w:shd w:val="clear" w:color="auto" w:fill="FFFFFF"/>
            <w:vAlign w:val="center"/>
          </w:tcPr>
          <w:p w14:paraId="00084575" w14:textId="3A8D3027" w:rsidR="00A0521B" w:rsidRPr="007E2BFD" w:rsidRDefault="00A10EFB" w:rsidP="00CF5B83">
            <w:pPr>
              <w:spacing w:line="240" w:lineRule="auto"/>
              <w:jc w:val="right"/>
              <w:rPr>
                <w:rFonts w:ascii="Times New Roman" w:hAnsi="Times New Roman"/>
                <w:spacing w:val="-2"/>
                <w:sz w:val="14"/>
                <w:szCs w:val="14"/>
              </w:rPr>
            </w:pPr>
            <w:r w:rsidRPr="007E2BFD">
              <w:rPr>
                <w:rFonts w:ascii="Times New Roman" w:hAnsi="Times New Roman"/>
                <w:sz w:val="14"/>
                <w:szCs w:val="14"/>
              </w:rPr>
              <w:t>0</w:t>
            </w:r>
          </w:p>
        </w:tc>
        <w:tc>
          <w:tcPr>
            <w:tcW w:w="680" w:type="dxa"/>
            <w:shd w:val="clear" w:color="auto" w:fill="FFFFFF"/>
            <w:vAlign w:val="center"/>
          </w:tcPr>
          <w:p w14:paraId="585D42B7" w14:textId="11139F66"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0,200</w:t>
            </w:r>
          </w:p>
        </w:tc>
        <w:tc>
          <w:tcPr>
            <w:tcW w:w="796" w:type="dxa"/>
            <w:shd w:val="clear" w:color="auto" w:fill="FFFFFF"/>
            <w:vAlign w:val="center"/>
          </w:tcPr>
          <w:p w14:paraId="0CD53C94" w14:textId="38D6B351"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0,050</w:t>
            </w:r>
          </w:p>
        </w:tc>
        <w:tc>
          <w:tcPr>
            <w:tcW w:w="709" w:type="dxa"/>
            <w:shd w:val="clear" w:color="auto" w:fill="FFFFFF"/>
            <w:vAlign w:val="center"/>
          </w:tcPr>
          <w:p w14:paraId="6B81AF90" w14:textId="1FAA0B29"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0,320</w:t>
            </w:r>
          </w:p>
        </w:tc>
        <w:tc>
          <w:tcPr>
            <w:tcW w:w="708" w:type="dxa"/>
            <w:shd w:val="clear" w:color="auto" w:fill="FFFFFF"/>
            <w:vAlign w:val="center"/>
          </w:tcPr>
          <w:p w14:paraId="6939112F" w14:textId="597AEA7A"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0,050</w:t>
            </w:r>
          </w:p>
        </w:tc>
        <w:tc>
          <w:tcPr>
            <w:tcW w:w="709" w:type="dxa"/>
            <w:shd w:val="clear" w:color="auto" w:fill="FFFFFF"/>
            <w:vAlign w:val="center"/>
          </w:tcPr>
          <w:p w14:paraId="4D552B3D" w14:textId="5B822834"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0,431</w:t>
            </w:r>
          </w:p>
        </w:tc>
        <w:tc>
          <w:tcPr>
            <w:tcW w:w="709" w:type="dxa"/>
            <w:shd w:val="clear" w:color="auto" w:fill="FFFFFF"/>
            <w:vAlign w:val="center"/>
          </w:tcPr>
          <w:p w14:paraId="5768A3F7" w14:textId="2B4D4396"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0,050</w:t>
            </w:r>
          </w:p>
        </w:tc>
        <w:tc>
          <w:tcPr>
            <w:tcW w:w="850" w:type="dxa"/>
            <w:shd w:val="clear" w:color="auto" w:fill="FFFFFF"/>
            <w:vAlign w:val="center"/>
          </w:tcPr>
          <w:p w14:paraId="64672EA5" w14:textId="4E268C29"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0,431</w:t>
            </w:r>
          </w:p>
        </w:tc>
        <w:tc>
          <w:tcPr>
            <w:tcW w:w="851" w:type="dxa"/>
            <w:shd w:val="clear" w:color="auto" w:fill="FFFFFF"/>
            <w:vAlign w:val="center"/>
          </w:tcPr>
          <w:p w14:paraId="657549B4" w14:textId="37DBE35A"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0,050</w:t>
            </w:r>
          </w:p>
        </w:tc>
        <w:tc>
          <w:tcPr>
            <w:tcW w:w="850" w:type="dxa"/>
            <w:shd w:val="clear" w:color="auto" w:fill="FFFFFF"/>
            <w:vAlign w:val="center"/>
          </w:tcPr>
          <w:p w14:paraId="5F996F75" w14:textId="09ADC11A"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0,431</w:t>
            </w:r>
          </w:p>
        </w:tc>
        <w:tc>
          <w:tcPr>
            <w:tcW w:w="709" w:type="dxa"/>
            <w:shd w:val="clear" w:color="auto" w:fill="FFFFFF"/>
            <w:vAlign w:val="center"/>
          </w:tcPr>
          <w:p w14:paraId="1C55B904" w14:textId="69D5A7E8"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0,050</w:t>
            </w:r>
          </w:p>
        </w:tc>
        <w:tc>
          <w:tcPr>
            <w:tcW w:w="992" w:type="dxa"/>
            <w:gridSpan w:val="2"/>
            <w:shd w:val="clear" w:color="auto" w:fill="FFFFFF"/>
            <w:vAlign w:val="center"/>
          </w:tcPr>
          <w:p w14:paraId="1FA79C4E" w14:textId="44976897"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b/>
                <w:bCs/>
                <w:sz w:val="14"/>
                <w:szCs w:val="14"/>
              </w:rPr>
              <w:t>2,063</w:t>
            </w:r>
          </w:p>
        </w:tc>
      </w:tr>
      <w:tr w:rsidR="00A0521B" w:rsidRPr="007E2BFD" w14:paraId="58DA498A" w14:textId="77777777" w:rsidTr="009603B5">
        <w:trPr>
          <w:trHeight w:val="21"/>
        </w:trPr>
        <w:tc>
          <w:tcPr>
            <w:tcW w:w="1701" w:type="dxa"/>
            <w:shd w:val="clear" w:color="auto" w:fill="FFFFFF"/>
            <w:vAlign w:val="center"/>
          </w:tcPr>
          <w:p w14:paraId="3192B94B" w14:textId="557D168B" w:rsidR="00A0521B" w:rsidRPr="007E2BFD" w:rsidRDefault="00A0521B" w:rsidP="00BA760C">
            <w:pPr>
              <w:spacing w:line="240" w:lineRule="auto"/>
              <w:jc w:val="both"/>
              <w:rPr>
                <w:rFonts w:ascii="Times New Roman" w:hAnsi="Times New Roman"/>
                <w:spacing w:val="-2"/>
                <w:sz w:val="14"/>
                <w:szCs w:val="14"/>
              </w:rPr>
            </w:pPr>
            <w:r w:rsidRPr="007E2BFD">
              <w:rPr>
                <w:rFonts w:ascii="Times New Roman" w:hAnsi="Times New Roman"/>
                <w:sz w:val="14"/>
                <w:szCs w:val="14"/>
              </w:rPr>
              <w:t>JST</w:t>
            </w:r>
          </w:p>
        </w:tc>
        <w:tc>
          <w:tcPr>
            <w:tcW w:w="680" w:type="dxa"/>
            <w:shd w:val="clear" w:color="auto" w:fill="FFFFFF"/>
            <w:vAlign w:val="center"/>
          </w:tcPr>
          <w:p w14:paraId="4CF9EE8B" w14:textId="763F934A"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r w:rsidR="00FA7ABF">
              <w:rPr>
                <w:rFonts w:ascii="Times New Roman" w:hAnsi="Times New Roman"/>
                <w:sz w:val="14"/>
                <w:szCs w:val="14"/>
              </w:rPr>
              <w:t>.</w:t>
            </w:r>
          </w:p>
        </w:tc>
        <w:tc>
          <w:tcPr>
            <w:tcW w:w="680" w:type="dxa"/>
            <w:shd w:val="clear" w:color="auto" w:fill="FFFFFF"/>
            <w:vAlign w:val="center"/>
          </w:tcPr>
          <w:p w14:paraId="2B411ABF" w14:textId="00027672"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96" w:type="dxa"/>
            <w:shd w:val="clear" w:color="auto" w:fill="FFFFFF"/>
            <w:vAlign w:val="center"/>
          </w:tcPr>
          <w:p w14:paraId="7BABD977" w14:textId="7986B0ED"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09" w:type="dxa"/>
            <w:shd w:val="clear" w:color="auto" w:fill="FFFFFF"/>
            <w:vAlign w:val="center"/>
          </w:tcPr>
          <w:p w14:paraId="0AC2A065" w14:textId="3F3E792C"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08" w:type="dxa"/>
            <w:shd w:val="clear" w:color="auto" w:fill="FFFFFF"/>
            <w:vAlign w:val="center"/>
          </w:tcPr>
          <w:p w14:paraId="67900766" w14:textId="5ABB652C"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09" w:type="dxa"/>
            <w:shd w:val="clear" w:color="auto" w:fill="FFFFFF"/>
            <w:vAlign w:val="center"/>
          </w:tcPr>
          <w:p w14:paraId="1B78C38D" w14:textId="6225412B"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09" w:type="dxa"/>
            <w:shd w:val="clear" w:color="auto" w:fill="FFFFFF"/>
            <w:vAlign w:val="center"/>
          </w:tcPr>
          <w:p w14:paraId="02F2B67E" w14:textId="4A41F5F2"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850" w:type="dxa"/>
            <w:shd w:val="clear" w:color="auto" w:fill="FFFFFF"/>
            <w:vAlign w:val="center"/>
          </w:tcPr>
          <w:p w14:paraId="344FB114" w14:textId="5F853142"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851" w:type="dxa"/>
            <w:shd w:val="clear" w:color="auto" w:fill="FFFFFF"/>
            <w:vAlign w:val="center"/>
          </w:tcPr>
          <w:p w14:paraId="704913AC" w14:textId="13BFA3D8"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850" w:type="dxa"/>
            <w:shd w:val="clear" w:color="auto" w:fill="FFFFFF"/>
            <w:vAlign w:val="center"/>
          </w:tcPr>
          <w:p w14:paraId="3E84A24C" w14:textId="39FD5A67"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709" w:type="dxa"/>
            <w:shd w:val="clear" w:color="auto" w:fill="FFFFFF"/>
            <w:vAlign w:val="center"/>
          </w:tcPr>
          <w:p w14:paraId="01531E59" w14:textId="4781FF74"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sz w:val="14"/>
                <w:szCs w:val="14"/>
              </w:rPr>
              <w:t>b.d.</w:t>
            </w:r>
          </w:p>
        </w:tc>
        <w:tc>
          <w:tcPr>
            <w:tcW w:w="992" w:type="dxa"/>
            <w:gridSpan w:val="2"/>
            <w:shd w:val="clear" w:color="auto" w:fill="FFFFFF"/>
            <w:vAlign w:val="center"/>
          </w:tcPr>
          <w:p w14:paraId="6CBFDC8C" w14:textId="6131DD68" w:rsidR="00A0521B" w:rsidRPr="007E2BFD" w:rsidRDefault="00A0521B" w:rsidP="00CF5B83">
            <w:pPr>
              <w:spacing w:line="240" w:lineRule="auto"/>
              <w:jc w:val="right"/>
              <w:rPr>
                <w:rFonts w:ascii="Times New Roman" w:hAnsi="Times New Roman"/>
                <w:spacing w:val="-2"/>
                <w:sz w:val="14"/>
                <w:szCs w:val="14"/>
              </w:rPr>
            </w:pPr>
            <w:r w:rsidRPr="00727348">
              <w:rPr>
                <w:rFonts w:ascii="Times New Roman" w:hAnsi="Times New Roman"/>
                <w:b/>
                <w:bCs/>
                <w:sz w:val="14"/>
                <w:szCs w:val="14"/>
              </w:rPr>
              <w:t>0,000</w:t>
            </w:r>
          </w:p>
        </w:tc>
      </w:tr>
      <w:tr w:rsidR="00A10EFB" w:rsidRPr="007E2BFD" w14:paraId="1FCC177D" w14:textId="77777777" w:rsidTr="009603B5">
        <w:trPr>
          <w:trHeight w:val="21"/>
        </w:trPr>
        <w:tc>
          <w:tcPr>
            <w:tcW w:w="1701" w:type="dxa"/>
            <w:shd w:val="clear" w:color="auto" w:fill="FFFFFF"/>
            <w:vAlign w:val="center"/>
          </w:tcPr>
          <w:p w14:paraId="4A58DF0C" w14:textId="5898712C" w:rsidR="00A10EFB" w:rsidRPr="007E2BFD" w:rsidRDefault="00A10EFB" w:rsidP="00A10EFB">
            <w:pPr>
              <w:spacing w:line="240" w:lineRule="auto"/>
              <w:jc w:val="both"/>
              <w:rPr>
                <w:rFonts w:ascii="Times New Roman" w:hAnsi="Times New Roman"/>
                <w:spacing w:val="-2"/>
                <w:sz w:val="14"/>
                <w:szCs w:val="14"/>
              </w:rPr>
            </w:pPr>
            <w:r w:rsidRPr="007E2BFD">
              <w:rPr>
                <w:rFonts w:ascii="Times New Roman" w:hAnsi="Times New Roman"/>
                <w:b/>
                <w:bCs/>
                <w:sz w:val="14"/>
                <w:szCs w:val="14"/>
              </w:rPr>
              <w:t xml:space="preserve">Saldo ogółem </w:t>
            </w:r>
          </w:p>
        </w:tc>
        <w:tc>
          <w:tcPr>
            <w:tcW w:w="680" w:type="dxa"/>
            <w:shd w:val="clear" w:color="auto" w:fill="FFFFFF"/>
            <w:vAlign w:val="center"/>
          </w:tcPr>
          <w:p w14:paraId="78020BE1" w14:textId="6B3A869D"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w:t>
            </w:r>
          </w:p>
        </w:tc>
        <w:tc>
          <w:tcPr>
            <w:tcW w:w="680" w:type="dxa"/>
            <w:shd w:val="clear" w:color="auto" w:fill="FFFFFF"/>
            <w:vAlign w:val="center"/>
          </w:tcPr>
          <w:p w14:paraId="018EB106" w14:textId="3F4B28E0"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-0,121</w:t>
            </w:r>
          </w:p>
        </w:tc>
        <w:tc>
          <w:tcPr>
            <w:tcW w:w="796" w:type="dxa"/>
            <w:shd w:val="clear" w:color="auto" w:fill="FFFFFF"/>
            <w:vAlign w:val="center"/>
          </w:tcPr>
          <w:p w14:paraId="5A29F770" w14:textId="416BEC52"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-0,034</w:t>
            </w:r>
          </w:p>
        </w:tc>
        <w:tc>
          <w:tcPr>
            <w:tcW w:w="709" w:type="dxa"/>
            <w:shd w:val="clear" w:color="auto" w:fill="FFFFFF"/>
            <w:vAlign w:val="center"/>
          </w:tcPr>
          <w:p w14:paraId="17066FBD" w14:textId="6455E28C"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-0,193</w:t>
            </w:r>
          </w:p>
        </w:tc>
        <w:tc>
          <w:tcPr>
            <w:tcW w:w="708" w:type="dxa"/>
            <w:shd w:val="clear" w:color="auto" w:fill="FFFFFF"/>
            <w:vAlign w:val="center"/>
          </w:tcPr>
          <w:p w14:paraId="6CF961C0" w14:textId="4DE1101E"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-0,034</w:t>
            </w:r>
          </w:p>
        </w:tc>
        <w:tc>
          <w:tcPr>
            <w:tcW w:w="709" w:type="dxa"/>
            <w:shd w:val="clear" w:color="auto" w:fill="FFFFFF"/>
            <w:vAlign w:val="center"/>
          </w:tcPr>
          <w:p w14:paraId="3627F684" w14:textId="4E342105"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-0,258</w:t>
            </w:r>
          </w:p>
        </w:tc>
        <w:tc>
          <w:tcPr>
            <w:tcW w:w="709" w:type="dxa"/>
            <w:shd w:val="clear" w:color="auto" w:fill="FFFFFF"/>
            <w:vAlign w:val="center"/>
          </w:tcPr>
          <w:p w14:paraId="3628F1DB" w14:textId="40E399A7"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-0,034</w:t>
            </w:r>
          </w:p>
        </w:tc>
        <w:tc>
          <w:tcPr>
            <w:tcW w:w="850" w:type="dxa"/>
            <w:shd w:val="clear" w:color="auto" w:fill="FFFFFF"/>
            <w:vAlign w:val="center"/>
          </w:tcPr>
          <w:p w14:paraId="5BD33879" w14:textId="768A7787"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-0,258</w:t>
            </w:r>
          </w:p>
        </w:tc>
        <w:tc>
          <w:tcPr>
            <w:tcW w:w="851" w:type="dxa"/>
            <w:shd w:val="clear" w:color="auto" w:fill="FFFFFF"/>
            <w:vAlign w:val="center"/>
          </w:tcPr>
          <w:p w14:paraId="512A5299" w14:textId="39186A68"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-0,034</w:t>
            </w:r>
          </w:p>
        </w:tc>
        <w:tc>
          <w:tcPr>
            <w:tcW w:w="850" w:type="dxa"/>
            <w:shd w:val="clear" w:color="auto" w:fill="FFFFFF"/>
            <w:vAlign w:val="center"/>
          </w:tcPr>
          <w:p w14:paraId="5FAF8CD9" w14:textId="78B6F510"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-0,258</w:t>
            </w:r>
          </w:p>
        </w:tc>
        <w:tc>
          <w:tcPr>
            <w:tcW w:w="709" w:type="dxa"/>
            <w:shd w:val="clear" w:color="auto" w:fill="FFFFFF"/>
            <w:vAlign w:val="center"/>
          </w:tcPr>
          <w:p w14:paraId="6CBB55CB" w14:textId="1DE46C7D"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-0,034</w:t>
            </w:r>
          </w:p>
        </w:tc>
        <w:tc>
          <w:tcPr>
            <w:tcW w:w="992" w:type="dxa"/>
            <w:gridSpan w:val="2"/>
            <w:shd w:val="clear" w:color="auto" w:fill="FFFFFF"/>
            <w:vAlign w:val="center"/>
          </w:tcPr>
          <w:p w14:paraId="69D73B57" w14:textId="5F22ACAF"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-1,258</w:t>
            </w:r>
          </w:p>
        </w:tc>
      </w:tr>
      <w:tr w:rsidR="009603B5" w:rsidRPr="007E2BFD" w14:paraId="0753BF94" w14:textId="77777777" w:rsidTr="009603B5">
        <w:trPr>
          <w:trHeight w:val="21"/>
        </w:trPr>
        <w:tc>
          <w:tcPr>
            <w:tcW w:w="1701" w:type="dxa"/>
            <w:shd w:val="clear" w:color="auto" w:fill="FFFFFF"/>
            <w:vAlign w:val="center"/>
          </w:tcPr>
          <w:p w14:paraId="2B0F6BAE" w14:textId="74E12763"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budżet państwa</w:t>
            </w:r>
          </w:p>
        </w:tc>
        <w:tc>
          <w:tcPr>
            <w:tcW w:w="680" w:type="dxa"/>
            <w:shd w:val="clear" w:color="auto" w:fill="FFFFFF"/>
            <w:vAlign w:val="center"/>
          </w:tcPr>
          <w:p w14:paraId="454CE277" w14:textId="5047950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3198BDD5" w14:textId="652D3D7A"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0,005</w:t>
            </w:r>
          </w:p>
        </w:tc>
        <w:tc>
          <w:tcPr>
            <w:tcW w:w="796" w:type="dxa"/>
            <w:shd w:val="clear" w:color="auto" w:fill="FFFFFF"/>
            <w:vAlign w:val="center"/>
          </w:tcPr>
          <w:p w14:paraId="4BB75C9C" w14:textId="139C6EE7"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5468AA68" w14:textId="735757E0"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0,008</w:t>
            </w:r>
          </w:p>
        </w:tc>
        <w:tc>
          <w:tcPr>
            <w:tcW w:w="708" w:type="dxa"/>
            <w:shd w:val="clear" w:color="auto" w:fill="FFFFFF"/>
            <w:vAlign w:val="center"/>
          </w:tcPr>
          <w:p w14:paraId="4E5E3A89" w14:textId="78D322E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0FF8830C" w14:textId="56EF2C4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4BC81EB4" w14:textId="30823500"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574EB3D5" w14:textId="0E3803F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851" w:type="dxa"/>
            <w:shd w:val="clear" w:color="auto" w:fill="FFFFFF"/>
            <w:vAlign w:val="center"/>
          </w:tcPr>
          <w:p w14:paraId="0155E76C" w14:textId="15FDC33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579BC312" w14:textId="4337320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0D976328" w14:textId="37872BF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992" w:type="dxa"/>
            <w:gridSpan w:val="2"/>
            <w:shd w:val="clear" w:color="auto" w:fill="FFFFFF"/>
            <w:vAlign w:val="center"/>
          </w:tcPr>
          <w:p w14:paraId="03C3BDC4" w14:textId="57AE21AE"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0,049</w:t>
            </w:r>
          </w:p>
        </w:tc>
      </w:tr>
      <w:tr w:rsidR="009603B5" w:rsidRPr="007E2BFD" w14:paraId="07B3CEC1" w14:textId="77777777" w:rsidTr="009603B5">
        <w:trPr>
          <w:trHeight w:val="21"/>
        </w:trPr>
        <w:tc>
          <w:tcPr>
            <w:tcW w:w="1701" w:type="dxa"/>
            <w:shd w:val="clear" w:color="auto" w:fill="FFFFFF"/>
            <w:vAlign w:val="center"/>
          </w:tcPr>
          <w:p w14:paraId="32E94D29" w14:textId="6E707732"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NFOŚiGW</w:t>
            </w:r>
          </w:p>
        </w:tc>
        <w:tc>
          <w:tcPr>
            <w:tcW w:w="680" w:type="dxa"/>
            <w:shd w:val="clear" w:color="auto" w:fill="FFFFFF"/>
            <w:vAlign w:val="center"/>
          </w:tcPr>
          <w:p w14:paraId="695A208A" w14:textId="4E4EFB9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419F48F1" w14:textId="47166822"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-0,2</w:t>
            </w:r>
          </w:p>
        </w:tc>
        <w:tc>
          <w:tcPr>
            <w:tcW w:w="796" w:type="dxa"/>
            <w:shd w:val="clear" w:color="auto" w:fill="FFFFFF"/>
            <w:vAlign w:val="center"/>
          </w:tcPr>
          <w:p w14:paraId="16BE143A" w14:textId="41A5B47F"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w:t>
            </w:r>
          </w:p>
        </w:tc>
        <w:tc>
          <w:tcPr>
            <w:tcW w:w="709" w:type="dxa"/>
            <w:shd w:val="clear" w:color="auto" w:fill="FFFFFF"/>
            <w:vAlign w:val="center"/>
          </w:tcPr>
          <w:p w14:paraId="151AC446" w14:textId="0D0A454E"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-0,32</w:t>
            </w:r>
          </w:p>
        </w:tc>
        <w:tc>
          <w:tcPr>
            <w:tcW w:w="708" w:type="dxa"/>
            <w:shd w:val="clear" w:color="auto" w:fill="FFFFFF"/>
            <w:vAlign w:val="center"/>
          </w:tcPr>
          <w:p w14:paraId="3EE864AE" w14:textId="5E117AA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w:t>
            </w:r>
          </w:p>
        </w:tc>
        <w:tc>
          <w:tcPr>
            <w:tcW w:w="709" w:type="dxa"/>
            <w:shd w:val="clear" w:color="auto" w:fill="FFFFFF"/>
            <w:vAlign w:val="center"/>
          </w:tcPr>
          <w:p w14:paraId="746B4A57" w14:textId="5F9B572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-0,431</w:t>
            </w:r>
          </w:p>
        </w:tc>
        <w:tc>
          <w:tcPr>
            <w:tcW w:w="709" w:type="dxa"/>
            <w:shd w:val="clear" w:color="auto" w:fill="FFFFFF"/>
            <w:vAlign w:val="center"/>
          </w:tcPr>
          <w:p w14:paraId="530FD15B" w14:textId="656B17A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w:t>
            </w:r>
          </w:p>
        </w:tc>
        <w:tc>
          <w:tcPr>
            <w:tcW w:w="850" w:type="dxa"/>
            <w:shd w:val="clear" w:color="auto" w:fill="FFFFFF"/>
            <w:vAlign w:val="center"/>
          </w:tcPr>
          <w:p w14:paraId="20DF83AD" w14:textId="5877737A"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-0,431</w:t>
            </w:r>
          </w:p>
        </w:tc>
        <w:tc>
          <w:tcPr>
            <w:tcW w:w="851" w:type="dxa"/>
            <w:shd w:val="clear" w:color="auto" w:fill="FFFFFF"/>
            <w:vAlign w:val="center"/>
          </w:tcPr>
          <w:p w14:paraId="39CB41BD" w14:textId="7995FB4A"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w:t>
            </w:r>
          </w:p>
        </w:tc>
        <w:tc>
          <w:tcPr>
            <w:tcW w:w="850" w:type="dxa"/>
            <w:shd w:val="clear" w:color="auto" w:fill="FFFFFF"/>
            <w:vAlign w:val="center"/>
          </w:tcPr>
          <w:p w14:paraId="45A5CAD9" w14:textId="09D63C46"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-0,431</w:t>
            </w:r>
          </w:p>
        </w:tc>
        <w:tc>
          <w:tcPr>
            <w:tcW w:w="709" w:type="dxa"/>
            <w:shd w:val="clear" w:color="auto" w:fill="FFFFFF"/>
            <w:vAlign w:val="center"/>
          </w:tcPr>
          <w:p w14:paraId="0463C2D9" w14:textId="7AD2FC9A"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w:t>
            </w:r>
          </w:p>
        </w:tc>
        <w:tc>
          <w:tcPr>
            <w:tcW w:w="992" w:type="dxa"/>
            <w:gridSpan w:val="2"/>
            <w:shd w:val="clear" w:color="auto" w:fill="FFFFFF"/>
            <w:vAlign w:val="center"/>
          </w:tcPr>
          <w:p w14:paraId="0236B469" w14:textId="0B31A279"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-2,063</w:t>
            </w:r>
          </w:p>
        </w:tc>
      </w:tr>
      <w:tr w:rsidR="009603B5" w:rsidRPr="007E2BFD" w14:paraId="6A973633" w14:textId="77777777" w:rsidTr="009603B5">
        <w:trPr>
          <w:trHeight w:val="21"/>
        </w:trPr>
        <w:tc>
          <w:tcPr>
            <w:tcW w:w="1701" w:type="dxa"/>
            <w:shd w:val="clear" w:color="auto" w:fill="FFFFFF"/>
            <w:vAlign w:val="center"/>
          </w:tcPr>
          <w:p w14:paraId="180F74D8" w14:textId="7C5D4C5F"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FUS</w:t>
            </w:r>
          </w:p>
        </w:tc>
        <w:tc>
          <w:tcPr>
            <w:tcW w:w="680" w:type="dxa"/>
            <w:shd w:val="clear" w:color="auto" w:fill="FFFFFF"/>
            <w:vAlign w:val="center"/>
          </w:tcPr>
          <w:p w14:paraId="072354DA" w14:textId="0A32BF9F"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717AE8B3" w14:textId="57EDEB0F"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0,052</w:t>
            </w:r>
          </w:p>
        </w:tc>
        <w:tc>
          <w:tcPr>
            <w:tcW w:w="796" w:type="dxa"/>
            <w:shd w:val="clear" w:color="auto" w:fill="FFFFFF"/>
            <w:vAlign w:val="center"/>
          </w:tcPr>
          <w:p w14:paraId="133E17C0" w14:textId="5D5F966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5021CE3B" w14:textId="371A0C91"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0,083</w:t>
            </w:r>
          </w:p>
        </w:tc>
        <w:tc>
          <w:tcPr>
            <w:tcW w:w="708" w:type="dxa"/>
            <w:shd w:val="clear" w:color="auto" w:fill="FFFFFF"/>
            <w:vAlign w:val="center"/>
          </w:tcPr>
          <w:p w14:paraId="3BF19117" w14:textId="7D60E90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3D57E929" w14:textId="09D85690"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0,112</w:t>
            </w:r>
          </w:p>
        </w:tc>
        <w:tc>
          <w:tcPr>
            <w:tcW w:w="709" w:type="dxa"/>
            <w:shd w:val="clear" w:color="auto" w:fill="FFFFFF"/>
            <w:vAlign w:val="center"/>
          </w:tcPr>
          <w:p w14:paraId="7098A082" w14:textId="4B7D7B9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850" w:type="dxa"/>
            <w:shd w:val="clear" w:color="auto" w:fill="FFFFFF"/>
            <w:vAlign w:val="center"/>
          </w:tcPr>
          <w:p w14:paraId="2A529A88" w14:textId="27FB79A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0,112</w:t>
            </w:r>
          </w:p>
        </w:tc>
        <w:tc>
          <w:tcPr>
            <w:tcW w:w="851" w:type="dxa"/>
            <w:shd w:val="clear" w:color="auto" w:fill="FFFFFF"/>
            <w:vAlign w:val="center"/>
          </w:tcPr>
          <w:p w14:paraId="3DFF1E43" w14:textId="7576795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850" w:type="dxa"/>
            <w:shd w:val="clear" w:color="auto" w:fill="FFFFFF"/>
            <w:vAlign w:val="center"/>
          </w:tcPr>
          <w:p w14:paraId="7F38B56C" w14:textId="5D1A0CF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0,112</w:t>
            </w:r>
          </w:p>
        </w:tc>
        <w:tc>
          <w:tcPr>
            <w:tcW w:w="709" w:type="dxa"/>
            <w:shd w:val="clear" w:color="auto" w:fill="FFFFFF"/>
            <w:vAlign w:val="center"/>
          </w:tcPr>
          <w:p w14:paraId="3D94DC35" w14:textId="4B70646E"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992" w:type="dxa"/>
            <w:gridSpan w:val="2"/>
            <w:shd w:val="clear" w:color="auto" w:fill="FFFFFF"/>
            <w:vAlign w:val="center"/>
          </w:tcPr>
          <w:p w14:paraId="12D0AD5B" w14:textId="31C99DBD"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0,531</w:t>
            </w:r>
          </w:p>
        </w:tc>
      </w:tr>
      <w:tr w:rsidR="009603B5" w:rsidRPr="007E2BFD" w14:paraId="226EC7D1" w14:textId="77777777" w:rsidTr="009603B5">
        <w:trPr>
          <w:trHeight w:val="21"/>
        </w:trPr>
        <w:tc>
          <w:tcPr>
            <w:tcW w:w="1701" w:type="dxa"/>
            <w:shd w:val="clear" w:color="auto" w:fill="FFFFFF"/>
            <w:vAlign w:val="center"/>
          </w:tcPr>
          <w:p w14:paraId="460740EE" w14:textId="347A2D2C"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NFZ</w:t>
            </w:r>
          </w:p>
        </w:tc>
        <w:tc>
          <w:tcPr>
            <w:tcW w:w="680" w:type="dxa"/>
            <w:shd w:val="clear" w:color="auto" w:fill="FFFFFF"/>
            <w:vAlign w:val="center"/>
          </w:tcPr>
          <w:p w14:paraId="47B71352" w14:textId="1EB523F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556D1C63" w14:textId="26319F70"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0,013</w:t>
            </w:r>
          </w:p>
        </w:tc>
        <w:tc>
          <w:tcPr>
            <w:tcW w:w="796" w:type="dxa"/>
            <w:shd w:val="clear" w:color="auto" w:fill="FFFFFF"/>
            <w:vAlign w:val="center"/>
          </w:tcPr>
          <w:p w14:paraId="55E6D582" w14:textId="58BE43F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709" w:type="dxa"/>
            <w:shd w:val="clear" w:color="auto" w:fill="FFFFFF"/>
            <w:vAlign w:val="center"/>
          </w:tcPr>
          <w:p w14:paraId="1399CA60" w14:textId="1641F7A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0,02</w:t>
            </w:r>
          </w:p>
        </w:tc>
        <w:tc>
          <w:tcPr>
            <w:tcW w:w="708" w:type="dxa"/>
            <w:shd w:val="clear" w:color="auto" w:fill="FFFFFF"/>
            <w:vAlign w:val="center"/>
          </w:tcPr>
          <w:p w14:paraId="0DF578CE" w14:textId="7BC69FD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709" w:type="dxa"/>
            <w:shd w:val="clear" w:color="auto" w:fill="FFFFFF"/>
            <w:vAlign w:val="center"/>
          </w:tcPr>
          <w:p w14:paraId="1D282598" w14:textId="0DEF5467"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0,028</w:t>
            </w:r>
          </w:p>
        </w:tc>
        <w:tc>
          <w:tcPr>
            <w:tcW w:w="709" w:type="dxa"/>
            <w:shd w:val="clear" w:color="auto" w:fill="FFFFFF"/>
            <w:vAlign w:val="center"/>
          </w:tcPr>
          <w:p w14:paraId="2836F8E2" w14:textId="31859D9B"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850" w:type="dxa"/>
            <w:shd w:val="clear" w:color="auto" w:fill="FFFFFF"/>
            <w:vAlign w:val="center"/>
          </w:tcPr>
          <w:p w14:paraId="5FF6C693" w14:textId="6DFC00E6"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0,028</w:t>
            </w:r>
          </w:p>
        </w:tc>
        <w:tc>
          <w:tcPr>
            <w:tcW w:w="851" w:type="dxa"/>
            <w:shd w:val="clear" w:color="auto" w:fill="FFFFFF"/>
            <w:vAlign w:val="center"/>
          </w:tcPr>
          <w:p w14:paraId="192CD264" w14:textId="77BB5D3B"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850" w:type="dxa"/>
            <w:shd w:val="clear" w:color="auto" w:fill="FFFFFF"/>
            <w:vAlign w:val="center"/>
          </w:tcPr>
          <w:p w14:paraId="679009C3" w14:textId="69F48D01"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0,028</w:t>
            </w:r>
          </w:p>
        </w:tc>
        <w:tc>
          <w:tcPr>
            <w:tcW w:w="709" w:type="dxa"/>
            <w:shd w:val="clear" w:color="auto" w:fill="FFFFFF"/>
            <w:vAlign w:val="center"/>
          </w:tcPr>
          <w:p w14:paraId="1BD369F7" w14:textId="65D240D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992" w:type="dxa"/>
            <w:gridSpan w:val="2"/>
            <w:shd w:val="clear" w:color="auto" w:fill="FFFFFF"/>
            <w:vAlign w:val="center"/>
          </w:tcPr>
          <w:p w14:paraId="1894E054" w14:textId="4E0E845F"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0,132</w:t>
            </w:r>
          </w:p>
        </w:tc>
      </w:tr>
      <w:tr w:rsidR="009603B5" w:rsidRPr="007E2BFD" w14:paraId="702D2844" w14:textId="77777777" w:rsidTr="009603B5">
        <w:trPr>
          <w:trHeight w:val="21"/>
        </w:trPr>
        <w:tc>
          <w:tcPr>
            <w:tcW w:w="1701" w:type="dxa"/>
            <w:shd w:val="clear" w:color="auto" w:fill="FFFFFF"/>
            <w:vAlign w:val="center"/>
          </w:tcPr>
          <w:p w14:paraId="0EF4537A" w14:textId="4AE98ED8"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Fundusz Pracy</w:t>
            </w:r>
          </w:p>
        </w:tc>
        <w:tc>
          <w:tcPr>
            <w:tcW w:w="680" w:type="dxa"/>
            <w:shd w:val="clear" w:color="auto" w:fill="FFFFFF"/>
            <w:vAlign w:val="center"/>
          </w:tcPr>
          <w:p w14:paraId="1C23AE44" w14:textId="1DF90B8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1FE11DED" w14:textId="763CEE4C"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0,002</w:t>
            </w:r>
          </w:p>
        </w:tc>
        <w:tc>
          <w:tcPr>
            <w:tcW w:w="796" w:type="dxa"/>
            <w:shd w:val="clear" w:color="auto" w:fill="FFFFFF"/>
            <w:vAlign w:val="center"/>
          </w:tcPr>
          <w:p w14:paraId="1A45E1EB" w14:textId="1A8EBDCB"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05F8BF87" w14:textId="7113C2A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0,003</w:t>
            </w:r>
          </w:p>
        </w:tc>
        <w:tc>
          <w:tcPr>
            <w:tcW w:w="708" w:type="dxa"/>
            <w:shd w:val="clear" w:color="auto" w:fill="FFFFFF"/>
            <w:vAlign w:val="center"/>
          </w:tcPr>
          <w:p w14:paraId="32D858A3" w14:textId="1E204DF4"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30CD40B4" w14:textId="585B3AB8"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0,004</w:t>
            </w:r>
          </w:p>
        </w:tc>
        <w:tc>
          <w:tcPr>
            <w:tcW w:w="709" w:type="dxa"/>
            <w:shd w:val="clear" w:color="auto" w:fill="FFFFFF"/>
            <w:vAlign w:val="center"/>
          </w:tcPr>
          <w:p w14:paraId="4D380AEA" w14:textId="3EE87DB6"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7A077E75" w14:textId="782B72E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0,004</w:t>
            </w:r>
          </w:p>
        </w:tc>
        <w:tc>
          <w:tcPr>
            <w:tcW w:w="851" w:type="dxa"/>
            <w:shd w:val="clear" w:color="auto" w:fill="FFFFFF"/>
            <w:vAlign w:val="center"/>
          </w:tcPr>
          <w:p w14:paraId="0C8B4B57" w14:textId="35E4D6B3"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56D5ED65" w14:textId="270D5A62"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0,004</w:t>
            </w:r>
          </w:p>
        </w:tc>
        <w:tc>
          <w:tcPr>
            <w:tcW w:w="709" w:type="dxa"/>
            <w:shd w:val="clear" w:color="auto" w:fill="FFFFFF"/>
            <w:vAlign w:val="center"/>
          </w:tcPr>
          <w:p w14:paraId="68011CA6" w14:textId="465134C6"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992" w:type="dxa"/>
            <w:gridSpan w:val="2"/>
            <w:shd w:val="clear" w:color="auto" w:fill="FFFFFF"/>
            <w:vAlign w:val="center"/>
          </w:tcPr>
          <w:p w14:paraId="0DB4E7CC" w14:textId="34625B3C"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0,017</w:t>
            </w:r>
          </w:p>
        </w:tc>
      </w:tr>
      <w:tr w:rsidR="009603B5" w:rsidRPr="007E2BFD" w14:paraId="644B1E73" w14:textId="77777777" w:rsidTr="009603B5">
        <w:trPr>
          <w:trHeight w:val="21"/>
        </w:trPr>
        <w:tc>
          <w:tcPr>
            <w:tcW w:w="1701" w:type="dxa"/>
            <w:shd w:val="clear" w:color="auto" w:fill="FFFFFF"/>
            <w:vAlign w:val="center"/>
          </w:tcPr>
          <w:p w14:paraId="0F6EAA86" w14:textId="56E606FE"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Fundusz Solidarnościowy</w:t>
            </w:r>
          </w:p>
        </w:tc>
        <w:tc>
          <w:tcPr>
            <w:tcW w:w="680" w:type="dxa"/>
            <w:shd w:val="clear" w:color="auto" w:fill="FFFFFF"/>
            <w:vAlign w:val="center"/>
          </w:tcPr>
          <w:p w14:paraId="7A9277E4" w14:textId="3C52D554"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600E5B17" w14:textId="50CECAC3"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0,002</w:t>
            </w:r>
          </w:p>
        </w:tc>
        <w:tc>
          <w:tcPr>
            <w:tcW w:w="796" w:type="dxa"/>
            <w:shd w:val="clear" w:color="auto" w:fill="FFFFFF"/>
            <w:vAlign w:val="center"/>
          </w:tcPr>
          <w:p w14:paraId="21C96589" w14:textId="28456D1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0,001</w:t>
            </w:r>
          </w:p>
        </w:tc>
        <w:tc>
          <w:tcPr>
            <w:tcW w:w="709" w:type="dxa"/>
            <w:shd w:val="clear" w:color="auto" w:fill="FFFFFF"/>
            <w:vAlign w:val="center"/>
          </w:tcPr>
          <w:p w14:paraId="46490CFD" w14:textId="0A77B5F3"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0,004</w:t>
            </w:r>
          </w:p>
        </w:tc>
        <w:tc>
          <w:tcPr>
            <w:tcW w:w="708" w:type="dxa"/>
            <w:shd w:val="clear" w:color="auto" w:fill="FFFFFF"/>
            <w:vAlign w:val="center"/>
          </w:tcPr>
          <w:p w14:paraId="7B84260A" w14:textId="2D8BD88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0,001</w:t>
            </w:r>
          </w:p>
        </w:tc>
        <w:tc>
          <w:tcPr>
            <w:tcW w:w="709" w:type="dxa"/>
            <w:shd w:val="clear" w:color="auto" w:fill="FFFFFF"/>
            <w:vAlign w:val="center"/>
          </w:tcPr>
          <w:p w14:paraId="17B44F90" w14:textId="68FECE84"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0,005</w:t>
            </w:r>
          </w:p>
        </w:tc>
        <w:tc>
          <w:tcPr>
            <w:tcW w:w="709" w:type="dxa"/>
            <w:shd w:val="clear" w:color="auto" w:fill="FFFFFF"/>
            <w:vAlign w:val="center"/>
          </w:tcPr>
          <w:p w14:paraId="7B5CF996" w14:textId="12459A7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0,001</w:t>
            </w:r>
          </w:p>
        </w:tc>
        <w:tc>
          <w:tcPr>
            <w:tcW w:w="850" w:type="dxa"/>
            <w:shd w:val="clear" w:color="auto" w:fill="FFFFFF"/>
            <w:vAlign w:val="center"/>
          </w:tcPr>
          <w:p w14:paraId="38DFEB20" w14:textId="13445C8B"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0,005</w:t>
            </w:r>
          </w:p>
        </w:tc>
        <w:tc>
          <w:tcPr>
            <w:tcW w:w="851" w:type="dxa"/>
            <w:shd w:val="clear" w:color="auto" w:fill="FFFFFF"/>
            <w:vAlign w:val="center"/>
          </w:tcPr>
          <w:p w14:paraId="014BF961" w14:textId="409EFDA3"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0,001</w:t>
            </w:r>
          </w:p>
        </w:tc>
        <w:tc>
          <w:tcPr>
            <w:tcW w:w="850" w:type="dxa"/>
            <w:shd w:val="clear" w:color="auto" w:fill="FFFFFF"/>
            <w:vAlign w:val="center"/>
          </w:tcPr>
          <w:p w14:paraId="5AAAAE0B" w14:textId="2E753872"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0,005</w:t>
            </w:r>
          </w:p>
        </w:tc>
        <w:tc>
          <w:tcPr>
            <w:tcW w:w="709" w:type="dxa"/>
            <w:shd w:val="clear" w:color="auto" w:fill="FFFFFF"/>
            <w:vAlign w:val="center"/>
          </w:tcPr>
          <w:p w14:paraId="60E3B17D" w14:textId="62034C46"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0,001</w:t>
            </w:r>
          </w:p>
        </w:tc>
        <w:tc>
          <w:tcPr>
            <w:tcW w:w="992" w:type="dxa"/>
            <w:gridSpan w:val="2"/>
            <w:shd w:val="clear" w:color="auto" w:fill="FFFFFF"/>
            <w:vAlign w:val="center"/>
          </w:tcPr>
          <w:p w14:paraId="1A1CF762" w14:textId="3391F19F" w:rsidR="00A10EFB" w:rsidRPr="00A10EFB" w:rsidRDefault="00A10EFB" w:rsidP="00A10EFB">
            <w:pPr>
              <w:spacing w:line="240" w:lineRule="auto"/>
              <w:jc w:val="right"/>
              <w:rPr>
                <w:rFonts w:ascii="Times New Roman" w:hAnsi="Times New Roman"/>
                <w:b/>
                <w:bCs/>
                <w:sz w:val="14"/>
                <w:szCs w:val="14"/>
              </w:rPr>
            </w:pPr>
            <w:r w:rsidRPr="00A10EFB">
              <w:rPr>
                <w:rFonts w:ascii="Times New Roman" w:hAnsi="Times New Roman"/>
                <w:b/>
                <w:bCs/>
                <w:sz w:val="14"/>
                <w:szCs w:val="14"/>
              </w:rPr>
              <w:t>0,026</w:t>
            </w:r>
          </w:p>
        </w:tc>
      </w:tr>
      <w:tr w:rsidR="009603B5" w:rsidRPr="007E2BFD" w14:paraId="518BEB2C" w14:textId="77777777" w:rsidTr="009603B5">
        <w:trPr>
          <w:trHeight w:val="21"/>
        </w:trPr>
        <w:tc>
          <w:tcPr>
            <w:tcW w:w="1701" w:type="dxa"/>
            <w:shd w:val="clear" w:color="auto" w:fill="FFFFFF"/>
            <w:vAlign w:val="center"/>
          </w:tcPr>
          <w:p w14:paraId="3577CE32" w14:textId="775CB75A" w:rsidR="00A10EFB" w:rsidRPr="007E2BFD" w:rsidRDefault="00A10EFB" w:rsidP="00A10EFB">
            <w:pPr>
              <w:spacing w:line="240" w:lineRule="auto"/>
              <w:jc w:val="both"/>
              <w:rPr>
                <w:rFonts w:ascii="Times New Roman" w:hAnsi="Times New Roman"/>
                <w:sz w:val="14"/>
                <w:szCs w:val="14"/>
              </w:rPr>
            </w:pPr>
            <w:r w:rsidRPr="007E2BFD">
              <w:rPr>
                <w:rFonts w:ascii="Times New Roman" w:hAnsi="Times New Roman"/>
                <w:sz w:val="14"/>
                <w:szCs w:val="14"/>
              </w:rPr>
              <w:t>JST</w:t>
            </w:r>
          </w:p>
        </w:tc>
        <w:tc>
          <w:tcPr>
            <w:tcW w:w="680" w:type="dxa"/>
            <w:shd w:val="clear" w:color="auto" w:fill="FFFFFF"/>
            <w:vAlign w:val="center"/>
          </w:tcPr>
          <w:p w14:paraId="162EF378" w14:textId="0080DCD4"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680" w:type="dxa"/>
            <w:shd w:val="clear" w:color="auto" w:fill="FFFFFF"/>
            <w:vAlign w:val="center"/>
          </w:tcPr>
          <w:p w14:paraId="223F0941" w14:textId="4139D5BB"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0,005</w:t>
            </w:r>
          </w:p>
        </w:tc>
        <w:tc>
          <w:tcPr>
            <w:tcW w:w="796" w:type="dxa"/>
            <w:shd w:val="clear" w:color="auto" w:fill="FFFFFF"/>
            <w:vAlign w:val="center"/>
          </w:tcPr>
          <w:p w14:paraId="6752C11A" w14:textId="5B4E5A0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6CC6EF04" w14:textId="545342DC"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0,009</w:t>
            </w:r>
          </w:p>
        </w:tc>
        <w:tc>
          <w:tcPr>
            <w:tcW w:w="708" w:type="dxa"/>
            <w:shd w:val="clear" w:color="auto" w:fill="FFFFFF"/>
            <w:vAlign w:val="center"/>
          </w:tcPr>
          <w:p w14:paraId="26CC4DDD" w14:textId="31F0D4E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709" w:type="dxa"/>
            <w:shd w:val="clear" w:color="auto" w:fill="FFFFFF"/>
            <w:vAlign w:val="center"/>
          </w:tcPr>
          <w:p w14:paraId="06D3CFDC" w14:textId="26F6FC91"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06D9E3B9" w14:textId="0AF6CCC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7001D78B" w14:textId="419C5FE9"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851" w:type="dxa"/>
            <w:shd w:val="clear" w:color="auto" w:fill="FFFFFF"/>
            <w:vAlign w:val="center"/>
          </w:tcPr>
          <w:p w14:paraId="11B6D733" w14:textId="6980F175"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850" w:type="dxa"/>
            <w:shd w:val="clear" w:color="auto" w:fill="FFFFFF"/>
            <w:vAlign w:val="center"/>
          </w:tcPr>
          <w:p w14:paraId="2E6A81FD" w14:textId="534C216D"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0,012</w:t>
            </w:r>
          </w:p>
        </w:tc>
        <w:tc>
          <w:tcPr>
            <w:tcW w:w="709" w:type="dxa"/>
            <w:shd w:val="clear" w:color="auto" w:fill="FFFFFF"/>
            <w:vAlign w:val="center"/>
          </w:tcPr>
          <w:p w14:paraId="4709A52B" w14:textId="0669B89E" w:rsidR="00A10EFB" w:rsidRPr="00A10EFB" w:rsidRDefault="00A10EFB" w:rsidP="00A10EFB">
            <w:pPr>
              <w:spacing w:line="240" w:lineRule="auto"/>
              <w:jc w:val="right"/>
              <w:rPr>
                <w:rFonts w:ascii="Times New Roman" w:hAnsi="Times New Roman"/>
                <w:sz w:val="14"/>
                <w:szCs w:val="14"/>
              </w:rPr>
            </w:pPr>
            <w:r w:rsidRPr="00A10EFB">
              <w:rPr>
                <w:rFonts w:ascii="Times New Roman" w:hAnsi="Times New Roman"/>
                <w:sz w:val="14"/>
                <w:szCs w:val="14"/>
              </w:rPr>
              <w:t>0</w:t>
            </w:r>
          </w:p>
        </w:tc>
        <w:tc>
          <w:tcPr>
            <w:tcW w:w="992" w:type="dxa"/>
            <w:gridSpan w:val="2"/>
            <w:shd w:val="clear" w:color="auto" w:fill="FFFFFF"/>
            <w:vAlign w:val="center"/>
          </w:tcPr>
          <w:p w14:paraId="58124FCA" w14:textId="30D9C16B" w:rsidR="00A10EFB" w:rsidRPr="00A10EFB" w:rsidRDefault="00A10EFB" w:rsidP="00A10EFB">
            <w:pPr>
              <w:spacing w:line="240" w:lineRule="auto"/>
              <w:jc w:val="right"/>
              <w:rPr>
                <w:rFonts w:ascii="Times New Roman" w:hAnsi="Times New Roman"/>
                <w:b/>
                <w:bCs/>
                <w:sz w:val="14"/>
                <w:szCs w:val="14"/>
              </w:rPr>
            </w:pPr>
            <w:r w:rsidRPr="007E2BFD">
              <w:rPr>
                <w:rFonts w:ascii="Times New Roman" w:hAnsi="Times New Roman"/>
                <w:b/>
                <w:bCs/>
                <w:sz w:val="14"/>
                <w:szCs w:val="14"/>
              </w:rPr>
              <w:t>0,050</w:t>
            </w:r>
          </w:p>
        </w:tc>
      </w:tr>
    </w:tbl>
    <w:p w14:paraId="7BD465FD" w14:textId="77777777" w:rsidR="00BC3C23" w:rsidRPr="007E2BFD" w:rsidRDefault="00BC3C23">
      <w:pPr>
        <w:rPr>
          <w:sz w:val="2"/>
          <w:szCs w:val="2"/>
        </w:rPr>
      </w:pPr>
    </w:p>
    <w:p w14:paraId="2847EFC8" w14:textId="77777777" w:rsidR="007E6AA4" w:rsidRPr="007E2BFD" w:rsidRDefault="007E6AA4">
      <w:pPr>
        <w:rPr>
          <w:sz w:val="2"/>
          <w:szCs w:val="2"/>
        </w:rPr>
      </w:pPr>
    </w:p>
    <w:p w14:paraId="3532E2C6" w14:textId="77777777" w:rsidR="007E6AA4" w:rsidRDefault="007E6AA4">
      <w:pPr>
        <w:rPr>
          <w:sz w:val="2"/>
          <w:szCs w:val="2"/>
        </w:rPr>
      </w:pPr>
    </w:p>
    <w:p w14:paraId="47D7F576" w14:textId="77777777" w:rsidR="00BC3C23" w:rsidRPr="00515165" w:rsidRDefault="00BC3C23">
      <w:pPr>
        <w:rPr>
          <w:sz w:val="4"/>
          <w:szCs w:val="4"/>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1304"/>
        <w:gridCol w:w="342"/>
        <w:gridCol w:w="937"/>
        <w:gridCol w:w="285"/>
        <w:gridCol w:w="653"/>
        <w:gridCol w:w="894"/>
        <w:gridCol w:w="576"/>
        <w:gridCol w:w="405"/>
        <w:gridCol w:w="938"/>
        <w:gridCol w:w="938"/>
        <w:gridCol w:w="1422"/>
      </w:tblGrid>
      <w:tr w:rsidR="00E40B9E" w:rsidRPr="007A2509" w14:paraId="09F86B78" w14:textId="77777777" w:rsidTr="00C14EA7">
        <w:trPr>
          <w:trHeight w:val="348"/>
          <w:jc w:val="center"/>
        </w:trPr>
        <w:tc>
          <w:tcPr>
            <w:tcW w:w="2243" w:type="dxa"/>
            <w:gridSpan w:val="2"/>
            <w:shd w:val="clear" w:color="auto" w:fill="FFFFFF"/>
            <w:vAlign w:val="center"/>
          </w:tcPr>
          <w:p w14:paraId="0AA18586"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 xml:space="preserve">Źródła finansowania </w:t>
            </w:r>
          </w:p>
        </w:tc>
        <w:tc>
          <w:tcPr>
            <w:tcW w:w="8694" w:type="dxa"/>
            <w:gridSpan w:val="11"/>
            <w:shd w:val="clear" w:color="auto" w:fill="FFFFFF"/>
            <w:vAlign w:val="center"/>
          </w:tcPr>
          <w:p w14:paraId="26AB0556" w14:textId="44FEBFBB" w:rsidR="007B7D4E" w:rsidRPr="0034095C" w:rsidRDefault="00E40B9E" w:rsidP="009A7B8F">
            <w:pPr>
              <w:autoSpaceDE w:val="0"/>
              <w:autoSpaceDN w:val="0"/>
              <w:adjustRightInd w:val="0"/>
              <w:spacing w:line="240" w:lineRule="auto"/>
              <w:jc w:val="both"/>
              <w:rPr>
                <w:rFonts w:ascii="Times New Roman" w:hAnsi="Times New Roman"/>
                <w:color w:val="000000"/>
              </w:rPr>
            </w:pPr>
            <w:r w:rsidRPr="00B767DE">
              <w:rPr>
                <w:rFonts w:ascii="Times New Roman" w:hAnsi="Times New Roman"/>
                <w:color w:val="000000"/>
              </w:rPr>
              <w:t xml:space="preserve">NFOŚiGW, </w:t>
            </w:r>
            <w:proofErr w:type="spellStart"/>
            <w:r w:rsidRPr="00B767DE">
              <w:rPr>
                <w:rFonts w:ascii="Times New Roman" w:hAnsi="Times New Roman"/>
                <w:color w:val="000000"/>
              </w:rPr>
              <w:t>FEnIKS</w:t>
            </w:r>
            <w:proofErr w:type="spellEnd"/>
            <w:r w:rsidRPr="00B767DE">
              <w:rPr>
                <w:rFonts w:ascii="Times New Roman" w:hAnsi="Times New Roman"/>
                <w:color w:val="000000"/>
              </w:rPr>
              <w:t>,</w:t>
            </w:r>
            <w:r>
              <w:rPr>
                <w:rFonts w:ascii="Times New Roman" w:hAnsi="Times New Roman"/>
                <w:color w:val="000000"/>
              </w:rPr>
              <w:t xml:space="preserve"> FEPW,</w:t>
            </w:r>
            <w:r w:rsidR="00630D4A">
              <w:rPr>
                <w:rFonts w:ascii="Times New Roman" w:hAnsi="Times New Roman"/>
                <w:color w:val="000000"/>
              </w:rPr>
              <w:t xml:space="preserve"> FRR</w:t>
            </w:r>
            <w:r w:rsidR="00EE21B3">
              <w:rPr>
                <w:rFonts w:ascii="Times New Roman" w:hAnsi="Times New Roman"/>
                <w:color w:val="000000"/>
              </w:rPr>
              <w:t>,</w:t>
            </w:r>
            <w:r w:rsidRPr="00B767DE">
              <w:rPr>
                <w:rFonts w:ascii="Times New Roman" w:hAnsi="Times New Roman"/>
                <w:color w:val="000000"/>
              </w:rPr>
              <w:t xml:space="preserve"> budżet</w:t>
            </w:r>
            <w:r w:rsidR="00630D4A">
              <w:rPr>
                <w:rFonts w:ascii="Times New Roman" w:hAnsi="Times New Roman"/>
                <w:color w:val="000000"/>
              </w:rPr>
              <w:t>, państwa, budżet</w:t>
            </w:r>
            <w:r w:rsidRPr="00B767DE">
              <w:rPr>
                <w:rFonts w:ascii="Times New Roman" w:hAnsi="Times New Roman"/>
                <w:color w:val="000000"/>
              </w:rPr>
              <w:t xml:space="preserve"> JST</w:t>
            </w:r>
            <w:r w:rsidR="00630D4A">
              <w:rPr>
                <w:rFonts w:ascii="Times New Roman" w:hAnsi="Times New Roman"/>
                <w:color w:val="000000"/>
              </w:rPr>
              <w:t xml:space="preserve"> lub inne krajowe środki publiczne.</w:t>
            </w:r>
            <w:r w:rsidR="00406597">
              <w:t xml:space="preserve"> </w:t>
            </w:r>
          </w:p>
        </w:tc>
      </w:tr>
      <w:tr w:rsidR="00E40B9E" w:rsidRPr="007A2509" w14:paraId="4D7428EB" w14:textId="77777777" w:rsidTr="00C14EA7">
        <w:trPr>
          <w:trHeight w:val="416"/>
          <w:jc w:val="center"/>
        </w:trPr>
        <w:tc>
          <w:tcPr>
            <w:tcW w:w="2243" w:type="dxa"/>
            <w:gridSpan w:val="2"/>
            <w:shd w:val="clear" w:color="auto" w:fill="FFFFFF"/>
          </w:tcPr>
          <w:p w14:paraId="1A3F890D"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 xml:space="preserve">Dodatkowe informacje, w tym </w:t>
            </w:r>
            <w:r w:rsidRPr="007A2509">
              <w:rPr>
                <w:rFonts w:ascii="Times New Roman" w:hAnsi="Times New Roman"/>
                <w:color w:val="000000"/>
              </w:rPr>
              <w:lastRenderedPageBreak/>
              <w:t>wskazanie źródeł danych i przyjętych do obliczeń założeń</w:t>
            </w:r>
          </w:p>
        </w:tc>
        <w:tc>
          <w:tcPr>
            <w:tcW w:w="8694" w:type="dxa"/>
            <w:gridSpan w:val="11"/>
            <w:shd w:val="clear" w:color="auto" w:fill="FFFFFF"/>
            <w:vAlign w:val="center"/>
          </w:tcPr>
          <w:p w14:paraId="127982E1" w14:textId="77777777" w:rsidR="00E40B9E" w:rsidRDefault="00E40B9E" w:rsidP="00E40B9E">
            <w:pPr>
              <w:spacing w:line="240" w:lineRule="auto"/>
              <w:jc w:val="both"/>
              <w:rPr>
                <w:rFonts w:ascii="Times New Roman" w:hAnsi="Times New Roman"/>
                <w:b/>
                <w:bCs/>
                <w:color w:val="000000"/>
              </w:rPr>
            </w:pPr>
            <w:r w:rsidRPr="007A2509">
              <w:rPr>
                <w:rFonts w:ascii="Times New Roman" w:hAnsi="Times New Roman"/>
                <w:b/>
                <w:bCs/>
                <w:color w:val="000000"/>
              </w:rPr>
              <w:lastRenderedPageBreak/>
              <w:t>Opracowanie</w:t>
            </w:r>
            <w:r>
              <w:rPr>
                <w:rFonts w:ascii="Times New Roman" w:hAnsi="Times New Roman"/>
                <w:b/>
                <w:bCs/>
                <w:color w:val="000000"/>
              </w:rPr>
              <w:t xml:space="preserve"> </w:t>
            </w:r>
            <w:r w:rsidRPr="007A2509">
              <w:rPr>
                <w:rFonts w:ascii="Times New Roman" w:hAnsi="Times New Roman"/>
                <w:b/>
                <w:bCs/>
                <w:color w:val="000000"/>
              </w:rPr>
              <w:t>miejskich planów adaptacji do zmian klimatu.</w:t>
            </w:r>
          </w:p>
          <w:p w14:paraId="5A9EAC55" w14:textId="39BEC708" w:rsidR="00E40B9E" w:rsidRPr="007A2509" w:rsidRDefault="00E40B9E" w:rsidP="00E40B9E">
            <w:pPr>
              <w:spacing w:line="240" w:lineRule="auto"/>
              <w:jc w:val="both"/>
              <w:rPr>
                <w:rFonts w:ascii="Times New Roman" w:hAnsi="Times New Roman"/>
                <w:b/>
                <w:bCs/>
                <w:color w:val="000000"/>
              </w:rPr>
            </w:pPr>
            <w:r w:rsidRPr="005E7890">
              <w:rPr>
                <w:rFonts w:ascii="Times New Roman" w:hAnsi="Times New Roman"/>
              </w:rPr>
              <w:t>Rok 202</w:t>
            </w:r>
            <w:r w:rsidR="004171CC">
              <w:rPr>
                <w:rFonts w:ascii="Times New Roman" w:hAnsi="Times New Roman"/>
              </w:rPr>
              <w:t>5</w:t>
            </w:r>
            <w:r w:rsidRPr="005E7890">
              <w:rPr>
                <w:rFonts w:ascii="Times New Roman" w:hAnsi="Times New Roman"/>
              </w:rPr>
              <w:t xml:space="preserve"> został określony jako rok „0</w:t>
            </w:r>
            <w:r>
              <w:rPr>
                <w:rFonts w:ascii="TimesNewRomanPSMT" w:hAnsi="TimesNewRomanPSMT" w:cs="TimesNewRomanPSMT"/>
                <w:lang w:eastAsia="pl-PL"/>
              </w:rPr>
              <w:t>”.</w:t>
            </w:r>
          </w:p>
          <w:p w14:paraId="1446145F" w14:textId="77777777" w:rsidR="00E40B9E" w:rsidRPr="007A2509" w:rsidRDefault="00E40B9E" w:rsidP="00E40B9E">
            <w:pPr>
              <w:spacing w:line="240" w:lineRule="auto"/>
              <w:jc w:val="both"/>
              <w:rPr>
                <w:rFonts w:ascii="Times New Roman" w:hAnsi="Times New Roman"/>
              </w:rPr>
            </w:pPr>
            <w:r w:rsidRPr="007A2509">
              <w:rPr>
                <w:rFonts w:ascii="Times New Roman" w:hAnsi="Times New Roman"/>
              </w:rPr>
              <w:lastRenderedPageBreak/>
              <w:t xml:space="preserve">Gminy o statusie miasta </w:t>
            </w:r>
            <w:r>
              <w:rPr>
                <w:rFonts w:ascii="Times New Roman" w:hAnsi="Times New Roman"/>
              </w:rPr>
              <w:t>≥</w:t>
            </w:r>
            <w:r w:rsidRPr="007A2509">
              <w:rPr>
                <w:rFonts w:ascii="Times New Roman" w:hAnsi="Times New Roman"/>
              </w:rPr>
              <w:t xml:space="preserve"> 20 000 mieszkańców będą </w:t>
            </w:r>
            <w:r>
              <w:rPr>
                <w:rFonts w:ascii="Times New Roman" w:hAnsi="Times New Roman"/>
              </w:rPr>
              <w:t>zobowiązane</w:t>
            </w:r>
            <w:r w:rsidRPr="007A2509">
              <w:rPr>
                <w:rFonts w:ascii="Times New Roman" w:hAnsi="Times New Roman"/>
              </w:rPr>
              <w:t xml:space="preserve"> opracować MPA. Niektóre gminy o statusie miasta </w:t>
            </w:r>
            <w:r w:rsidRPr="00E63DA9">
              <w:rPr>
                <w:rFonts w:ascii="Times New Roman" w:hAnsi="Times New Roman"/>
              </w:rPr>
              <w:t>≥</w:t>
            </w:r>
            <w:r w:rsidRPr="007A2509">
              <w:rPr>
                <w:rFonts w:ascii="Times New Roman" w:hAnsi="Times New Roman"/>
              </w:rPr>
              <w:t xml:space="preserve"> 20 000 mieszkańców już przyjęły w drodze uchwały miejski plan adaptacji do zmian klimatu we własnym zakresie, dodatkowo dla 44 miast MPA został opracowany w ramach projektu </w:t>
            </w:r>
            <w:proofErr w:type="spellStart"/>
            <w:r w:rsidRPr="007A2509">
              <w:rPr>
                <w:rFonts w:ascii="Times New Roman" w:hAnsi="Times New Roman"/>
              </w:rPr>
              <w:t>MKiŚ</w:t>
            </w:r>
            <w:proofErr w:type="spellEnd"/>
            <w:r w:rsidRPr="007A2509">
              <w:rPr>
                <w:rFonts w:ascii="Times New Roman" w:hAnsi="Times New Roman"/>
              </w:rPr>
              <w:t xml:space="preserve"> (wcześniej Ministerstwa Środowiska). </w:t>
            </w:r>
          </w:p>
          <w:p w14:paraId="5F882BAB"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rPr>
              <w:t xml:space="preserve">Średni koszt opracowania MPA oszacowany jest na 100 000 zł: Starogard Gdański (47 671 mieszkańców) – 107 625,00 zł; </w:t>
            </w:r>
            <w:r w:rsidRPr="007A2509">
              <w:rPr>
                <w:rFonts w:ascii="Times New Roman" w:hAnsi="Times New Roman"/>
                <w:color w:val="000000"/>
              </w:rPr>
              <w:t>Inowrocław (72 561 mieszkańców) – 116 850,00 zł; Mińsk Mazowiecki (40 999 mieszkańców) – 41 500,20 zł; Mielec (60 323 mieszkańców) – 34 440 zł</w:t>
            </w:r>
            <w:r>
              <w:rPr>
                <w:rFonts w:ascii="Times New Roman" w:hAnsi="Times New Roman"/>
                <w:color w:val="000000"/>
              </w:rPr>
              <w:t xml:space="preserve"> [informacje pozyskane z BIP ww. miast]</w:t>
            </w:r>
            <w:r w:rsidRPr="007A2509">
              <w:rPr>
                <w:rFonts w:ascii="Times New Roman" w:hAnsi="Times New Roman"/>
                <w:color w:val="000000"/>
              </w:rPr>
              <w:t xml:space="preserve">. </w:t>
            </w:r>
          </w:p>
          <w:p w14:paraId="060030F1" w14:textId="5002C5D5" w:rsidR="00E40B9E" w:rsidRPr="00B767DE" w:rsidRDefault="00E40B9E" w:rsidP="00E15975">
            <w:pPr>
              <w:spacing w:line="240" w:lineRule="auto"/>
              <w:jc w:val="both"/>
              <w:rPr>
                <w:rFonts w:ascii="Times New Roman" w:hAnsi="Times New Roman"/>
                <w:color w:val="000000"/>
              </w:rPr>
            </w:pPr>
            <w:r w:rsidRPr="007A2509">
              <w:rPr>
                <w:rFonts w:ascii="Times New Roman" w:hAnsi="Times New Roman"/>
                <w:color w:val="000000"/>
              </w:rPr>
              <w:t xml:space="preserve">W kontekście adaptacji do zmian klimatu </w:t>
            </w:r>
            <w:r w:rsidR="006A51A4" w:rsidRPr="007A2509">
              <w:rPr>
                <w:rFonts w:ascii="Times New Roman" w:hAnsi="Times New Roman"/>
                <w:color w:val="000000"/>
              </w:rPr>
              <w:t>zap</w:t>
            </w:r>
            <w:r w:rsidR="006A51A4">
              <w:rPr>
                <w:rFonts w:ascii="Times New Roman" w:hAnsi="Times New Roman"/>
                <w:color w:val="000000"/>
              </w:rPr>
              <w:t>ewniono</w:t>
            </w:r>
            <w:r w:rsidR="006A51A4" w:rsidRPr="007A2509">
              <w:rPr>
                <w:rFonts w:ascii="Times New Roman" w:hAnsi="Times New Roman"/>
                <w:color w:val="000000"/>
              </w:rPr>
              <w:t xml:space="preserve"> </w:t>
            </w:r>
            <w:r w:rsidRPr="007A2509">
              <w:rPr>
                <w:rFonts w:ascii="Times New Roman" w:hAnsi="Times New Roman"/>
                <w:color w:val="000000"/>
              </w:rPr>
              <w:t xml:space="preserve">stosowne finansowanie działań ze środków </w:t>
            </w:r>
            <w:r w:rsidR="00445441">
              <w:rPr>
                <w:rFonts w:ascii="Times New Roman" w:hAnsi="Times New Roman"/>
                <w:color w:val="000000"/>
              </w:rPr>
              <w:t>p</w:t>
            </w:r>
            <w:r w:rsidRPr="003B0E27">
              <w:rPr>
                <w:rFonts w:ascii="Times New Roman" w:hAnsi="Times New Roman"/>
                <w:color w:val="000000"/>
              </w:rPr>
              <w:t>rogram</w:t>
            </w:r>
            <w:r>
              <w:rPr>
                <w:rFonts w:ascii="Times New Roman" w:hAnsi="Times New Roman"/>
                <w:color w:val="000000"/>
              </w:rPr>
              <w:t>u</w:t>
            </w:r>
            <w:r w:rsidRPr="003B0E27">
              <w:rPr>
                <w:rFonts w:ascii="Times New Roman" w:hAnsi="Times New Roman"/>
                <w:color w:val="000000"/>
              </w:rPr>
              <w:t xml:space="preserve"> Fundusze Europejskie na Infrastrukturę, Klimat, Środowisko 2021-2027 (</w:t>
            </w:r>
            <w:proofErr w:type="spellStart"/>
            <w:r w:rsidRPr="003B0E27">
              <w:rPr>
                <w:rFonts w:ascii="Times New Roman" w:hAnsi="Times New Roman"/>
                <w:color w:val="000000"/>
              </w:rPr>
              <w:t>FEnIKS</w:t>
            </w:r>
            <w:proofErr w:type="spellEnd"/>
            <w:r w:rsidRPr="003B0E27">
              <w:rPr>
                <w:rFonts w:ascii="Times New Roman" w:hAnsi="Times New Roman"/>
                <w:color w:val="000000"/>
              </w:rPr>
              <w:t>)</w:t>
            </w:r>
            <w:r>
              <w:rPr>
                <w:rFonts w:ascii="Times New Roman" w:hAnsi="Times New Roman"/>
                <w:color w:val="000000"/>
              </w:rPr>
              <w:t>, który</w:t>
            </w:r>
            <w:r w:rsidRPr="003B0E27">
              <w:rPr>
                <w:rFonts w:ascii="Times New Roman" w:hAnsi="Times New Roman"/>
                <w:color w:val="000000"/>
              </w:rPr>
              <w:t xml:space="preserve"> stanowi kontynuację dwóch wcześniejszych programów Infrastruktura i Środowisko 2007</w:t>
            </w:r>
            <w:r w:rsidR="00C3424F">
              <w:rPr>
                <w:rFonts w:ascii="Times New Roman" w:hAnsi="Times New Roman"/>
                <w:color w:val="000000"/>
              </w:rPr>
              <w:t>–</w:t>
            </w:r>
            <w:r w:rsidRPr="003B0E27">
              <w:rPr>
                <w:rFonts w:ascii="Times New Roman" w:hAnsi="Times New Roman"/>
                <w:color w:val="000000"/>
              </w:rPr>
              <w:t>2013 oraz 2014</w:t>
            </w:r>
            <w:r w:rsidR="00C3424F">
              <w:rPr>
                <w:rFonts w:ascii="Times New Roman" w:hAnsi="Times New Roman"/>
                <w:color w:val="000000"/>
              </w:rPr>
              <w:t>–</w:t>
            </w:r>
            <w:r w:rsidRPr="00B767DE">
              <w:rPr>
                <w:rFonts w:ascii="Times New Roman" w:hAnsi="Times New Roman"/>
                <w:color w:val="000000"/>
              </w:rPr>
              <w:t>2020</w:t>
            </w:r>
            <w:r>
              <w:rPr>
                <w:rFonts w:ascii="Times New Roman" w:hAnsi="Times New Roman"/>
                <w:color w:val="000000"/>
              </w:rPr>
              <w:t xml:space="preserve">, a </w:t>
            </w:r>
            <w:r w:rsidRPr="00FA592C">
              <w:rPr>
                <w:rFonts w:ascii="Times New Roman" w:hAnsi="Times New Roman"/>
                <w:color w:val="000000"/>
              </w:rPr>
              <w:t xml:space="preserve">także </w:t>
            </w:r>
            <w:r w:rsidR="00445441">
              <w:rPr>
                <w:rFonts w:ascii="Times New Roman" w:hAnsi="Times New Roman"/>
                <w:color w:val="000000"/>
              </w:rPr>
              <w:t>p</w:t>
            </w:r>
            <w:r w:rsidRPr="00FA592C">
              <w:rPr>
                <w:rFonts w:ascii="Times New Roman" w:hAnsi="Times New Roman"/>
                <w:color w:val="000000"/>
              </w:rPr>
              <w:t>rogramu Fundusze Europejskie dla Polski Wschodniej (FEPW).</w:t>
            </w:r>
            <w:r w:rsidRPr="00B767DE">
              <w:rPr>
                <w:rFonts w:ascii="Times New Roman" w:hAnsi="Times New Roman"/>
                <w:color w:val="000000"/>
              </w:rPr>
              <w:t xml:space="preserve"> Zarówno wdrażanie miejskich planów adaptacji do zmian klimatu dla miast objętych projektem MPA44, jak również </w:t>
            </w:r>
            <w:r>
              <w:rPr>
                <w:rFonts w:ascii="Times New Roman" w:hAnsi="Times New Roman"/>
                <w:color w:val="000000"/>
              </w:rPr>
              <w:t>opracowanie</w:t>
            </w:r>
            <w:r w:rsidRPr="00B767DE">
              <w:rPr>
                <w:rFonts w:ascii="Times New Roman" w:hAnsi="Times New Roman"/>
                <w:color w:val="000000"/>
              </w:rPr>
              <w:t xml:space="preserve"> i wdr</w:t>
            </w:r>
            <w:r>
              <w:rPr>
                <w:rFonts w:ascii="Times New Roman" w:hAnsi="Times New Roman"/>
                <w:color w:val="000000"/>
              </w:rPr>
              <w:t>ażanie</w:t>
            </w:r>
            <w:r w:rsidRPr="00B767DE">
              <w:rPr>
                <w:rFonts w:ascii="Times New Roman" w:hAnsi="Times New Roman"/>
                <w:color w:val="000000"/>
              </w:rPr>
              <w:t xml:space="preserve"> planów adaptacji do zmian klimatu dla mniejszych miast – tam, gdzie występuje znacząca koncentracja problemów i zagrożeń związanych ze zmianami klimatu oraz istnieje konieczność podjęcia działań adaptacyjnych</w:t>
            </w:r>
            <w:r>
              <w:rPr>
                <w:rFonts w:ascii="Times New Roman" w:hAnsi="Times New Roman"/>
                <w:color w:val="000000"/>
              </w:rPr>
              <w:t xml:space="preserve">, </w:t>
            </w:r>
            <w:r w:rsidRPr="00B767DE">
              <w:rPr>
                <w:rFonts w:ascii="Times New Roman" w:hAnsi="Times New Roman"/>
                <w:color w:val="000000"/>
              </w:rPr>
              <w:t>ujęte zostało w</w:t>
            </w:r>
            <w:r w:rsidR="009A7B8F">
              <w:rPr>
                <w:rFonts w:ascii="Times New Roman" w:hAnsi="Times New Roman"/>
                <w:color w:val="000000"/>
              </w:rPr>
              <w:t> </w:t>
            </w:r>
            <w:r w:rsidRPr="00B767DE">
              <w:rPr>
                <w:rFonts w:ascii="Times New Roman" w:hAnsi="Times New Roman"/>
                <w:color w:val="000000"/>
              </w:rPr>
              <w:t>nowej perspektyw</w:t>
            </w:r>
            <w:r w:rsidR="006A51A4">
              <w:rPr>
                <w:rFonts w:ascii="Times New Roman" w:hAnsi="Times New Roman"/>
                <w:color w:val="000000"/>
              </w:rPr>
              <w:t>ie</w:t>
            </w:r>
            <w:r w:rsidRPr="00B767DE">
              <w:rPr>
                <w:rFonts w:ascii="Times New Roman" w:hAnsi="Times New Roman"/>
                <w:color w:val="000000"/>
              </w:rPr>
              <w:t xml:space="preserve"> finansowej UE 2021</w:t>
            </w:r>
            <w:r w:rsidR="0087793F">
              <w:rPr>
                <w:rFonts w:ascii="Times New Roman" w:hAnsi="Times New Roman"/>
                <w:color w:val="000000"/>
              </w:rPr>
              <w:t>–</w:t>
            </w:r>
            <w:r w:rsidRPr="00B767DE">
              <w:rPr>
                <w:rFonts w:ascii="Times New Roman" w:hAnsi="Times New Roman"/>
                <w:color w:val="000000"/>
              </w:rPr>
              <w:t xml:space="preserve">2027. </w:t>
            </w:r>
          </w:p>
          <w:p w14:paraId="50623DA7" w14:textId="6803D01E" w:rsidR="00E40B9E" w:rsidRPr="008623EA" w:rsidRDefault="00E40B9E" w:rsidP="000E7F37">
            <w:pPr>
              <w:spacing w:line="240" w:lineRule="auto"/>
              <w:jc w:val="both"/>
              <w:rPr>
                <w:rFonts w:ascii="Arial" w:eastAsia="Times New Roman" w:hAnsi="Arial" w:cs="Arial"/>
              </w:rPr>
            </w:pPr>
            <w:r w:rsidRPr="008E2CB3">
              <w:rPr>
                <w:rFonts w:ascii="Times New Roman" w:hAnsi="Times New Roman"/>
                <w:color w:val="000000"/>
              </w:rPr>
              <w:t xml:space="preserve">Zgodnie z </w:t>
            </w:r>
            <w:r w:rsidRPr="00C26F1B">
              <w:rPr>
                <w:rFonts w:ascii="Times New Roman" w:hAnsi="Times New Roman"/>
                <w:color w:val="000000"/>
              </w:rPr>
              <w:t xml:space="preserve">obowiązującą Linią demarkacyjną </w:t>
            </w:r>
            <w:r w:rsidR="008623EA">
              <w:rPr>
                <w:rFonts w:ascii="Times New Roman" w:hAnsi="Times New Roman"/>
                <w:color w:val="000000"/>
              </w:rPr>
              <w:t>(</w:t>
            </w:r>
            <w:r w:rsidR="00C26F1B" w:rsidRPr="00A1355C">
              <w:rPr>
                <w:rFonts w:ascii="Times New Roman" w:eastAsia="Times New Roman" w:hAnsi="Times New Roman"/>
              </w:rPr>
              <w:t>służ</w:t>
            </w:r>
            <w:r w:rsidR="008623EA">
              <w:rPr>
                <w:rFonts w:ascii="Times New Roman" w:eastAsia="Times New Roman" w:hAnsi="Times New Roman"/>
              </w:rPr>
              <w:t>ącą</w:t>
            </w:r>
            <w:r w:rsidR="00C26F1B" w:rsidRPr="00A1355C">
              <w:rPr>
                <w:rFonts w:ascii="Times New Roman" w:eastAsia="Times New Roman" w:hAnsi="Times New Roman"/>
              </w:rPr>
              <w:t xml:space="preserve"> koordynacji działań między poziomem krajowym i regionalnym z jednej strony, z drugiej zaś zapobiega</w:t>
            </w:r>
            <w:r w:rsidR="008623EA">
              <w:rPr>
                <w:rFonts w:ascii="Times New Roman" w:eastAsia="Times New Roman" w:hAnsi="Times New Roman"/>
              </w:rPr>
              <w:t>jącą</w:t>
            </w:r>
            <w:r w:rsidR="00C26F1B" w:rsidRPr="00A1355C">
              <w:rPr>
                <w:rFonts w:ascii="Times New Roman" w:eastAsia="Times New Roman" w:hAnsi="Times New Roman"/>
              </w:rPr>
              <w:t xml:space="preserve"> podwójnemu finansowaniu działań z różnych programów</w:t>
            </w:r>
            <w:r w:rsidR="00094258">
              <w:rPr>
                <w:rFonts w:ascii="Times New Roman" w:eastAsia="Times New Roman" w:hAnsi="Times New Roman"/>
              </w:rPr>
              <w:t xml:space="preserve"> </w:t>
            </w:r>
            <w:r w:rsidR="00C26F1B" w:rsidRPr="00A1355C">
              <w:rPr>
                <w:rFonts w:ascii="Times New Roman" w:eastAsia="Times New Roman" w:hAnsi="Times New Roman"/>
              </w:rPr>
              <w:t>finansowanych z polityki spójności</w:t>
            </w:r>
            <w:r w:rsidR="008623EA">
              <w:rPr>
                <w:rFonts w:ascii="Times New Roman" w:eastAsia="Times New Roman" w:hAnsi="Times New Roman"/>
              </w:rPr>
              <w:t>)</w:t>
            </w:r>
            <w:r w:rsidR="008623EA">
              <w:rPr>
                <w:rFonts w:ascii="Arial" w:eastAsia="Times New Roman" w:hAnsi="Arial" w:cs="Arial"/>
              </w:rPr>
              <w:t xml:space="preserve"> </w:t>
            </w:r>
            <w:r w:rsidRPr="008E2CB3">
              <w:rPr>
                <w:rFonts w:ascii="Times New Roman" w:hAnsi="Times New Roman"/>
                <w:color w:val="000000"/>
              </w:rPr>
              <w:t>na obszar krajowy i</w:t>
            </w:r>
            <w:r w:rsidR="009A7B8F">
              <w:rPr>
                <w:rFonts w:ascii="Times New Roman" w:hAnsi="Times New Roman"/>
                <w:color w:val="000000"/>
              </w:rPr>
              <w:t> </w:t>
            </w:r>
            <w:r w:rsidRPr="008E2CB3">
              <w:rPr>
                <w:rFonts w:ascii="Times New Roman" w:hAnsi="Times New Roman"/>
                <w:color w:val="000000"/>
              </w:rPr>
              <w:t>regionalny w zakresie adaptacji do zmian klimatu dotyczącą perspektywy finansowej 2021</w:t>
            </w:r>
            <w:r w:rsidR="0087793F">
              <w:rPr>
                <w:rFonts w:ascii="Times New Roman" w:hAnsi="Times New Roman"/>
                <w:color w:val="000000"/>
              </w:rPr>
              <w:t>–</w:t>
            </w:r>
            <w:r w:rsidRPr="008E2CB3">
              <w:rPr>
                <w:rFonts w:ascii="Times New Roman" w:hAnsi="Times New Roman"/>
                <w:color w:val="000000"/>
              </w:rPr>
              <w:t xml:space="preserve">2027 w ramach programów </w:t>
            </w:r>
            <w:proofErr w:type="spellStart"/>
            <w:r w:rsidRPr="008E2CB3">
              <w:rPr>
                <w:rFonts w:ascii="Times New Roman" w:hAnsi="Times New Roman"/>
                <w:color w:val="000000"/>
              </w:rPr>
              <w:t>FEnIKS</w:t>
            </w:r>
            <w:proofErr w:type="spellEnd"/>
            <w:r w:rsidRPr="008E2CB3">
              <w:rPr>
                <w:rFonts w:ascii="Times New Roman" w:hAnsi="Times New Roman"/>
                <w:color w:val="000000"/>
              </w:rPr>
              <w:t xml:space="preserve"> oraz FEPW </w:t>
            </w:r>
            <w:r w:rsidR="006A51A4">
              <w:rPr>
                <w:rFonts w:ascii="Times New Roman" w:hAnsi="Times New Roman"/>
                <w:color w:val="000000"/>
              </w:rPr>
              <w:t xml:space="preserve">istnieje możliwość </w:t>
            </w:r>
            <w:r w:rsidRPr="008E2CB3">
              <w:rPr>
                <w:rFonts w:ascii="Times New Roman" w:hAnsi="Times New Roman"/>
                <w:color w:val="000000"/>
              </w:rPr>
              <w:t>dofinansowan</w:t>
            </w:r>
            <w:r w:rsidR="006A51A4">
              <w:rPr>
                <w:rFonts w:ascii="Times New Roman" w:hAnsi="Times New Roman"/>
                <w:color w:val="000000"/>
              </w:rPr>
              <w:t>ia</w:t>
            </w:r>
            <w:r w:rsidRPr="008E2CB3">
              <w:rPr>
                <w:rFonts w:ascii="Times New Roman" w:hAnsi="Times New Roman"/>
                <w:color w:val="000000"/>
              </w:rPr>
              <w:t xml:space="preserve"> opracowani</w:t>
            </w:r>
            <w:r w:rsidR="006A51A4">
              <w:rPr>
                <w:rFonts w:ascii="Times New Roman" w:hAnsi="Times New Roman"/>
                <w:color w:val="000000"/>
              </w:rPr>
              <w:t>a</w:t>
            </w:r>
            <w:r w:rsidRPr="008E2CB3">
              <w:rPr>
                <w:rFonts w:ascii="Times New Roman" w:hAnsi="Times New Roman"/>
                <w:color w:val="000000"/>
              </w:rPr>
              <w:t xml:space="preserve"> planów adaptacji do zmian klimatu dla miast średnich o liczbie mieszkańców z przedziału 20 000 </w:t>
            </w:r>
            <w:r w:rsidR="00674217">
              <w:rPr>
                <w:rFonts w:ascii="Times New Roman" w:hAnsi="Times New Roman"/>
                <w:color w:val="000000"/>
              </w:rPr>
              <w:t>–</w:t>
            </w:r>
            <w:r w:rsidRPr="008E2CB3">
              <w:rPr>
                <w:rFonts w:ascii="Times New Roman" w:hAnsi="Times New Roman"/>
                <w:color w:val="000000"/>
              </w:rPr>
              <w:t xml:space="preserve"> 100 000, z wyjątkiem miast partnerów projektu MPA oraz Miasta Stołecznego Warszawy, a</w:t>
            </w:r>
            <w:r w:rsidR="009A7B8F">
              <w:rPr>
                <w:rFonts w:ascii="Times New Roman" w:hAnsi="Times New Roman"/>
                <w:color w:val="000000"/>
              </w:rPr>
              <w:t> </w:t>
            </w:r>
            <w:r w:rsidRPr="008E2CB3">
              <w:rPr>
                <w:rFonts w:ascii="Times New Roman" w:hAnsi="Times New Roman"/>
                <w:color w:val="000000"/>
              </w:rPr>
              <w:t xml:space="preserve">także miast o liczbie mieszkańców z przedziału 15 000 </w:t>
            </w:r>
            <w:r w:rsidR="00674217">
              <w:rPr>
                <w:rFonts w:ascii="Times New Roman" w:hAnsi="Times New Roman"/>
                <w:color w:val="000000"/>
              </w:rPr>
              <w:t>–</w:t>
            </w:r>
            <w:r w:rsidRPr="008E2CB3">
              <w:rPr>
                <w:rFonts w:ascii="Times New Roman" w:hAnsi="Times New Roman"/>
                <w:color w:val="000000"/>
              </w:rPr>
              <w:t xml:space="preserve"> 20 000 mieszkańców, będących stolicami powiatów, zaś plany adaptacji dla pozostałych miast będą mogły być potencjalnie sfinansowane w ramach </w:t>
            </w:r>
            <w:r w:rsidR="00E9296F">
              <w:rPr>
                <w:rFonts w:ascii="Times New Roman" w:hAnsi="Times New Roman"/>
                <w:color w:val="000000"/>
              </w:rPr>
              <w:t>Funduszy Europejskich dla regionów</w:t>
            </w:r>
            <w:r w:rsidRPr="008E2CB3">
              <w:rPr>
                <w:rFonts w:ascii="Times New Roman" w:hAnsi="Times New Roman"/>
                <w:color w:val="000000"/>
              </w:rPr>
              <w:t xml:space="preserve">. Opracowywanie przez miasta miejskich planów adaptacji </w:t>
            </w:r>
            <w:r w:rsidR="006A51A4">
              <w:rPr>
                <w:rFonts w:ascii="Times New Roman" w:hAnsi="Times New Roman"/>
                <w:color w:val="000000"/>
              </w:rPr>
              <w:t>ma</w:t>
            </w:r>
            <w:r w:rsidRPr="008E2CB3">
              <w:rPr>
                <w:rFonts w:ascii="Times New Roman" w:hAnsi="Times New Roman"/>
                <w:color w:val="000000"/>
              </w:rPr>
              <w:t xml:space="preserve"> wsparcie finansowe w wysokości </w:t>
            </w:r>
            <w:r w:rsidR="004B580F">
              <w:rPr>
                <w:rFonts w:ascii="Times New Roman" w:hAnsi="Times New Roman"/>
                <w:color w:val="000000"/>
              </w:rPr>
              <w:t xml:space="preserve">maksymalnie </w:t>
            </w:r>
            <w:r w:rsidR="004B580F" w:rsidRPr="004B580F">
              <w:rPr>
                <w:rFonts w:ascii="Times New Roman" w:hAnsi="Times New Roman"/>
                <w:color w:val="000000"/>
              </w:rPr>
              <w:t>79</w:t>
            </w:r>
            <w:r w:rsidR="004B580F">
              <w:rPr>
                <w:rFonts w:ascii="Times New Roman" w:hAnsi="Times New Roman"/>
                <w:color w:val="000000"/>
              </w:rPr>
              <w:t>,</w:t>
            </w:r>
            <w:r w:rsidR="004B580F" w:rsidRPr="004B580F">
              <w:rPr>
                <w:rFonts w:ascii="Times New Roman" w:hAnsi="Times New Roman"/>
                <w:color w:val="000000"/>
              </w:rPr>
              <w:t>71</w:t>
            </w:r>
            <w:r w:rsidRPr="008E2CB3">
              <w:rPr>
                <w:rFonts w:ascii="Times New Roman" w:hAnsi="Times New Roman"/>
                <w:color w:val="000000"/>
              </w:rPr>
              <w:t>% potrzebnej kwoty</w:t>
            </w:r>
            <w:r w:rsidR="000E7F37" w:rsidRPr="000E7F37">
              <w:rPr>
                <w:rFonts w:ascii="Times New Roman" w:hAnsi="Times New Roman"/>
                <w:color w:val="000000"/>
              </w:rPr>
              <w:t xml:space="preserve"> przypadku programu </w:t>
            </w:r>
            <w:proofErr w:type="spellStart"/>
            <w:r w:rsidR="000E7F37" w:rsidRPr="000E7F37">
              <w:rPr>
                <w:rFonts w:ascii="Times New Roman" w:hAnsi="Times New Roman"/>
                <w:color w:val="000000"/>
              </w:rPr>
              <w:t>FEnIKS</w:t>
            </w:r>
            <w:proofErr w:type="spellEnd"/>
            <w:r w:rsidR="000E7F37" w:rsidRPr="000E7F37">
              <w:rPr>
                <w:rFonts w:ascii="Times New Roman" w:hAnsi="Times New Roman"/>
                <w:color w:val="000000"/>
              </w:rPr>
              <w:t xml:space="preserve"> oraz 85%</w:t>
            </w:r>
            <w:r w:rsidR="000E7F37">
              <w:rPr>
                <w:rFonts w:ascii="Times New Roman" w:hAnsi="Times New Roman"/>
                <w:color w:val="000000"/>
              </w:rPr>
              <w:t xml:space="preserve"> w</w:t>
            </w:r>
            <w:r w:rsidR="000E7F37" w:rsidRPr="000E7F37">
              <w:rPr>
                <w:rFonts w:ascii="Times New Roman" w:hAnsi="Times New Roman"/>
                <w:color w:val="000000"/>
              </w:rPr>
              <w:t xml:space="preserve"> przypadku programu FEPW</w:t>
            </w:r>
            <w:r w:rsidRPr="008E2CB3">
              <w:rPr>
                <w:rFonts w:ascii="Times New Roman" w:hAnsi="Times New Roman"/>
                <w:color w:val="000000"/>
              </w:rPr>
              <w:t>, bez potrzeby angażowania środków z budżetu państwa. W ramach Programu FEPW wsparcie opracowania planów adaptacji do zmian klimatu obejm</w:t>
            </w:r>
            <w:r w:rsidR="006A51A4">
              <w:rPr>
                <w:rFonts w:ascii="Times New Roman" w:hAnsi="Times New Roman"/>
                <w:color w:val="000000"/>
              </w:rPr>
              <w:t>uje</w:t>
            </w:r>
            <w:r w:rsidRPr="008E2CB3">
              <w:rPr>
                <w:rFonts w:ascii="Times New Roman" w:hAnsi="Times New Roman"/>
                <w:color w:val="000000"/>
              </w:rPr>
              <w:t xml:space="preserve"> miasta z regionu Polski Wschodniej mając</w:t>
            </w:r>
            <w:r w:rsidR="006A51A4">
              <w:rPr>
                <w:rFonts w:ascii="Times New Roman" w:hAnsi="Times New Roman"/>
                <w:color w:val="000000"/>
              </w:rPr>
              <w:t>ych</w:t>
            </w:r>
            <w:r w:rsidRPr="008E2CB3">
              <w:rPr>
                <w:rFonts w:ascii="Times New Roman" w:hAnsi="Times New Roman"/>
                <w:color w:val="000000"/>
              </w:rPr>
              <w:t xml:space="preserve"> status miast tracących funkcje społeczno-gospodarcze oraz ośrodki wzrostu spełniające powyższe kryteria.</w:t>
            </w:r>
            <w:r>
              <w:rPr>
                <w:rFonts w:ascii="Times New Roman" w:hAnsi="Times New Roman"/>
                <w:color w:val="000000"/>
              </w:rPr>
              <w:t xml:space="preserve"> </w:t>
            </w:r>
            <w:r w:rsidRPr="00F24A4C">
              <w:rPr>
                <w:rFonts w:ascii="Times New Roman" w:hAnsi="Times New Roman"/>
                <w:color w:val="000000"/>
              </w:rPr>
              <w:t>Zaproponowane w przedmiotowym projekcie ustawy zmiany uzasadnią aplikowanie o środki na ten cel. Natomiast miasta będą musiały zapewnić wkład własny w</w:t>
            </w:r>
            <w:r w:rsidR="009A7B8F">
              <w:rPr>
                <w:rFonts w:ascii="Times New Roman" w:hAnsi="Times New Roman"/>
                <w:color w:val="000000"/>
              </w:rPr>
              <w:t> </w:t>
            </w:r>
            <w:r w:rsidRPr="00F24A4C">
              <w:rPr>
                <w:rFonts w:ascii="Times New Roman" w:hAnsi="Times New Roman"/>
                <w:color w:val="000000"/>
              </w:rPr>
              <w:t xml:space="preserve">wysokości </w:t>
            </w:r>
            <w:r w:rsidR="000E7F37" w:rsidRPr="000E7F37">
              <w:rPr>
                <w:rFonts w:ascii="Times New Roman" w:hAnsi="Times New Roman"/>
                <w:color w:val="000000"/>
              </w:rPr>
              <w:t>od 15% do 20,29%.</w:t>
            </w:r>
          </w:p>
          <w:p w14:paraId="41D4294A" w14:textId="39A28964" w:rsidR="00E40B9E" w:rsidRDefault="00E40B9E" w:rsidP="009603B5">
            <w:pPr>
              <w:spacing w:before="120" w:line="240" w:lineRule="auto"/>
              <w:jc w:val="both"/>
              <w:rPr>
                <w:rFonts w:ascii="Times New Roman" w:hAnsi="Times New Roman"/>
                <w:color w:val="000000"/>
              </w:rPr>
            </w:pPr>
            <w:r w:rsidRPr="007A2509">
              <w:rPr>
                <w:rFonts w:ascii="Times New Roman" w:hAnsi="Times New Roman"/>
                <w:color w:val="000000"/>
              </w:rPr>
              <w:t xml:space="preserve">Z szacunków </w:t>
            </w:r>
            <w:proofErr w:type="spellStart"/>
            <w:r w:rsidRPr="007A2509">
              <w:rPr>
                <w:rFonts w:ascii="Times New Roman" w:hAnsi="Times New Roman"/>
                <w:color w:val="000000"/>
              </w:rPr>
              <w:t>MKiŚ</w:t>
            </w:r>
            <w:proofErr w:type="spellEnd"/>
            <w:r w:rsidRPr="007A2509">
              <w:rPr>
                <w:rFonts w:ascii="Times New Roman" w:hAnsi="Times New Roman"/>
                <w:color w:val="000000"/>
              </w:rPr>
              <w:t xml:space="preserve"> wynika, że </w:t>
            </w:r>
            <w:r w:rsidR="00CE08E2">
              <w:rPr>
                <w:rFonts w:ascii="Times New Roman" w:hAnsi="Times New Roman"/>
                <w:color w:val="000000"/>
              </w:rPr>
              <w:t xml:space="preserve">142 </w:t>
            </w:r>
            <w:r>
              <w:rPr>
                <w:rFonts w:ascii="Times New Roman" w:hAnsi="Times New Roman"/>
                <w:color w:val="000000"/>
              </w:rPr>
              <w:t>(</w:t>
            </w:r>
            <w:r w:rsidR="00965B8B">
              <w:rPr>
                <w:rFonts w:ascii="Times New Roman" w:hAnsi="Times New Roman"/>
                <w:color w:val="000000"/>
              </w:rPr>
              <w:t>6</w:t>
            </w:r>
            <w:r w:rsidR="00310B9E">
              <w:rPr>
                <w:rFonts w:ascii="Times New Roman" w:hAnsi="Times New Roman"/>
                <w:color w:val="000000"/>
              </w:rPr>
              <w:t>8</w:t>
            </w:r>
            <w:r>
              <w:rPr>
                <w:rFonts w:ascii="Times New Roman" w:hAnsi="Times New Roman"/>
                <w:color w:val="000000"/>
              </w:rPr>
              <w:t>%)</w:t>
            </w:r>
            <w:r w:rsidRPr="007A2509">
              <w:rPr>
                <w:rFonts w:ascii="Times New Roman" w:hAnsi="Times New Roman"/>
                <w:color w:val="000000"/>
              </w:rPr>
              <w:t xml:space="preserve"> miast powyżej 20 000 mieszkańców </w:t>
            </w:r>
            <w:r w:rsidR="00F114AC" w:rsidRPr="007A2509">
              <w:rPr>
                <w:rFonts w:ascii="Times New Roman" w:hAnsi="Times New Roman"/>
                <w:color w:val="000000"/>
              </w:rPr>
              <w:t>rozpoczęł</w:t>
            </w:r>
            <w:r w:rsidR="00F114AC">
              <w:rPr>
                <w:rFonts w:ascii="Times New Roman" w:hAnsi="Times New Roman"/>
                <w:color w:val="000000"/>
              </w:rPr>
              <w:t>o</w:t>
            </w:r>
            <w:r w:rsidR="00F114AC" w:rsidRPr="007A2509">
              <w:rPr>
                <w:rFonts w:ascii="Times New Roman" w:hAnsi="Times New Roman"/>
                <w:color w:val="000000"/>
              </w:rPr>
              <w:t xml:space="preserve"> </w:t>
            </w:r>
            <w:r w:rsidRPr="007A2509">
              <w:rPr>
                <w:rFonts w:ascii="Times New Roman" w:hAnsi="Times New Roman"/>
                <w:color w:val="000000"/>
              </w:rPr>
              <w:t>prace nad opracowaniem MPA</w:t>
            </w:r>
            <w:r>
              <w:rPr>
                <w:rFonts w:ascii="Times New Roman" w:hAnsi="Times New Roman"/>
                <w:color w:val="000000"/>
              </w:rPr>
              <w:t xml:space="preserve">, </w:t>
            </w:r>
            <w:r w:rsidRPr="007A2509">
              <w:rPr>
                <w:rFonts w:ascii="Times New Roman" w:hAnsi="Times New Roman"/>
                <w:color w:val="000000"/>
              </w:rPr>
              <w:t xml:space="preserve">w tym </w:t>
            </w:r>
            <w:r w:rsidR="00965B8B">
              <w:rPr>
                <w:rFonts w:ascii="Times New Roman" w:hAnsi="Times New Roman"/>
                <w:color w:val="000000"/>
              </w:rPr>
              <w:t>10</w:t>
            </w:r>
            <w:r w:rsidR="007C1BF0">
              <w:rPr>
                <w:rFonts w:ascii="Times New Roman" w:hAnsi="Times New Roman"/>
                <w:color w:val="000000"/>
              </w:rPr>
              <w:t>5</w:t>
            </w:r>
            <w:r w:rsidR="00965B8B">
              <w:rPr>
                <w:rFonts w:ascii="Times New Roman" w:hAnsi="Times New Roman"/>
                <w:color w:val="000000"/>
              </w:rPr>
              <w:t xml:space="preserve"> </w:t>
            </w:r>
            <w:r>
              <w:rPr>
                <w:rFonts w:ascii="Times New Roman" w:hAnsi="Times New Roman"/>
                <w:color w:val="000000"/>
              </w:rPr>
              <w:t>(</w:t>
            </w:r>
            <w:r w:rsidR="00CE08E2">
              <w:rPr>
                <w:rFonts w:ascii="Times New Roman" w:hAnsi="Times New Roman"/>
                <w:color w:val="000000"/>
              </w:rPr>
              <w:t>50</w:t>
            </w:r>
            <w:r>
              <w:rPr>
                <w:rFonts w:ascii="Times New Roman" w:hAnsi="Times New Roman"/>
                <w:color w:val="000000"/>
              </w:rPr>
              <w:t>%) miast przyjęły plan w drodze uchwały</w:t>
            </w:r>
            <w:r w:rsidRPr="007A2509">
              <w:rPr>
                <w:rFonts w:ascii="Times New Roman" w:hAnsi="Times New Roman"/>
                <w:color w:val="000000"/>
              </w:rPr>
              <w:t xml:space="preserve">. </w:t>
            </w:r>
          </w:p>
          <w:p w14:paraId="0340DF9E" w14:textId="33FAA67A" w:rsidR="00E40B9E" w:rsidRPr="007A2509" w:rsidRDefault="00E40B9E" w:rsidP="00E40B9E">
            <w:pPr>
              <w:spacing w:line="240" w:lineRule="auto"/>
              <w:jc w:val="both"/>
              <w:rPr>
                <w:rFonts w:ascii="Times New Roman" w:hAnsi="Times New Roman"/>
                <w:color w:val="000000"/>
              </w:rPr>
            </w:pPr>
            <w:r>
              <w:rPr>
                <w:rFonts w:ascii="Times New Roman" w:hAnsi="Times New Roman"/>
                <w:color w:val="000000"/>
              </w:rPr>
              <w:t>U</w:t>
            </w:r>
            <w:r w:rsidRPr="006536AB">
              <w:rPr>
                <w:rFonts w:ascii="Times New Roman" w:hAnsi="Times New Roman"/>
                <w:color w:val="000000"/>
              </w:rPr>
              <w:t xml:space="preserve">stalenie limitu wydatków dla JST na opracowanie MPA jest niemożliwe (z uwagi </w:t>
            </w:r>
            <w:r w:rsidR="00F114AC" w:rsidRPr="00F114AC">
              <w:rPr>
                <w:rFonts w:ascii="Times New Roman" w:hAnsi="Times New Roman"/>
                <w:color w:val="000000"/>
              </w:rPr>
              <w:t xml:space="preserve">na to, że </w:t>
            </w:r>
            <w:r w:rsidRPr="006536AB">
              <w:rPr>
                <w:rFonts w:ascii="Times New Roman" w:hAnsi="Times New Roman"/>
                <w:color w:val="000000"/>
              </w:rPr>
              <w:t>– tak jak wskazywano wcześniej</w:t>
            </w:r>
            <w:r w:rsidR="003A4030">
              <w:rPr>
                <w:rFonts w:ascii="Times New Roman" w:hAnsi="Times New Roman"/>
                <w:color w:val="000000"/>
              </w:rPr>
              <w:t xml:space="preserve"> </w:t>
            </w:r>
            <w:r w:rsidR="003A4030" w:rsidRPr="006536AB">
              <w:rPr>
                <w:rFonts w:ascii="Times New Roman" w:hAnsi="Times New Roman"/>
                <w:color w:val="000000"/>
              </w:rPr>
              <w:t>–</w:t>
            </w:r>
            <w:r w:rsidRPr="006536AB">
              <w:rPr>
                <w:rFonts w:ascii="Times New Roman" w:hAnsi="Times New Roman"/>
                <w:color w:val="000000"/>
              </w:rPr>
              <w:t xml:space="preserve"> nieznana jest dokładna liczb</w:t>
            </w:r>
            <w:r>
              <w:rPr>
                <w:rFonts w:ascii="Times New Roman" w:hAnsi="Times New Roman"/>
                <w:color w:val="000000"/>
              </w:rPr>
              <w:t>a</w:t>
            </w:r>
            <w:r w:rsidRPr="006536AB">
              <w:rPr>
                <w:rFonts w:ascii="Times New Roman" w:hAnsi="Times New Roman"/>
                <w:color w:val="000000"/>
              </w:rPr>
              <w:t xml:space="preserve"> miast, które będą opracowywać MPA w danym roku kalendarzowym)</w:t>
            </w:r>
            <w:r>
              <w:rPr>
                <w:rFonts w:ascii="Times New Roman" w:hAnsi="Times New Roman"/>
                <w:color w:val="000000"/>
              </w:rPr>
              <w:t xml:space="preserve">, a </w:t>
            </w:r>
            <w:r w:rsidRPr="006536AB">
              <w:rPr>
                <w:rFonts w:ascii="Times New Roman" w:hAnsi="Times New Roman"/>
                <w:color w:val="000000"/>
              </w:rPr>
              <w:t>wydatki te będ</w:t>
            </w:r>
            <w:r w:rsidR="006A51A4">
              <w:rPr>
                <w:rFonts w:ascii="Times New Roman" w:hAnsi="Times New Roman"/>
                <w:color w:val="000000"/>
              </w:rPr>
              <w:t>ą</w:t>
            </w:r>
            <w:r w:rsidRPr="006536AB">
              <w:rPr>
                <w:rFonts w:ascii="Times New Roman" w:hAnsi="Times New Roman"/>
                <w:color w:val="000000"/>
              </w:rPr>
              <w:t xml:space="preserve"> mieściły się w ramach budżetów poszczególnych jednostek samorządu terytorialnego (tzn. nie będę powodowały zwiększenia ogólnej puli wydatków</w:t>
            </w:r>
            <w:r>
              <w:rPr>
                <w:rFonts w:ascii="Times New Roman" w:hAnsi="Times New Roman"/>
                <w:color w:val="000000"/>
              </w:rPr>
              <w:t xml:space="preserve">). </w:t>
            </w:r>
          </w:p>
          <w:p w14:paraId="6ACF5ACE" w14:textId="33439C04" w:rsidR="00E40B9E" w:rsidRDefault="00E40B9E" w:rsidP="00E40B9E">
            <w:pPr>
              <w:spacing w:line="240" w:lineRule="auto"/>
              <w:jc w:val="both"/>
              <w:rPr>
                <w:rFonts w:ascii="Times New Roman" w:hAnsi="Times New Roman"/>
                <w:color w:val="000000"/>
              </w:rPr>
            </w:pPr>
            <w:r w:rsidRPr="007A2509">
              <w:rPr>
                <w:rFonts w:ascii="Times New Roman" w:hAnsi="Times New Roman"/>
                <w:color w:val="000000"/>
              </w:rPr>
              <w:t>Mias</w:t>
            </w:r>
            <w:r w:rsidRPr="00FC1AE3">
              <w:rPr>
                <w:rFonts w:ascii="Times New Roman" w:hAnsi="Times New Roman"/>
                <w:color w:val="000000"/>
              </w:rPr>
              <w:t xml:space="preserve">ta będą mogły opracować MPA również samodzielnie na podstawie </w:t>
            </w:r>
            <w:r w:rsidR="006A51A4">
              <w:rPr>
                <w:rFonts w:ascii="Times New Roman" w:hAnsi="Times New Roman"/>
                <w:color w:val="000000"/>
              </w:rPr>
              <w:t>Podręcznika adaptacji do zmian klimatu dla miast</w:t>
            </w:r>
            <w:r w:rsidRPr="00FC1AE3">
              <w:rPr>
                <w:rFonts w:ascii="Times New Roman" w:hAnsi="Times New Roman"/>
                <w:color w:val="000000"/>
              </w:rPr>
              <w:t>. W tym zakresie IOŚ</w:t>
            </w:r>
            <w:r w:rsidR="00F114AC">
              <w:rPr>
                <w:rFonts w:ascii="Times New Roman" w:hAnsi="Times New Roman"/>
                <w:color w:val="000000"/>
              </w:rPr>
              <w:t xml:space="preserve">-PIB </w:t>
            </w:r>
            <w:r w:rsidR="00A10EFB">
              <w:rPr>
                <w:rFonts w:ascii="Times New Roman" w:hAnsi="Times New Roman"/>
                <w:color w:val="000000"/>
              </w:rPr>
              <w:t xml:space="preserve">zrealizował </w:t>
            </w:r>
            <w:r w:rsidR="00965B8B">
              <w:rPr>
                <w:rFonts w:ascii="Times New Roman" w:hAnsi="Times New Roman"/>
                <w:color w:val="000000"/>
              </w:rPr>
              <w:t>w</w:t>
            </w:r>
            <w:r w:rsidRPr="00FC1AE3">
              <w:rPr>
                <w:rFonts w:ascii="Times New Roman" w:hAnsi="Times New Roman"/>
                <w:color w:val="000000"/>
              </w:rPr>
              <w:t xml:space="preserve"> 2023 </w:t>
            </w:r>
            <w:r w:rsidR="00965B8B" w:rsidRPr="00FC1AE3">
              <w:rPr>
                <w:rFonts w:ascii="Times New Roman" w:hAnsi="Times New Roman"/>
                <w:color w:val="000000"/>
              </w:rPr>
              <w:t>specjalistyczn</w:t>
            </w:r>
            <w:r w:rsidR="00965B8B">
              <w:rPr>
                <w:rFonts w:ascii="Times New Roman" w:hAnsi="Times New Roman"/>
                <w:color w:val="000000"/>
              </w:rPr>
              <w:t>e</w:t>
            </w:r>
            <w:r w:rsidR="00965B8B" w:rsidRPr="00FC1AE3">
              <w:rPr>
                <w:rFonts w:ascii="Times New Roman" w:hAnsi="Times New Roman"/>
                <w:color w:val="000000"/>
              </w:rPr>
              <w:t xml:space="preserve"> warsztat</w:t>
            </w:r>
            <w:r w:rsidR="00965B8B">
              <w:rPr>
                <w:rFonts w:ascii="Times New Roman" w:hAnsi="Times New Roman"/>
                <w:color w:val="000000"/>
              </w:rPr>
              <w:t>y</w:t>
            </w:r>
            <w:r w:rsidR="00965B8B" w:rsidRPr="00FC1AE3">
              <w:rPr>
                <w:rFonts w:ascii="Times New Roman" w:hAnsi="Times New Roman"/>
                <w:color w:val="000000"/>
              </w:rPr>
              <w:t xml:space="preserve"> </w:t>
            </w:r>
            <w:r w:rsidRPr="00FC1AE3">
              <w:rPr>
                <w:rFonts w:ascii="Times New Roman" w:hAnsi="Times New Roman"/>
                <w:color w:val="000000"/>
              </w:rPr>
              <w:t xml:space="preserve">dla </w:t>
            </w:r>
            <w:r w:rsidR="00A16978">
              <w:rPr>
                <w:rFonts w:ascii="Times New Roman" w:hAnsi="Times New Roman"/>
                <w:color w:val="000000"/>
              </w:rPr>
              <w:t>jednostek samorządu terytorialnego</w:t>
            </w:r>
            <w:r w:rsidRPr="00FC1AE3">
              <w:rPr>
                <w:rFonts w:ascii="Times New Roman" w:hAnsi="Times New Roman"/>
                <w:color w:val="000000"/>
              </w:rPr>
              <w:t xml:space="preserve"> na temat tworzenia, wdrażania i monitorowania miejskiego planu adaptacji do zmian klimatu</w:t>
            </w:r>
            <w:r w:rsidRPr="007A2509">
              <w:rPr>
                <w:rFonts w:ascii="Times New Roman" w:hAnsi="Times New Roman"/>
                <w:color w:val="000000"/>
              </w:rPr>
              <w:t>.</w:t>
            </w:r>
            <w:r>
              <w:rPr>
                <w:rFonts w:ascii="Times New Roman" w:hAnsi="Times New Roman"/>
                <w:color w:val="000000"/>
              </w:rPr>
              <w:t xml:space="preserve"> </w:t>
            </w:r>
          </w:p>
          <w:p w14:paraId="29220368" w14:textId="2FC3C472" w:rsidR="00E40B9E" w:rsidRDefault="00E40B9E" w:rsidP="00E40B9E">
            <w:pPr>
              <w:spacing w:line="240" w:lineRule="auto"/>
              <w:jc w:val="both"/>
              <w:rPr>
                <w:rFonts w:ascii="Times New Roman" w:hAnsi="Times New Roman"/>
              </w:rPr>
            </w:pPr>
            <w:r w:rsidRPr="00EF6BDE">
              <w:rPr>
                <w:rFonts w:ascii="Times New Roman" w:hAnsi="Times New Roman"/>
              </w:rPr>
              <w:t>Obowiązek</w:t>
            </w:r>
            <w:r>
              <w:rPr>
                <w:rFonts w:ascii="Times New Roman" w:hAnsi="Times New Roman"/>
              </w:rPr>
              <w:t xml:space="preserve"> opracowania MPA przypada na okres 1 </w:t>
            </w:r>
            <w:r w:rsidR="00FD5BA9">
              <w:rPr>
                <w:rFonts w:ascii="Times New Roman" w:hAnsi="Times New Roman"/>
              </w:rPr>
              <w:t>lipca</w:t>
            </w:r>
            <w:r>
              <w:rPr>
                <w:rFonts w:ascii="Times New Roman" w:hAnsi="Times New Roman"/>
              </w:rPr>
              <w:t xml:space="preserve"> </w:t>
            </w:r>
            <w:r w:rsidR="00A10EFB">
              <w:rPr>
                <w:rFonts w:ascii="Times New Roman" w:hAnsi="Times New Roman"/>
              </w:rPr>
              <w:t xml:space="preserve">2025 </w:t>
            </w:r>
            <w:r>
              <w:rPr>
                <w:rFonts w:ascii="Times New Roman" w:hAnsi="Times New Roman"/>
              </w:rPr>
              <w:t xml:space="preserve">r. </w:t>
            </w:r>
            <w:r w:rsidR="00293D42">
              <w:rPr>
                <w:rFonts w:ascii="Times New Roman" w:hAnsi="Times New Roman"/>
              </w:rPr>
              <w:t>–</w:t>
            </w:r>
            <w:r>
              <w:rPr>
                <w:rFonts w:ascii="Times New Roman" w:hAnsi="Times New Roman"/>
              </w:rPr>
              <w:t xml:space="preserve"> </w:t>
            </w:r>
            <w:r w:rsidR="00FC280A">
              <w:rPr>
                <w:rFonts w:ascii="Times New Roman" w:hAnsi="Times New Roman"/>
              </w:rPr>
              <w:t>2</w:t>
            </w:r>
            <w:r w:rsidR="00293D42">
              <w:rPr>
                <w:rFonts w:ascii="Times New Roman" w:hAnsi="Times New Roman"/>
              </w:rPr>
              <w:t xml:space="preserve"> stycznia 202</w:t>
            </w:r>
            <w:r w:rsidR="00A10EFB">
              <w:rPr>
                <w:rFonts w:ascii="Times New Roman" w:hAnsi="Times New Roman"/>
              </w:rPr>
              <w:t>8</w:t>
            </w:r>
            <w:r w:rsidR="00293D42">
              <w:rPr>
                <w:rFonts w:ascii="Times New Roman" w:hAnsi="Times New Roman"/>
              </w:rPr>
              <w:t xml:space="preserve"> </w:t>
            </w:r>
            <w:r>
              <w:rPr>
                <w:rFonts w:ascii="Times New Roman" w:hAnsi="Times New Roman"/>
              </w:rPr>
              <w:t xml:space="preserve">r. </w:t>
            </w:r>
            <w:r w:rsidR="00182D66">
              <w:rPr>
                <w:rFonts w:ascii="Times New Roman" w:hAnsi="Times New Roman"/>
              </w:rPr>
              <w:t>M</w:t>
            </w:r>
            <w:r>
              <w:rPr>
                <w:rFonts w:ascii="Times New Roman" w:hAnsi="Times New Roman"/>
              </w:rPr>
              <w:t>ożna przyjąć, że 70</w:t>
            </w:r>
            <w:r w:rsidR="00293D42">
              <w:rPr>
                <w:rFonts w:ascii="Times New Roman" w:hAnsi="Times New Roman"/>
              </w:rPr>
              <w:t>–</w:t>
            </w:r>
            <w:r>
              <w:rPr>
                <w:rFonts w:ascii="Times New Roman" w:hAnsi="Times New Roman"/>
              </w:rPr>
              <w:t>80 miast będzie starać się o sfinansowanie MPA z NFP, co skutkuje wkładem własnym gmin na poziome maksymalnie 1</w:t>
            </w:r>
            <w:r w:rsidR="00FC280A">
              <w:rPr>
                <w:rFonts w:ascii="Times New Roman" w:hAnsi="Times New Roman"/>
              </w:rPr>
              <w:t>−</w:t>
            </w:r>
            <w:r>
              <w:rPr>
                <w:rFonts w:ascii="Times New Roman" w:hAnsi="Times New Roman"/>
              </w:rPr>
              <w:t xml:space="preserve">1,2 mln zł w latach </w:t>
            </w:r>
            <w:r w:rsidR="00A10EFB">
              <w:rPr>
                <w:rFonts w:ascii="Times New Roman" w:hAnsi="Times New Roman"/>
              </w:rPr>
              <w:t>2025</w:t>
            </w:r>
            <w:r w:rsidR="00FC280A">
              <w:rPr>
                <w:rFonts w:ascii="Times New Roman" w:hAnsi="Times New Roman"/>
              </w:rPr>
              <w:t>−</w:t>
            </w:r>
            <w:r w:rsidR="00A10EFB">
              <w:rPr>
                <w:rFonts w:ascii="Times New Roman" w:hAnsi="Times New Roman"/>
              </w:rPr>
              <w:t>2027</w:t>
            </w:r>
            <w:r>
              <w:rPr>
                <w:rFonts w:ascii="Times New Roman" w:hAnsi="Times New Roman"/>
              </w:rPr>
              <w:t xml:space="preserve">. Koszty opracowania MPA dla niektórych miast są znacznie niższe i kształtują się na poziomie 20 tys. zł, czyli wydatki w takim przypadku wyniosą jedynie 0,24 mln zł w latach </w:t>
            </w:r>
            <w:r w:rsidR="00A10EFB">
              <w:rPr>
                <w:rFonts w:ascii="Times New Roman" w:hAnsi="Times New Roman"/>
              </w:rPr>
              <w:t>2025</w:t>
            </w:r>
            <w:r w:rsidR="00445441">
              <w:rPr>
                <w:rFonts w:ascii="Times New Roman" w:hAnsi="Times New Roman"/>
              </w:rPr>
              <w:t>–</w:t>
            </w:r>
            <w:r w:rsidR="00A10EFB">
              <w:rPr>
                <w:rFonts w:ascii="Times New Roman" w:hAnsi="Times New Roman"/>
              </w:rPr>
              <w:t>2027</w:t>
            </w:r>
            <w:r>
              <w:rPr>
                <w:rFonts w:ascii="Times New Roman" w:hAnsi="Times New Roman"/>
              </w:rPr>
              <w:t>. N</w:t>
            </w:r>
            <w:r w:rsidRPr="002D42F6">
              <w:rPr>
                <w:rFonts w:ascii="Times New Roman" w:hAnsi="Times New Roman"/>
              </w:rPr>
              <w:t>ie jest możliwe</w:t>
            </w:r>
            <w:r>
              <w:rPr>
                <w:rFonts w:ascii="Times New Roman" w:hAnsi="Times New Roman"/>
              </w:rPr>
              <w:t xml:space="preserve"> </w:t>
            </w:r>
            <w:r w:rsidRPr="002D42F6">
              <w:rPr>
                <w:rFonts w:ascii="Times New Roman" w:hAnsi="Times New Roman"/>
              </w:rPr>
              <w:t>precyzyjne określenie liczby miast, które będą opracowywać MPA w danym roku</w:t>
            </w:r>
            <w:r>
              <w:rPr>
                <w:rFonts w:ascii="Times New Roman" w:hAnsi="Times New Roman"/>
              </w:rPr>
              <w:t xml:space="preserve"> </w:t>
            </w:r>
            <w:r w:rsidRPr="002D42F6">
              <w:rPr>
                <w:rFonts w:ascii="Times New Roman" w:hAnsi="Times New Roman"/>
              </w:rPr>
              <w:t>kalendarzowym.</w:t>
            </w:r>
          </w:p>
          <w:p w14:paraId="609E4A5E" w14:textId="13D4BDD5" w:rsidR="00E40B9E" w:rsidRDefault="00E40B9E" w:rsidP="00E40B9E">
            <w:pPr>
              <w:spacing w:line="240" w:lineRule="auto"/>
              <w:jc w:val="both"/>
              <w:rPr>
                <w:rFonts w:ascii="Times New Roman" w:hAnsi="Times New Roman"/>
              </w:rPr>
            </w:pPr>
            <w:r>
              <w:rPr>
                <w:rFonts w:ascii="Times New Roman" w:hAnsi="Times New Roman"/>
              </w:rPr>
              <w:t>P</w:t>
            </w:r>
            <w:r w:rsidRPr="008337B4">
              <w:rPr>
                <w:rFonts w:ascii="Times New Roman" w:hAnsi="Times New Roman"/>
              </w:rPr>
              <w:t>rojektowane zmiany w nieokreślonym zakresie mogą wpłynąć na administracyjne wydatki samorządów</w:t>
            </w:r>
            <w:r>
              <w:rPr>
                <w:rFonts w:ascii="Times New Roman" w:hAnsi="Times New Roman"/>
              </w:rPr>
              <w:t xml:space="preserve"> –</w:t>
            </w:r>
            <w:r w:rsidRPr="008337B4">
              <w:rPr>
                <w:rFonts w:ascii="Times New Roman" w:hAnsi="Times New Roman"/>
              </w:rPr>
              <w:t xml:space="preserve"> większość zadań jest już</w:t>
            </w:r>
            <w:r>
              <w:rPr>
                <w:rFonts w:ascii="Times New Roman" w:hAnsi="Times New Roman"/>
              </w:rPr>
              <w:t xml:space="preserve"> </w:t>
            </w:r>
            <w:r w:rsidRPr="008337B4">
              <w:rPr>
                <w:rFonts w:ascii="Times New Roman" w:hAnsi="Times New Roman"/>
              </w:rPr>
              <w:t>przez gminy realizowana. Należy jednak mieć na uwadze, że uwzględnienie przez samorządy kwestii adaptacji do zmian klimatu na poziomie lokalnych dokumentów strategicznych umożliwi gminie aplikowanie o środki finansowe z funduszy europejskich na inwestycje</w:t>
            </w:r>
            <w:r>
              <w:rPr>
                <w:rFonts w:ascii="Times New Roman" w:hAnsi="Times New Roman"/>
              </w:rPr>
              <w:t>.</w:t>
            </w:r>
            <w:r w:rsidR="00D45B3A">
              <w:rPr>
                <w:rFonts w:ascii="Times New Roman" w:hAnsi="Times New Roman"/>
              </w:rPr>
              <w:t xml:space="preserve"> </w:t>
            </w:r>
          </w:p>
          <w:p w14:paraId="6C9EA7BF" w14:textId="279D6B88" w:rsidR="00E40B9E" w:rsidRDefault="00E40B9E" w:rsidP="00E40B9E">
            <w:pPr>
              <w:spacing w:line="240" w:lineRule="auto"/>
              <w:jc w:val="both"/>
              <w:rPr>
                <w:rFonts w:ascii="Times New Roman" w:hAnsi="Times New Roman"/>
              </w:rPr>
            </w:pPr>
            <w:r w:rsidRPr="00F91F8D">
              <w:rPr>
                <w:rFonts w:ascii="Times New Roman" w:hAnsi="Times New Roman"/>
              </w:rPr>
              <w:lastRenderedPageBreak/>
              <w:t>Ze względu na wskazany brak możliwości określenia precyzyjnego limitu wydatków JST,</w:t>
            </w:r>
            <w:r>
              <w:rPr>
                <w:rFonts w:ascii="Times New Roman" w:hAnsi="Times New Roman"/>
              </w:rPr>
              <w:t xml:space="preserve"> w</w:t>
            </w:r>
            <w:r w:rsidR="009A7B8F">
              <w:rPr>
                <w:rFonts w:ascii="Times New Roman" w:hAnsi="Times New Roman"/>
              </w:rPr>
              <w:t> </w:t>
            </w:r>
            <w:r w:rsidRPr="00F91F8D">
              <w:rPr>
                <w:rFonts w:ascii="Times New Roman" w:hAnsi="Times New Roman"/>
              </w:rPr>
              <w:t>wiersz</w:t>
            </w:r>
            <w:r>
              <w:rPr>
                <w:rFonts w:ascii="Times New Roman" w:hAnsi="Times New Roman"/>
              </w:rPr>
              <w:t>u</w:t>
            </w:r>
            <w:r w:rsidRPr="00F91F8D">
              <w:rPr>
                <w:rFonts w:ascii="Times New Roman" w:hAnsi="Times New Roman"/>
              </w:rPr>
              <w:t xml:space="preserve"> dot</w:t>
            </w:r>
            <w:r>
              <w:rPr>
                <w:rFonts w:ascii="Times New Roman" w:hAnsi="Times New Roman"/>
              </w:rPr>
              <w:t>yczącym</w:t>
            </w:r>
            <w:r w:rsidRPr="00F91F8D">
              <w:rPr>
                <w:rFonts w:ascii="Times New Roman" w:hAnsi="Times New Roman"/>
              </w:rPr>
              <w:t xml:space="preserve"> wydatków JST</w:t>
            </w:r>
            <w:r>
              <w:rPr>
                <w:rFonts w:ascii="Times New Roman" w:hAnsi="Times New Roman"/>
              </w:rPr>
              <w:t xml:space="preserve"> zamieszczono </w:t>
            </w:r>
            <w:r w:rsidRPr="00F91F8D">
              <w:rPr>
                <w:rFonts w:ascii="Times New Roman" w:hAnsi="Times New Roman"/>
              </w:rPr>
              <w:t>informacj</w:t>
            </w:r>
            <w:r>
              <w:rPr>
                <w:rFonts w:ascii="Times New Roman" w:hAnsi="Times New Roman"/>
              </w:rPr>
              <w:t>ę</w:t>
            </w:r>
            <w:r w:rsidRPr="00F91F8D">
              <w:rPr>
                <w:rFonts w:ascii="Times New Roman" w:hAnsi="Times New Roman"/>
              </w:rPr>
              <w:t xml:space="preserve"> „b.d.”, ponieważ wskazuje to, że potencjalne wydatki JST mogą wystąpić,</w:t>
            </w:r>
            <w:r>
              <w:rPr>
                <w:rFonts w:ascii="Times New Roman" w:hAnsi="Times New Roman"/>
              </w:rPr>
              <w:t xml:space="preserve"> </w:t>
            </w:r>
            <w:r w:rsidRPr="00F91F8D">
              <w:rPr>
                <w:rFonts w:ascii="Times New Roman" w:hAnsi="Times New Roman"/>
              </w:rPr>
              <w:t>natomiast nie jest możliwe szczegółowe określenie w jakiej wysokości, w ilu gminach</w:t>
            </w:r>
            <w:r>
              <w:rPr>
                <w:rFonts w:ascii="Times New Roman" w:hAnsi="Times New Roman"/>
              </w:rPr>
              <w:t xml:space="preserve"> </w:t>
            </w:r>
            <w:r w:rsidRPr="00F91F8D">
              <w:rPr>
                <w:rFonts w:ascii="Times New Roman" w:hAnsi="Times New Roman"/>
              </w:rPr>
              <w:t>i w których latach.</w:t>
            </w:r>
          </w:p>
          <w:p w14:paraId="2E20ACD3" w14:textId="5382AC7B" w:rsidR="00E40B9E" w:rsidRDefault="00E40B9E" w:rsidP="00E40B9E">
            <w:pPr>
              <w:spacing w:line="240" w:lineRule="auto"/>
              <w:jc w:val="both"/>
              <w:rPr>
                <w:rFonts w:ascii="Times New Roman" w:hAnsi="Times New Roman"/>
              </w:rPr>
            </w:pPr>
            <w:r>
              <w:rPr>
                <w:rFonts w:ascii="Times New Roman" w:hAnsi="Times New Roman"/>
              </w:rPr>
              <w:t>P</w:t>
            </w:r>
            <w:r w:rsidRPr="00E51C02">
              <w:rPr>
                <w:rFonts w:ascii="Times New Roman" w:hAnsi="Times New Roman"/>
              </w:rPr>
              <w:t>rojektowane zmiany będą finansowane w ramach dostępnego limitu</w:t>
            </w:r>
            <w:r>
              <w:rPr>
                <w:rFonts w:ascii="Times New Roman" w:hAnsi="Times New Roman"/>
              </w:rPr>
              <w:t xml:space="preserve"> </w:t>
            </w:r>
            <w:r w:rsidRPr="00E51C02">
              <w:rPr>
                <w:rFonts w:ascii="Times New Roman" w:hAnsi="Times New Roman"/>
              </w:rPr>
              <w:t xml:space="preserve">wydatków </w:t>
            </w:r>
            <w:r>
              <w:rPr>
                <w:rFonts w:ascii="Times New Roman" w:hAnsi="Times New Roman"/>
              </w:rPr>
              <w:t>gmin</w:t>
            </w:r>
            <w:r w:rsidRPr="00E51C02">
              <w:rPr>
                <w:rFonts w:ascii="Times New Roman" w:hAnsi="Times New Roman"/>
              </w:rPr>
              <w:t>, bez ubiegania się o dodatkowe środki</w:t>
            </w:r>
            <w:r>
              <w:rPr>
                <w:rFonts w:ascii="Times New Roman" w:hAnsi="Times New Roman"/>
              </w:rPr>
              <w:t xml:space="preserve"> </w:t>
            </w:r>
            <w:r w:rsidRPr="00E51C02">
              <w:rPr>
                <w:rFonts w:ascii="Times New Roman" w:hAnsi="Times New Roman"/>
              </w:rPr>
              <w:t>z budżetu państwa.</w:t>
            </w:r>
          </w:p>
          <w:p w14:paraId="4F20367C" w14:textId="0C15797A" w:rsidR="00E40B9E" w:rsidRPr="008337B4" w:rsidRDefault="00E40B9E" w:rsidP="00E40B9E">
            <w:pPr>
              <w:spacing w:line="240" w:lineRule="auto"/>
              <w:jc w:val="both"/>
              <w:rPr>
                <w:rFonts w:ascii="Times New Roman" w:hAnsi="Times New Roman"/>
              </w:rPr>
            </w:pPr>
            <w:r>
              <w:rPr>
                <w:rFonts w:ascii="Times New Roman" w:hAnsi="Times New Roman"/>
              </w:rPr>
              <w:t xml:space="preserve">Według rozeznania </w:t>
            </w:r>
            <w:proofErr w:type="spellStart"/>
            <w:r>
              <w:rPr>
                <w:rFonts w:ascii="Times New Roman" w:hAnsi="Times New Roman"/>
              </w:rPr>
              <w:t>MKiŚ</w:t>
            </w:r>
            <w:proofErr w:type="spellEnd"/>
            <w:r>
              <w:rPr>
                <w:rFonts w:ascii="Times New Roman" w:hAnsi="Times New Roman"/>
              </w:rPr>
              <w:t xml:space="preserve"> w</w:t>
            </w:r>
            <w:r w:rsidRPr="00EC3E9F">
              <w:rPr>
                <w:rFonts w:ascii="Times New Roman" w:hAnsi="Times New Roman"/>
              </w:rPr>
              <w:t xml:space="preserve">ydatki na opracowanie MPA będę zakwalifikowane jako wydatki bieżące JST. </w:t>
            </w:r>
            <w:r>
              <w:rPr>
                <w:rFonts w:ascii="Times New Roman" w:hAnsi="Times New Roman"/>
              </w:rPr>
              <w:t>W</w:t>
            </w:r>
            <w:r w:rsidRPr="00EC3E9F">
              <w:rPr>
                <w:rFonts w:ascii="Times New Roman" w:hAnsi="Times New Roman"/>
              </w:rPr>
              <w:t xml:space="preserve">ydatki JST są objęte Stabilizującą Regułą Wydatkową i powinny być uwzględniane do wyliczenia corocznie maksymalnego poziomu wydatków budżetu państwa, określonego zgodnie z art. 112aa ustawy </w:t>
            </w:r>
            <w:r w:rsidRPr="00E55CB1">
              <w:rPr>
                <w:rFonts w:ascii="Times New Roman" w:hAnsi="Times New Roman"/>
                <w:i/>
              </w:rPr>
              <w:t>o finansach publicznych</w:t>
            </w:r>
            <w:r w:rsidRPr="00EC3E9F">
              <w:rPr>
                <w:rFonts w:ascii="Times New Roman" w:hAnsi="Times New Roman"/>
              </w:rPr>
              <w:t>. Dodatkowo, stosownie z</w:t>
            </w:r>
            <w:r w:rsidR="009A7B8F">
              <w:rPr>
                <w:rFonts w:ascii="Times New Roman" w:hAnsi="Times New Roman"/>
              </w:rPr>
              <w:t> </w:t>
            </w:r>
            <w:r w:rsidRPr="00EC3E9F">
              <w:rPr>
                <w:rFonts w:ascii="Times New Roman" w:hAnsi="Times New Roman"/>
              </w:rPr>
              <w:t xml:space="preserve">uchwaloną 23 czerwca 2022 r. nowelizacją ustawy </w:t>
            </w:r>
            <w:r w:rsidRPr="003171F4">
              <w:rPr>
                <w:rFonts w:ascii="Times New Roman" w:hAnsi="Times New Roman"/>
                <w:i/>
                <w:iCs/>
              </w:rPr>
              <w:t>o finansach publicznych</w:t>
            </w:r>
            <w:r w:rsidRPr="00EC3E9F">
              <w:rPr>
                <w:rFonts w:ascii="Times New Roman" w:hAnsi="Times New Roman"/>
              </w:rPr>
              <w:t xml:space="preserve"> w zakresie SRW nie </w:t>
            </w:r>
            <w:r w:rsidR="00A637DC">
              <w:rPr>
                <w:rFonts w:ascii="Times New Roman" w:hAnsi="Times New Roman"/>
              </w:rPr>
              <w:t>są</w:t>
            </w:r>
            <w:r w:rsidR="00A637DC" w:rsidRPr="00EC3E9F">
              <w:rPr>
                <w:rFonts w:ascii="Times New Roman" w:hAnsi="Times New Roman"/>
              </w:rPr>
              <w:t xml:space="preserve"> </w:t>
            </w:r>
            <w:r w:rsidRPr="00EC3E9F">
              <w:rPr>
                <w:rFonts w:ascii="Times New Roman" w:hAnsi="Times New Roman"/>
              </w:rPr>
              <w:t>uwzględniane prognozowane roczne przyrosty wydatków inwestycyjnych m.in. dla jednostek</w:t>
            </w:r>
            <w:r>
              <w:rPr>
                <w:rFonts w:ascii="Times New Roman" w:hAnsi="Times New Roman"/>
              </w:rPr>
              <w:t xml:space="preserve"> </w:t>
            </w:r>
            <w:r w:rsidRPr="00EC3E9F">
              <w:rPr>
                <w:rFonts w:ascii="Times New Roman" w:hAnsi="Times New Roman"/>
              </w:rPr>
              <w:t>samorządu terytorialnego</w:t>
            </w:r>
            <w:r>
              <w:rPr>
                <w:rFonts w:ascii="Times New Roman" w:hAnsi="Times New Roman"/>
              </w:rPr>
              <w:t xml:space="preserve">. </w:t>
            </w:r>
            <w:r w:rsidRPr="00EC3E9F">
              <w:rPr>
                <w:rFonts w:ascii="Times New Roman" w:hAnsi="Times New Roman"/>
              </w:rPr>
              <w:t xml:space="preserve">Powyższe nie wiąże się z koniecznością przedstawienia obliczeń w tym zakresie przez </w:t>
            </w:r>
            <w:proofErr w:type="spellStart"/>
            <w:r w:rsidRPr="00EC3E9F">
              <w:rPr>
                <w:rFonts w:ascii="Times New Roman" w:hAnsi="Times New Roman"/>
              </w:rPr>
              <w:t>MKiŚ</w:t>
            </w:r>
            <w:proofErr w:type="spellEnd"/>
            <w:r w:rsidRPr="00EC3E9F">
              <w:rPr>
                <w:rFonts w:ascii="Times New Roman" w:hAnsi="Times New Roman"/>
              </w:rPr>
              <w:t xml:space="preserve"> (dane są przekazywane przez JST, a limity oblicza MF).</w:t>
            </w:r>
          </w:p>
          <w:p w14:paraId="2FDB89B3" w14:textId="77777777" w:rsidR="00E40B9E" w:rsidRDefault="00E40B9E" w:rsidP="00E40B9E">
            <w:pPr>
              <w:spacing w:line="240" w:lineRule="auto"/>
              <w:jc w:val="both"/>
              <w:rPr>
                <w:rFonts w:ascii="Times New Roman" w:hAnsi="Times New Roman"/>
                <w:color w:val="000000"/>
              </w:rPr>
            </w:pPr>
          </w:p>
          <w:p w14:paraId="143E61FC" w14:textId="77777777" w:rsidR="00E40B9E" w:rsidRPr="00CD6DBF" w:rsidRDefault="00E40B9E" w:rsidP="00E40B9E">
            <w:pPr>
              <w:spacing w:line="240" w:lineRule="auto"/>
              <w:jc w:val="both"/>
              <w:rPr>
                <w:rFonts w:ascii="Times New Roman" w:hAnsi="Times New Roman"/>
                <w:b/>
                <w:bCs/>
                <w:color w:val="000000"/>
              </w:rPr>
            </w:pPr>
            <w:r w:rsidRPr="00CD6DBF">
              <w:rPr>
                <w:rFonts w:ascii="Times New Roman" w:hAnsi="Times New Roman"/>
                <w:b/>
                <w:bCs/>
                <w:color w:val="000000"/>
              </w:rPr>
              <w:t>Aktualizacja MPA</w:t>
            </w:r>
          </w:p>
          <w:p w14:paraId="3841BEBD" w14:textId="593033E5" w:rsidR="00E40B9E" w:rsidRDefault="00E40B9E" w:rsidP="00E40B9E">
            <w:pPr>
              <w:spacing w:line="240" w:lineRule="auto"/>
              <w:jc w:val="both"/>
              <w:rPr>
                <w:rFonts w:ascii="Times New Roman" w:hAnsi="Times New Roman"/>
                <w:color w:val="000000"/>
              </w:rPr>
            </w:pPr>
            <w:r w:rsidRPr="00514272">
              <w:rPr>
                <w:rFonts w:ascii="Times New Roman" w:hAnsi="Times New Roman"/>
                <w:color w:val="000000"/>
              </w:rPr>
              <w:t>Koszty</w:t>
            </w:r>
            <w:r w:rsidR="006A51A4">
              <w:rPr>
                <w:rFonts w:ascii="Times New Roman" w:hAnsi="Times New Roman"/>
                <w:color w:val="000000"/>
              </w:rPr>
              <w:t xml:space="preserve"> </w:t>
            </w:r>
            <w:r w:rsidRPr="00514272">
              <w:rPr>
                <w:rFonts w:ascii="Times New Roman" w:hAnsi="Times New Roman"/>
                <w:color w:val="000000"/>
              </w:rPr>
              <w:t>aktualizacj</w:t>
            </w:r>
            <w:r w:rsidR="00F114AC">
              <w:rPr>
                <w:rFonts w:ascii="Times New Roman" w:hAnsi="Times New Roman"/>
                <w:color w:val="000000"/>
              </w:rPr>
              <w:t>i</w:t>
            </w:r>
            <w:r w:rsidRPr="00514272">
              <w:rPr>
                <w:rFonts w:ascii="Times New Roman" w:hAnsi="Times New Roman"/>
                <w:color w:val="000000"/>
              </w:rPr>
              <w:t xml:space="preserve"> wystąpią po stronie JST, natomiast ciężko jest oszacować</w:t>
            </w:r>
            <w:r w:rsidR="000761D3">
              <w:rPr>
                <w:rFonts w:ascii="Times New Roman" w:hAnsi="Times New Roman"/>
                <w:color w:val="000000"/>
              </w:rPr>
              <w:t>,</w:t>
            </w:r>
            <w:r w:rsidRPr="00514272">
              <w:rPr>
                <w:rFonts w:ascii="Times New Roman" w:hAnsi="Times New Roman"/>
                <w:color w:val="000000"/>
              </w:rPr>
              <w:t xml:space="preserve"> w których latach (dla już przyjętych MPA nie ma obowiązku natychmiastowej aktualizacji), a aktualizacja MPA przyjętych po wejściu w życie ustawy ma następować na podstawie sprawozdań z monitor</w:t>
            </w:r>
            <w:r>
              <w:rPr>
                <w:rFonts w:ascii="Times New Roman" w:hAnsi="Times New Roman"/>
                <w:color w:val="000000"/>
              </w:rPr>
              <w:t>owania</w:t>
            </w:r>
            <w:r w:rsidRPr="00514272">
              <w:rPr>
                <w:rFonts w:ascii="Times New Roman" w:hAnsi="Times New Roman"/>
                <w:color w:val="000000"/>
              </w:rPr>
              <w:t xml:space="preserve"> nie rzadziej niż raz na 6 lat.</w:t>
            </w:r>
          </w:p>
          <w:p w14:paraId="4D3F295C" w14:textId="77777777" w:rsidR="00E40B9E" w:rsidRPr="003171F4" w:rsidRDefault="00E40B9E" w:rsidP="00E40B9E">
            <w:pPr>
              <w:spacing w:line="240" w:lineRule="auto"/>
              <w:jc w:val="both"/>
              <w:rPr>
                <w:rFonts w:ascii="Times New Roman" w:hAnsi="Times New Roman"/>
                <w:b/>
                <w:bCs/>
                <w:color w:val="000000"/>
              </w:rPr>
            </w:pPr>
          </w:p>
          <w:p w14:paraId="4FDA8235" w14:textId="2D470F20" w:rsidR="00A16978" w:rsidRDefault="00A16978" w:rsidP="00E40B9E">
            <w:pPr>
              <w:spacing w:line="240" w:lineRule="auto"/>
              <w:jc w:val="both"/>
              <w:rPr>
                <w:rFonts w:ascii="Times New Roman" w:hAnsi="Times New Roman"/>
                <w:color w:val="000000"/>
              </w:rPr>
            </w:pPr>
            <w:r w:rsidRPr="00E55CB1">
              <w:rPr>
                <w:rFonts w:ascii="Times New Roman" w:hAnsi="Times New Roman"/>
                <w:color w:val="000000"/>
              </w:rPr>
              <w:t xml:space="preserve">Sprawozdawczość z MPA – realizowana przez IOŚ-PIB. Wydatki NFOŚiGW jako jednostki przekazującej środki do IOŚ-PIB </w:t>
            </w:r>
            <w:r w:rsidR="0087793F">
              <w:rPr>
                <w:rFonts w:ascii="Times New Roman" w:hAnsi="Times New Roman"/>
                <w:color w:val="000000"/>
              </w:rPr>
              <w:t>–</w:t>
            </w:r>
            <w:r w:rsidRPr="00E55CB1">
              <w:rPr>
                <w:rFonts w:ascii="Times New Roman" w:hAnsi="Times New Roman"/>
                <w:color w:val="000000"/>
              </w:rPr>
              <w:t xml:space="preserve"> projektowane zmiany będą finansowane w ramach dostępnego limitu wydatków NFOŚiGW z zobowiązania wieloletniego „ochrona powietrza”, o</w:t>
            </w:r>
            <w:r w:rsidR="009A7B8F">
              <w:rPr>
                <w:rFonts w:ascii="Times New Roman" w:hAnsi="Times New Roman"/>
                <w:color w:val="000000"/>
              </w:rPr>
              <w:t> </w:t>
            </w:r>
            <w:r w:rsidRPr="00E55CB1">
              <w:rPr>
                <w:rFonts w:ascii="Times New Roman" w:hAnsi="Times New Roman"/>
                <w:color w:val="000000"/>
              </w:rPr>
              <w:t xml:space="preserve">którym mowa w art. 401c ust. 9a </w:t>
            </w:r>
            <w:proofErr w:type="spellStart"/>
            <w:r w:rsidR="0087793F">
              <w:rPr>
                <w:rFonts w:ascii="Times New Roman" w:hAnsi="Times New Roman"/>
                <w:color w:val="000000"/>
              </w:rPr>
              <w:t>uPoś</w:t>
            </w:r>
            <w:proofErr w:type="spellEnd"/>
            <w:r w:rsidRPr="00E55CB1">
              <w:rPr>
                <w:rFonts w:ascii="Times New Roman" w:hAnsi="Times New Roman"/>
                <w:color w:val="000000"/>
              </w:rPr>
              <w:t>, bez ubiegania się o dodatkowe środki z budżetu państwa.</w:t>
            </w:r>
          </w:p>
          <w:p w14:paraId="77176978" w14:textId="77777777" w:rsidR="0087793F" w:rsidRDefault="0087793F" w:rsidP="00E40B9E">
            <w:pPr>
              <w:spacing w:line="240" w:lineRule="auto"/>
              <w:jc w:val="both"/>
              <w:rPr>
                <w:rFonts w:ascii="Times New Roman" w:hAnsi="Times New Roman"/>
                <w:color w:val="000000"/>
              </w:rPr>
            </w:pPr>
          </w:p>
          <w:p w14:paraId="44AD3CB7" w14:textId="36ABC7A9" w:rsidR="00E40B9E" w:rsidRPr="00604B30" w:rsidRDefault="00E40B9E" w:rsidP="00E40B9E">
            <w:pPr>
              <w:spacing w:line="240" w:lineRule="auto"/>
              <w:jc w:val="both"/>
              <w:rPr>
                <w:rFonts w:ascii="Times New Roman" w:hAnsi="Times New Roman"/>
                <w:color w:val="000000"/>
              </w:rPr>
            </w:pPr>
            <w:r w:rsidRPr="00604B30">
              <w:rPr>
                <w:rFonts w:ascii="Times New Roman" w:hAnsi="Times New Roman"/>
                <w:color w:val="000000"/>
              </w:rPr>
              <w:t>Przyjęte założenia wyjściowe:</w:t>
            </w:r>
          </w:p>
          <w:p w14:paraId="44FEFF5D" w14:textId="579AE52C" w:rsidR="00E40B9E" w:rsidRPr="00604B30" w:rsidRDefault="00E40B9E" w:rsidP="00E40B9E">
            <w:pPr>
              <w:spacing w:line="240" w:lineRule="auto"/>
              <w:jc w:val="both"/>
              <w:rPr>
                <w:rFonts w:ascii="Times New Roman" w:hAnsi="Times New Roman"/>
                <w:color w:val="000000"/>
              </w:rPr>
            </w:pPr>
            <w:r w:rsidRPr="00604B30">
              <w:rPr>
                <w:rFonts w:ascii="Times New Roman" w:hAnsi="Times New Roman"/>
                <w:color w:val="000000"/>
              </w:rPr>
              <w:t>1.</w:t>
            </w:r>
            <w:r>
              <w:rPr>
                <w:rFonts w:ascii="Times New Roman" w:hAnsi="Times New Roman"/>
                <w:color w:val="000000"/>
              </w:rPr>
              <w:t xml:space="preserve"> </w:t>
            </w:r>
            <w:r w:rsidRPr="00604B30">
              <w:rPr>
                <w:rFonts w:ascii="Times New Roman" w:hAnsi="Times New Roman"/>
                <w:color w:val="000000"/>
              </w:rPr>
              <w:t xml:space="preserve">Docelowa liczba sprawozdań – </w:t>
            </w:r>
            <w:r w:rsidR="0046498D" w:rsidRPr="00604B30">
              <w:rPr>
                <w:rFonts w:ascii="Times New Roman" w:hAnsi="Times New Roman"/>
                <w:color w:val="000000"/>
              </w:rPr>
              <w:t>2</w:t>
            </w:r>
            <w:r w:rsidR="0046498D">
              <w:rPr>
                <w:rFonts w:ascii="Times New Roman" w:hAnsi="Times New Roman"/>
                <w:color w:val="000000"/>
              </w:rPr>
              <w:t>09</w:t>
            </w:r>
            <w:r w:rsidR="0046498D" w:rsidRPr="00604B30">
              <w:rPr>
                <w:rFonts w:ascii="Times New Roman" w:hAnsi="Times New Roman"/>
                <w:color w:val="000000"/>
              </w:rPr>
              <w:t xml:space="preserve"> </w:t>
            </w:r>
            <w:r w:rsidRPr="00604B30">
              <w:rPr>
                <w:rFonts w:ascii="Times New Roman" w:hAnsi="Times New Roman"/>
                <w:color w:val="000000"/>
              </w:rPr>
              <w:t>szt.</w:t>
            </w:r>
            <w:r>
              <w:rPr>
                <w:rFonts w:ascii="Times New Roman" w:hAnsi="Times New Roman"/>
                <w:color w:val="000000"/>
              </w:rPr>
              <w:t xml:space="preserve"> – liczba może ulec zmianie przy uwzględnieniu danych GUS za 31.12.202</w:t>
            </w:r>
            <w:r w:rsidR="0046498D">
              <w:rPr>
                <w:rFonts w:ascii="Times New Roman" w:hAnsi="Times New Roman"/>
                <w:color w:val="000000"/>
              </w:rPr>
              <w:t>4</w:t>
            </w:r>
            <w:r>
              <w:rPr>
                <w:rFonts w:ascii="Times New Roman" w:hAnsi="Times New Roman"/>
                <w:color w:val="000000"/>
              </w:rPr>
              <w:t xml:space="preserve"> r.</w:t>
            </w:r>
          </w:p>
          <w:p w14:paraId="0597662F" w14:textId="708D0E2D" w:rsidR="00E40B9E" w:rsidRDefault="00E40B9E" w:rsidP="00E40B9E">
            <w:pPr>
              <w:spacing w:line="240" w:lineRule="auto"/>
              <w:jc w:val="both"/>
              <w:rPr>
                <w:rFonts w:ascii="Times New Roman" w:hAnsi="Times New Roman"/>
                <w:color w:val="000000"/>
              </w:rPr>
            </w:pPr>
            <w:r w:rsidRPr="00604B30">
              <w:rPr>
                <w:rFonts w:ascii="Times New Roman" w:hAnsi="Times New Roman"/>
                <w:color w:val="000000"/>
              </w:rPr>
              <w:t>2.</w:t>
            </w:r>
            <w:r>
              <w:rPr>
                <w:rFonts w:ascii="Times New Roman" w:hAnsi="Times New Roman"/>
                <w:color w:val="000000"/>
              </w:rPr>
              <w:t xml:space="preserve"> </w:t>
            </w:r>
            <w:r w:rsidRPr="00604B30">
              <w:rPr>
                <w:rFonts w:ascii="Times New Roman" w:hAnsi="Times New Roman"/>
                <w:color w:val="000000"/>
              </w:rPr>
              <w:t>Przygotowanie systemu sprawozdawczości</w:t>
            </w:r>
            <w:r>
              <w:rPr>
                <w:rFonts w:ascii="Times New Roman" w:hAnsi="Times New Roman"/>
                <w:color w:val="000000"/>
              </w:rPr>
              <w:t xml:space="preserve"> w</w:t>
            </w:r>
            <w:r w:rsidRPr="00604B30">
              <w:rPr>
                <w:rFonts w:ascii="Times New Roman" w:hAnsi="Times New Roman"/>
                <w:color w:val="000000"/>
              </w:rPr>
              <w:t xml:space="preserve"> ramach projektu K</w:t>
            </w:r>
            <w:r>
              <w:rPr>
                <w:rFonts w:ascii="Times New Roman" w:hAnsi="Times New Roman"/>
                <w:color w:val="000000"/>
              </w:rPr>
              <w:t xml:space="preserve">LIMADA </w:t>
            </w:r>
            <w:r w:rsidR="0034095C">
              <w:rPr>
                <w:rFonts w:ascii="Times New Roman" w:hAnsi="Times New Roman"/>
                <w:color w:val="000000"/>
              </w:rPr>
              <w:t>3</w:t>
            </w:r>
            <w:r w:rsidRPr="00604B30">
              <w:rPr>
                <w:rFonts w:ascii="Times New Roman" w:hAnsi="Times New Roman"/>
                <w:color w:val="000000"/>
              </w:rPr>
              <w:t>.0 realizowanego w latach 202</w:t>
            </w:r>
            <w:r w:rsidR="0034095C">
              <w:rPr>
                <w:rFonts w:ascii="Times New Roman" w:hAnsi="Times New Roman"/>
                <w:color w:val="000000"/>
              </w:rPr>
              <w:t>4</w:t>
            </w:r>
            <w:r w:rsidRPr="00604B30">
              <w:rPr>
                <w:rFonts w:ascii="Times New Roman" w:hAnsi="Times New Roman"/>
                <w:color w:val="000000"/>
              </w:rPr>
              <w:t>/202</w:t>
            </w:r>
            <w:r w:rsidR="0034095C">
              <w:rPr>
                <w:rFonts w:ascii="Times New Roman" w:hAnsi="Times New Roman"/>
                <w:color w:val="000000"/>
              </w:rPr>
              <w:t>5</w:t>
            </w:r>
            <w:r>
              <w:rPr>
                <w:rFonts w:ascii="Times New Roman" w:hAnsi="Times New Roman"/>
                <w:color w:val="000000"/>
              </w:rPr>
              <w:t>. Docelowym założeniem jest, że sprawozdania będą składane co 2 lata w</w:t>
            </w:r>
            <w:r w:rsidR="009A7B8F">
              <w:rPr>
                <w:rFonts w:ascii="Times New Roman" w:hAnsi="Times New Roman"/>
                <w:color w:val="000000"/>
              </w:rPr>
              <w:t> </w:t>
            </w:r>
            <w:r>
              <w:rPr>
                <w:rFonts w:ascii="Times New Roman" w:hAnsi="Times New Roman"/>
                <w:color w:val="000000"/>
              </w:rPr>
              <w:t xml:space="preserve">latach parzystych, a od </w:t>
            </w:r>
            <w:r w:rsidR="00876CE3">
              <w:rPr>
                <w:rFonts w:ascii="Times New Roman" w:hAnsi="Times New Roman"/>
                <w:color w:val="000000"/>
              </w:rPr>
              <w:t xml:space="preserve">2030 </w:t>
            </w:r>
            <w:r w:rsidR="0087793F">
              <w:rPr>
                <w:rFonts w:ascii="Times New Roman" w:hAnsi="Times New Roman"/>
                <w:color w:val="000000"/>
              </w:rPr>
              <w:t xml:space="preserve">roku </w:t>
            </w:r>
            <w:r>
              <w:rPr>
                <w:rFonts w:ascii="Times New Roman" w:hAnsi="Times New Roman"/>
                <w:color w:val="000000"/>
              </w:rPr>
              <w:t xml:space="preserve">będziemy w posiadaniu 100% sprawozdań z MPA z </w:t>
            </w:r>
            <w:r w:rsidR="0046498D">
              <w:rPr>
                <w:rFonts w:ascii="Times New Roman" w:hAnsi="Times New Roman"/>
                <w:color w:val="000000"/>
              </w:rPr>
              <w:t xml:space="preserve"> 209 </w:t>
            </w:r>
            <w:r>
              <w:rPr>
                <w:rFonts w:ascii="Times New Roman" w:hAnsi="Times New Roman"/>
                <w:color w:val="000000"/>
              </w:rPr>
              <w:t xml:space="preserve">miast. </w:t>
            </w:r>
          </w:p>
          <w:p w14:paraId="1C37D2EC" w14:textId="77777777" w:rsidR="00E40B9E" w:rsidRPr="00604B30" w:rsidRDefault="00E40B9E" w:rsidP="00E40B9E">
            <w:pPr>
              <w:spacing w:line="240" w:lineRule="auto"/>
              <w:jc w:val="both"/>
              <w:rPr>
                <w:rFonts w:ascii="Times New Roman" w:hAnsi="Times New Roman"/>
                <w:color w:val="000000"/>
              </w:rPr>
            </w:pPr>
            <w:r w:rsidRPr="00604B30">
              <w:rPr>
                <w:rFonts w:ascii="Times New Roman" w:hAnsi="Times New Roman"/>
                <w:color w:val="000000"/>
              </w:rPr>
              <w:t>3.</w:t>
            </w:r>
            <w:r>
              <w:rPr>
                <w:rFonts w:ascii="Times New Roman" w:hAnsi="Times New Roman"/>
                <w:color w:val="000000"/>
              </w:rPr>
              <w:t xml:space="preserve"> </w:t>
            </w:r>
            <w:r w:rsidRPr="00604B30">
              <w:rPr>
                <w:rFonts w:ascii="Times New Roman" w:hAnsi="Times New Roman"/>
                <w:color w:val="000000"/>
              </w:rPr>
              <w:t>Szacunkowe rozłożenie sprawozdań w latach:</w:t>
            </w:r>
          </w:p>
          <w:p w14:paraId="3FB11CE0" w14:textId="46B65310" w:rsidR="00E40B9E" w:rsidRDefault="00E40B9E" w:rsidP="00E40B9E">
            <w:pPr>
              <w:spacing w:line="240" w:lineRule="auto"/>
              <w:jc w:val="both"/>
              <w:rPr>
                <w:rFonts w:ascii="Times New Roman" w:hAnsi="Times New Roman"/>
                <w:color w:val="000000"/>
              </w:rPr>
            </w:pPr>
            <w:r w:rsidRPr="00604B30">
              <w:rPr>
                <w:rFonts w:ascii="Times New Roman" w:hAnsi="Times New Roman"/>
                <w:color w:val="000000"/>
              </w:rPr>
              <w:t>Ilości przypisane do a, b, c</w:t>
            </w:r>
            <w:r>
              <w:rPr>
                <w:rFonts w:ascii="Times New Roman" w:hAnsi="Times New Roman"/>
                <w:color w:val="000000"/>
              </w:rPr>
              <w:t>, d</w:t>
            </w:r>
            <w:r w:rsidR="00876CE3">
              <w:rPr>
                <w:rFonts w:ascii="Times New Roman" w:hAnsi="Times New Roman"/>
                <w:color w:val="000000"/>
              </w:rPr>
              <w:t>, e</w:t>
            </w:r>
            <w:r w:rsidRPr="00604B30">
              <w:rPr>
                <w:rFonts w:ascii="Times New Roman" w:hAnsi="Times New Roman"/>
                <w:color w:val="000000"/>
              </w:rPr>
              <w:t xml:space="preserve"> – nie są znane</w:t>
            </w:r>
          </w:p>
          <w:p w14:paraId="03A0AC69" w14:textId="77777777" w:rsidR="00E40B9E" w:rsidRPr="00604B30" w:rsidRDefault="00E40B9E" w:rsidP="00E40B9E">
            <w:pPr>
              <w:spacing w:line="240" w:lineRule="auto"/>
              <w:jc w:val="both"/>
              <w:rPr>
                <w:rFonts w:ascii="Times New Roman" w:hAnsi="Times New Roman"/>
                <w:color w:val="000000"/>
              </w:rPr>
            </w:pPr>
          </w:p>
          <w:tbl>
            <w:tblPr>
              <w:tblW w:w="6217" w:type="dxa"/>
              <w:shd w:val="clear" w:color="auto" w:fill="FFFFFF"/>
              <w:tblLayout w:type="fixed"/>
              <w:tblCellMar>
                <w:left w:w="70" w:type="dxa"/>
                <w:right w:w="70" w:type="dxa"/>
              </w:tblCellMar>
              <w:tblLook w:val="04A0" w:firstRow="1" w:lastRow="0" w:firstColumn="1" w:lastColumn="0" w:noHBand="0" w:noVBand="1"/>
            </w:tblPr>
            <w:tblGrid>
              <w:gridCol w:w="1540"/>
              <w:gridCol w:w="1559"/>
              <w:gridCol w:w="1559"/>
              <w:gridCol w:w="1559"/>
            </w:tblGrid>
            <w:tr w:rsidR="00E40B9E" w:rsidRPr="009A7B8F" w14:paraId="2A57E270" w14:textId="77777777" w:rsidTr="00145F5E">
              <w:trPr>
                <w:trHeight w:val="870"/>
              </w:trPr>
              <w:tc>
                <w:tcPr>
                  <w:tcW w:w="15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00397" w14:textId="77777777" w:rsidR="00E40B9E" w:rsidRPr="009A7B8F" w:rsidRDefault="00E40B9E" w:rsidP="00E40B9E">
                  <w:pPr>
                    <w:spacing w:line="240" w:lineRule="auto"/>
                    <w:jc w:val="center"/>
                    <w:rPr>
                      <w:rFonts w:ascii="Times New Roman" w:eastAsia="Times New Roman" w:hAnsi="Times New Roman"/>
                      <w:b/>
                      <w:bCs/>
                      <w:color w:val="000000"/>
                      <w:sz w:val="20"/>
                      <w:szCs w:val="20"/>
                      <w:lang w:eastAsia="pl-PL"/>
                    </w:rPr>
                  </w:pPr>
                  <w:r w:rsidRPr="009A7B8F">
                    <w:rPr>
                      <w:rFonts w:ascii="Times New Roman" w:eastAsia="Times New Roman" w:hAnsi="Times New Roman"/>
                      <w:b/>
                      <w:bCs/>
                      <w:color w:val="000000"/>
                      <w:sz w:val="20"/>
                      <w:szCs w:val="20"/>
                      <w:lang w:eastAsia="pl-PL"/>
                    </w:rPr>
                    <w:t>ROK</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0B68B2D" w14:textId="77777777" w:rsidR="00E40B9E" w:rsidRPr="009A7B8F" w:rsidRDefault="00E40B9E" w:rsidP="00E40B9E">
                  <w:pPr>
                    <w:spacing w:line="240" w:lineRule="auto"/>
                    <w:jc w:val="center"/>
                    <w:rPr>
                      <w:rFonts w:ascii="Times New Roman" w:eastAsia="Times New Roman" w:hAnsi="Times New Roman"/>
                      <w:b/>
                      <w:bCs/>
                      <w:color w:val="000000"/>
                      <w:sz w:val="20"/>
                      <w:szCs w:val="20"/>
                      <w:lang w:eastAsia="pl-PL"/>
                    </w:rPr>
                  </w:pPr>
                  <w:r w:rsidRPr="009A7B8F">
                    <w:rPr>
                      <w:rFonts w:ascii="Times New Roman" w:eastAsia="Times New Roman" w:hAnsi="Times New Roman"/>
                      <w:b/>
                      <w:bCs/>
                      <w:color w:val="000000"/>
                      <w:sz w:val="20"/>
                      <w:szCs w:val="20"/>
                      <w:lang w:eastAsia="pl-PL"/>
                    </w:rPr>
                    <w:t>Liczba przyjętych MPA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061696" w14:textId="77777777" w:rsidR="00E40B9E" w:rsidRPr="009A7B8F" w:rsidRDefault="00E40B9E" w:rsidP="00E40B9E">
                  <w:pPr>
                    <w:spacing w:line="240" w:lineRule="auto"/>
                    <w:jc w:val="center"/>
                    <w:rPr>
                      <w:rFonts w:ascii="Times New Roman" w:eastAsia="Times New Roman" w:hAnsi="Times New Roman"/>
                      <w:b/>
                      <w:bCs/>
                      <w:color w:val="000000"/>
                      <w:sz w:val="20"/>
                      <w:szCs w:val="20"/>
                      <w:lang w:eastAsia="pl-PL"/>
                    </w:rPr>
                  </w:pPr>
                  <w:r w:rsidRPr="009A7B8F">
                    <w:rPr>
                      <w:rFonts w:ascii="Times New Roman" w:eastAsia="Times New Roman" w:hAnsi="Times New Roman"/>
                      <w:b/>
                      <w:bCs/>
                      <w:color w:val="000000"/>
                      <w:sz w:val="20"/>
                      <w:szCs w:val="20"/>
                      <w:lang w:eastAsia="pl-PL"/>
                    </w:rPr>
                    <w:t>Szacunkowa liczba sprawozdań w roku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29D5F25" w14:textId="77777777" w:rsidR="00E40B9E" w:rsidRPr="009A7B8F" w:rsidRDefault="00E40B9E" w:rsidP="00E40B9E">
                  <w:pPr>
                    <w:spacing w:line="240" w:lineRule="auto"/>
                    <w:jc w:val="center"/>
                    <w:rPr>
                      <w:rFonts w:ascii="Times New Roman" w:eastAsia="Times New Roman" w:hAnsi="Times New Roman"/>
                      <w:b/>
                      <w:bCs/>
                      <w:color w:val="000000"/>
                      <w:sz w:val="20"/>
                      <w:szCs w:val="20"/>
                      <w:lang w:eastAsia="pl-PL"/>
                    </w:rPr>
                  </w:pPr>
                  <w:r w:rsidRPr="009A7B8F">
                    <w:rPr>
                      <w:rFonts w:ascii="Times New Roman" w:eastAsia="Times New Roman" w:hAnsi="Times New Roman"/>
                      <w:b/>
                      <w:bCs/>
                      <w:color w:val="000000"/>
                      <w:sz w:val="20"/>
                      <w:szCs w:val="20"/>
                      <w:lang w:eastAsia="pl-PL"/>
                    </w:rPr>
                    <w:t>Szacowane koszty w tys. zł</w:t>
                  </w:r>
                </w:p>
              </w:tc>
            </w:tr>
            <w:tr w:rsidR="00E40B9E" w:rsidRPr="009A7B8F" w14:paraId="391A7CF6" w14:textId="77777777" w:rsidTr="00B767DE">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96ADEB" w14:textId="77777777" w:rsidR="00E40B9E" w:rsidRPr="009A7B8F" w:rsidRDefault="00E40B9E" w:rsidP="00E40B9E">
                  <w:pPr>
                    <w:spacing w:line="240" w:lineRule="auto"/>
                    <w:jc w:val="center"/>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Przed 2022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9AD1F0"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72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9749531"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88C4AB2"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r>
            <w:tr w:rsidR="00E40B9E" w:rsidRPr="009A7B8F" w14:paraId="1D48C9E4" w14:textId="77777777" w:rsidTr="00B767DE">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38AB3B"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0DC34F" w14:textId="4ED49101"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1</w:t>
                  </w:r>
                  <w:r w:rsidR="006C46DA" w:rsidRPr="009A7B8F">
                    <w:rPr>
                      <w:rFonts w:ascii="Times New Roman" w:eastAsia="Times New Roman" w:hAnsi="Times New Roman"/>
                      <w:color w:val="000000"/>
                      <w:sz w:val="20"/>
                      <w:szCs w:val="20"/>
                      <w:lang w:eastAsia="pl-PL"/>
                    </w:rPr>
                    <w:t>2</w:t>
                  </w:r>
                  <w:r w:rsidRPr="009A7B8F">
                    <w:rPr>
                      <w:rFonts w:ascii="Times New Roman" w:eastAsia="Times New Roman" w:hAnsi="Times New Roman"/>
                      <w:color w:val="000000"/>
                      <w:sz w:val="20"/>
                      <w:szCs w:val="2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0A957A"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91532C0"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r>
            <w:tr w:rsidR="00E40B9E" w:rsidRPr="009A7B8F" w14:paraId="6B04856C"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75F703"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91F6FF" w14:textId="4904ECB9" w:rsidR="00E40B9E" w:rsidRPr="009A7B8F" w:rsidRDefault="007C1BF0"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BD645D" w14:textId="4E5B2042"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2C00174" w14:textId="6AA17149"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r>
            <w:tr w:rsidR="00E40B9E" w:rsidRPr="009A7B8F" w14:paraId="399A0300"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7F689C"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DD038F" w14:textId="18F170DA" w:rsidR="00E40B9E" w:rsidRPr="009A7B8F" w:rsidRDefault="00B932DA"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DE6B75" w14:textId="1B669334"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9CD0733" w14:textId="4929EC30"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r>
            <w:tr w:rsidR="00E40B9E" w:rsidRPr="009A7B8F" w14:paraId="74A9CF43"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71EED0" w14:textId="77777777" w:rsidR="00E40B9E" w:rsidRPr="009A7B8F" w:rsidRDefault="00E40B9E"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E39D46" w14:textId="6856B88D" w:rsidR="00E40B9E" w:rsidRPr="009A7B8F" w:rsidRDefault="00B932DA" w:rsidP="00E40B9E">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1535A3" w14:textId="61F2E9EA"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CB77255" w14:textId="3F04970A" w:rsidR="00E40B9E" w:rsidRPr="009A7B8F" w:rsidRDefault="00E40B9E" w:rsidP="00E40B9E">
                  <w:pPr>
                    <w:spacing w:line="240" w:lineRule="auto"/>
                    <w:jc w:val="right"/>
                    <w:rPr>
                      <w:rFonts w:ascii="Times New Roman" w:eastAsia="Times New Roman" w:hAnsi="Times New Roman"/>
                      <w:color w:val="000000"/>
                      <w:sz w:val="20"/>
                      <w:szCs w:val="20"/>
                      <w:lang w:eastAsia="pl-PL"/>
                    </w:rPr>
                  </w:pPr>
                </w:p>
              </w:tc>
            </w:tr>
            <w:tr w:rsidR="00B932DA" w:rsidRPr="009A7B8F" w14:paraId="4B49E181"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8139DF" w14:textId="77777777"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95F5A8" w14:textId="2E233D17"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c</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FDF91D" w14:textId="5CFA4D52"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10</w:t>
                  </w:r>
                  <w:r w:rsidR="007C1BF0" w:rsidRPr="009A7B8F">
                    <w:rPr>
                      <w:rFonts w:ascii="Times New Roman" w:eastAsia="Times New Roman" w:hAnsi="Times New Roman"/>
                      <w:color w:val="000000"/>
                      <w:sz w:val="20"/>
                      <w:szCs w:val="20"/>
                      <w:lang w:eastAsia="pl-PL"/>
                    </w:rPr>
                    <w:t>5</w:t>
                  </w:r>
                  <w:r w:rsidRPr="009A7B8F">
                    <w:rPr>
                      <w:rFonts w:ascii="Times New Roman" w:eastAsia="Times New Roman" w:hAnsi="Times New Roman"/>
                      <w:color w:val="000000"/>
                      <w:sz w:val="20"/>
                      <w:szCs w:val="20"/>
                      <w:lang w:eastAsia="pl-PL"/>
                    </w:rPr>
                    <w: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3E4A8129" w14:textId="24DED149"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200</w:t>
                  </w:r>
                </w:p>
              </w:tc>
            </w:tr>
            <w:tr w:rsidR="00B932DA" w:rsidRPr="009A7B8F" w14:paraId="073165C8"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5CE302" w14:textId="77777777"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7DB911" w14:textId="130F93EC"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318608" w14:textId="57AA7344"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2EFDE56" w14:textId="4114C9D3"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50</w:t>
                  </w:r>
                </w:p>
              </w:tc>
            </w:tr>
            <w:tr w:rsidR="00B932DA" w:rsidRPr="009A7B8F" w14:paraId="267F8414"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1A69A6" w14:textId="77777777"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53BD6D" w14:textId="5B962520" w:rsidR="00B932DA" w:rsidRPr="009A7B8F" w:rsidRDefault="00E816A1"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96DA50" w14:textId="09753402"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10</w:t>
                  </w:r>
                  <w:r w:rsidR="007C1BF0" w:rsidRPr="009A7B8F">
                    <w:rPr>
                      <w:rFonts w:ascii="Times New Roman" w:eastAsia="Times New Roman" w:hAnsi="Times New Roman"/>
                      <w:color w:val="000000"/>
                      <w:sz w:val="20"/>
                      <w:szCs w:val="20"/>
                      <w:lang w:eastAsia="pl-PL"/>
                    </w:rPr>
                    <w:t>5</w:t>
                  </w:r>
                  <w:r w:rsidRPr="009A7B8F">
                    <w:rPr>
                      <w:rFonts w:ascii="Times New Roman" w:eastAsia="Times New Roman" w:hAnsi="Times New Roman"/>
                      <w:color w:val="000000"/>
                      <w:sz w:val="20"/>
                      <w:szCs w:val="20"/>
                      <w:lang w:eastAsia="pl-PL"/>
                    </w:rPr>
                    <w:t>+a+b</w:t>
                  </w:r>
                  <w:r w:rsidR="00E816A1" w:rsidRPr="009A7B8F">
                    <w:rPr>
                      <w:rFonts w:ascii="Times New Roman" w:eastAsia="Times New Roman" w:hAnsi="Times New Roman"/>
                      <w:color w:val="000000"/>
                      <w:sz w:val="20"/>
                      <w:szCs w:val="20"/>
                      <w:lang w:eastAsia="pl-PL"/>
                    </w:rPr>
                    <w:t>+c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3241EF21" w14:textId="75CD0001"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320</w:t>
                  </w:r>
                </w:p>
              </w:tc>
            </w:tr>
            <w:tr w:rsidR="00B932DA" w:rsidRPr="009A7B8F" w14:paraId="0BA261AD"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FACADC" w14:textId="77777777"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2029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451A5D" w14:textId="77777777" w:rsidR="00B932DA" w:rsidRPr="009A7B8F" w:rsidRDefault="00B932DA" w:rsidP="00B932DA">
                  <w:pPr>
                    <w:spacing w:line="240" w:lineRule="auto"/>
                    <w:jc w:val="right"/>
                    <w:rPr>
                      <w:rFonts w:ascii="Times New Roman" w:eastAsia="Times New Roman" w:hAnsi="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111D5B" w14:textId="548616FB"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D9FEF0B" w14:textId="372C7553" w:rsidR="00B932DA" w:rsidRPr="009A7B8F" w:rsidRDefault="00B932DA" w:rsidP="00B932DA">
                  <w:pPr>
                    <w:spacing w:line="240" w:lineRule="auto"/>
                    <w:jc w:val="right"/>
                    <w:rPr>
                      <w:rFonts w:ascii="Times New Roman" w:eastAsia="Times New Roman" w:hAnsi="Times New Roman"/>
                      <w:color w:val="000000"/>
                      <w:sz w:val="20"/>
                      <w:szCs w:val="20"/>
                      <w:lang w:eastAsia="pl-PL"/>
                    </w:rPr>
                  </w:pPr>
                  <w:r w:rsidRPr="009A7B8F">
                    <w:rPr>
                      <w:rFonts w:ascii="Times New Roman" w:eastAsia="Times New Roman" w:hAnsi="Times New Roman"/>
                      <w:color w:val="000000"/>
                      <w:sz w:val="20"/>
                      <w:szCs w:val="20"/>
                      <w:lang w:eastAsia="pl-PL"/>
                    </w:rPr>
                    <w:t>50</w:t>
                  </w:r>
                </w:p>
              </w:tc>
            </w:tr>
            <w:tr w:rsidR="00B932DA" w:rsidRPr="009A7B8F" w14:paraId="6849F67C"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89D3CE" w14:textId="77777777"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2030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8F7B40" w14:textId="77777777" w:rsidR="00B932DA" w:rsidRPr="009A7B8F" w:rsidRDefault="00B932DA" w:rsidP="00B932DA">
                  <w:pPr>
                    <w:spacing w:line="240" w:lineRule="auto"/>
                    <w:jc w:val="right"/>
                    <w:rPr>
                      <w:rFonts w:ascii="Times New Roman" w:eastAsia="Times New Roman" w:hAnsi="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781201" w14:textId="6E65C3FD"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color w:val="000000"/>
                      <w:sz w:val="20"/>
                      <w:szCs w:val="20"/>
                      <w:lang w:eastAsia="pl-PL"/>
                    </w:rPr>
                    <w:t>2</w:t>
                  </w:r>
                  <w:r w:rsidR="0046498D">
                    <w:rPr>
                      <w:rFonts w:ascii="Times New Roman" w:eastAsia="Times New Roman" w:hAnsi="Times New Roman"/>
                      <w:color w:val="000000"/>
                      <w:sz w:val="20"/>
                      <w:szCs w:val="20"/>
                      <w:lang w:eastAsia="pl-PL"/>
                    </w:rPr>
                    <w:t>09</w:t>
                  </w:r>
                  <w:r w:rsidRPr="009A7B8F">
                    <w:rPr>
                      <w:rFonts w:ascii="Times New Roman" w:eastAsia="Times New Roman" w:hAnsi="Times New Roman"/>
                      <w:color w:val="000000"/>
                      <w:sz w:val="20"/>
                      <w:szCs w:val="20"/>
                      <w:lang w:eastAsia="pl-PL"/>
                    </w:rPr>
                    <w:t xml:space="preserve"> (10</w:t>
                  </w:r>
                  <w:r w:rsidR="007C1BF0" w:rsidRPr="009A7B8F">
                    <w:rPr>
                      <w:rFonts w:ascii="Times New Roman" w:eastAsia="Times New Roman" w:hAnsi="Times New Roman"/>
                      <w:color w:val="000000"/>
                      <w:sz w:val="20"/>
                      <w:szCs w:val="20"/>
                      <w:lang w:eastAsia="pl-PL"/>
                    </w:rPr>
                    <w:t>5</w:t>
                  </w:r>
                  <w:r w:rsidRPr="009A7B8F">
                    <w:rPr>
                      <w:rFonts w:ascii="Times New Roman" w:eastAsia="Times New Roman" w:hAnsi="Times New Roman"/>
                      <w:color w:val="000000"/>
                      <w:sz w:val="20"/>
                      <w:szCs w:val="20"/>
                      <w:lang w:eastAsia="pl-PL"/>
                    </w:rPr>
                    <w:t xml:space="preserve"> +</w:t>
                  </w:r>
                  <w:proofErr w:type="spellStart"/>
                  <w:r w:rsidRPr="009A7B8F">
                    <w:rPr>
                      <w:rFonts w:ascii="Times New Roman" w:eastAsia="Times New Roman" w:hAnsi="Times New Roman"/>
                      <w:color w:val="000000"/>
                      <w:sz w:val="20"/>
                      <w:szCs w:val="20"/>
                      <w:lang w:eastAsia="pl-PL"/>
                    </w:rPr>
                    <w:t>a+b+c</w:t>
                  </w:r>
                  <w:r w:rsidR="00E816A1" w:rsidRPr="009A7B8F">
                    <w:rPr>
                      <w:rFonts w:ascii="Times New Roman" w:eastAsia="Times New Roman" w:hAnsi="Times New Roman"/>
                      <w:color w:val="000000"/>
                      <w:sz w:val="20"/>
                      <w:szCs w:val="20"/>
                      <w:lang w:eastAsia="pl-PL"/>
                    </w:rPr>
                    <w:t>+d+e</w:t>
                  </w:r>
                  <w:proofErr w:type="spellEnd"/>
                  <w:r w:rsidRPr="009A7B8F">
                    <w:rPr>
                      <w:rFonts w:ascii="Times New Roman" w:eastAsia="Times New Roman" w:hAnsi="Times New Roman"/>
                      <w:color w:val="000000"/>
                      <w:sz w:val="20"/>
                      <w:szCs w:val="20"/>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5577C57" w14:textId="2C37BE7C"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color w:val="000000"/>
                      <w:sz w:val="20"/>
                      <w:szCs w:val="20"/>
                      <w:lang w:eastAsia="pl-PL"/>
                    </w:rPr>
                    <w:t>431</w:t>
                  </w:r>
                </w:p>
              </w:tc>
            </w:tr>
            <w:tr w:rsidR="00B932DA" w:rsidRPr="009A7B8F" w14:paraId="6AF554A3"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81EDED" w14:textId="77777777"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2031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91991B" w14:textId="77777777" w:rsidR="00B932DA" w:rsidRPr="009A7B8F" w:rsidRDefault="00B932DA" w:rsidP="00B932DA">
                  <w:pPr>
                    <w:spacing w:line="240" w:lineRule="auto"/>
                    <w:jc w:val="right"/>
                    <w:rPr>
                      <w:rFonts w:ascii="Times New Roman" w:eastAsia="Times New Roman" w:hAnsi="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BAB6BF7" w14:textId="71935497"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color w:val="000000"/>
                      <w:sz w:val="20"/>
                      <w:szCs w:val="20"/>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A599D53" w14:textId="3C2111E0"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color w:val="000000"/>
                      <w:sz w:val="20"/>
                      <w:szCs w:val="20"/>
                      <w:lang w:eastAsia="pl-PL"/>
                    </w:rPr>
                    <w:t>50</w:t>
                  </w:r>
                </w:p>
              </w:tc>
            </w:tr>
            <w:tr w:rsidR="00B932DA" w:rsidRPr="009A7B8F" w14:paraId="2ADA1219"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BCE919" w14:textId="77777777"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2032</w:t>
                  </w:r>
                </w:p>
              </w:tc>
              <w:tc>
                <w:tcPr>
                  <w:tcW w:w="1559" w:type="dxa"/>
                  <w:tcBorders>
                    <w:top w:val="single" w:sz="4" w:space="0" w:color="auto"/>
                    <w:left w:val="nil"/>
                    <w:bottom w:val="single" w:sz="4" w:space="0" w:color="auto"/>
                    <w:right w:val="single" w:sz="4" w:space="0" w:color="auto"/>
                  </w:tcBorders>
                  <w:shd w:val="clear" w:color="auto" w:fill="FFFFFF"/>
                </w:tcPr>
                <w:p w14:paraId="4A4755E6" w14:textId="77777777" w:rsidR="00B932DA" w:rsidRPr="009A7B8F" w:rsidRDefault="00B932DA" w:rsidP="00B932DA">
                  <w:pPr>
                    <w:spacing w:line="240" w:lineRule="auto"/>
                    <w:jc w:val="right"/>
                    <w:rPr>
                      <w:rFonts w:ascii="Times New Roman" w:eastAsia="Times New Roman" w:hAnsi="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B72F06" w14:textId="511CB3A0"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w:t>
                  </w:r>
                  <w:r w:rsidR="0046498D">
                    <w:rPr>
                      <w:rFonts w:ascii="Times New Roman" w:eastAsia="Times New Roman" w:hAnsi="Times New Roman"/>
                      <w:sz w:val="20"/>
                      <w:szCs w:val="20"/>
                      <w:lang w:eastAsia="pl-PL"/>
                    </w:rPr>
                    <w:t>09</w:t>
                  </w:r>
                  <w:r w:rsidRPr="009A7B8F">
                    <w:rPr>
                      <w:rFonts w:ascii="Times New Roman" w:eastAsia="Times New Roman" w:hAnsi="Times New Roman"/>
                      <w:sz w:val="20"/>
                      <w:szCs w:val="20"/>
                      <w:lang w:eastAsia="pl-PL"/>
                    </w:rPr>
                    <w:t xml:space="preserve"> (10</w:t>
                  </w:r>
                  <w:r w:rsidR="007C1BF0" w:rsidRPr="009A7B8F">
                    <w:rPr>
                      <w:rFonts w:ascii="Times New Roman" w:eastAsia="Times New Roman" w:hAnsi="Times New Roman"/>
                      <w:sz w:val="20"/>
                      <w:szCs w:val="20"/>
                      <w:lang w:eastAsia="pl-PL"/>
                    </w:rPr>
                    <w:t>5</w:t>
                  </w:r>
                  <w:r w:rsidRPr="009A7B8F">
                    <w:rPr>
                      <w:rFonts w:ascii="Times New Roman" w:eastAsia="Times New Roman" w:hAnsi="Times New Roman"/>
                      <w:sz w:val="20"/>
                      <w:szCs w:val="20"/>
                      <w:lang w:eastAsia="pl-PL"/>
                    </w:rPr>
                    <w:t xml:space="preserve"> +</w:t>
                  </w:r>
                  <w:proofErr w:type="spellStart"/>
                  <w:r w:rsidRPr="009A7B8F">
                    <w:rPr>
                      <w:rFonts w:ascii="Times New Roman" w:eastAsia="Times New Roman" w:hAnsi="Times New Roman"/>
                      <w:sz w:val="20"/>
                      <w:szCs w:val="20"/>
                      <w:lang w:eastAsia="pl-PL"/>
                    </w:rPr>
                    <w:t>a+b+c+d+e</w:t>
                  </w:r>
                  <w:proofErr w:type="spellEnd"/>
                  <w:r w:rsidRPr="009A7B8F">
                    <w:rPr>
                      <w:rFonts w:ascii="Times New Roman" w:eastAsia="Times New Roman" w:hAnsi="Times New Roman"/>
                      <w:sz w:val="20"/>
                      <w:szCs w:val="20"/>
                      <w:lang w:eastAsia="pl-PL"/>
                    </w:rPr>
                    <w:t>)</w:t>
                  </w:r>
                </w:p>
              </w:tc>
              <w:tc>
                <w:tcPr>
                  <w:tcW w:w="1559" w:type="dxa"/>
                  <w:tcBorders>
                    <w:top w:val="single" w:sz="4" w:space="0" w:color="auto"/>
                    <w:left w:val="nil"/>
                    <w:bottom w:val="single" w:sz="4" w:space="0" w:color="auto"/>
                    <w:right w:val="single" w:sz="4" w:space="0" w:color="auto"/>
                  </w:tcBorders>
                  <w:shd w:val="clear" w:color="auto" w:fill="FFFFFF"/>
                  <w:vAlign w:val="bottom"/>
                </w:tcPr>
                <w:p w14:paraId="6793C42E" w14:textId="5CFFB804"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 431</w:t>
                  </w:r>
                </w:p>
              </w:tc>
            </w:tr>
            <w:tr w:rsidR="00B932DA" w:rsidRPr="009A7B8F" w14:paraId="310C6A3A" w14:textId="77777777" w:rsidTr="009C0671">
              <w:trPr>
                <w:trHeight w:val="46"/>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4D3B72" w14:textId="05B3B612"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2033</w:t>
                  </w:r>
                </w:p>
              </w:tc>
              <w:tc>
                <w:tcPr>
                  <w:tcW w:w="1559" w:type="dxa"/>
                  <w:tcBorders>
                    <w:top w:val="single" w:sz="4" w:space="0" w:color="auto"/>
                    <w:left w:val="nil"/>
                    <w:bottom w:val="single" w:sz="4" w:space="0" w:color="auto"/>
                    <w:right w:val="single" w:sz="4" w:space="0" w:color="auto"/>
                  </w:tcBorders>
                  <w:shd w:val="clear" w:color="auto" w:fill="FFFFFF"/>
                </w:tcPr>
                <w:p w14:paraId="64EE5230" w14:textId="77777777" w:rsidR="00B932DA" w:rsidRPr="009A7B8F" w:rsidRDefault="00B932DA" w:rsidP="00B932DA">
                  <w:pPr>
                    <w:spacing w:line="240" w:lineRule="auto"/>
                    <w:jc w:val="right"/>
                    <w:rPr>
                      <w:rFonts w:ascii="Times New Roman" w:eastAsia="Times New Roman" w:hAnsi="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D3EA1C" w14:textId="65293345"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0</w:t>
                  </w:r>
                </w:p>
              </w:tc>
              <w:tc>
                <w:tcPr>
                  <w:tcW w:w="1559" w:type="dxa"/>
                  <w:tcBorders>
                    <w:top w:val="single" w:sz="4" w:space="0" w:color="auto"/>
                    <w:left w:val="nil"/>
                    <w:bottom w:val="single" w:sz="4" w:space="0" w:color="auto"/>
                    <w:right w:val="single" w:sz="4" w:space="0" w:color="auto"/>
                  </w:tcBorders>
                  <w:shd w:val="clear" w:color="auto" w:fill="FFFFFF"/>
                  <w:vAlign w:val="bottom"/>
                </w:tcPr>
                <w:p w14:paraId="4DC8F283" w14:textId="78A0C58A"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 50</w:t>
                  </w:r>
                </w:p>
              </w:tc>
            </w:tr>
            <w:tr w:rsidR="00B932DA" w:rsidRPr="009A7B8F" w14:paraId="5B2E8C03" w14:textId="77777777" w:rsidTr="009C067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CB6DCD" w14:textId="0E956668"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2034</w:t>
                  </w:r>
                </w:p>
              </w:tc>
              <w:tc>
                <w:tcPr>
                  <w:tcW w:w="1559" w:type="dxa"/>
                  <w:tcBorders>
                    <w:top w:val="single" w:sz="4" w:space="0" w:color="auto"/>
                    <w:left w:val="nil"/>
                    <w:bottom w:val="single" w:sz="4" w:space="0" w:color="auto"/>
                    <w:right w:val="single" w:sz="4" w:space="0" w:color="auto"/>
                  </w:tcBorders>
                  <w:shd w:val="clear" w:color="auto" w:fill="FFFFFF"/>
                </w:tcPr>
                <w:p w14:paraId="4C401C7A" w14:textId="77777777" w:rsidR="00B932DA" w:rsidRPr="009A7B8F" w:rsidRDefault="00B932DA" w:rsidP="00B932DA">
                  <w:pPr>
                    <w:spacing w:line="240" w:lineRule="auto"/>
                    <w:jc w:val="right"/>
                    <w:rPr>
                      <w:rFonts w:ascii="Times New Roman" w:eastAsia="Times New Roman" w:hAnsi="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914757" w14:textId="5C1E0131"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2</w:t>
                  </w:r>
                  <w:r w:rsidR="0046498D">
                    <w:rPr>
                      <w:rFonts w:ascii="Times New Roman" w:eastAsia="Times New Roman" w:hAnsi="Times New Roman"/>
                      <w:sz w:val="20"/>
                      <w:szCs w:val="20"/>
                      <w:lang w:eastAsia="pl-PL"/>
                    </w:rPr>
                    <w:t>09</w:t>
                  </w:r>
                  <w:r w:rsidRPr="009A7B8F">
                    <w:rPr>
                      <w:rFonts w:ascii="Times New Roman" w:eastAsia="Times New Roman" w:hAnsi="Times New Roman"/>
                      <w:sz w:val="20"/>
                      <w:szCs w:val="20"/>
                      <w:lang w:eastAsia="pl-PL"/>
                    </w:rPr>
                    <w:t xml:space="preserve"> (10</w:t>
                  </w:r>
                  <w:r w:rsidR="007C1BF0" w:rsidRPr="009A7B8F">
                    <w:rPr>
                      <w:rFonts w:ascii="Times New Roman" w:eastAsia="Times New Roman" w:hAnsi="Times New Roman"/>
                      <w:sz w:val="20"/>
                      <w:szCs w:val="20"/>
                      <w:lang w:eastAsia="pl-PL"/>
                    </w:rPr>
                    <w:t>5</w:t>
                  </w:r>
                  <w:r w:rsidRPr="009A7B8F">
                    <w:rPr>
                      <w:rFonts w:ascii="Times New Roman" w:eastAsia="Times New Roman" w:hAnsi="Times New Roman"/>
                      <w:sz w:val="20"/>
                      <w:szCs w:val="20"/>
                      <w:lang w:eastAsia="pl-PL"/>
                    </w:rPr>
                    <w:t xml:space="preserve"> +</w:t>
                  </w:r>
                  <w:proofErr w:type="spellStart"/>
                  <w:r w:rsidRPr="009A7B8F">
                    <w:rPr>
                      <w:rFonts w:ascii="Times New Roman" w:eastAsia="Times New Roman" w:hAnsi="Times New Roman"/>
                      <w:sz w:val="20"/>
                      <w:szCs w:val="20"/>
                      <w:lang w:eastAsia="pl-PL"/>
                    </w:rPr>
                    <w:t>a+b+c+d+e</w:t>
                  </w:r>
                  <w:proofErr w:type="spellEnd"/>
                  <w:r w:rsidRPr="009A7B8F">
                    <w:rPr>
                      <w:rFonts w:ascii="Times New Roman" w:eastAsia="Times New Roman" w:hAnsi="Times New Roman"/>
                      <w:sz w:val="20"/>
                      <w:szCs w:val="20"/>
                      <w:lang w:eastAsia="pl-PL"/>
                    </w:rPr>
                    <w:t>)</w:t>
                  </w:r>
                </w:p>
              </w:tc>
              <w:tc>
                <w:tcPr>
                  <w:tcW w:w="1559" w:type="dxa"/>
                  <w:tcBorders>
                    <w:top w:val="single" w:sz="4" w:space="0" w:color="auto"/>
                    <w:left w:val="nil"/>
                    <w:bottom w:val="single" w:sz="4" w:space="0" w:color="auto"/>
                    <w:right w:val="single" w:sz="4" w:space="0" w:color="auto"/>
                  </w:tcBorders>
                  <w:shd w:val="clear" w:color="auto" w:fill="FFFFFF"/>
                  <w:vAlign w:val="bottom"/>
                </w:tcPr>
                <w:p w14:paraId="2A6AB856" w14:textId="57F28221" w:rsidR="00B932DA" w:rsidRPr="009A7B8F" w:rsidRDefault="00B932DA" w:rsidP="00B932DA">
                  <w:pPr>
                    <w:spacing w:line="240" w:lineRule="auto"/>
                    <w:jc w:val="right"/>
                    <w:rPr>
                      <w:rFonts w:ascii="Times New Roman" w:eastAsia="Times New Roman" w:hAnsi="Times New Roman"/>
                      <w:sz w:val="20"/>
                      <w:szCs w:val="20"/>
                      <w:lang w:eastAsia="pl-PL"/>
                    </w:rPr>
                  </w:pPr>
                  <w:r w:rsidRPr="009A7B8F">
                    <w:rPr>
                      <w:rFonts w:ascii="Times New Roman" w:eastAsia="Times New Roman" w:hAnsi="Times New Roman"/>
                      <w:sz w:val="20"/>
                      <w:szCs w:val="20"/>
                      <w:lang w:eastAsia="pl-PL"/>
                    </w:rPr>
                    <w:t> 431</w:t>
                  </w:r>
                </w:p>
              </w:tc>
            </w:tr>
          </w:tbl>
          <w:p w14:paraId="0AF50674" w14:textId="77777777" w:rsidR="00E40B9E" w:rsidRDefault="00E40B9E" w:rsidP="00E40B9E">
            <w:pPr>
              <w:spacing w:line="240" w:lineRule="auto"/>
              <w:jc w:val="both"/>
              <w:rPr>
                <w:rFonts w:ascii="Times New Roman" w:hAnsi="Times New Roman"/>
                <w:szCs w:val="21"/>
                <w:lang w:eastAsia="en-GB"/>
              </w:rPr>
            </w:pPr>
          </w:p>
          <w:p w14:paraId="75053A8C" w14:textId="77777777" w:rsidR="00E40B9E" w:rsidRDefault="00E40B9E" w:rsidP="00E40B9E">
            <w:pPr>
              <w:spacing w:line="240" w:lineRule="auto"/>
              <w:jc w:val="both"/>
              <w:rPr>
                <w:rFonts w:ascii="Times New Roman" w:hAnsi="Times New Roman"/>
                <w:szCs w:val="21"/>
                <w:lang w:eastAsia="en-GB"/>
              </w:rPr>
            </w:pPr>
            <w:r w:rsidRPr="0072309B">
              <w:rPr>
                <w:rFonts w:ascii="Times New Roman" w:hAnsi="Times New Roman"/>
                <w:szCs w:val="21"/>
                <w:lang w:eastAsia="en-GB"/>
              </w:rPr>
              <w:lastRenderedPageBreak/>
              <w:t xml:space="preserve">Do wyliczeń przyjęto </w:t>
            </w:r>
            <w:r>
              <w:rPr>
                <w:rFonts w:ascii="Times New Roman" w:hAnsi="Times New Roman"/>
                <w:szCs w:val="21"/>
                <w:lang w:eastAsia="en-GB"/>
              </w:rPr>
              <w:t xml:space="preserve">następujące założenia: </w:t>
            </w:r>
          </w:p>
          <w:p w14:paraId="64A405B8" w14:textId="56671A7F" w:rsidR="00E40B9E" w:rsidRDefault="00E40B9E" w:rsidP="00E40B9E">
            <w:pPr>
              <w:spacing w:line="240" w:lineRule="auto"/>
              <w:jc w:val="both"/>
              <w:rPr>
                <w:rFonts w:ascii="Times New Roman" w:hAnsi="Times New Roman"/>
                <w:szCs w:val="21"/>
                <w:lang w:eastAsia="en-GB"/>
              </w:rPr>
            </w:pPr>
            <w:r w:rsidRPr="0072309B">
              <w:rPr>
                <w:rFonts w:ascii="Times New Roman" w:hAnsi="Times New Roman"/>
                <w:szCs w:val="21"/>
                <w:lang w:eastAsia="en-GB"/>
              </w:rPr>
              <w:t>a) przyjęto 2</w:t>
            </w:r>
            <w:r>
              <w:rPr>
                <w:rFonts w:ascii="Times New Roman" w:hAnsi="Times New Roman"/>
                <w:szCs w:val="21"/>
                <w:lang w:eastAsia="en-GB"/>
              </w:rPr>
              <w:t>,36 etaty merytoryczne</w:t>
            </w:r>
            <w:r w:rsidRPr="0072309B">
              <w:rPr>
                <w:rFonts w:ascii="Times New Roman" w:hAnsi="Times New Roman"/>
                <w:szCs w:val="21"/>
                <w:lang w:eastAsia="en-GB"/>
              </w:rPr>
              <w:t>/5 m-</w:t>
            </w:r>
            <w:proofErr w:type="spellStart"/>
            <w:r w:rsidRPr="0072309B">
              <w:rPr>
                <w:rFonts w:ascii="Times New Roman" w:hAnsi="Times New Roman"/>
                <w:szCs w:val="21"/>
                <w:lang w:eastAsia="en-GB"/>
              </w:rPr>
              <w:t>cy</w:t>
            </w:r>
            <w:proofErr w:type="spellEnd"/>
            <w:r w:rsidRPr="0072309B">
              <w:rPr>
                <w:rFonts w:ascii="Times New Roman" w:hAnsi="Times New Roman"/>
                <w:szCs w:val="21"/>
                <w:lang w:eastAsia="en-GB"/>
              </w:rPr>
              <w:t xml:space="preserve">/rok </w:t>
            </w:r>
            <w:r>
              <w:rPr>
                <w:rFonts w:ascii="Times New Roman" w:hAnsi="Times New Roman"/>
                <w:szCs w:val="21"/>
                <w:lang w:eastAsia="en-GB"/>
              </w:rPr>
              <w:t xml:space="preserve">w </w:t>
            </w:r>
            <w:r w:rsidR="00E816A1">
              <w:rPr>
                <w:rFonts w:ascii="Times New Roman" w:hAnsi="Times New Roman"/>
                <w:szCs w:val="21"/>
                <w:lang w:eastAsia="en-GB"/>
              </w:rPr>
              <w:t xml:space="preserve">2026 </w:t>
            </w:r>
            <w:r>
              <w:rPr>
                <w:rFonts w:ascii="Times New Roman" w:hAnsi="Times New Roman"/>
                <w:szCs w:val="21"/>
                <w:lang w:eastAsia="en-GB"/>
              </w:rPr>
              <w:t xml:space="preserve">r., </w:t>
            </w:r>
            <w:r w:rsidRPr="0072309B">
              <w:rPr>
                <w:rFonts w:ascii="Times New Roman" w:hAnsi="Times New Roman"/>
                <w:szCs w:val="21"/>
                <w:lang w:eastAsia="en-GB"/>
              </w:rPr>
              <w:t>4</w:t>
            </w:r>
            <w:r>
              <w:rPr>
                <w:rFonts w:ascii="Times New Roman" w:hAnsi="Times New Roman"/>
                <w:szCs w:val="21"/>
                <w:lang w:eastAsia="en-GB"/>
              </w:rPr>
              <w:t>,25</w:t>
            </w:r>
            <w:r w:rsidRPr="0072309B">
              <w:rPr>
                <w:rFonts w:ascii="Times New Roman" w:hAnsi="Times New Roman"/>
                <w:szCs w:val="21"/>
                <w:lang w:eastAsia="en-GB"/>
              </w:rPr>
              <w:t xml:space="preserve"> </w:t>
            </w:r>
            <w:r>
              <w:rPr>
                <w:rFonts w:ascii="Times New Roman" w:hAnsi="Times New Roman"/>
                <w:szCs w:val="21"/>
                <w:lang w:eastAsia="en-GB"/>
              </w:rPr>
              <w:t>etaty</w:t>
            </w:r>
            <w:r w:rsidRPr="0072309B">
              <w:rPr>
                <w:rFonts w:ascii="Times New Roman" w:hAnsi="Times New Roman"/>
                <w:szCs w:val="21"/>
                <w:lang w:eastAsia="en-GB"/>
              </w:rPr>
              <w:t xml:space="preserve"> w roku </w:t>
            </w:r>
            <w:r w:rsidR="00E816A1" w:rsidRPr="0072309B">
              <w:rPr>
                <w:rFonts w:ascii="Times New Roman" w:hAnsi="Times New Roman"/>
                <w:szCs w:val="21"/>
                <w:lang w:eastAsia="en-GB"/>
              </w:rPr>
              <w:t>202</w:t>
            </w:r>
            <w:r w:rsidR="00E816A1">
              <w:rPr>
                <w:rFonts w:ascii="Times New Roman" w:hAnsi="Times New Roman"/>
                <w:szCs w:val="21"/>
                <w:lang w:eastAsia="en-GB"/>
              </w:rPr>
              <w:t>8</w:t>
            </w:r>
            <w:r w:rsidR="00E816A1" w:rsidRPr="0072309B">
              <w:rPr>
                <w:rFonts w:ascii="Times New Roman" w:hAnsi="Times New Roman"/>
                <w:szCs w:val="21"/>
                <w:lang w:eastAsia="en-GB"/>
              </w:rPr>
              <w:t xml:space="preserve"> </w:t>
            </w:r>
            <w:r w:rsidRPr="0072309B">
              <w:rPr>
                <w:rFonts w:ascii="Times New Roman" w:hAnsi="Times New Roman"/>
                <w:szCs w:val="21"/>
                <w:lang w:eastAsia="en-GB"/>
              </w:rPr>
              <w:t xml:space="preserve">i 6 </w:t>
            </w:r>
            <w:r>
              <w:rPr>
                <w:rFonts w:ascii="Times New Roman" w:hAnsi="Times New Roman"/>
                <w:szCs w:val="21"/>
                <w:lang w:eastAsia="en-GB"/>
              </w:rPr>
              <w:t>etatów</w:t>
            </w:r>
            <w:r w:rsidRPr="0072309B">
              <w:rPr>
                <w:rFonts w:ascii="Times New Roman" w:hAnsi="Times New Roman"/>
                <w:szCs w:val="21"/>
                <w:lang w:eastAsia="en-GB"/>
              </w:rPr>
              <w:t xml:space="preserve"> w</w:t>
            </w:r>
            <w:r w:rsidR="009A7B8F">
              <w:rPr>
                <w:rFonts w:ascii="Times New Roman" w:hAnsi="Times New Roman"/>
                <w:szCs w:val="21"/>
                <w:lang w:eastAsia="en-GB"/>
              </w:rPr>
              <w:t> </w:t>
            </w:r>
            <w:r w:rsidRPr="0072309B">
              <w:rPr>
                <w:rFonts w:ascii="Times New Roman" w:hAnsi="Times New Roman"/>
                <w:szCs w:val="21"/>
                <w:lang w:eastAsia="en-GB"/>
              </w:rPr>
              <w:t xml:space="preserve">roku </w:t>
            </w:r>
            <w:r w:rsidR="00E816A1" w:rsidRPr="0072309B">
              <w:rPr>
                <w:rFonts w:ascii="Times New Roman" w:hAnsi="Times New Roman"/>
                <w:szCs w:val="21"/>
                <w:lang w:eastAsia="en-GB"/>
              </w:rPr>
              <w:t>20</w:t>
            </w:r>
            <w:r w:rsidR="00E816A1">
              <w:rPr>
                <w:rFonts w:ascii="Times New Roman" w:hAnsi="Times New Roman"/>
                <w:szCs w:val="21"/>
                <w:lang w:eastAsia="en-GB"/>
              </w:rPr>
              <w:t>30</w:t>
            </w:r>
            <w:r>
              <w:rPr>
                <w:rFonts w:ascii="Times New Roman" w:hAnsi="Times New Roman"/>
                <w:szCs w:val="21"/>
                <w:lang w:eastAsia="en-GB"/>
              </w:rPr>
              <w:t xml:space="preserve">, </w:t>
            </w:r>
            <w:r w:rsidR="00E816A1">
              <w:rPr>
                <w:rFonts w:ascii="Times New Roman" w:hAnsi="Times New Roman"/>
                <w:szCs w:val="21"/>
                <w:lang w:eastAsia="en-GB"/>
              </w:rPr>
              <w:t xml:space="preserve">2032 </w:t>
            </w:r>
            <w:r>
              <w:rPr>
                <w:rFonts w:ascii="Times New Roman" w:hAnsi="Times New Roman"/>
                <w:szCs w:val="21"/>
                <w:lang w:eastAsia="en-GB"/>
              </w:rPr>
              <w:t xml:space="preserve">i </w:t>
            </w:r>
            <w:r w:rsidR="00E816A1">
              <w:rPr>
                <w:rFonts w:ascii="Times New Roman" w:hAnsi="Times New Roman"/>
                <w:szCs w:val="21"/>
                <w:lang w:eastAsia="en-GB"/>
              </w:rPr>
              <w:t>2034</w:t>
            </w:r>
            <w:r w:rsidRPr="0072309B">
              <w:rPr>
                <w:rFonts w:ascii="Times New Roman" w:hAnsi="Times New Roman"/>
                <w:szCs w:val="21"/>
                <w:lang w:eastAsia="en-GB"/>
              </w:rPr>
              <w:t xml:space="preserve">) + wsparcie techniczne </w:t>
            </w:r>
            <w:r>
              <w:rPr>
                <w:rFonts w:ascii="Times New Roman" w:hAnsi="Times New Roman"/>
                <w:szCs w:val="21"/>
                <w:lang w:eastAsia="en-GB"/>
              </w:rPr>
              <w:t>w każdym roku 0,9</w:t>
            </w:r>
            <w:r w:rsidRPr="0072309B">
              <w:rPr>
                <w:rFonts w:ascii="Times New Roman" w:hAnsi="Times New Roman"/>
                <w:szCs w:val="21"/>
                <w:lang w:eastAsia="en-GB"/>
              </w:rPr>
              <w:t xml:space="preserve"> </w:t>
            </w:r>
            <w:r>
              <w:rPr>
                <w:rFonts w:ascii="Times New Roman" w:hAnsi="Times New Roman"/>
                <w:szCs w:val="21"/>
                <w:lang w:eastAsia="en-GB"/>
              </w:rPr>
              <w:t>etatu/</w:t>
            </w:r>
            <w:r w:rsidRPr="0072309B">
              <w:rPr>
                <w:rFonts w:ascii="Times New Roman" w:hAnsi="Times New Roman"/>
                <w:szCs w:val="21"/>
                <w:lang w:eastAsia="en-GB"/>
              </w:rPr>
              <w:t>12 m-</w:t>
            </w:r>
            <w:proofErr w:type="spellStart"/>
            <w:r w:rsidRPr="0072309B">
              <w:rPr>
                <w:rFonts w:ascii="Times New Roman" w:hAnsi="Times New Roman"/>
                <w:szCs w:val="21"/>
                <w:lang w:eastAsia="en-GB"/>
              </w:rPr>
              <w:t>cy</w:t>
            </w:r>
            <w:proofErr w:type="spellEnd"/>
            <w:r w:rsidRPr="0072309B">
              <w:rPr>
                <w:rFonts w:ascii="Times New Roman" w:hAnsi="Times New Roman"/>
                <w:szCs w:val="21"/>
                <w:lang w:eastAsia="en-GB"/>
              </w:rPr>
              <w:t>/rok</w:t>
            </w:r>
            <w:r>
              <w:rPr>
                <w:rFonts w:ascii="Times New Roman" w:hAnsi="Times New Roman"/>
                <w:szCs w:val="21"/>
                <w:lang w:eastAsia="en-GB"/>
              </w:rPr>
              <w:t>;</w:t>
            </w:r>
            <w:r w:rsidRPr="0072309B">
              <w:rPr>
                <w:rFonts w:ascii="Times New Roman" w:hAnsi="Times New Roman"/>
                <w:szCs w:val="21"/>
                <w:lang w:eastAsia="en-GB"/>
              </w:rPr>
              <w:t xml:space="preserve"> </w:t>
            </w:r>
          </w:p>
          <w:p w14:paraId="037C3D3D" w14:textId="304BEBDC" w:rsidR="00E40B9E" w:rsidRPr="0072309B"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 xml:space="preserve">b) </w:t>
            </w:r>
            <w:r w:rsidRPr="0072309B">
              <w:rPr>
                <w:rFonts w:ascii="Times New Roman" w:hAnsi="Times New Roman"/>
                <w:szCs w:val="21"/>
                <w:lang w:eastAsia="en-GB"/>
              </w:rPr>
              <w:t xml:space="preserve">wynagrodzenie </w:t>
            </w:r>
            <w:r>
              <w:rPr>
                <w:rFonts w:ascii="Times New Roman" w:hAnsi="Times New Roman"/>
                <w:szCs w:val="21"/>
                <w:lang w:eastAsia="en-GB"/>
              </w:rPr>
              <w:t xml:space="preserve">etatu merytorycznego </w:t>
            </w:r>
            <w:r w:rsidRPr="0004448A">
              <w:rPr>
                <w:rFonts w:ascii="Times New Roman" w:hAnsi="Times New Roman"/>
                <w:szCs w:val="21"/>
                <w:lang w:eastAsia="en-GB"/>
              </w:rPr>
              <w:t>10540</w:t>
            </w:r>
            <w:r>
              <w:rPr>
                <w:rFonts w:ascii="Times New Roman" w:hAnsi="Times New Roman"/>
                <w:szCs w:val="21"/>
                <w:lang w:eastAsia="en-GB"/>
              </w:rPr>
              <w:t xml:space="preserve"> zł brutto (</w:t>
            </w:r>
            <w:r w:rsidRPr="00CC3C78">
              <w:rPr>
                <w:rFonts w:ascii="Times New Roman" w:hAnsi="Times New Roman"/>
                <w:szCs w:val="21"/>
                <w:lang w:eastAsia="en-GB"/>
              </w:rPr>
              <w:t>7515,02</w:t>
            </w:r>
            <w:r w:rsidR="003171F4">
              <w:rPr>
                <w:rFonts w:ascii="Times New Roman" w:hAnsi="Times New Roman"/>
                <w:szCs w:val="21"/>
                <w:lang w:eastAsia="en-GB"/>
              </w:rPr>
              <w:t xml:space="preserve"> </w:t>
            </w:r>
            <w:r>
              <w:rPr>
                <w:rFonts w:ascii="Times New Roman" w:hAnsi="Times New Roman"/>
                <w:szCs w:val="21"/>
                <w:lang w:eastAsia="en-GB"/>
              </w:rPr>
              <w:t xml:space="preserve">netto), a etatu technicznego </w:t>
            </w:r>
            <w:r w:rsidRPr="009F621D">
              <w:rPr>
                <w:rFonts w:ascii="Times New Roman" w:hAnsi="Times New Roman"/>
                <w:szCs w:val="21"/>
                <w:lang w:eastAsia="en-GB"/>
              </w:rPr>
              <w:t>3</w:t>
            </w:r>
            <w:r>
              <w:rPr>
                <w:rFonts w:ascii="Times New Roman" w:hAnsi="Times New Roman"/>
                <w:szCs w:val="21"/>
                <w:lang w:eastAsia="en-GB"/>
              </w:rPr>
              <w:t>600 zł brutto (</w:t>
            </w:r>
            <w:r w:rsidRPr="00FD463D">
              <w:rPr>
                <w:rFonts w:ascii="Times New Roman" w:hAnsi="Times New Roman"/>
                <w:szCs w:val="21"/>
                <w:lang w:eastAsia="en-GB"/>
              </w:rPr>
              <w:t>2783,86</w:t>
            </w:r>
            <w:r>
              <w:rPr>
                <w:rFonts w:ascii="Times New Roman" w:hAnsi="Times New Roman"/>
                <w:szCs w:val="21"/>
                <w:lang w:eastAsia="en-GB"/>
              </w:rPr>
              <w:t xml:space="preserve"> netto);</w:t>
            </w:r>
          </w:p>
          <w:p w14:paraId="5045F505" w14:textId="5070A8AA" w:rsidR="00E40B9E" w:rsidRDefault="00E40B9E" w:rsidP="00E40B9E">
            <w:pPr>
              <w:spacing w:after="120" w:line="240" w:lineRule="auto"/>
              <w:jc w:val="both"/>
              <w:rPr>
                <w:rFonts w:ascii="Times New Roman" w:hAnsi="Times New Roman"/>
                <w:szCs w:val="21"/>
                <w:lang w:eastAsia="en-GB"/>
              </w:rPr>
            </w:pPr>
            <w:r w:rsidRPr="0072309B">
              <w:rPr>
                <w:rFonts w:ascii="Times New Roman" w:hAnsi="Times New Roman"/>
                <w:szCs w:val="21"/>
                <w:lang w:eastAsia="en-GB"/>
              </w:rPr>
              <w:t>b) koszty usług chmurowych, innych usług niezwiązanych z zatrudnieniem osób</w:t>
            </w:r>
            <w:r>
              <w:rPr>
                <w:rFonts w:ascii="Times New Roman" w:hAnsi="Times New Roman"/>
                <w:szCs w:val="21"/>
                <w:lang w:eastAsia="en-GB"/>
              </w:rPr>
              <w:t xml:space="preserve"> </w:t>
            </w:r>
            <w:r w:rsidR="006D1620">
              <w:rPr>
                <w:rFonts w:ascii="Times New Roman" w:hAnsi="Times New Roman"/>
                <w:szCs w:val="21"/>
                <w:lang w:eastAsia="en-GB"/>
              </w:rPr>
              <w:t>–</w:t>
            </w:r>
            <w:r>
              <w:rPr>
                <w:rFonts w:ascii="Times New Roman" w:hAnsi="Times New Roman"/>
                <w:szCs w:val="21"/>
                <w:lang w:eastAsia="en-GB"/>
              </w:rPr>
              <w:t xml:space="preserve"> </w:t>
            </w:r>
            <w:r w:rsidRPr="0072309B">
              <w:rPr>
                <w:rFonts w:ascii="Times New Roman" w:hAnsi="Times New Roman"/>
                <w:szCs w:val="21"/>
                <w:lang w:eastAsia="en-GB"/>
              </w:rPr>
              <w:t>na tym etapie jest przyjęta szacunkowa kwota 3000 zł/rok</w:t>
            </w:r>
            <w:r>
              <w:rPr>
                <w:rFonts w:ascii="Times New Roman" w:hAnsi="Times New Roman"/>
                <w:szCs w:val="21"/>
                <w:lang w:eastAsia="en-GB"/>
              </w:rPr>
              <w:t>.</w:t>
            </w:r>
          </w:p>
          <w:p w14:paraId="26D5B2EF" w14:textId="7C534FEC" w:rsidR="00E40B9E" w:rsidRPr="00E10617" w:rsidRDefault="00E40B9E" w:rsidP="00E40B9E">
            <w:pPr>
              <w:spacing w:line="240" w:lineRule="auto"/>
              <w:jc w:val="both"/>
              <w:rPr>
                <w:rFonts w:ascii="Times New Roman" w:hAnsi="Times New Roman"/>
                <w:b/>
                <w:bCs/>
                <w:szCs w:val="21"/>
                <w:lang w:eastAsia="en-GB"/>
              </w:rPr>
            </w:pPr>
            <w:r w:rsidRPr="00E10617">
              <w:rPr>
                <w:rFonts w:ascii="Times New Roman" w:hAnsi="Times New Roman"/>
                <w:b/>
                <w:bCs/>
                <w:szCs w:val="21"/>
                <w:lang w:eastAsia="en-GB"/>
              </w:rPr>
              <w:t>Możliwe, że IOŚ</w:t>
            </w:r>
            <w:r w:rsidR="00F114AC">
              <w:rPr>
                <w:rFonts w:ascii="Times New Roman" w:hAnsi="Times New Roman"/>
                <w:b/>
                <w:bCs/>
                <w:szCs w:val="21"/>
                <w:lang w:eastAsia="en-GB"/>
              </w:rPr>
              <w:t>-PIB</w:t>
            </w:r>
            <w:r w:rsidRPr="00E10617">
              <w:rPr>
                <w:rFonts w:ascii="Times New Roman" w:hAnsi="Times New Roman"/>
                <w:b/>
                <w:bCs/>
                <w:szCs w:val="21"/>
                <w:lang w:eastAsia="en-GB"/>
              </w:rPr>
              <w:t xml:space="preserve"> nie będzie zatrudniał nowych osób, tylko np. zwiększy wynagrodzenie za wykonanie czynności merytorycznych/technicznych obecnym pracownikom.</w:t>
            </w:r>
          </w:p>
          <w:p w14:paraId="6F3E46CD" w14:textId="0D0360B2" w:rsidR="00E40B9E"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Koszty wynagrodzenia oraz techniczne zostaną sfinansowane ze środków NFOŚiGW.</w:t>
            </w:r>
            <w:r>
              <w:t xml:space="preserve"> </w:t>
            </w:r>
            <w:r w:rsidRPr="00514272">
              <w:rPr>
                <w:rFonts w:ascii="Times New Roman" w:hAnsi="Times New Roman"/>
                <w:szCs w:val="21"/>
                <w:lang w:eastAsia="en-GB"/>
              </w:rPr>
              <w:t>IOŚ</w:t>
            </w:r>
            <w:r w:rsidR="00A16978">
              <w:rPr>
                <w:rFonts w:ascii="Times New Roman" w:hAnsi="Times New Roman"/>
                <w:szCs w:val="21"/>
                <w:lang w:eastAsia="en-GB"/>
              </w:rPr>
              <w:t>-PIB</w:t>
            </w:r>
            <w:r w:rsidRPr="00514272">
              <w:rPr>
                <w:rFonts w:ascii="Times New Roman" w:hAnsi="Times New Roman"/>
                <w:szCs w:val="21"/>
                <w:lang w:eastAsia="en-GB"/>
              </w:rPr>
              <w:t xml:space="preserve"> </w:t>
            </w:r>
            <w:r>
              <w:rPr>
                <w:rFonts w:ascii="Times New Roman" w:hAnsi="Times New Roman"/>
                <w:szCs w:val="21"/>
                <w:lang w:eastAsia="en-GB"/>
              </w:rPr>
              <w:t>nie został</w:t>
            </w:r>
            <w:r w:rsidRPr="00514272">
              <w:rPr>
                <w:rFonts w:ascii="Times New Roman" w:hAnsi="Times New Roman"/>
                <w:szCs w:val="21"/>
                <w:lang w:eastAsia="en-GB"/>
              </w:rPr>
              <w:t xml:space="preserve"> wykazany po stronie dochodowej w tabeli</w:t>
            </w:r>
            <w:r>
              <w:rPr>
                <w:rFonts w:ascii="Times New Roman" w:hAnsi="Times New Roman"/>
                <w:szCs w:val="21"/>
                <w:lang w:eastAsia="en-GB"/>
              </w:rPr>
              <w:t xml:space="preserve">, gdyż </w:t>
            </w:r>
            <w:r w:rsidRPr="00514272">
              <w:rPr>
                <w:rFonts w:ascii="Times New Roman" w:hAnsi="Times New Roman"/>
                <w:szCs w:val="21"/>
                <w:lang w:eastAsia="en-GB"/>
              </w:rPr>
              <w:t xml:space="preserve">nie jest to jednostka sektora finansów publicznych </w:t>
            </w:r>
            <w:r w:rsidR="00FC280A">
              <w:rPr>
                <w:rFonts w:ascii="Times New Roman" w:hAnsi="Times New Roman"/>
                <w:szCs w:val="21"/>
                <w:lang w:eastAsia="en-GB"/>
              </w:rPr>
              <w:t>−</w:t>
            </w:r>
            <w:r w:rsidRPr="00514272">
              <w:rPr>
                <w:rFonts w:ascii="Times New Roman" w:hAnsi="Times New Roman"/>
                <w:szCs w:val="21"/>
                <w:lang w:eastAsia="en-GB"/>
              </w:rPr>
              <w:t xml:space="preserve"> środki otrzymane przez ten instytut nie są dochodami publicznymi.</w:t>
            </w:r>
          </w:p>
          <w:p w14:paraId="432F075B"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Uzasadnienie wyliczeń.</w:t>
            </w:r>
          </w:p>
          <w:p w14:paraId="7E3A02A6"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Istotnym czynnikiem wpływającym na budżet jest potrzeba zabezpieczenia odpowiedniej merytorycznej kadry jak i osoby</w:t>
            </w:r>
            <w:r>
              <w:rPr>
                <w:rFonts w:ascii="Times New Roman" w:hAnsi="Times New Roman"/>
                <w:szCs w:val="21"/>
                <w:lang w:eastAsia="en-GB"/>
              </w:rPr>
              <w:t>,</w:t>
            </w:r>
            <w:r w:rsidRPr="00BD6466">
              <w:rPr>
                <w:rFonts w:ascii="Times New Roman" w:hAnsi="Times New Roman"/>
                <w:szCs w:val="21"/>
                <w:lang w:eastAsia="en-GB"/>
              </w:rPr>
              <w:t xml:space="preserve"> która będzie wsparciem technicznym.</w:t>
            </w:r>
          </w:p>
          <w:p w14:paraId="12849D48"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Brak zabezpieczenia wystarczających środków na realizację zadania będzie generować następujące ryzyka:</w:t>
            </w:r>
          </w:p>
          <w:p w14:paraId="04929A1E"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 możliwość opóźnienia we wdrażaniu zadania</w:t>
            </w:r>
          </w:p>
          <w:p w14:paraId="072F24E7"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 brak możliwości zatrudnienia merytorycznej kadry</w:t>
            </w:r>
          </w:p>
          <w:p w14:paraId="36A767A4"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 brak wsparcia użytkowników systemu</w:t>
            </w:r>
          </w:p>
          <w:p w14:paraId="4F3FE17C"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 brak możliwości rozwoju systemu</w:t>
            </w:r>
            <w:r w:rsidR="006D1620">
              <w:rPr>
                <w:rFonts w:ascii="Times New Roman" w:hAnsi="Times New Roman"/>
                <w:szCs w:val="21"/>
                <w:lang w:eastAsia="en-GB"/>
              </w:rPr>
              <w:t>.</w:t>
            </w:r>
          </w:p>
          <w:p w14:paraId="29B43AE9" w14:textId="77777777" w:rsidR="00774C75" w:rsidRPr="00BD6466" w:rsidRDefault="00774C75" w:rsidP="00E40B9E">
            <w:pPr>
              <w:spacing w:line="240" w:lineRule="auto"/>
              <w:jc w:val="both"/>
              <w:rPr>
                <w:rFonts w:ascii="Times New Roman" w:hAnsi="Times New Roman"/>
                <w:szCs w:val="21"/>
                <w:lang w:eastAsia="en-GB"/>
              </w:rPr>
            </w:pPr>
          </w:p>
          <w:p w14:paraId="5FD984A7" w14:textId="77777777" w:rsidR="00E40B9E" w:rsidRPr="00BD6466"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Biorąc pod uwagę powyższe w ramach planowanego budżetu założono:</w:t>
            </w:r>
          </w:p>
          <w:p w14:paraId="36C2F63A" w14:textId="77777777" w:rsidR="00E40B9E" w:rsidRPr="00702F10" w:rsidRDefault="00E40B9E" w:rsidP="00E40B9E">
            <w:pPr>
              <w:spacing w:line="240" w:lineRule="auto"/>
              <w:jc w:val="both"/>
              <w:rPr>
                <w:rFonts w:ascii="Times New Roman" w:hAnsi="Times New Roman"/>
                <w:szCs w:val="21"/>
                <w:lang w:eastAsia="en-GB"/>
              </w:rPr>
            </w:pPr>
            <w:r w:rsidRPr="00BD6466">
              <w:rPr>
                <w:rFonts w:ascii="Times New Roman" w:hAnsi="Times New Roman"/>
                <w:szCs w:val="21"/>
                <w:lang w:eastAsia="en-GB"/>
              </w:rPr>
              <w:t xml:space="preserve">a) wynagrodzenia </w:t>
            </w:r>
            <w:r w:rsidRPr="00702F10">
              <w:rPr>
                <w:rFonts w:ascii="Times New Roman" w:hAnsi="Times New Roman"/>
                <w:szCs w:val="21"/>
                <w:lang w:eastAsia="en-GB"/>
              </w:rPr>
              <w:t>osobowe pracowników z pochodnymi</w:t>
            </w:r>
          </w:p>
          <w:p w14:paraId="706CD6B3"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Pracownicy umożliwią realizację zadań takich jak:</w:t>
            </w:r>
          </w:p>
          <w:p w14:paraId="1A7583BF"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analiza planów adaptacji</w:t>
            </w:r>
            <w:r>
              <w:rPr>
                <w:rFonts w:ascii="Times New Roman" w:hAnsi="Times New Roman"/>
                <w:szCs w:val="21"/>
                <w:lang w:eastAsia="en-GB"/>
              </w:rPr>
              <w:t>,</w:t>
            </w:r>
            <w:r w:rsidRPr="00702F10">
              <w:rPr>
                <w:rFonts w:ascii="Times New Roman" w:hAnsi="Times New Roman"/>
                <w:szCs w:val="21"/>
                <w:lang w:eastAsia="en-GB"/>
              </w:rPr>
              <w:t xml:space="preserve"> na podstawie których będą składane sprawozdania</w:t>
            </w:r>
            <w:r>
              <w:rPr>
                <w:rFonts w:ascii="Times New Roman" w:hAnsi="Times New Roman"/>
                <w:szCs w:val="21"/>
                <w:lang w:eastAsia="en-GB"/>
              </w:rPr>
              <w:t>,</w:t>
            </w:r>
          </w:p>
          <w:p w14:paraId="294BED76"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wsparcie merytoryczne pracownikom miast przygotowującym sprawozdania</w:t>
            </w:r>
            <w:r>
              <w:rPr>
                <w:rFonts w:ascii="Times New Roman" w:hAnsi="Times New Roman"/>
                <w:szCs w:val="21"/>
                <w:lang w:eastAsia="en-GB"/>
              </w:rPr>
              <w:t>,</w:t>
            </w:r>
          </w:p>
          <w:p w14:paraId="60E18EBF"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analiza sprawozdań z realizacji MPA, przygotowanych przez poszczególne miasta</w:t>
            </w:r>
            <w:r w:rsidR="000761D3">
              <w:rPr>
                <w:rFonts w:ascii="Times New Roman" w:hAnsi="Times New Roman"/>
                <w:szCs w:val="21"/>
                <w:lang w:eastAsia="en-GB"/>
              </w:rPr>
              <w:t>,</w:t>
            </w:r>
          </w:p>
          <w:p w14:paraId="482E2F25"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wsparcie techniczne/informatyczne</w:t>
            </w:r>
            <w:r>
              <w:rPr>
                <w:rFonts w:ascii="Times New Roman" w:hAnsi="Times New Roman"/>
                <w:szCs w:val="21"/>
                <w:lang w:eastAsia="en-GB"/>
              </w:rPr>
              <w:t>,</w:t>
            </w:r>
          </w:p>
          <w:p w14:paraId="2ED37EA7"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monitorowanie bezpieczeństwa i ciągłości działania systemu</w:t>
            </w:r>
            <w:r>
              <w:rPr>
                <w:rFonts w:ascii="Times New Roman" w:hAnsi="Times New Roman"/>
                <w:szCs w:val="21"/>
                <w:lang w:eastAsia="en-GB"/>
              </w:rPr>
              <w:t>;</w:t>
            </w:r>
            <w:r w:rsidRPr="00702F10">
              <w:rPr>
                <w:rFonts w:ascii="Times New Roman" w:hAnsi="Times New Roman"/>
                <w:szCs w:val="21"/>
                <w:lang w:eastAsia="en-GB"/>
              </w:rPr>
              <w:t xml:space="preserve"> </w:t>
            </w:r>
          </w:p>
          <w:p w14:paraId="02AE88D7"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b) usługi obce, w tym koszt usług chmurowych, zapewnienie powierzchni i mediów niezbędnych do realizacji projektu</w:t>
            </w:r>
            <w:r>
              <w:rPr>
                <w:rFonts w:ascii="Times New Roman" w:hAnsi="Times New Roman"/>
                <w:szCs w:val="21"/>
                <w:lang w:eastAsia="en-GB"/>
              </w:rPr>
              <w:t>;</w:t>
            </w:r>
          </w:p>
          <w:p w14:paraId="7CC44E1C" w14:textId="77777777"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c) infrastruktura projektu, w tym zakup/odnowienie licencji</w:t>
            </w:r>
            <w:r>
              <w:rPr>
                <w:rFonts w:ascii="Times New Roman" w:hAnsi="Times New Roman"/>
                <w:szCs w:val="21"/>
                <w:lang w:eastAsia="en-GB"/>
              </w:rPr>
              <w:t>.</w:t>
            </w:r>
          </w:p>
          <w:p w14:paraId="11F5763F" w14:textId="77777777" w:rsidR="00E40B9E" w:rsidRPr="00702F10" w:rsidRDefault="00E40B9E" w:rsidP="00E40B9E">
            <w:pPr>
              <w:spacing w:line="240" w:lineRule="auto"/>
              <w:jc w:val="both"/>
              <w:rPr>
                <w:rFonts w:ascii="Times New Roman" w:hAnsi="Times New Roman"/>
                <w:szCs w:val="21"/>
                <w:lang w:eastAsia="en-GB"/>
              </w:rPr>
            </w:pPr>
          </w:p>
          <w:p w14:paraId="10C612DA" w14:textId="0BFC3360"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Na podstawie doświadczeń przyjęto, że w ramach 2,3</w:t>
            </w:r>
            <w:r>
              <w:rPr>
                <w:rFonts w:ascii="Times New Roman" w:hAnsi="Times New Roman"/>
                <w:szCs w:val="21"/>
                <w:lang w:eastAsia="en-GB"/>
              </w:rPr>
              <w:t>6</w:t>
            </w:r>
            <w:r w:rsidRPr="00702F10">
              <w:rPr>
                <w:rFonts w:ascii="Times New Roman" w:hAnsi="Times New Roman"/>
                <w:szCs w:val="21"/>
                <w:lang w:eastAsia="en-GB"/>
              </w:rPr>
              <w:t xml:space="preserve"> etatów (nowe zadania) będzie możliwość przeanalizowania </w:t>
            </w:r>
            <w:r w:rsidR="00783664">
              <w:rPr>
                <w:rFonts w:ascii="Times New Roman" w:hAnsi="Times New Roman"/>
                <w:szCs w:val="21"/>
                <w:lang w:eastAsia="en-GB"/>
              </w:rPr>
              <w:t>100</w:t>
            </w:r>
            <w:r w:rsidR="009A7B8F">
              <w:rPr>
                <w:rFonts w:ascii="Times New Roman" w:hAnsi="Times New Roman"/>
                <w:szCs w:val="21"/>
                <w:lang w:eastAsia="en-GB"/>
              </w:rPr>
              <w:t>–</w:t>
            </w:r>
            <w:r w:rsidR="00FF09ED">
              <w:rPr>
                <w:rFonts w:ascii="Times New Roman" w:hAnsi="Times New Roman"/>
                <w:szCs w:val="21"/>
                <w:lang w:eastAsia="en-GB"/>
              </w:rPr>
              <w:t>1</w:t>
            </w:r>
            <w:r w:rsidR="00783664">
              <w:rPr>
                <w:rFonts w:ascii="Times New Roman" w:hAnsi="Times New Roman"/>
                <w:szCs w:val="21"/>
                <w:lang w:eastAsia="en-GB"/>
              </w:rPr>
              <w:t>20</w:t>
            </w:r>
            <w:r w:rsidRPr="00702F10">
              <w:rPr>
                <w:rFonts w:ascii="Times New Roman" w:hAnsi="Times New Roman"/>
                <w:szCs w:val="21"/>
                <w:lang w:eastAsia="en-GB"/>
              </w:rPr>
              <w:t xml:space="preserve"> szt. sprawozdań składanych przez miasta.</w:t>
            </w:r>
          </w:p>
          <w:p w14:paraId="19CDDF02" w14:textId="55A14575" w:rsidR="00E40B9E" w:rsidRPr="00702F10"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a)</w:t>
            </w:r>
            <w:r w:rsidRPr="00702F10">
              <w:rPr>
                <w:rFonts w:ascii="Times New Roman" w:hAnsi="Times New Roman"/>
                <w:szCs w:val="21"/>
                <w:lang w:eastAsia="en-GB"/>
              </w:rPr>
              <w:t xml:space="preserve"> wsparcie techniczne wewnętrzne i zewnętrzne, udzielanie informacji, obsługa informatyczna, aktualizacja formularzy: założono </w:t>
            </w:r>
            <w:r>
              <w:rPr>
                <w:rFonts w:ascii="Times New Roman" w:hAnsi="Times New Roman"/>
                <w:szCs w:val="21"/>
                <w:lang w:eastAsia="en-GB"/>
              </w:rPr>
              <w:t>0,9 etatu</w:t>
            </w:r>
            <w:r w:rsidRPr="00702F10">
              <w:rPr>
                <w:rFonts w:ascii="Times New Roman" w:hAnsi="Times New Roman"/>
                <w:szCs w:val="21"/>
                <w:lang w:eastAsia="en-GB"/>
              </w:rPr>
              <w:t>/12 m-</w:t>
            </w:r>
            <w:proofErr w:type="spellStart"/>
            <w:r w:rsidRPr="00702F10">
              <w:rPr>
                <w:rFonts w:ascii="Times New Roman" w:hAnsi="Times New Roman"/>
                <w:szCs w:val="21"/>
                <w:lang w:eastAsia="en-GB"/>
              </w:rPr>
              <w:t>cy</w:t>
            </w:r>
            <w:proofErr w:type="spellEnd"/>
            <w:r w:rsidRPr="00702F10">
              <w:rPr>
                <w:rFonts w:ascii="Times New Roman" w:hAnsi="Times New Roman"/>
                <w:szCs w:val="21"/>
                <w:lang w:eastAsia="en-GB"/>
              </w:rPr>
              <w:t>/rok</w:t>
            </w:r>
            <w:r w:rsidR="00F114AC">
              <w:rPr>
                <w:rFonts w:ascii="Times New Roman" w:hAnsi="Times New Roman"/>
                <w:szCs w:val="21"/>
                <w:lang w:eastAsia="en-GB"/>
              </w:rPr>
              <w:t>,</w:t>
            </w:r>
          </w:p>
          <w:p w14:paraId="09F110D8" w14:textId="7D06131F" w:rsidR="00E40B9E" w:rsidRPr="00BD6466"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b) usługi obce, infrastruktura projekt</w:t>
            </w:r>
            <w:r w:rsidR="00F114AC">
              <w:rPr>
                <w:rFonts w:ascii="Times New Roman" w:hAnsi="Times New Roman"/>
                <w:szCs w:val="21"/>
                <w:lang w:eastAsia="en-GB"/>
              </w:rPr>
              <w:t>u.</w:t>
            </w:r>
          </w:p>
          <w:p w14:paraId="4D3B03B2" w14:textId="77777777" w:rsidR="00E40B9E" w:rsidRDefault="00E40B9E" w:rsidP="00E40B9E">
            <w:pPr>
              <w:spacing w:line="240" w:lineRule="auto"/>
              <w:jc w:val="both"/>
              <w:rPr>
                <w:rFonts w:ascii="Times New Roman" w:hAnsi="Times New Roman"/>
                <w:szCs w:val="21"/>
                <w:lang w:eastAsia="en-GB"/>
              </w:rPr>
            </w:pPr>
          </w:p>
          <w:p w14:paraId="6C099449" w14:textId="36E3E34A" w:rsidR="00E40B9E" w:rsidRPr="00FB1833" w:rsidRDefault="00E40B9E" w:rsidP="00E40B9E">
            <w:pPr>
              <w:spacing w:line="240" w:lineRule="auto"/>
              <w:jc w:val="both"/>
              <w:rPr>
                <w:rFonts w:ascii="Times New Roman" w:hAnsi="Times New Roman"/>
                <w:b/>
                <w:bCs/>
                <w:szCs w:val="21"/>
                <w:lang w:eastAsia="en-GB"/>
              </w:rPr>
            </w:pPr>
            <w:r w:rsidRPr="00FB1833">
              <w:rPr>
                <w:rFonts w:ascii="Times New Roman" w:hAnsi="Times New Roman"/>
                <w:b/>
                <w:bCs/>
                <w:szCs w:val="21"/>
                <w:lang w:eastAsia="en-GB"/>
              </w:rPr>
              <w:t>PIT, VAT</w:t>
            </w:r>
          </w:p>
          <w:p w14:paraId="468A9F71" w14:textId="3E634ED1" w:rsidR="00E40B9E"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Po stronie JST wystąpią dochody jedynie z PIT w związku ze zwiększeniem wynagrodzenia lub ewentualnie nowymi etatami w IOŚ</w:t>
            </w:r>
            <w:r w:rsidR="00F114AC">
              <w:rPr>
                <w:rFonts w:ascii="Times New Roman" w:hAnsi="Times New Roman"/>
                <w:szCs w:val="21"/>
                <w:lang w:eastAsia="en-GB"/>
              </w:rPr>
              <w:t>-PIB</w:t>
            </w:r>
            <w:r>
              <w:rPr>
                <w:rFonts w:ascii="Times New Roman" w:hAnsi="Times New Roman"/>
                <w:szCs w:val="21"/>
                <w:lang w:eastAsia="en-GB"/>
              </w:rPr>
              <w:t xml:space="preserve"> – zostało to przedstawion</w:t>
            </w:r>
            <w:r w:rsidR="000761D3">
              <w:rPr>
                <w:rFonts w:ascii="Times New Roman" w:hAnsi="Times New Roman"/>
                <w:szCs w:val="21"/>
                <w:lang w:eastAsia="en-GB"/>
              </w:rPr>
              <w:t>e</w:t>
            </w:r>
            <w:r>
              <w:rPr>
                <w:rFonts w:ascii="Times New Roman" w:hAnsi="Times New Roman"/>
                <w:szCs w:val="21"/>
                <w:lang w:eastAsia="en-GB"/>
              </w:rPr>
              <w:t xml:space="preserve"> w </w:t>
            </w:r>
            <w:r w:rsidR="009A7B8F">
              <w:rPr>
                <w:rFonts w:ascii="Times New Roman" w:hAnsi="Times New Roman"/>
                <w:szCs w:val="21"/>
                <w:lang w:eastAsia="en-GB"/>
              </w:rPr>
              <w:t xml:space="preserve">powyższej </w:t>
            </w:r>
            <w:r>
              <w:rPr>
                <w:rFonts w:ascii="Times New Roman" w:hAnsi="Times New Roman"/>
                <w:szCs w:val="21"/>
                <w:lang w:eastAsia="en-GB"/>
              </w:rPr>
              <w:t xml:space="preserve">tabeli. </w:t>
            </w:r>
          </w:p>
          <w:p w14:paraId="4F1393AF" w14:textId="77777777" w:rsidR="00E40B9E"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Po stronie budżetu państwa wystąpią dochody z:</w:t>
            </w:r>
          </w:p>
          <w:p w14:paraId="3D156E0D" w14:textId="2216C967" w:rsidR="00E40B9E" w:rsidRDefault="00D5594D" w:rsidP="00E40B9E">
            <w:pPr>
              <w:spacing w:line="240" w:lineRule="auto"/>
              <w:jc w:val="both"/>
              <w:rPr>
                <w:rFonts w:ascii="Times New Roman" w:hAnsi="Times New Roman"/>
                <w:szCs w:val="21"/>
                <w:lang w:eastAsia="en-GB"/>
              </w:rPr>
            </w:pPr>
            <w:r>
              <w:rPr>
                <w:rFonts w:ascii="Times New Roman" w:hAnsi="Times New Roman"/>
                <w:szCs w:val="21"/>
                <w:lang w:eastAsia="en-GB"/>
              </w:rPr>
              <w:t>−</w:t>
            </w:r>
            <w:r w:rsidR="00E40B9E">
              <w:rPr>
                <w:rFonts w:ascii="Times New Roman" w:hAnsi="Times New Roman"/>
                <w:szCs w:val="21"/>
                <w:lang w:eastAsia="en-GB"/>
              </w:rPr>
              <w:t xml:space="preserve"> VAT jako podatku od usługi opracowania/ aktualizacji MPA. Nie jest możliwe policzenie w</w:t>
            </w:r>
            <w:r w:rsidR="009A7B8F">
              <w:rPr>
                <w:rFonts w:ascii="Times New Roman" w:hAnsi="Times New Roman"/>
                <w:szCs w:val="21"/>
                <w:lang w:eastAsia="en-GB"/>
              </w:rPr>
              <w:t> </w:t>
            </w:r>
            <w:r w:rsidR="00E40B9E">
              <w:rPr>
                <w:rFonts w:ascii="Times New Roman" w:hAnsi="Times New Roman"/>
                <w:szCs w:val="21"/>
                <w:lang w:eastAsia="en-GB"/>
              </w:rPr>
              <w:t xml:space="preserve">których latach i w jakiej wysokości wystąpi taki dochód, gdyż jak wyżej wspomniano ciężko oszacować, ile miast, w jakich latach, samodzielnie czy zlecając na zewnątrz opracuje/ zaktualizuje MPA. </w:t>
            </w:r>
          </w:p>
          <w:p w14:paraId="7A2BBB84" w14:textId="4772D71E" w:rsidR="00E40B9E" w:rsidRDefault="00D5594D" w:rsidP="00E40B9E">
            <w:pPr>
              <w:spacing w:line="240" w:lineRule="auto"/>
              <w:jc w:val="both"/>
              <w:rPr>
                <w:rFonts w:ascii="Times New Roman" w:hAnsi="Times New Roman"/>
                <w:szCs w:val="21"/>
                <w:lang w:eastAsia="en-GB"/>
              </w:rPr>
            </w:pPr>
            <w:r>
              <w:rPr>
                <w:rFonts w:ascii="Times New Roman" w:hAnsi="Times New Roman"/>
                <w:szCs w:val="21"/>
                <w:lang w:eastAsia="en-GB"/>
              </w:rPr>
              <w:t>−</w:t>
            </w:r>
            <w:r w:rsidR="00E40B9E">
              <w:rPr>
                <w:rFonts w:ascii="Times New Roman" w:hAnsi="Times New Roman"/>
                <w:szCs w:val="21"/>
                <w:lang w:eastAsia="en-GB"/>
              </w:rPr>
              <w:t xml:space="preserve"> z PIT w związku ze zwiększeniem wynagrodzenia lub ewentualnie nowymi etatami w IOŚ</w:t>
            </w:r>
            <w:r w:rsidR="006D1620">
              <w:rPr>
                <w:rFonts w:ascii="Times New Roman" w:hAnsi="Times New Roman"/>
                <w:szCs w:val="21"/>
                <w:lang w:eastAsia="en-GB"/>
              </w:rPr>
              <w:t>-PIB</w:t>
            </w:r>
            <w:r w:rsidR="00E40B9E">
              <w:rPr>
                <w:rFonts w:ascii="Times New Roman" w:hAnsi="Times New Roman"/>
                <w:szCs w:val="21"/>
                <w:lang w:eastAsia="en-GB"/>
              </w:rPr>
              <w:t xml:space="preserve"> – zostało to przedstawion</w:t>
            </w:r>
            <w:r w:rsidR="000761D3">
              <w:rPr>
                <w:rFonts w:ascii="Times New Roman" w:hAnsi="Times New Roman"/>
                <w:szCs w:val="21"/>
                <w:lang w:eastAsia="en-GB"/>
              </w:rPr>
              <w:t>e</w:t>
            </w:r>
            <w:r w:rsidR="00E40B9E">
              <w:rPr>
                <w:rFonts w:ascii="Times New Roman" w:hAnsi="Times New Roman"/>
                <w:szCs w:val="21"/>
                <w:lang w:eastAsia="en-GB"/>
              </w:rPr>
              <w:t xml:space="preserve"> w tabeli.</w:t>
            </w:r>
          </w:p>
          <w:p w14:paraId="71034269" w14:textId="3DAB2C60" w:rsidR="00E40B9E" w:rsidRDefault="00E40B9E" w:rsidP="00E40B9E">
            <w:pPr>
              <w:spacing w:line="240" w:lineRule="auto"/>
              <w:jc w:val="both"/>
              <w:rPr>
                <w:rFonts w:ascii="Times New Roman" w:hAnsi="Times New Roman"/>
                <w:szCs w:val="21"/>
                <w:lang w:eastAsia="en-GB"/>
              </w:rPr>
            </w:pPr>
          </w:p>
          <w:p w14:paraId="6CFECB77" w14:textId="20A1BE01" w:rsidR="00E40B9E" w:rsidRPr="00FB1833" w:rsidRDefault="00E40B9E" w:rsidP="00E40B9E">
            <w:pPr>
              <w:spacing w:line="240" w:lineRule="auto"/>
              <w:jc w:val="both"/>
              <w:rPr>
                <w:rFonts w:ascii="Times New Roman" w:hAnsi="Times New Roman"/>
                <w:b/>
                <w:bCs/>
                <w:szCs w:val="21"/>
                <w:lang w:eastAsia="en-GB"/>
              </w:rPr>
            </w:pPr>
            <w:r>
              <w:rPr>
                <w:rFonts w:ascii="Times New Roman" w:hAnsi="Times New Roman"/>
                <w:b/>
                <w:bCs/>
                <w:szCs w:val="21"/>
                <w:lang w:eastAsia="en-GB"/>
              </w:rPr>
              <w:t>FUS, NFZ, FS, FP</w:t>
            </w:r>
          </w:p>
          <w:p w14:paraId="042B7BEE" w14:textId="00DC7949" w:rsidR="00E40B9E" w:rsidRDefault="00E40B9E" w:rsidP="00E40B9E">
            <w:pPr>
              <w:spacing w:line="240" w:lineRule="auto"/>
              <w:jc w:val="both"/>
              <w:rPr>
                <w:rFonts w:ascii="Times New Roman" w:hAnsi="Times New Roman"/>
                <w:szCs w:val="21"/>
                <w:lang w:eastAsia="en-GB"/>
              </w:rPr>
            </w:pPr>
            <w:r>
              <w:rPr>
                <w:rFonts w:ascii="Times New Roman" w:hAnsi="Times New Roman"/>
                <w:szCs w:val="21"/>
                <w:lang w:eastAsia="en-GB"/>
              </w:rPr>
              <w:t>Dochody Funduszu Ubezpieczeń Społecznych (FUS), Narodowego Funduszy Zdrowia (NFZ), Funduszu Solidarnościowego (FS), Funduszu Pracy (FP) wystąpią w związku ze zwiększeniem wynagrodzenia dla obecnie zatrudnionych pracowników lub zatrudnieniem nowych osób w IOŚ</w:t>
            </w:r>
            <w:r w:rsidR="006D1620">
              <w:rPr>
                <w:rFonts w:ascii="Times New Roman" w:hAnsi="Times New Roman"/>
                <w:szCs w:val="21"/>
                <w:lang w:eastAsia="en-GB"/>
              </w:rPr>
              <w:t>-PIB</w:t>
            </w:r>
            <w:r>
              <w:rPr>
                <w:rFonts w:ascii="Times New Roman" w:hAnsi="Times New Roman"/>
                <w:szCs w:val="21"/>
                <w:lang w:eastAsia="en-GB"/>
              </w:rPr>
              <w:t xml:space="preserve"> (składki na ubezpieczenia odprowadzane przez pracowników i pracodawcę). D</w:t>
            </w:r>
            <w:r w:rsidRPr="002D42F6">
              <w:rPr>
                <w:rFonts w:ascii="Times New Roman" w:hAnsi="Times New Roman"/>
                <w:szCs w:val="21"/>
                <w:lang w:eastAsia="en-GB"/>
              </w:rPr>
              <w:t>ochody FUS będą stanowiły składki na ubezpieczenia emerytalne, rentowe,</w:t>
            </w:r>
            <w:r>
              <w:rPr>
                <w:rFonts w:ascii="Times New Roman" w:hAnsi="Times New Roman"/>
                <w:szCs w:val="21"/>
                <w:lang w:eastAsia="en-GB"/>
              </w:rPr>
              <w:t xml:space="preserve"> </w:t>
            </w:r>
            <w:r w:rsidRPr="002D42F6">
              <w:rPr>
                <w:rFonts w:ascii="Times New Roman" w:hAnsi="Times New Roman"/>
                <w:szCs w:val="21"/>
                <w:lang w:eastAsia="en-GB"/>
              </w:rPr>
              <w:t>chorobowe i wypadkowe</w:t>
            </w:r>
            <w:r>
              <w:rPr>
                <w:rFonts w:ascii="Times New Roman" w:hAnsi="Times New Roman"/>
                <w:szCs w:val="21"/>
                <w:lang w:eastAsia="en-GB"/>
              </w:rPr>
              <w:t xml:space="preserve"> (13,71% składki z wynagrodzenia pracownika oraz 17,93% </w:t>
            </w:r>
            <w:r w:rsidR="00D5594D">
              <w:rPr>
                <w:rFonts w:ascii="Times New Roman" w:hAnsi="Times New Roman"/>
                <w:szCs w:val="21"/>
                <w:lang w:eastAsia="en-GB"/>
              </w:rPr>
              <w:t>−</w:t>
            </w:r>
            <w:r>
              <w:rPr>
                <w:rFonts w:ascii="Times New Roman" w:hAnsi="Times New Roman"/>
                <w:szCs w:val="21"/>
                <w:lang w:eastAsia="en-GB"/>
              </w:rPr>
              <w:t xml:space="preserve"> składki odprowadzane przez pracodawcę)</w:t>
            </w:r>
            <w:r w:rsidRPr="002D42F6">
              <w:rPr>
                <w:rFonts w:ascii="Times New Roman" w:hAnsi="Times New Roman"/>
                <w:szCs w:val="21"/>
                <w:lang w:eastAsia="en-GB"/>
              </w:rPr>
              <w:t>.</w:t>
            </w:r>
            <w:r>
              <w:rPr>
                <w:rFonts w:ascii="Times New Roman" w:hAnsi="Times New Roman"/>
                <w:szCs w:val="21"/>
                <w:lang w:eastAsia="en-GB"/>
              </w:rPr>
              <w:t xml:space="preserve"> Dochody NFZ – składki na ubezpieczenie zdrowotne </w:t>
            </w:r>
            <w:r w:rsidRPr="00CA28FB">
              <w:rPr>
                <w:rFonts w:ascii="Times New Roman" w:hAnsi="Times New Roman"/>
                <w:szCs w:val="21"/>
                <w:lang w:eastAsia="en-GB"/>
              </w:rPr>
              <w:t xml:space="preserve">w wysokości 9% podstawy wymiaru </w:t>
            </w:r>
            <w:r w:rsidRPr="00CA28FB">
              <w:rPr>
                <w:rFonts w:ascii="Times New Roman" w:hAnsi="Times New Roman"/>
                <w:szCs w:val="21"/>
                <w:lang w:eastAsia="en-GB"/>
              </w:rPr>
              <w:lastRenderedPageBreak/>
              <w:t>składek</w:t>
            </w:r>
            <w:r>
              <w:rPr>
                <w:rFonts w:ascii="Times New Roman" w:hAnsi="Times New Roman"/>
                <w:szCs w:val="21"/>
                <w:lang w:eastAsia="en-GB"/>
              </w:rPr>
              <w:t>. Dochody FS (1,45%) i FP (1%) – składki odprowadzane na te fundusze przez pracodawcę.</w:t>
            </w:r>
          </w:p>
          <w:p w14:paraId="31507C2C" w14:textId="77777777" w:rsidR="00876CE3" w:rsidRDefault="00876CE3" w:rsidP="00E40B9E">
            <w:pPr>
              <w:spacing w:line="240" w:lineRule="auto"/>
              <w:jc w:val="both"/>
              <w:rPr>
                <w:rFonts w:ascii="Times New Roman" w:hAnsi="Times New Roman"/>
                <w:szCs w:val="21"/>
                <w:lang w:eastAsia="en-GB"/>
              </w:rPr>
            </w:pPr>
          </w:p>
          <w:p w14:paraId="0C69BE38" w14:textId="1BB36AC0" w:rsidR="00E40B9E" w:rsidRPr="00702F10" w:rsidRDefault="00E40B9E" w:rsidP="00E40B9E">
            <w:pPr>
              <w:spacing w:line="240" w:lineRule="auto"/>
              <w:jc w:val="both"/>
              <w:rPr>
                <w:rFonts w:ascii="Times New Roman" w:hAnsi="Times New Roman"/>
                <w:b/>
                <w:bCs/>
                <w:szCs w:val="21"/>
                <w:lang w:eastAsia="en-GB"/>
              </w:rPr>
            </w:pPr>
            <w:r w:rsidRPr="00702F10">
              <w:rPr>
                <w:rFonts w:ascii="Times New Roman" w:hAnsi="Times New Roman"/>
                <w:b/>
                <w:bCs/>
                <w:szCs w:val="21"/>
                <w:lang w:eastAsia="en-GB"/>
              </w:rPr>
              <w:t>Usprawnienie działania Programu „Stop Smog”</w:t>
            </w:r>
          </w:p>
          <w:p w14:paraId="4FB3156D" w14:textId="6421E2B8"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xml:space="preserve">Zmiana wartości przedsięwzięcia niskoemisyjnego z 53 000 zł do 106 000 zł przy jednoczesnym wzroście finansowania przedsięwzięcia ze środków budżetu państwa z 70 do 90% spowoduje wzrost kosztów porozumień </w:t>
            </w:r>
            <w:r w:rsidRPr="00D65186">
              <w:rPr>
                <w:rFonts w:ascii="Times New Roman" w:hAnsi="Times New Roman"/>
                <w:szCs w:val="21"/>
                <w:lang w:eastAsia="en-GB"/>
              </w:rPr>
              <w:t xml:space="preserve">zawartych do dnia wejścia w życie ustawy (z wyłączeniem tych, dla których zawarto umowy z beneficjentem, o której mowa w art. 11d ust. 2 ustawy zmienianej) </w:t>
            </w:r>
            <w:r w:rsidR="00AD2F56" w:rsidRPr="00E55CB1">
              <w:rPr>
                <w:rFonts w:ascii="Times New Roman" w:hAnsi="Times New Roman"/>
                <w:szCs w:val="21"/>
                <w:lang w:eastAsia="en-GB"/>
              </w:rPr>
              <w:t xml:space="preserve">oraz zawartych w </w:t>
            </w:r>
            <w:r w:rsidRPr="00D65186">
              <w:rPr>
                <w:rFonts w:ascii="Times New Roman" w:hAnsi="Times New Roman"/>
                <w:szCs w:val="21"/>
                <w:lang w:eastAsia="en-GB"/>
              </w:rPr>
              <w:t>2024</w:t>
            </w:r>
            <w:r w:rsidR="00A96571" w:rsidRPr="00E55CB1">
              <w:rPr>
                <w:rFonts w:ascii="Times New Roman" w:hAnsi="Times New Roman"/>
                <w:szCs w:val="21"/>
                <w:lang w:eastAsia="en-GB"/>
              </w:rPr>
              <w:t xml:space="preserve"> r.</w:t>
            </w:r>
            <w:r w:rsidR="00AD2F56" w:rsidRPr="00E55CB1">
              <w:rPr>
                <w:rFonts w:ascii="Times New Roman" w:hAnsi="Times New Roman"/>
                <w:szCs w:val="21"/>
                <w:lang w:eastAsia="en-GB"/>
              </w:rPr>
              <w:t xml:space="preserve"> </w:t>
            </w:r>
            <w:r w:rsidR="00A96571" w:rsidRPr="00E55CB1">
              <w:rPr>
                <w:rFonts w:ascii="Times New Roman" w:hAnsi="Times New Roman"/>
                <w:szCs w:val="21"/>
                <w:lang w:eastAsia="en-GB"/>
              </w:rPr>
              <w:t>po wejściu w życie ustawy</w:t>
            </w:r>
            <w:r w:rsidRPr="00D65186">
              <w:rPr>
                <w:rFonts w:ascii="Times New Roman" w:hAnsi="Times New Roman"/>
                <w:szCs w:val="21"/>
                <w:lang w:eastAsia="en-GB"/>
              </w:rPr>
              <w:t>.</w:t>
            </w:r>
          </w:p>
          <w:p w14:paraId="2449E173" w14:textId="39D9D32B"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xml:space="preserve">Porozumienia będą zawierane zgodnie z art. 29a ustawy z dnia 21 listopada 2008 r. </w:t>
            </w:r>
            <w:r w:rsidRPr="003171F4">
              <w:rPr>
                <w:rFonts w:ascii="Times New Roman" w:hAnsi="Times New Roman"/>
                <w:i/>
                <w:iCs/>
                <w:szCs w:val="21"/>
                <w:lang w:eastAsia="en-GB"/>
              </w:rPr>
              <w:t>o wspieraniu termomodernizacji i remontów oraz o centralnej ewidencji emisyjności budynków</w:t>
            </w:r>
            <w:r>
              <w:rPr>
                <w:rFonts w:ascii="Times New Roman" w:hAnsi="Times New Roman"/>
                <w:szCs w:val="21"/>
                <w:lang w:eastAsia="en-GB"/>
              </w:rPr>
              <w:t xml:space="preserve"> </w:t>
            </w:r>
            <w:r w:rsidRPr="00702F10">
              <w:rPr>
                <w:rFonts w:ascii="Times New Roman" w:hAnsi="Times New Roman"/>
                <w:szCs w:val="21"/>
                <w:lang w:eastAsia="en-GB"/>
              </w:rPr>
              <w:t xml:space="preserve">jedynie do wartości będącej równowartością pobranej opłaty recyklingowej, o której mowa w ustawie z dnia 13 czerwca 2013 r. </w:t>
            </w:r>
            <w:r w:rsidRPr="003171F4">
              <w:rPr>
                <w:rFonts w:ascii="Times New Roman" w:hAnsi="Times New Roman"/>
                <w:i/>
                <w:iCs/>
                <w:szCs w:val="21"/>
                <w:lang w:eastAsia="en-GB"/>
              </w:rPr>
              <w:t>o gospodarce opakowaniami i odpadami opakowaniowymi</w:t>
            </w:r>
            <w:r w:rsidRPr="00702F10">
              <w:rPr>
                <w:rFonts w:ascii="Times New Roman" w:hAnsi="Times New Roman"/>
                <w:szCs w:val="21"/>
                <w:lang w:eastAsia="en-GB"/>
              </w:rPr>
              <w:t xml:space="preserve"> (Dz. U. z 202</w:t>
            </w:r>
            <w:r w:rsidR="00F53727">
              <w:rPr>
                <w:rFonts w:ascii="Times New Roman" w:hAnsi="Times New Roman"/>
                <w:szCs w:val="21"/>
                <w:lang w:eastAsia="en-GB"/>
              </w:rPr>
              <w:t>3</w:t>
            </w:r>
            <w:r w:rsidRPr="00702F10">
              <w:rPr>
                <w:rFonts w:ascii="Times New Roman" w:hAnsi="Times New Roman"/>
                <w:szCs w:val="21"/>
                <w:lang w:eastAsia="en-GB"/>
              </w:rPr>
              <w:t xml:space="preserve"> r. poz. </w:t>
            </w:r>
            <w:r w:rsidR="00F53727">
              <w:rPr>
                <w:rFonts w:ascii="Times New Roman" w:hAnsi="Times New Roman"/>
                <w:szCs w:val="21"/>
                <w:lang w:eastAsia="en-GB"/>
              </w:rPr>
              <w:t>16</w:t>
            </w:r>
            <w:r w:rsidR="009672FC">
              <w:rPr>
                <w:rFonts w:ascii="Times New Roman" w:hAnsi="Times New Roman"/>
                <w:szCs w:val="21"/>
                <w:lang w:eastAsia="en-GB"/>
              </w:rPr>
              <w:t>58</w:t>
            </w:r>
            <w:r w:rsidR="00F114AC">
              <w:rPr>
                <w:rFonts w:ascii="Times New Roman" w:hAnsi="Times New Roman"/>
                <w:szCs w:val="21"/>
                <w:lang w:eastAsia="en-GB"/>
              </w:rPr>
              <w:t xml:space="preserve"> i</w:t>
            </w:r>
            <w:r w:rsidR="009672FC">
              <w:rPr>
                <w:rFonts w:ascii="Times New Roman" w:hAnsi="Times New Roman"/>
                <w:szCs w:val="21"/>
                <w:lang w:eastAsia="en-GB"/>
              </w:rPr>
              <w:t xml:space="preserve"> 1852</w:t>
            </w:r>
            <w:r w:rsidRPr="00702F10">
              <w:rPr>
                <w:rFonts w:ascii="Times New Roman" w:hAnsi="Times New Roman"/>
                <w:szCs w:val="21"/>
                <w:lang w:eastAsia="en-GB"/>
              </w:rPr>
              <w:t>), która jest wnoszona na rachunek bankowy Funduszu, zgodnie z</w:t>
            </w:r>
            <w:r w:rsidR="009603B5">
              <w:rPr>
                <w:rFonts w:ascii="Times New Roman" w:hAnsi="Times New Roman"/>
                <w:szCs w:val="21"/>
                <w:lang w:eastAsia="en-GB"/>
              </w:rPr>
              <w:t> </w:t>
            </w:r>
            <w:r w:rsidRPr="00702F10">
              <w:rPr>
                <w:rFonts w:ascii="Times New Roman" w:hAnsi="Times New Roman"/>
                <w:szCs w:val="21"/>
                <w:lang w:eastAsia="en-GB"/>
              </w:rPr>
              <w:t>zapotrzebowaniem wynikającym z realizacji porozumień.</w:t>
            </w:r>
          </w:p>
          <w:p w14:paraId="415AAD01" w14:textId="0104F341" w:rsidR="00E40B9E" w:rsidRPr="00702F10"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Jednocześnie należy wskazać, że ww. zmiany nie spowodują wzrostu dodatkowych wydatków z</w:t>
            </w:r>
            <w:r w:rsidR="009603B5">
              <w:rPr>
                <w:rFonts w:ascii="Times New Roman" w:hAnsi="Times New Roman"/>
                <w:szCs w:val="21"/>
                <w:lang w:eastAsia="en-GB"/>
              </w:rPr>
              <w:t> </w:t>
            </w:r>
            <w:r w:rsidRPr="00702F10">
              <w:rPr>
                <w:rFonts w:ascii="Times New Roman" w:hAnsi="Times New Roman"/>
                <w:szCs w:val="21"/>
                <w:lang w:eastAsia="en-GB"/>
              </w:rPr>
              <w:t xml:space="preserve">budżetu państwa ponad te przewidziane w art. 29a ww. ustawy. Wprowadzone zmiany spowodują jedynie wzrost dynamiki wydawanych środków spowodowany większą atrakcyjnością Programu. </w:t>
            </w:r>
          </w:p>
          <w:p w14:paraId="2CA7DD22" w14:textId="701360D8" w:rsidR="00A27235" w:rsidRDefault="00E40B9E" w:rsidP="00E40B9E">
            <w:pPr>
              <w:spacing w:line="240" w:lineRule="auto"/>
              <w:jc w:val="both"/>
              <w:rPr>
                <w:rFonts w:ascii="Times New Roman" w:hAnsi="Times New Roman"/>
                <w:szCs w:val="21"/>
                <w:lang w:eastAsia="en-GB"/>
              </w:rPr>
            </w:pPr>
            <w:r w:rsidRPr="00702F10">
              <w:rPr>
                <w:rFonts w:ascii="Times New Roman" w:hAnsi="Times New Roman"/>
                <w:szCs w:val="21"/>
                <w:lang w:eastAsia="en-GB"/>
              </w:rPr>
              <w:t xml:space="preserve">Zgodnie z przyjętymi założeniami do projektu ustawy nowymi przepisami będą objęte gminy jedynie w zakresie umów, które nie zostały zawarte z beneficjentem. </w:t>
            </w:r>
          </w:p>
          <w:p w14:paraId="453724A7" w14:textId="41B72DDF" w:rsidR="00A27235" w:rsidRPr="00A27235" w:rsidRDefault="00A27235" w:rsidP="00A27235">
            <w:pPr>
              <w:spacing w:line="240" w:lineRule="auto"/>
              <w:jc w:val="both"/>
              <w:rPr>
                <w:rFonts w:ascii="Times New Roman" w:hAnsi="Times New Roman"/>
                <w:szCs w:val="21"/>
                <w:lang w:eastAsia="en-GB"/>
              </w:rPr>
            </w:pPr>
            <w:r w:rsidRPr="00A27235">
              <w:rPr>
                <w:rFonts w:ascii="Times New Roman" w:hAnsi="Times New Roman"/>
                <w:szCs w:val="21"/>
                <w:lang w:eastAsia="en-GB"/>
              </w:rPr>
              <w:t xml:space="preserve">Biorąc pod uwagę fakt, że na dzień </w:t>
            </w:r>
            <w:r w:rsidR="009672FC">
              <w:rPr>
                <w:rFonts w:ascii="Times New Roman" w:hAnsi="Times New Roman"/>
                <w:szCs w:val="21"/>
                <w:lang w:eastAsia="en-GB"/>
              </w:rPr>
              <w:t xml:space="preserve">29 </w:t>
            </w:r>
            <w:r w:rsidR="00605184">
              <w:rPr>
                <w:rFonts w:ascii="Times New Roman" w:hAnsi="Times New Roman"/>
                <w:szCs w:val="21"/>
                <w:lang w:eastAsia="en-GB"/>
              </w:rPr>
              <w:t xml:space="preserve">lutego </w:t>
            </w:r>
            <w:r w:rsidR="009672FC">
              <w:rPr>
                <w:rFonts w:ascii="Times New Roman" w:hAnsi="Times New Roman"/>
                <w:szCs w:val="21"/>
                <w:lang w:eastAsia="en-GB"/>
              </w:rPr>
              <w:t xml:space="preserve">2024 </w:t>
            </w:r>
            <w:r w:rsidRPr="00A27235">
              <w:rPr>
                <w:rFonts w:ascii="Times New Roman" w:hAnsi="Times New Roman"/>
                <w:szCs w:val="21"/>
                <w:lang w:eastAsia="en-GB"/>
              </w:rPr>
              <w:t>r. podpisano 1</w:t>
            </w:r>
            <w:r w:rsidR="009672FC">
              <w:rPr>
                <w:rFonts w:ascii="Times New Roman" w:hAnsi="Times New Roman"/>
                <w:szCs w:val="21"/>
                <w:lang w:eastAsia="en-GB"/>
              </w:rPr>
              <w:t>8</w:t>
            </w:r>
            <w:r w:rsidRPr="00A27235">
              <w:rPr>
                <w:rFonts w:ascii="Times New Roman" w:hAnsi="Times New Roman"/>
                <w:szCs w:val="21"/>
                <w:lang w:eastAsia="en-GB"/>
              </w:rPr>
              <w:t xml:space="preserve"> porozumień na realizację 17</w:t>
            </w:r>
            <w:r w:rsidR="009672FC">
              <w:rPr>
                <w:rFonts w:ascii="Times New Roman" w:hAnsi="Times New Roman"/>
                <w:szCs w:val="21"/>
                <w:lang w:eastAsia="en-GB"/>
              </w:rPr>
              <w:t>7</w:t>
            </w:r>
            <w:r w:rsidRPr="00A27235">
              <w:rPr>
                <w:rFonts w:ascii="Times New Roman" w:hAnsi="Times New Roman"/>
                <w:szCs w:val="21"/>
                <w:lang w:eastAsia="en-GB"/>
              </w:rPr>
              <w:t>5 przedsięwzięć niskoemisyjnych</w:t>
            </w:r>
            <w:r w:rsidR="00D4121C">
              <w:rPr>
                <w:rFonts w:ascii="Times New Roman" w:hAnsi="Times New Roman"/>
                <w:szCs w:val="21"/>
                <w:lang w:eastAsia="en-GB"/>
              </w:rPr>
              <w:t xml:space="preserve"> </w:t>
            </w:r>
            <w:r w:rsidR="009672FC" w:rsidRPr="009672FC">
              <w:rPr>
                <w:rFonts w:ascii="Times New Roman" w:hAnsi="Times New Roman"/>
                <w:szCs w:val="21"/>
                <w:lang w:eastAsia="en-GB"/>
              </w:rPr>
              <w:t>(z czego zrealizowano 52</w:t>
            </w:r>
            <w:r w:rsidR="00605184">
              <w:rPr>
                <w:rFonts w:ascii="Times New Roman" w:hAnsi="Times New Roman"/>
                <w:szCs w:val="21"/>
                <w:lang w:eastAsia="en-GB"/>
              </w:rPr>
              <w:t>6</w:t>
            </w:r>
            <w:r w:rsidR="009672FC" w:rsidRPr="009672FC">
              <w:rPr>
                <w:rFonts w:ascii="Times New Roman" w:hAnsi="Times New Roman"/>
                <w:szCs w:val="21"/>
                <w:lang w:eastAsia="en-GB"/>
              </w:rPr>
              <w:t>)</w:t>
            </w:r>
            <w:r w:rsidRPr="00A27235">
              <w:rPr>
                <w:rFonts w:ascii="Times New Roman" w:hAnsi="Times New Roman"/>
                <w:szCs w:val="21"/>
                <w:lang w:eastAsia="en-GB"/>
              </w:rPr>
              <w:t xml:space="preserve">, szacowane koszty </w:t>
            </w:r>
            <w:r w:rsidR="009672FC">
              <w:rPr>
                <w:rFonts w:ascii="Times New Roman" w:hAnsi="Times New Roman"/>
                <w:szCs w:val="21"/>
                <w:lang w:eastAsia="en-GB"/>
              </w:rPr>
              <w:t xml:space="preserve">w ramach </w:t>
            </w:r>
            <w:r w:rsidR="00DA4904">
              <w:rPr>
                <w:rFonts w:ascii="Times New Roman" w:hAnsi="Times New Roman"/>
                <w:szCs w:val="21"/>
                <w:lang w:eastAsia="en-GB"/>
              </w:rPr>
              <w:t>wkładu</w:t>
            </w:r>
            <w:r w:rsidR="009672FC">
              <w:rPr>
                <w:rFonts w:ascii="Times New Roman" w:hAnsi="Times New Roman"/>
                <w:szCs w:val="21"/>
                <w:lang w:eastAsia="en-GB"/>
              </w:rPr>
              <w:t xml:space="preserve"> z Funduszu Termomodernizacji i Remontów </w:t>
            </w:r>
            <w:r w:rsidRPr="00A27235">
              <w:rPr>
                <w:rFonts w:ascii="Times New Roman" w:hAnsi="Times New Roman"/>
                <w:szCs w:val="21"/>
                <w:lang w:eastAsia="en-GB"/>
              </w:rPr>
              <w:t xml:space="preserve">dla już podpisanych porozumień będą się kształtować na poziomie </w:t>
            </w:r>
            <w:r w:rsidR="009672FC">
              <w:rPr>
                <w:rFonts w:ascii="Times New Roman" w:hAnsi="Times New Roman"/>
                <w:szCs w:val="21"/>
                <w:lang w:eastAsia="en-GB"/>
              </w:rPr>
              <w:t>1</w:t>
            </w:r>
            <w:r w:rsidR="00F15BC2">
              <w:rPr>
                <w:rFonts w:ascii="Times New Roman" w:hAnsi="Times New Roman"/>
                <w:szCs w:val="21"/>
                <w:lang w:eastAsia="en-GB"/>
              </w:rPr>
              <w:t>38</w:t>
            </w:r>
            <w:r w:rsidR="009672FC">
              <w:rPr>
                <w:rFonts w:ascii="Times New Roman" w:hAnsi="Times New Roman"/>
                <w:szCs w:val="21"/>
                <w:lang w:eastAsia="en-GB"/>
              </w:rPr>
              <w:t>,</w:t>
            </w:r>
            <w:r w:rsidR="00F15BC2">
              <w:rPr>
                <w:rFonts w:ascii="Times New Roman" w:hAnsi="Times New Roman"/>
                <w:szCs w:val="21"/>
                <w:lang w:eastAsia="en-GB"/>
              </w:rPr>
              <w:t>4</w:t>
            </w:r>
            <w:r w:rsidR="00D4121C">
              <w:rPr>
                <w:rFonts w:ascii="Times New Roman" w:hAnsi="Times New Roman"/>
                <w:szCs w:val="21"/>
                <w:lang w:eastAsia="en-GB"/>
              </w:rPr>
              <w:t xml:space="preserve"> </w:t>
            </w:r>
            <w:r w:rsidRPr="00A27235">
              <w:rPr>
                <w:rFonts w:ascii="Times New Roman" w:hAnsi="Times New Roman"/>
                <w:szCs w:val="21"/>
                <w:lang w:eastAsia="en-GB"/>
              </w:rPr>
              <w:t>mln zł.</w:t>
            </w:r>
          </w:p>
          <w:p w14:paraId="6F8602D1" w14:textId="779F1F82" w:rsidR="00A27235" w:rsidRPr="00A27235" w:rsidRDefault="00A27235" w:rsidP="00A27235">
            <w:pPr>
              <w:spacing w:line="240" w:lineRule="auto"/>
              <w:jc w:val="both"/>
              <w:rPr>
                <w:rFonts w:ascii="Times New Roman" w:hAnsi="Times New Roman"/>
                <w:szCs w:val="21"/>
                <w:lang w:eastAsia="en-GB"/>
              </w:rPr>
            </w:pPr>
            <w:r w:rsidRPr="00A27235">
              <w:rPr>
                <w:rFonts w:ascii="Times New Roman" w:hAnsi="Times New Roman"/>
                <w:szCs w:val="21"/>
                <w:lang w:eastAsia="en-GB"/>
              </w:rPr>
              <w:t>Szacuje się, że wydatki JST w związku z realizacją Programu „Stop Smog” (wkład własny gmin, który jest wnoszony w ramach realizacji Programu „Stop Smog”) według stanu na dzień 2</w:t>
            </w:r>
            <w:r w:rsidR="009672FC">
              <w:rPr>
                <w:rFonts w:ascii="Times New Roman" w:hAnsi="Times New Roman"/>
                <w:szCs w:val="21"/>
                <w:lang w:eastAsia="en-GB"/>
              </w:rPr>
              <w:t>9</w:t>
            </w:r>
            <w:r w:rsidRPr="00A27235">
              <w:rPr>
                <w:rFonts w:ascii="Times New Roman" w:hAnsi="Times New Roman"/>
                <w:szCs w:val="21"/>
                <w:lang w:eastAsia="en-GB"/>
              </w:rPr>
              <w:t xml:space="preserve"> </w:t>
            </w:r>
            <w:r w:rsidR="00605184">
              <w:rPr>
                <w:rFonts w:ascii="Times New Roman" w:hAnsi="Times New Roman"/>
                <w:szCs w:val="21"/>
                <w:lang w:eastAsia="en-GB"/>
              </w:rPr>
              <w:t>lutego</w:t>
            </w:r>
            <w:r w:rsidR="00605184" w:rsidRPr="00A27235">
              <w:rPr>
                <w:rFonts w:ascii="Times New Roman" w:hAnsi="Times New Roman"/>
                <w:szCs w:val="21"/>
                <w:lang w:eastAsia="en-GB"/>
              </w:rPr>
              <w:t xml:space="preserve"> </w:t>
            </w:r>
            <w:r w:rsidRPr="00A27235">
              <w:rPr>
                <w:rFonts w:ascii="Times New Roman" w:hAnsi="Times New Roman"/>
                <w:szCs w:val="21"/>
                <w:lang w:eastAsia="en-GB"/>
              </w:rPr>
              <w:t>br. dla podpisanych 1</w:t>
            </w:r>
            <w:r w:rsidR="009672FC">
              <w:rPr>
                <w:rFonts w:ascii="Times New Roman" w:hAnsi="Times New Roman"/>
                <w:szCs w:val="21"/>
                <w:lang w:eastAsia="en-GB"/>
              </w:rPr>
              <w:t>8</w:t>
            </w:r>
            <w:r w:rsidRPr="00A27235">
              <w:rPr>
                <w:rFonts w:ascii="Times New Roman" w:hAnsi="Times New Roman"/>
                <w:szCs w:val="21"/>
                <w:lang w:eastAsia="en-GB"/>
              </w:rPr>
              <w:t xml:space="preserve"> porozumień będą się kształtowały w przedziale 28,</w:t>
            </w:r>
            <w:r w:rsidR="009672FC">
              <w:rPr>
                <w:rFonts w:ascii="Times New Roman" w:hAnsi="Times New Roman"/>
                <w:szCs w:val="21"/>
                <w:lang w:eastAsia="en-GB"/>
              </w:rPr>
              <w:t>3</w:t>
            </w:r>
            <w:r w:rsidRPr="00A27235">
              <w:rPr>
                <w:rFonts w:ascii="Times New Roman" w:hAnsi="Times New Roman"/>
                <w:szCs w:val="21"/>
                <w:lang w:eastAsia="en-GB"/>
              </w:rPr>
              <w:t xml:space="preserve"> mln zł (przy założeniu, że wszystkie gminy, które przystąpiły na chwilą obecną do Programu, będą go realizować na starych zasadach) – ok. </w:t>
            </w:r>
            <w:r w:rsidR="009672FC">
              <w:rPr>
                <w:rFonts w:ascii="Times New Roman" w:hAnsi="Times New Roman"/>
                <w:szCs w:val="21"/>
                <w:lang w:eastAsia="en-GB"/>
              </w:rPr>
              <w:t>21</w:t>
            </w:r>
            <w:r w:rsidRPr="00A27235">
              <w:rPr>
                <w:rFonts w:ascii="Times New Roman" w:hAnsi="Times New Roman"/>
                <w:szCs w:val="21"/>
                <w:lang w:eastAsia="en-GB"/>
              </w:rPr>
              <w:t>,</w:t>
            </w:r>
            <w:r w:rsidR="009672FC">
              <w:rPr>
                <w:rFonts w:ascii="Times New Roman" w:hAnsi="Times New Roman"/>
                <w:szCs w:val="21"/>
                <w:lang w:eastAsia="en-GB"/>
              </w:rPr>
              <w:t>5</w:t>
            </w:r>
            <w:r w:rsidR="00605184">
              <w:rPr>
                <w:rFonts w:ascii="Times New Roman" w:hAnsi="Times New Roman"/>
                <w:szCs w:val="21"/>
                <w:lang w:eastAsia="en-GB"/>
              </w:rPr>
              <w:t>8</w:t>
            </w:r>
            <w:r w:rsidRPr="00A27235">
              <w:rPr>
                <w:rFonts w:ascii="Times New Roman" w:hAnsi="Times New Roman"/>
                <w:szCs w:val="21"/>
                <w:lang w:eastAsia="en-GB"/>
              </w:rPr>
              <w:t xml:space="preserve"> mln zł (przy założeniu, że wszystkie gminy, które prz</w:t>
            </w:r>
            <w:r w:rsidR="00F40C04">
              <w:rPr>
                <w:rFonts w:ascii="Times New Roman" w:hAnsi="Times New Roman"/>
                <w:szCs w:val="21"/>
                <w:lang w:eastAsia="en-GB"/>
              </w:rPr>
              <w:t>y</w:t>
            </w:r>
            <w:r w:rsidRPr="00A27235">
              <w:rPr>
                <w:rFonts w:ascii="Times New Roman" w:hAnsi="Times New Roman"/>
                <w:szCs w:val="21"/>
                <w:lang w:eastAsia="en-GB"/>
              </w:rPr>
              <w:t>stąpiły do Programu, będą go realizować na nowych zasadach; z wyłączeniem umów, które gminy zawarły już z beneficjentem – te realizowane będą na dotychczasowych zasadach oraz zakończonych porozumień)</w:t>
            </w:r>
            <w:r w:rsidR="00957444">
              <w:rPr>
                <w:rFonts w:ascii="Times New Roman" w:hAnsi="Times New Roman"/>
                <w:szCs w:val="21"/>
                <w:lang w:eastAsia="en-GB"/>
              </w:rPr>
              <w:t>.</w:t>
            </w:r>
          </w:p>
          <w:p w14:paraId="0326F834" w14:textId="77777777" w:rsidR="00A27235" w:rsidRPr="00A27235" w:rsidRDefault="00A27235" w:rsidP="00A27235">
            <w:pPr>
              <w:spacing w:line="240" w:lineRule="auto"/>
              <w:jc w:val="both"/>
              <w:rPr>
                <w:rFonts w:ascii="Times New Roman" w:hAnsi="Times New Roman"/>
                <w:szCs w:val="21"/>
                <w:lang w:eastAsia="en-GB"/>
              </w:rPr>
            </w:pPr>
            <w:r w:rsidRPr="00A27235">
              <w:rPr>
                <w:rFonts w:ascii="Times New Roman" w:hAnsi="Times New Roman"/>
                <w:szCs w:val="21"/>
                <w:lang w:eastAsia="en-GB"/>
              </w:rPr>
              <w:t>Wielkość wkładu własnego JST (po wprowadzeniu projektowanych zmian) jest uzależniona od liczby gmin, które postanowią podpisać aneks do porozumienia i realizować Program na nowych zasadach.</w:t>
            </w:r>
          </w:p>
          <w:p w14:paraId="79918073" w14:textId="1CBD75E6" w:rsidR="00E40B9E" w:rsidRDefault="00E40B9E" w:rsidP="00E40B9E">
            <w:pPr>
              <w:autoSpaceDE w:val="0"/>
              <w:autoSpaceDN w:val="0"/>
              <w:adjustRightInd w:val="0"/>
              <w:spacing w:line="240" w:lineRule="auto"/>
              <w:rPr>
                <w:rFonts w:ascii="TimesNewRomanPSMT" w:hAnsi="TimesNewRomanPSMT" w:cs="TimesNewRomanPSMT"/>
                <w:b/>
                <w:bCs/>
                <w:lang w:eastAsia="pl-PL"/>
              </w:rPr>
            </w:pPr>
            <w:r w:rsidRPr="00537CC2">
              <w:rPr>
                <w:rFonts w:ascii="TimesNewRomanPSMT" w:hAnsi="TimesNewRomanPSMT" w:cs="TimesNewRomanPSMT"/>
                <w:b/>
                <w:bCs/>
                <w:lang w:eastAsia="pl-PL"/>
              </w:rPr>
              <w:t>Fundusz Rozwoju Regionalnego</w:t>
            </w:r>
            <w:r>
              <w:rPr>
                <w:rFonts w:ascii="TimesNewRomanPSMT" w:hAnsi="TimesNewRomanPSMT" w:cs="TimesNewRomanPSMT"/>
                <w:b/>
                <w:bCs/>
                <w:lang w:eastAsia="pl-PL"/>
              </w:rPr>
              <w:t xml:space="preserve"> (FRR)</w:t>
            </w:r>
            <w:r w:rsidRPr="00537CC2">
              <w:rPr>
                <w:rFonts w:ascii="TimesNewRomanPSMT" w:hAnsi="TimesNewRomanPSMT" w:cs="TimesNewRomanPSMT"/>
                <w:b/>
                <w:bCs/>
                <w:lang w:eastAsia="pl-PL"/>
              </w:rPr>
              <w:t xml:space="preserve"> </w:t>
            </w:r>
          </w:p>
          <w:p w14:paraId="0884B739" w14:textId="078D8939" w:rsidR="00783664" w:rsidRPr="00537CC2" w:rsidRDefault="00E40B9E" w:rsidP="00605B37">
            <w:pPr>
              <w:autoSpaceDE w:val="0"/>
              <w:autoSpaceDN w:val="0"/>
              <w:adjustRightInd w:val="0"/>
              <w:spacing w:line="240" w:lineRule="auto"/>
              <w:jc w:val="both"/>
              <w:rPr>
                <w:rFonts w:ascii="TimesNewRomanPSMT" w:hAnsi="TimesNewRomanPSMT" w:cs="TimesNewRomanPSMT"/>
                <w:b/>
                <w:bCs/>
                <w:lang w:eastAsia="pl-PL"/>
              </w:rPr>
            </w:pPr>
            <w:r>
              <w:rPr>
                <w:rFonts w:ascii="Times New Roman" w:hAnsi="Times New Roman"/>
                <w:szCs w:val="21"/>
                <w:lang w:eastAsia="en-GB"/>
              </w:rPr>
              <w:t>P</w:t>
            </w:r>
            <w:r w:rsidRPr="00080C66">
              <w:rPr>
                <w:rFonts w:ascii="Times New Roman" w:hAnsi="Times New Roman"/>
                <w:szCs w:val="21"/>
                <w:lang w:eastAsia="en-GB"/>
              </w:rPr>
              <w:t xml:space="preserve">rojekt </w:t>
            </w:r>
            <w:r>
              <w:rPr>
                <w:rFonts w:ascii="Times New Roman" w:hAnsi="Times New Roman"/>
                <w:szCs w:val="21"/>
                <w:lang w:eastAsia="en-GB"/>
              </w:rPr>
              <w:t xml:space="preserve">ustawy </w:t>
            </w:r>
            <w:r w:rsidRPr="00080C66">
              <w:rPr>
                <w:rFonts w:ascii="Times New Roman" w:hAnsi="Times New Roman"/>
                <w:szCs w:val="21"/>
                <w:lang w:eastAsia="en-GB"/>
              </w:rPr>
              <w:t xml:space="preserve">nie tworzy </w:t>
            </w:r>
            <w:r>
              <w:rPr>
                <w:rFonts w:ascii="Times New Roman" w:hAnsi="Times New Roman"/>
                <w:szCs w:val="21"/>
                <w:lang w:eastAsia="en-GB"/>
              </w:rPr>
              <w:t xml:space="preserve">nowego FRR, nie tworzy </w:t>
            </w:r>
            <w:r w:rsidRPr="00080C66">
              <w:rPr>
                <w:rFonts w:ascii="Times New Roman" w:hAnsi="Times New Roman"/>
                <w:szCs w:val="21"/>
                <w:lang w:eastAsia="en-GB"/>
              </w:rPr>
              <w:t>nowego źródła przychodów FRR</w:t>
            </w:r>
            <w:r>
              <w:rPr>
                <w:rFonts w:ascii="Times New Roman" w:hAnsi="Times New Roman"/>
                <w:szCs w:val="21"/>
                <w:lang w:eastAsia="en-GB"/>
              </w:rPr>
              <w:t xml:space="preserve"> </w:t>
            </w:r>
            <w:r w:rsidRPr="00080C66">
              <w:rPr>
                <w:rFonts w:ascii="Times New Roman" w:hAnsi="Times New Roman"/>
                <w:szCs w:val="21"/>
                <w:lang w:eastAsia="en-GB"/>
              </w:rPr>
              <w:t>ani nie określa nowej metodologii liczenia jego przychodów, dlatego wykazywanie tych przychodów w</w:t>
            </w:r>
            <w:r w:rsidR="009A7B8F">
              <w:rPr>
                <w:rFonts w:ascii="Times New Roman" w:hAnsi="Times New Roman"/>
                <w:szCs w:val="21"/>
                <w:lang w:eastAsia="en-GB"/>
              </w:rPr>
              <w:t> </w:t>
            </w:r>
            <w:r>
              <w:rPr>
                <w:rFonts w:ascii="Times New Roman" w:hAnsi="Times New Roman"/>
                <w:szCs w:val="21"/>
                <w:lang w:eastAsia="en-GB"/>
              </w:rPr>
              <w:t xml:space="preserve">tabeli w pkt 6 </w:t>
            </w:r>
            <w:r w:rsidRPr="00080C66">
              <w:rPr>
                <w:rFonts w:ascii="Times New Roman" w:hAnsi="Times New Roman"/>
                <w:szCs w:val="21"/>
                <w:lang w:eastAsia="en-GB"/>
              </w:rPr>
              <w:t>OSR nie jest uzasadnione</w:t>
            </w:r>
            <w:r>
              <w:rPr>
                <w:rFonts w:ascii="Times New Roman" w:hAnsi="Times New Roman"/>
                <w:szCs w:val="21"/>
                <w:lang w:eastAsia="en-GB"/>
              </w:rPr>
              <w:t>.</w:t>
            </w:r>
          </w:p>
          <w:p w14:paraId="01EF1E90" w14:textId="2E88B37E" w:rsidR="00E222B4" w:rsidRPr="00E10617" w:rsidRDefault="00E40B9E" w:rsidP="009603B5">
            <w:pPr>
              <w:autoSpaceDE w:val="0"/>
              <w:autoSpaceDN w:val="0"/>
              <w:adjustRightInd w:val="0"/>
              <w:spacing w:after="120" w:line="240" w:lineRule="auto"/>
              <w:jc w:val="both"/>
            </w:pPr>
            <w:r w:rsidRPr="00783664">
              <w:rPr>
                <w:rFonts w:ascii="Times New Roman" w:hAnsi="Times New Roman"/>
                <w:szCs w:val="21"/>
                <w:lang w:eastAsia="en-GB"/>
              </w:rPr>
              <w:t>Obecnie nie planuje się ubiegania się o dotację z budżetu państwa na dokapitalizowanie</w:t>
            </w:r>
            <w:r w:rsidR="00783664" w:rsidRPr="00783664">
              <w:rPr>
                <w:rFonts w:ascii="Times New Roman" w:hAnsi="Times New Roman"/>
                <w:szCs w:val="21"/>
                <w:lang w:eastAsia="en-GB"/>
              </w:rPr>
              <w:t xml:space="preserve"> </w:t>
            </w:r>
            <w:r w:rsidRPr="00783664">
              <w:rPr>
                <w:rFonts w:ascii="Times New Roman" w:hAnsi="Times New Roman"/>
                <w:szCs w:val="21"/>
                <w:lang w:eastAsia="en-GB"/>
              </w:rPr>
              <w:t>funduszu</w:t>
            </w:r>
            <w:r w:rsidR="00783664">
              <w:rPr>
                <w:rFonts w:ascii="Times New Roman" w:hAnsi="Times New Roman"/>
                <w:szCs w:val="21"/>
                <w:lang w:eastAsia="en-GB"/>
              </w:rPr>
              <w:t xml:space="preserve"> </w:t>
            </w:r>
            <w:r w:rsidRPr="00783664">
              <w:rPr>
                <w:rFonts w:ascii="Times New Roman" w:hAnsi="Times New Roman"/>
                <w:szCs w:val="21"/>
                <w:lang w:eastAsia="en-GB"/>
              </w:rPr>
              <w:t xml:space="preserve">w związku z rozszerzeniem katalogu zadań. </w:t>
            </w:r>
            <w:bookmarkStart w:id="45" w:name="_Hlk157781138"/>
            <w:r w:rsidRPr="00783664">
              <w:rPr>
                <w:rFonts w:ascii="Times New Roman" w:hAnsi="Times New Roman"/>
                <w:szCs w:val="21"/>
                <w:lang w:eastAsia="en-GB"/>
              </w:rPr>
              <w:t xml:space="preserve">Tym samym zmiana ta nie będzie wpływać na zwiększenie poziomu zaangażowania środków budżetu państwa, a zadania FRR będą realizowane w ramach środków określonych w jego planie </w:t>
            </w:r>
            <w:r w:rsidRPr="00D65186">
              <w:rPr>
                <w:rFonts w:ascii="Times New Roman" w:hAnsi="Times New Roman"/>
                <w:szCs w:val="21"/>
                <w:lang w:eastAsia="en-GB"/>
              </w:rPr>
              <w:t>finansowym na rok 202</w:t>
            </w:r>
            <w:r w:rsidR="0042317D" w:rsidRPr="00E55CB1">
              <w:rPr>
                <w:rFonts w:ascii="Times New Roman" w:hAnsi="Times New Roman"/>
                <w:szCs w:val="21"/>
                <w:lang w:eastAsia="en-GB"/>
              </w:rPr>
              <w:t>4</w:t>
            </w:r>
            <w:r w:rsidRPr="00D65186">
              <w:rPr>
                <w:rFonts w:ascii="Times New Roman" w:hAnsi="Times New Roman"/>
                <w:szCs w:val="21"/>
                <w:lang w:eastAsia="en-GB"/>
              </w:rPr>
              <w:t xml:space="preserve"> i w latach kolejnych</w:t>
            </w:r>
            <w:bookmarkEnd w:id="45"/>
            <w:r w:rsidRPr="00D65186">
              <w:rPr>
                <w:rFonts w:ascii="Times New Roman" w:hAnsi="Times New Roman"/>
                <w:szCs w:val="21"/>
                <w:lang w:eastAsia="en-GB"/>
              </w:rPr>
              <w:t>. Środki funduszu wydatkowane są zgodnie z Planem działań, ujętym w zarządzeniu</w:t>
            </w:r>
            <w:r w:rsidRPr="00783664">
              <w:rPr>
                <w:rFonts w:ascii="Times New Roman" w:hAnsi="Times New Roman"/>
                <w:szCs w:val="21"/>
                <w:lang w:eastAsia="en-GB"/>
              </w:rPr>
              <w:t xml:space="preserve"> </w:t>
            </w:r>
            <w:proofErr w:type="spellStart"/>
            <w:r w:rsidRPr="00783664">
              <w:rPr>
                <w:rFonts w:ascii="Times New Roman" w:hAnsi="Times New Roman"/>
                <w:szCs w:val="21"/>
                <w:lang w:eastAsia="en-GB"/>
              </w:rPr>
              <w:t>MFiPR</w:t>
            </w:r>
            <w:proofErr w:type="spellEnd"/>
            <w:r w:rsidRPr="00783664">
              <w:rPr>
                <w:rFonts w:ascii="Times New Roman" w:hAnsi="Times New Roman"/>
                <w:szCs w:val="21"/>
                <w:lang w:eastAsia="en-GB"/>
              </w:rPr>
              <w:t xml:space="preserve"> w sprawie dysponowania środkami z FRR i podlegają zatwierdzeniu przez </w:t>
            </w:r>
            <w:proofErr w:type="spellStart"/>
            <w:r w:rsidRPr="00783664">
              <w:rPr>
                <w:rFonts w:ascii="Times New Roman" w:hAnsi="Times New Roman"/>
                <w:szCs w:val="21"/>
                <w:lang w:eastAsia="en-GB"/>
              </w:rPr>
              <w:t>MFiPR</w:t>
            </w:r>
            <w:proofErr w:type="spellEnd"/>
            <w:r w:rsidRPr="00783664">
              <w:rPr>
                <w:rFonts w:ascii="Times New Roman" w:hAnsi="Times New Roman"/>
                <w:szCs w:val="21"/>
                <w:lang w:eastAsia="en-GB"/>
              </w:rPr>
              <w:t>. Ze względu na fakt, że środki funduszu przeznacza się na różne cele, dokładne określenie wydatków na wzmacnianie możliwości inwestycyjnych miast i miejskich obszarów funkcjonalnych ukierunkowanych na zieloną transformację będzie możliwe po zatwierdzeniu Planu działań oraz wybraniu do realizacji konkretnych projektów.</w:t>
            </w:r>
          </w:p>
        </w:tc>
      </w:tr>
      <w:tr w:rsidR="00E40B9E" w:rsidRPr="007A2509" w14:paraId="07AFD697" w14:textId="77777777" w:rsidTr="00C14EA7">
        <w:trPr>
          <w:trHeight w:val="345"/>
          <w:jc w:val="center"/>
        </w:trPr>
        <w:tc>
          <w:tcPr>
            <w:tcW w:w="10937" w:type="dxa"/>
            <w:gridSpan w:val="13"/>
            <w:shd w:val="clear" w:color="auto" w:fill="99CCFF"/>
          </w:tcPr>
          <w:p w14:paraId="7C529876" w14:textId="77777777" w:rsidR="00E40B9E" w:rsidRPr="007A2509" w:rsidRDefault="00E40B9E" w:rsidP="005C4CF5">
            <w:pPr>
              <w:numPr>
                <w:ilvl w:val="0"/>
                <w:numId w:val="38"/>
              </w:numPr>
              <w:spacing w:line="240" w:lineRule="auto"/>
              <w:jc w:val="both"/>
              <w:rPr>
                <w:rFonts w:ascii="Times New Roman" w:hAnsi="Times New Roman"/>
                <w:b/>
                <w:color w:val="000000"/>
                <w:spacing w:val="-2"/>
              </w:rPr>
            </w:pPr>
            <w:r w:rsidRPr="007A2509">
              <w:rPr>
                <w:rFonts w:ascii="Times New Roman" w:hAnsi="Times New Roman"/>
                <w:b/>
                <w:color w:val="000000"/>
                <w:spacing w:val="-2"/>
              </w:rPr>
              <w:lastRenderedPageBreak/>
              <w:t xml:space="preserve">Wpływ na </w:t>
            </w:r>
            <w:r w:rsidRPr="007A2509">
              <w:rPr>
                <w:rFonts w:ascii="Times New Roman" w:hAnsi="Times New Roman"/>
                <w:b/>
                <w:color w:val="000000"/>
              </w:rPr>
              <w:t xml:space="preserve">konkurencyjność gospodarki i przedsiębiorczość, w tym funkcjonowanie przedsiębiorców oraz na rodzinę, obywateli i gospodarstwa domowe </w:t>
            </w:r>
          </w:p>
        </w:tc>
      </w:tr>
      <w:tr w:rsidR="00E40B9E" w:rsidRPr="007A2509" w14:paraId="387723EF" w14:textId="77777777" w:rsidTr="00C14EA7">
        <w:trPr>
          <w:trHeight w:val="142"/>
          <w:jc w:val="center"/>
        </w:trPr>
        <w:tc>
          <w:tcPr>
            <w:tcW w:w="10937" w:type="dxa"/>
            <w:gridSpan w:val="13"/>
            <w:shd w:val="clear" w:color="auto" w:fill="FFFFFF"/>
          </w:tcPr>
          <w:p w14:paraId="7FC80BBC" w14:textId="77777777" w:rsidR="00E40B9E" w:rsidRPr="007A2509" w:rsidRDefault="00E40B9E" w:rsidP="00E40B9E">
            <w:pPr>
              <w:spacing w:line="240" w:lineRule="auto"/>
              <w:jc w:val="both"/>
              <w:rPr>
                <w:rFonts w:ascii="Times New Roman" w:hAnsi="Times New Roman"/>
                <w:color w:val="000000"/>
                <w:spacing w:val="-2"/>
              </w:rPr>
            </w:pPr>
            <w:r w:rsidRPr="007A2509">
              <w:rPr>
                <w:rFonts w:ascii="Times New Roman" w:hAnsi="Times New Roman"/>
                <w:color w:val="000000"/>
                <w:spacing w:val="-2"/>
              </w:rPr>
              <w:t>Skutki</w:t>
            </w:r>
          </w:p>
        </w:tc>
      </w:tr>
      <w:tr w:rsidR="00E40B9E" w:rsidRPr="007A2509" w14:paraId="0BA4B1C2" w14:textId="77777777" w:rsidTr="00BC2A95">
        <w:trPr>
          <w:trHeight w:val="142"/>
          <w:jc w:val="center"/>
        </w:trPr>
        <w:tc>
          <w:tcPr>
            <w:tcW w:w="3889" w:type="dxa"/>
            <w:gridSpan w:val="4"/>
            <w:shd w:val="clear" w:color="auto" w:fill="FFFFFF"/>
          </w:tcPr>
          <w:p w14:paraId="4DAA4C62"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Czas w latach od wejścia w życie zmian</w:t>
            </w:r>
          </w:p>
        </w:tc>
        <w:tc>
          <w:tcPr>
            <w:tcW w:w="937" w:type="dxa"/>
            <w:shd w:val="clear" w:color="auto" w:fill="FFFFFF"/>
          </w:tcPr>
          <w:p w14:paraId="19412D29"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0</w:t>
            </w:r>
          </w:p>
        </w:tc>
        <w:tc>
          <w:tcPr>
            <w:tcW w:w="938" w:type="dxa"/>
            <w:gridSpan w:val="2"/>
            <w:shd w:val="clear" w:color="auto" w:fill="FFFFFF"/>
          </w:tcPr>
          <w:p w14:paraId="746E4466"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1</w:t>
            </w:r>
          </w:p>
        </w:tc>
        <w:tc>
          <w:tcPr>
            <w:tcW w:w="894" w:type="dxa"/>
            <w:shd w:val="clear" w:color="auto" w:fill="FFFFFF"/>
          </w:tcPr>
          <w:p w14:paraId="4542FA56"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2</w:t>
            </w:r>
          </w:p>
        </w:tc>
        <w:tc>
          <w:tcPr>
            <w:tcW w:w="981" w:type="dxa"/>
            <w:gridSpan w:val="2"/>
            <w:shd w:val="clear" w:color="auto" w:fill="FFFFFF"/>
          </w:tcPr>
          <w:p w14:paraId="358A83B1"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3</w:t>
            </w:r>
          </w:p>
        </w:tc>
        <w:tc>
          <w:tcPr>
            <w:tcW w:w="938" w:type="dxa"/>
            <w:shd w:val="clear" w:color="auto" w:fill="FFFFFF"/>
          </w:tcPr>
          <w:p w14:paraId="1DEAFDF6"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5</w:t>
            </w:r>
          </w:p>
        </w:tc>
        <w:tc>
          <w:tcPr>
            <w:tcW w:w="938" w:type="dxa"/>
            <w:shd w:val="clear" w:color="auto" w:fill="FFFFFF"/>
          </w:tcPr>
          <w:p w14:paraId="5B1D85FB"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10</w:t>
            </w:r>
          </w:p>
        </w:tc>
        <w:tc>
          <w:tcPr>
            <w:tcW w:w="1422" w:type="dxa"/>
            <w:shd w:val="clear" w:color="auto" w:fill="FFFFFF"/>
          </w:tcPr>
          <w:p w14:paraId="16A9D031" w14:textId="77777777" w:rsidR="00E40B9E" w:rsidRPr="007A2509" w:rsidRDefault="00E40B9E" w:rsidP="00E40B9E">
            <w:pPr>
              <w:spacing w:line="240" w:lineRule="auto"/>
              <w:jc w:val="both"/>
              <w:rPr>
                <w:rFonts w:ascii="Times New Roman" w:hAnsi="Times New Roman"/>
                <w:i/>
                <w:color w:val="000000"/>
                <w:spacing w:val="-2"/>
              </w:rPr>
            </w:pPr>
            <w:r w:rsidRPr="007A2509">
              <w:rPr>
                <w:rFonts w:ascii="Times New Roman" w:hAnsi="Times New Roman"/>
                <w:i/>
                <w:color w:val="000000"/>
                <w:spacing w:val="-2"/>
              </w:rPr>
              <w:t>Łącznie</w:t>
            </w:r>
            <w:r w:rsidRPr="007A2509" w:rsidDel="0073273A">
              <w:rPr>
                <w:rFonts w:ascii="Times New Roman" w:hAnsi="Times New Roman"/>
                <w:i/>
                <w:color w:val="000000"/>
                <w:spacing w:val="-2"/>
              </w:rPr>
              <w:t xml:space="preserve"> </w:t>
            </w:r>
            <w:r w:rsidRPr="007A2509">
              <w:rPr>
                <w:rFonts w:ascii="Times New Roman" w:hAnsi="Times New Roman"/>
                <w:i/>
                <w:color w:val="000000"/>
                <w:spacing w:val="-2"/>
              </w:rPr>
              <w:t>(0-10)</w:t>
            </w:r>
          </w:p>
        </w:tc>
      </w:tr>
      <w:tr w:rsidR="0042317D" w:rsidRPr="007A2509" w14:paraId="4B629BA2" w14:textId="77777777" w:rsidTr="00BC2A95">
        <w:trPr>
          <w:trHeight w:val="142"/>
          <w:jc w:val="center"/>
        </w:trPr>
        <w:tc>
          <w:tcPr>
            <w:tcW w:w="1596" w:type="dxa"/>
            <w:vMerge w:val="restart"/>
            <w:shd w:val="clear" w:color="auto" w:fill="FFFFFF"/>
          </w:tcPr>
          <w:p w14:paraId="48441DAB" w14:textId="77777777" w:rsidR="0042317D" w:rsidRPr="007A2509" w:rsidRDefault="0042317D" w:rsidP="0042317D">
            <w:pPr>
              <w:spacing w:line="240" w:lineRule="auto"/>
              <w:jc w:val="both"/>
              <w:rPr>
                <w:rFonts w:ascii="Times New Roman" w:hAnsi="Times New Roman"/>
                <w:color w:val="000000"/>
              </w:rPr>
            </w:pPr>
            <w:r w:rsidRPr="007A2509">
              <w:rPr>
                <w:rFonts w:ascii="Times New Roman" w:hAnsi="Times New Roman"/>
                <w:color w:val="000000"/>
              </w:rPr>
              <w:t>W ujęciu pieniężnym</w:t>
            </w:r>
          </w:p>
          <w:p w14:paraId="7832F9D1" w14:textId="77777777" w:rsidR="0042317D" w:rsidRPr="007A2509" w:rsidRDefault="0042317D" w:rsidP="0042317D">
            <w:pPr>
              <w:spacing w:line="240" w:lineRule="auto"/>
              <w:jc w:val="both"/>
              <w:rPr>
                <w:rFonts w:ascii="Times New Roman" w:hAnsi="Times New Roman"/>
                <w:spacing w:val="-2"/>
              </w:rPr>
            </w:pPr>
            <w:r w:rsidRPr="007A2509">
              <w:rPr>
                <w:rFonts w:ascii="Times New Roman" w:hAnsi="Times New Roman"/>
                <w:spacing w:val="-2"/>
              </w:rPr>
              <w:t xml:space="preserve">(w mln zł, </w:t>
            </w:r>
          </w:p>
          <w:p w14:paraId="56A6B8D1" w14:textId="77777777" w:rsidR="0042317D" w:rsidRPr="007A2509" w:rsidRDefault="0042317D" w:rsidP="0042317D">
            <w:pPr>
              <w:spacing w:line="240" w:lineRule="auto"/>
              <w:jc w:val="both"/>
              <w:rPr>
                <w:rFonts w:ascii="Times New Roman" w:hAnsi="Times New Roman"/>
                <w:color w:val="000000"/>
              </w:rPr>
            </w:pPr>
            <w:r w:rsidRPr="007A2509">
              <w:rPr>
                <w:rFonts w:ascii="Times New Roman" w:hAnsi="Times New Roman"/>
                <w:spacing w:val="-2"/>
              </w:rPr>
              <w:lastRenderedPageBreak/>
              <w:t>ceny stałe z 2021 r.)</w:t>
            </w:r>
          </w:p>
        </w:tc>
        <w:tc>
          <w:tcPr>
            <w:tcW w:w="2293" w:type="dxa"/>
            <w:gridSpan w:val="3"/>
            <w:shd w:val="clear" w:color="auto" w:fill="FFFFFF"/>
          </w:tcPr>
          <w:p w14:paraId="550D075C" w14:textId="77777777" w:rsidR="0042317D" w:rsidRPr="007A2509" w:rsidRDefault="0042317D" w:rsidP="0042317D">
            <w:pPr>
              <w:spacing w:line="240" w:lineRule="auto"/>
              <w:jc w:val="both"/>
              <w:rPr>
                <w:rFonts w:ascii="Times New Roman" w:hAnsi="Times New Roman"/>
                <w:color w:val="000000"/>
              </w:rPr>
            </w:pPr>
            <w:r w:rsidRPr="007A2509">
              <w:rPr>
                <w:rFonts w:ascii="Times New Roman" w:hAnsi="Times New Roman"/>
                <w:color w:val="000000"/>
              </w:rPr>
              <w:lastRenderedPageBreak/>
              <w:t>duże przedsiębiorstwa</w:t>
            </w:r>
          </w:p>
        </w:tc>
        <w:tc>
          <w:tcPr>
            <w:tcW w:w="937" w:type="dxa"/>
            <w:shd w:val="clear" w:color="auto" w:fill="FFFFFF"/>
            <w:vAlign w:val="center"/>
          </w:tcPr>
          <w:p w14:paraId="6FE041AA" w14:textId="77777777" w:rsidR="0042317D" w:rsidRPr="007A2509" w:rsidRDefault="0042317D" w:rsidP="0042317D">
            <w:pPr>
              <w:spacing w:line="240" w:lineRule="auto"/>
              <w:jc w:val="both"/>
              <w:rPr>
                <w:rFonts w:ascii="Times New Roman" w:hAnsi="Times New Roman"/>
                <w:color w:val="000000"/>
              </w:rPr>
            </w:pPr>
            <w:r w:rsidRPr="007A2509">
              <w:rPr>
                <w:rFonts w:ascii="Times New Roman" w:hAnsi="Times New Roman"/>
                <w:color w:val="000000"/>
              </w:rPr>
              <w:t>0</w:t>
            </w:r>
          </w:p>
        </w:tc>
        <w:tc>
          <w:tcPr>
            <w:tcW w:w="938" w:type="dxa"/>
            <w:gridSpan w:val="2"/>
            <w:shd w:val="clear" w:color="auto" w:fill="FFFFFF"/>
            <w:vAlign w:val="center"/>
          </w:tcPr>
          <w:p w14:paraId="09441085" w14:textId="371EF8DE" w:rsidR="0042317D" w:rsidRPr="007A2509"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c>
          <w:tcPr>
            <w:tcW w:w="894" w:type="dxa"/>
            <w:shd w:val="clear" w:color="auto" w:fill="FFFFFF"/>
            <w:vAlign w:val="center"/>
          </w:tcPr>
          <w:p w14:paraId="133A783D" w14:textId="3A3E3C2F" w:rsidR="0042317D" w:rsidRPr="007A2509"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c>
          <w:tcPr>
            <w:tcW w:w="981" w:type="dxa"/>
            <w:gridSpan w:val="2"/>
            <w:shd w:val="clear" w:color="auto" w:fill="FFFFFF"/>
            <w:vAlign w:val="center"/>
          </w:tcPr>
          <w:p w14:paraId="45237F4C" w14:textId="0097A142" w:rsidR="0042317D" w:rsidRPr="007A2509"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c>
          <w:tcPr>
            <w:tcW w:w="938" w:type="dxa"/>
            <w:shd w:val="clear" w:color="auto" w:fill="FFFFFF"/>
            <w:vAlign w:val="center"/>
          </w:tcPr>
          <w:p w14:paraId="7DD756DB" w14:textId="54120DB5" w:rsidR="0042317D" w:rsidRPr="007A2509"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c>
          <w:tcPr>
            <w:tcW w:w="938" w:type="dxa"/>
            <w:shd w:val="clear" w:color="auto" w:fill="FFFFFF"/>
            <w:vAlign w:val="center"/>
          </w:tcPr>
          <w:p w14:paraId="492BFE01" w14:textId="53A4C374" w:rsidR="0042317D" w:rsidRPr="007A2509"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c>
          <w:tcPr>
            <w:tcW w:w="1422" w:type="dxa"/>
            <w:shd w:val="clear" w:color="auto" w:fill="FFFFFF"/>
            <w:vAlign w:val="center"/>
          </w:tcPr>
          <w:p w14:paraId="37BC3C50" w14:textId="72EB1141" w:rsidR="0042317D" w:rsidRPr="00B767DE" w:rsidRDefault="0042317D" w:rsidP="0042317D">
            <w:pPr>
              <w:spacing w:line="240" w:lineRule="auto"/>
              <w:jc w:val="both"/>
              <w:rPr>
                <w:rFonts w:ascii="Times New Roman" w:hAnsi="Times New Roman"/>
                <w:color w:val="000000"/>
              </w:rPr>
            </w:pPr>
            <w:r w:rsidRPr="00FB15C1">
              <w:rPr>
                <w:rFonts w:ascii="Times New Roman" w:hAnsi="Times New Roman"/>
                <w:color w:val="000000"/>
              </w:rPr>
              <w:t>b.d.</w:t>
            </w:r>
          </w:p>
        </w:tc>
      </w:tr>
      <w:tr w:rsidR="00E40B9E" w:rsidRPr="007A2509" w14:paraId="687266CD" w14:textId="77777777" w:rsidTr="00BC2A95">
        <w:trPr>
          <w:trHeight w:val="142"/>
          <w:jc w:val="center"/>
        </w:trPr>
        <w:tc>
          <w:tcPr>
            <w:tcW w:w="1596" w:type="dxa"/>
            <w:vMerge/>
            <w:shd w:val="clear" w:color="auto" w:fill="FFFFFF"/>
          </w:tcPr>
          <w:p w14:paraId="20F97623" w14:textId="77777777" w:rsidR="00E40B9E" w:rsidRPr="007A2509" w:rsidRDefault="00E40B9E" w:rsidP="00E40B9E">
            <w:pPr>
              <w:spacing w:line="240" w:lineRule="auto"/>
              <w:jc w:val="both"/>
              <w:rPr>
                <w:rFonts w:ascii="Times New Roman" w:hAnsi="Times New Roman"/>
                <w:color w:val="000000"/>
              </w:rPr>
            </w:pPr>
          </w:p>
        </w:tc>
        <w:tc>
          <w:tcPr>
            <w:tcW w:w="2293" w:type="dxa"/>
            <w:gridSpan w:val="3"/>
            <w:shd w:val="clear" w:color="auto" w:fill="FFFFFF"/>
          </w:tcPr>
          <w:p w14:paraId="1D35DFDA" w14:textId="77777777" w:rsidR="00E40B9E" w:rsidRPr="007A2509" w:rsidRDefault="00E40B9E" w:rsidP="00E40B9E">
            <w:pPr>
              <w:spacing w:line="240" w:lineRule="auto"/>
              <w:jc w:val="both"/>
              <w:rPr>
                <w:rFonts w:ascii="Times New Roman" w:hAnsi="Times New Roman"/>
                <w:color w:val="000000"/>
              </w:rPr>
            </w:pPr>
            <w:r w:rsidRPr="007A2509">
              <w:rPr>
                <w:rFonts w:ascii="Times New Roman" w:hAnsi="Times New Roman"/>
                <w:color w:val="000000"/>
              </w:rPr>
              <w:t>sektor mikro-, małych i średnich przedsiębiorstw</w:t>
            </w:r>
          </w:p>
        </w:tc>
        <w:tc>
          <w:tcPr>
            <w:tcW w:w="937" w:type="dxa"/>
            <w:shd w:val="clear" w:color="auto" w:fill="FFFFFF"/>
            <w:vAlign w:val="center"/>
          </w:tcPr>
          <w:p w14:paraId="36D97E72" w14:textId="3AA35F27" w:rsidR="00E40B9E" w:rsidRPr="00B767DE" w:rsidRDefault="00E40B9E" w:rsidP="00E40B9E">
            <w:pPr>
              <w:spacing w:line="240" w:lineRule="auto"/>
              <w:jc w:val="both"/>
              <w:rPr>
                <w:rFonts w:ascii="Times New Roman" w:hAnsi="Times New Roman"/>
                <w:color w:val="000000"/>
              </w:rPr>
            </w:pPr>
            <w:r>
              <w:rPr>
                <w:rFonts w:ascii="Times New Roman" w:hAnsi="Times New Roman"/>
                <w:color w:val="000000"/>
              </w:rPr>
              <w:t>0</w:t>
            </w:r>
          </w:p>
        </w:tc>
        <w:tc>
          <w:tcPr>
            <w:tcW w:w="938" w:type="dxa"/>
            <w:gridSpan w:val="2"/>
            <w:shd w:val="clear" w:color="auto" w:fill="FFFFFF"/>
            <w:vAlign w:val="center"/>
          </w:tcPr>
          <w:p w14:paraId="50D4A37F"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c>
          <w:tcPr>
            <w:tcW w:w="894" w:type="dxa"/>
            <w:shd w:val="clear" w:color="auto" w:fill="FFFFFF"/>
            <w:vAlign w:val="center"/>
          </w:tcPr>
          <w:p w14:paraId="08910EF0"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c>
          <w:tcPr>
            <w:tcW w:w="981" w:type="dxa"/>
            <w:gridSpan w:val="2"/>
            <w:shd w:val="clear" w:color="auto" w:fill="FFFFFF"/>
            <w:vAlign w:val="center"/>
          </w:tcPr>
          <w:p w14:paraId="3FF6D1D2"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c>
          <w:tcPr>
            <w:tcW w:w="938" w:type="dxa"/>
            <w:shd w:val="clear" w:color="auto" w:fill="FFFFFF"/>
            <w:vAlign w:val="center"/>
          </w:tcPr>
          <w:p w14:paraId="7ADC4DD0"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c>
          <w:tcPr>
            <w:tcW w:w="938" w:type="dxa"/>
            <w:shd w:val="clear" w:color="auto" w:fill="FFFFFF"/>
            <w:vAlign w:val="center"/>
          </w:tcPr>
          <w:p w14:paraId="70A20D4F"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c>
          <w:tcPr>
            <w:tcW w:w="1422" w:type="dxa"/>
            <w:shd w:val="clear" w:color="auto" w:fill="FFFFFF"/>
            <w:vAlign w:val="center"/>
          </w:tcPr>
          <w:p w14:paraId="13E58D82" w14:textId="77777777" w:rsidR="00E40B9E" w:rsidRPr="00B767DE" w:rsidRDefault="00E40B9E" w:rsidP="00E40B9E">
            <w:pPr>
              <w:spacing w:line="240" w:lineRule="auto"/>
              <w:jc w:val="both"/>
              <w:rPr>
                <w:rFonts w:ascii="Times New Roman" w:hAnsi="Times New Roman"/>
                <w:color w:val="000000"/>
              </w:rPr>
            </w:pPr>
            <w:r w:rsidRPr="00FB15C1">
              <w:rPr>
                <w:rFonts w:ascii="Times New Roman" w:hAnsi="Times New Roman"/>
                <w:color w:val="000000"/>
              </w:rPr>
              <w:t>b.d.</w:t>
            </w:r>
          </w:p>
        </w:tc>
      </w:tr>
      <w:tr w:rsidR="00BC2A95" w:rsidRPr="007A2509" w14:paraId="2759C9E0" w14:textId="77777777" w:rsidTr="00BC2A95">
        <w:trPr>
          <w:trHeight w:val="142"/>
          <w:jc w:val="center"/>
        </w:trPr>
        <w:tc>
          <w:tcPr>
            <w:tcW w:w="1596" w:type="dxa"/>
            <w:vMerge/>
            <w:shd w:val="clear" w:color="auto" w:fill="FFFFFF"/>
          </w:tcPr>
          <w:p w14:paraId="07DEB79E" w14:textId="77777777" w:rsidR="00BC2A95" w:rsidRPr="007A2509" w:rsidRDefault="00BC2A95" w:rsidP="00BC2A95">
            <w:pPr>
              <w:spacing w:line="240" w:lineRule="auto"/>
              <w:jc w:val="both"/>
              <w:rPr>
                <w:rFonts w:ascii="Times New Roman" w:hAnsi="Times New Roman"/>
                <w:color w:val="000000"/>
              </w:rPr>
            </w:pPr>
          </w:p>
        </w:tc>
        <w:tc>
          <w:tcPr>
            <w:tcW w:w="2293" w:type="dxa"/>
            <w:gridSpan w:val="3"/>
            <w:shd w:val="clear" w:color="auto" w:fill="FFFFFF"/>
          </w:tcPr>
          <w:p w14:paraId="0636E685" w14:textId="27E4A8D7" w:rsidR="00BC2A95" w:rsidRPr="007A2509" w:rsidRDefault="00BC2A95" w:rsidP="00BC2A95">
            <w:pPr>
              <w:spacing w:line="240" w:lineRule="auto"/>
              <w:jc w:val="both"/>
              <w:rPr>
                <w:rFonts w:ascii="Times New Roman" w:hAnsi="Times New Roman"/>
                <w:color w:val="000000"/>
              </w:rPr>
            </w:pPr>
            <w:r w:rsidRPr="007A2509">
              <w:rPr>
                <w:rFonts w:ascii="Times New Roman" w:hAnsi="Times New Roman"/>
              </w:rPr>
              <w:t>rodzina, obywatele oraz gospodarstwa domowe</w:t>
            </w:r>
          </w:p>
        </w:tc>
        <w:tc>
          <w:tcPr>
            <w:tcW w:w="937" w:type="dxa"/>
            <w:shd w:val="clear" w:color="auto" w:fill="FFFFFF"/>
            <w:vAlign w:val="center"/>
          </w:tcPr>
          <w:p w14:paraId="03361FB0" w14:textId="0CEFFB9E" w:rsidR="00BC2A95" w:rsidRPr="00727348" w:rsidRDefault="00BC2A95" w:rsidP="00BC2A95">
            <w:pPr>
              <w:spacing w:line="240" w:lineRule="auto"/>
              <w:jc w:val="both"/>
              <w:rPr>
                <w:rFonts w:ascii="Times New Roman" w:hAnsi="Times New Roman"/>
              </w:rPr>
            </w:pPr>
            <w:r w:rsidRPr="00727348">
              <w:rPr>
                <w:rFonts w:ascii="Times New Roman" w:hAnsi="Times New Roman"/>
              </w:rPr>
              <w:t>0,000</w:t>
            </w:r>
          </w:p>
        </w:tc>
        <w:tc>
          <w:tcPr>
            <w:tcW w:w="938" w:type="dxa"/>
            <w:gridSpan w:val="2"/>
            <w:shd w:val="clear" w:color="auto" w:fill="FFFFFF"/>
            <w:vAlign w:val="center"/>
          </w:tcPr>
          <w:p w14:paraId="4E6A4C39" w14:textId="782F4CBB" w:rsidR="00BC2A95" w:rsidRPr="00727348" w:rsidRDefault="00BC2A95" w:rsidP="00BC2A95">
            <w:pPr>
              <w:spacing w:line="240" w:lineRule="auto"/>
              <w:jc w:val="both"/>
              <w:rPr>
                <w:rFonts w:ascii="Times New Roman" w:hAnsi="Times New Roman"/>
              </w:rPr>
            </w:pPr>
            <w:r w:rsidRPr="00727348">
              <w:rPr>
                <w:rFonts w:ascii="Times New Roman" w:hAnsi="Times New Roman"/>
              </w:rPr>
              <w:t>0,119</w:t>
            </w:r>
          </w:p>
        </w:tc>
        <w:tc>
          <w:tcPr>
            <w:tcW w:w="894" w:type="dxa"/>
            <w:shd w:val="clear" w:color="auto" w:fill="FFFFFF"/>
            <w:vAlign w:val="center"/>
          </w:tcPr>
          <w:p w14:paraId="5EFB03C5" w14:textId="0D975965" w:rsidR="00BC2A95" w:rsidRPr="00727348" w:rsidRDefault="00BC2A95" w:rsidP="00BC2A95">
            <w:pPr>
              <w:spacing w:line="240" w:lineRule="auto"/>
              <w:jc w:val="both"/>
              <w:rPr>
                <w:rFonts w:ascii="Times New Roman" w:hAnsi="Times New Roman"/>
              </w:rPr>
            </w:pPr>
            <w:r w:rsidRPr="00727348">
              <w:rPr>
                <w:rFonts w:ascii="Times New Roman" w:hAnsi="Times New Roman"/>
              </w:rPr>
              <w:t>0,030</w:t>
            </w:r>
          </w:p>
        </w:tc>
        <w:tc>
          <w:tcPr>
            <w:tcW w:w="981" w:type="dxa"/>
            <w:gridSpan w:val="2"/>
            <w:shd w:val="clear" w:color="auto" w:fill="FFFFFF"/>
            <w:vAlign w:val="center"/>
          </w:tcPr>
          <w:p w14:paraId="5ECC7DF9" w14:textId="656F82F0" w:rsidR="00BC2A95" w:rsidRPr="00727348" w:rsidRDefault="00BC2A95" w:rsidP="00BC2A95">
            <w:pPr>
              <w:spacing w:line="240" w:lineRule="auto"/>
              <w:jc w:val="both"/>
              <w:rPr>
                <w:rFonts w:ascii="Times New Roman" w:hAnsi="Times New Roman"/>
              </w:rPr>
            </w:pPr>
            <w:r w:rsidRPr="00727348">
              <w:rPr>
                <w:rFonts w:ascii="Times New Roman" w:hAnsi="Times New Roman"/>
              </w:rPr>
              <w:t>0,190</w:t>
            </w:r>
          </w:p>
        </w:tc>
        <w:tc>
          <w:tcPr>
            <w:tcW w:w="938" w:type="dxa"/>
            <w:shd w:val="clear" w:color="auto" w:fill="FFFFFF"/>
            <w:vAlign w:val="center"/>
          </w:tcPr>
          <w:p w14:paraId="613FB1FA" w14:textId="77777777" w:rsidR="00BC2A95" w:rsidRPr="00727348" w:rsidRDefault="00BC2A95" w:rsidP="00BC2A95">
            <w:pPr>
              <w:spacing w:line="240" w:lineRule="auto"/>
              <w:jc w:val="both"/>
              <w:rPr>
                <w:rFonts w:ascii="Times New Roman" w:hAnsi="Times New Roman"/>
              </w:rPr>
            </w:pPr>
          </w:p>
          <w:p w14:paraId="531DC38A" w14:textId="6F350CF9" w:rsidR="00BC2A95" w:rsidRPr="00727348" w:rsidRDefault="00BC2A95" w:rsidP="00BC2A95">
            <w:pPr>
              <w:spacing w:line="240" w:lineRule="auto"/>
              <w:jc w:val="both"/>
              <w:rPr>
                <w:rFonts w:ascii="Times New Roman" w:hAnsi="Times New Roman"/>
              </w:rPr>
            </w:pPr>
            <w:r w:rsidRPr="00727348">
              <w:rPr>
                <w:rFonts w:ascii="Times New Roman" w:hAnsi="Times New Roman"/>
              </w:rPr>
              <w:t>0,286</w:t>
            </w:r>
          </w:p>
          <w:p w14:paraId="66099864" w14:textId="6CFD37CF" w:rsidR="00BC2A95" w:rsidRPr="00727348" w:rsidRDefault="00BC2A95" w:rsidP="00BC2A95">
            <w:pPr>
              <w:spacing w:line="240" w:lineRule="auto"/>
              <w:jc w:val="both"/>
              <w:rPr>
                <w:rFonts w:ascii="Times New Roman" w:hAnsi="Times New Roman"/>
              </w:rPr>
            </w:pPr>
          </w:p>
        </w:tc>
        <w:tc>
          <w:tcPr>
            <w:tcW w:w="938" w:type="dxa"/>
            <w:shd w:val="clear" w:color="auto" w:fill="FFFFFF"/>
            <w:vAlign w:val="center"/>
          </w:tcPr>
          <w:p w14:paraId="0D97268F" w14:textId="77777777" w:rsidR="00BC2A95" w:rsidRPr="00727348" w:rsidRDefault="00BC2A95" w:rsidP="00BC2A95">
            <w:pPr>
              <w:spacing w:line="240" w:lineRule="auto"/>
              <w:jc w:val="both"/>
              <w:rPr>
                <w:rFonts w:ascii="Times New Roman" w:hAnsi="Times New Roman"/>
              </w:rPr>
            </w:pPr>
          </w:p>
          <w:p w14:paraId="6CAD37FE" w14:textId="429C9F46" w:rsidR="00BC2A95" w:rsidRPr="00727348" w:rsidRDefault="00BC2A95" w:rsidP="00BC2A95">
            <w:pPr>
              <w:spacing w:line="240" w:lineRule="auto"/>
              <w:jc w:val="both"/>
              <w:rPr>
                <w:rFonts w:ascii="Times New Roman" w:hAnsi="Times New Roman"/>
              </w:rPr>
            </w:pPr>
            <w:r w:rsidRPr="00727348">
              <w:rPr>
                <w:rFonts w:ascii="Times New Roman" w:hAnsi="Times New Roman"/>
              </w:rPr>
              <w:t>0,601</w:t>
            </w:r>
          </w:p>
          <w:p w14:paraId="1928137D" w14:textId="6A309C54" w:rsidR="00BC2A95" w:rsidRPr="00727348" w:rsidRDefault="00BC2A95" w:rsidP="00BC2A95">
            <w:pPr>
              <w:spacing w:line="240" w:lineRule="auto"/>
              <w:jc w:val="both"/>
              <w:rPr>
                <w:rFonts w:ascii="Times New Roman" w:hAnsi="Times New Roman"/>
              </w:rPr>
            </w:pPr>
          </w:p>
        </w:tc>
        <w:tc>
          <w:tcPr>
            <w:tcW w:w="1422" w:type="dxa"/>
            <w:shd w:val="clear" w:color="auto" w:fill="FFFFFF"/>
            <w:vAlign w:val="center"/>
          </w:tcPr>
          <w:p w14:paraId="435D1285" w14:textId="77777777" w:rsidR="00BC2A95" w:rsidRPr="00727348" w:rsidRDefault="00BC2A95" w:rsidP="00BC2A95">
            <w:pPr>
              <w:spacing w:line="240" w:lineRule="auto"/>
              <w:jc w:val="both"/>
              <w:rPr>
                <w:rFonts w:ascii="Times New Roman" w:hAnsi="Times New Roman"/>
              </w:rPr>
            </w:pPr>
          </w:p>
          <w:p w14:paraId="6F1F03DB" w14:textId="1939396F" w:rsidR="00BC2A95" w:rsidRPr="00727348" w:rsidRDefault="00BC2A95" w:rsidP="00BC2A95">
            <w:pPr>
              <w:spacing w:line="240" w:lineRule="auto"/>
              <w:jc w:val="both"/>
              <w:rPr>
                <w:rFonts w:ascii="Times New Roman" w:hAnsi="Times New Roman"/>
              </w:rPr>
            </w:pPr>
            <w:r w:rsidRPr="00727348">
              <w:rPr>
                <w:rFonts w:ascii="Times New Roman" w:hAnsi="Times New Roman"/>
              </w:rPr>
              <w:t>1,225</w:t>
            </w:r>
          </w:p>
          <w:p w14:paraId="3180701D" w14:textId="63936A62" w:rsidR="00BC2A95" w:rsidRPr="00727348" w:rsidRDefault="00BC2A95" w:rsidP="00BC2A95">
            <w:pPr>
              <w:spacing w:line="240" w:lineRule="auto"/>
              <w:jc w:val="both"/>
              <w:rPr>
                <w:rFonts w:ascii="Times New Roman" w:hAnsi="Times New Roman"/>
              </w:rPr>
            </w:pPr>
          </w:p>
        </w:tc>
      </w:tr>
      <w:tr w:rsidR="00C14EA7" w:rsidRPr="007A2509" w14:paraId="189AC82E" w14:textId="77777777" w:rsidTr="00BC2A95">
        <w:trPr>
          <w:trHeight w:val="142"/>
          <w:jc w:val="center"/>
        </w:trPr>
        <w:tc>
          <w:tcPr>
            <w:tcW w:w="1596" w:type="dxa"/>
            <w:vMerge/>
            <w:shd w:val="clear" w:color="auto" w:fill="FFFFFF"/>
          </w:tcPr>
          <w:p w14:paraId="3AA258D6" w14:textId="77777777" w:rsidR="00C14EA7" w:rsidRPr="007A2509" w:rsidRDefault="00C14EA7" w:rsidP="00C14EA7">
            <w:pPr>
              <w:spacing w:line="240" w:lineRule="auto"/>
              <w:jc w:val="both"/>
              <w:rPr>
                <w:rFonts w:ascii="Times New Roman" w:hAnsi="Times New Roman"/>
                <w:color w:val="000000"/>
              </w:rPr>
            </w:pPr>
          </w:p>
        </w:tc>
        <w:tc>
          <w:tcPr>
            <w:tcW w:w="2293" w:type="dxa"/>
            <w:gridSpan w:val="3"/>
            <w:shd w:val="clear" w:color="auto" w:fill="FFFFFF"/>
          </w:tcPr>
          <w:p w14:paraId="0136E802" w14:textId="77777777" w:rsidR="00C14EA7" w:rsidRPr="007A2509" w:rsidRDefault="00C14EA7" w:rsidP="00C14EA7">
            <w:pPr>
              <w:spacing w:line="240" w:lineRule="auto"/>
              <w:jc w:val="both"/>
              <w:rPr>
                <w:rFonts w:ascii="Times New Roman" w:hAnsi="Times New Roman"/>
                <w:color w:val="000000"/>
              </w:rPr>
            </w:pPr>
            <w:r w:rsidRPr="007A2509">
              <w:rPr>
                <w:rFonts w:ascii="Times New Roman" w:eastAsia="Times New Roman" w:hAnsi="Times New Roman"/>
                <w:lang w:eastAsia="pl-PL"/>
              </w:rPr>
              <w:t>osoby z niepełnosprawnością oraz osoby starsze</w:t>
            </w:r>
          </w:p>
        </w:tc>
        <w:tc>
          <w:tcPr>
            <w:tcW w:w="937" w:type="dxa"/>
            <w:shd w:val="clear" w:color="auto" w:fill="FFFFFF"/>
          </w:tcPr>
          <w:p w14:paraId="326F352C"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0</w:t>
            </w:r>
          </w:p>
        </w:tc>
        <w:tc>
          <w:tcPr>
            <w:tcW w:w="938" w:type="dxa"/>
            <w:gridSpan w:val="2"/>
            <w:shd w:val="clear" w:color="auto" w:fill="FFFFFF"/>
          </w:tcPr>
          <w:p w14:paraId="6F57A569"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c>
          <w:tcPr>
            <w:tcW w:w="894" w:type="dxa"/>
            <w:shd w:val="clear" w:color="auto" w:fill="FFFFFF"/>
          </w:tcPr>
          <w:p w14:paraId="10719CFA"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c>
          <w:tcPr>
            <w:tcW w:w="981" w:type="dxa"/>
            <w:gridSpan w:val="2"/>
            <w:shd w:val="clear" w:color="auto" w:fill="FFFFFF"/>
          </w:tcPr>
          <w:p w14:paraId="719FED5F"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c>
          <w:tcPr>
            <w:tcW w:w="938" w:type="dxa"/>
            <w:shd w:val="clear" w:color="auto" w:fill="FFFFFF"/>
          </w:tcPr>
          <w:p w14:paraId="1F624B74"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c>
          <w:tcPr>
            <w:tcW w:w="938" w:type="dxa"/>
            <w:shd w:val="clear" w:color="auto" w:fill="FFFFFF"/>
          </w:tcPr>
          <w:p w14:paraId="18F55106"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c>
          <w:tcPr>
            <w:tcW w:w="1422" w:type="dxa"/>
            <w:shd w:val="clear" w:color="auto" w:fill="FFFFFF"/>
          </w:tcPr>
          <w:p w14:paraId="16320948" w14:textId="77777777" w:rsidR="00C14EA7" w:rsidRPr="007A2509" w:rsidRDefault="00C14EA7" w:rsidP="00C14EA7">
            <w:pPr>
              <w:spacing w:line="240" w:lineRule="auto"/>
              <w:jc w:val="both"/>
              <w:rPr>
                <w:rFonts w:ascii="Times New Roman" w:hAnsi="Times New Roman"/>
              </w:rPr>
            </w:pPr>
            <w:r w:rsidRPr="007A2509">
              <w:rPr>
                <w:rFonts w:ascii="Times New Roman" w:hAnsi="Times New Roman"/>
                <w:color w:val="000000"/>
              </w:rPr>
              <w:t>0</w:t>
            </w:r>
          </w:p>
        </w:tc>
      </w:tr>
      <w:tr w:rsidR="00C14EA7" w:rsidRPr="007A2509" w14:paraId="163A1F02" w14:textId="77777777" w:rsidTr="00C14EA7">
        <w:trPr>
          <w:trHeight w:val="142"/>
          <w:jc w:val="center"/>
        </w:trPr>
        <w:tc>
          <w:tcPr>
            <w:tcW w:w="1596" w:type="dxa"/>
            <w:vMerge w:val="restart"/>
            <w:shd w:val="clear" w:color="auto" w:fill="FFFFFF"/>
          </w:tcPr>
          <w:p w14:paraId="04FE48F5"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W ujęciu niepieniężnym</w:t>
            </w:r>
          </w:p>
        </w:tc>
        <w:tc>
          <w:tcPr>
            <w:tcW w:w="2293" w:type="dxa"/>
            <w:gridSpan w:val="3"/>
            <w:shd w:val="clear" w:color="auto" w:fill="FFFFFF"/>
          </w:tcPr>
          <w:p w14:paraId="2A4193FB"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duże przedsiębiorstwa</w:t>
            </w:r>
          </w:p>
        </w:tc>
        <w:tc>
          <w:tcPr>
            <w:tcW w:w="7048" w:type="dxa"/>
            <w:gridSpan w:val="9"/>
            <w:shd w:val="clear" w:color="auto" w:fill="FFFFFF"/>
          </w:tcPr>
          <w:p w14:paraId="1B3D3580" w14:textId="74C78148" w:rsidR="00C14EA7" w:rsidRPr="007A2509" w:rsidRDefault="00C14EA7" w:rsidP="009A7B8F">
            <w:pPr>
              <w:spacing w:line="240" w:lineRule="auto"/>
              <w:jc w:val="both"/>
              <w:rPr>
                <w:rFonts w:ascii="Times New Roman" w:hAnsi="Times New Roman"/>
                <w:color w:val="000000"/>
                <w:spacing w:val="-2"/>
              </w:rPr>
            </w:pPr>
            <w:r w:rsidRPr="007A2509">
              <w:rPr>
                <w:rFonts w:ascii="Times New Roman" w:hAnsi="Times New Roman"/>
                <w:color w:val="000000"/>
                <w:spacing w:val="-2"/>
              </w:rPr>
              <w:t>Uwzględnianie w planowanych przedsięwzięciach/inwestycjach, które wymagają przygotowania oceny oddziaływania na środowisko, przeprowadzenia oceny ryzyka klimatycznego (analiza oraz ocena podatności przedsięwzięcia na zmiany klimatu).</w:t>
            </w:r>
          </w:p>
        </w:tc>
      </w:tr>
      <w:tr w:rsidR="00C14EA7" w:rsidRPr="007A2509" w14:paraId="1A4164FE" w14:textId="77777777" w:rsidTr="00C14EA7">
        <w:trPr>
          <w:trHeight w:val="142"/>
          <w:jc w:val="center"/>
        </w:trPr>
        <w:tc>
          <w:tcPr>
            <w:tcW w:w="1596" w:type="dxa"/>
            <w:vMerge/>
            <w:shd w:val="clear" w:color="auto" w:fill="FFFFFF"/>
          </w:tcPr>
          <w:p w14:paraId="4EC44959" w14:textId="77777777" w:rsidR="00C14EA7" w:rsidRPr="007A2509" w:rsidRDefault="00C14EA7" w:rsidP="00C14EA7">
            <w:pPr>
              <w:spacing w:line="240" w:lineRule="auto"/>
              <w:jc w:val="both"/>
              <w:rPr>
                <w:rFonts w:ascii="Times New Roman" w:hAnsi="Times New Roman"/>
                <w:color w:val="000000"/>
              </w:rPr>
            </w:pPr>
          </w:p>
        </w:tc>
        <w:tc>
          <w:tcPr>
            <w:tcW w:w="2293" w:type="dxa"/>
            <w:gridSpan w:val="3"/>
            <w:shd w:val="clear" w:color="auto" w:fill="FFFFFF"/>
          </w:tcPr>
          <w:p w14:paraId="5B3EA8F5"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sektor mikro-, małych i średnich przedsiębiorstw</w:t>
            </w:r>
          </w:p>
        </w:tc>
        <w:tc>
          <w:tcPr>
            <w:tcW w:w="7048" w:type="dxa"/>
            <w:gridSpan w:val="9"/>
            <w:shd w:val="clear" w:color="auto" w:fill="FFFFFF"/>
          </w:tcPr>
          <w:p w14:paraId="0DE49FBD" w14:textId="77777777" w:rsidR="00C14EA7"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spacing w:val="-2"/>
              </w:rPr>
              <w:t>Uwzględnianie w planowanych przedsięwzięciach/inwestycjach, które wymagają przygotowania oceny oddziaływania na środowisko, przeprowadzenia oceny ryzyka klimatycznego (analiza oraz ocena podatności przedsięwzięcia na zmiany klimatu).</w:t>
            </w:r>
          </w:p>
          <w:p w14:paraId="659E1468" w14:textId="77777777" w:rsidR="00C14EA7" w:rsidRPr="00D65186" w:rsidRDefault="00C14EA7" w:rsidP="00C14EA7">
            <w:pPr>
              <w:spacing w:line="240" w:lineRule="auto"/>
              <w:jc w:val="both"/>
              <w:rPr>
                <w:rFonts w:ascii="Times New Roman" w:hAnsi="Times New Roman"/>
              </w:rPr>
            </w:pPr>
            <w:r w:rsidRPr="00582F06">
              <w:rPr>
                <w:rFonts w:ascii="Times New Roman" w:hAnsi="Times New Roman"/>
              </w:rPr>
              <w:t xml:space="preserve">Wysoce prawdopodobny </w:t>
            </w:r>
            <w:r w:rsidRPr="00D65186">
              <w:rPr>
                <w:rFonts w:ascii="Times New Roman" w:hAnsi="Times New Roman"/>
              </w:rPr>
              <w:t>jest wzrost inwestycji w rozwój powierzchni zieleni</w:t>
            </w:r>
          </w:p>
          <w:p w14:paraId="7C81CA78" w14:textId="4CE4394C" w:rsidR="002D5491" w:rsidRPr="00FB1833" w:rsidRDefault="00C14EA7" w:rsidP="00C14EA7">
            <w:pPr>
              <w:spacing w:line="240" w:lineRule="auto"/>
              <w:jc w:val="both"/>
              <w:rPr>
                <w:rFonts w:ascii="Times New Roman" w:hAnsi="Times New Roman"/>
              </w:rPr>
            </w:pPr>
            <w:r w:rsidRPr="00D65186">
              <w:rPr>
                <w:rFonts w:ascii="Times New Roman" w:hAnsi="Times New Roman"/>
              </w:rPr>
              <w:t>i instalowania urządzeń i rozwiązań do zatrzymania oraz magazynowania wody opadowej i roztopowej.</w:t>
            </w:r>
          </w:p>
        </w:tc>
      </w:tr>
      <w:tr w:rsidR="00C14EA7" w:rsidRPr="007A2509" w14:paraId="561CBB3C" w14:textId="77777777" w:rsidTr="00C14EA7">
        <w:trPr>
          <w:trHeight w:val="596"/>
          <w:jc w:val="center"/>
        </w:trPr>
        <w:tc>
          <w:tcPr>
            <w:tcW w:w="1596" w:type="dxa"/>
            <w:vMerge/>
            <w:shd w:val="clear" w:color="auto" w:fill="FFFFFF"/>
          </w:tcPr>
          <w:p w14:paraId="59CC2071" w14:textId="77777777" w:rsidR="00C14EA7" w:rsidRPr="007A2509" w:rsidRDefault="00C14EA7" w:rsidP="00C14EA7">
            <w:pPr>
              <w:spacing w:line="240" w:lineRule="auto"/>
              <w:jc w:val="both"/>
              <w:rPr>
                <w:rFonts w:ascii="Times New Roman" w:hAnsi="Times New Roman"/>
                <w:color w:val="000000"/>
              </w:rPr>
            </w:pPr>
          </w:p>
        </w:tc>
        <w:tc>
          <w:tcPr>
            <w:tcW w:w="2293" w:type="dxa"/>
            <w:gridSpan w:val="3"/>
            <w:shd w:val="clear" w:color="auto" w:fill="FFFFFF"/>
          </w:tcPr>
          <w:p w14:paraId="0705636D" w14:textId="77777777" w:rsidR="00C14EA7" w:rsidRPr="007A2509" w:rsidRDefault="00C14EA7" w:rsidP="00C14EA7">
            <w:pPr>
              <w:tabs>
                <w:tab w:val="right" w:pos="1936"/>
              </w:tabs>
              <w:spacing w:line="240" w:lineRule="auto"/>
              <w:jc w:val="both"/>
              <w:rPr>
                <w:rFonts w:ascii="Times New Roman" w:hAnsi="Times New Roman"/>
                <w:color w:val="000000"/>
              </w:rPr>
            </w:pPr>
            <w:r w:rsidRPr="007A2509">
              <w:rPr>
                <w:rFonts w:ascii="Times New Roman" w:hAnsi="Times New Roman"/>
              </w:rPr>
              <w:t>rodzina, obywatele oraz gospodarstwa domowe</w:t>
            </w:r>
            <w:r w:rsidRPr="007A2509">
              <w:rPr>
                <w:rFonts w:ascii="Times New Roman" w:hAnsi="Times New Roman"/>
                <w:color w:val="000000"/>
              </w:rPr>
              <w:t xml:space="preserve"> </w:t>
            </w:r>
          </w:p>
        </w:tc>
        <w:tc>
          <w:tcPr>
            <w:tcW w:w="7048" w:type="dxa"/>
            <w:gridSpan w:val="9"/>
            <w:shd w:val="clear" w:color="auto" w:fill="FFFFFF"/>
          </w:tcPr>
          <w:p w14:paraId="74C3EDF0" w14:textId="32A2EF99" w:rsidR="00C14EA7" w:rsidRDefault="00C14EA7" w:rsidP="00C14EA7">
            <w:pPr>
              <w:spacing w:line="240" w:lineRule="auto"/>
              <w:jc w:val="both"/>
              <w:rPr>
                <w:rFonts w:ascii="Times New Roman" w:hAnsi="Times New Roman"/>
              </w:rPr>
            </w:pPr>
            <w:r w:rsidRPr="007A2509">
              <w:rPr>
                <w:rFonts w:ascii="Times New Roman" w:hAnsi="Times New Roman"/>
              </w:rPr>
              <w:t xml:space="preserve">Uwzględnienie w dokumentach </w:t>
            </w:r>
            <w:r>
              <w:rPr>
                <w:rFonts w:ascii="Times New Roman" w:hAnsi="Times New Roman"/>
              </w:rPr>
              <w:t>planistycznych</w:t>
            </w:r>
            <w:r w:rsidRPr="007A2509">
              <w:rPr>
                <w:rFonts w:ascii="Times New Roman" w:hAnsi="Times New Roman"/>
              </w:rPr>
              <w:t xml:space="preserve"> gmin wniosków i rekomendacji z MPA</w:t>
            </w:r>
            <w:r w:rsidR="00783664">
              <w:rPr>
                <w:rFonts w:ascii="Times New Roman" w:hAnsi="Times New Roman"/>
              </w:rPr>
              <w:t xml:space="preserve"> </w:t>
            </w:r>
            <w:r w:rsidRPr="007A2509">
              <w:rPr>
                <w:rFonts w:ascii="Times New Roman" w:hAnsi="Times New Roman"/>
              </w:rPr>
              <w:t xml:space="preserve">korzystnie wpłynie na zdrowie obywateli, poprawi jakość powietrza w miastach i zwiększy ilość terenów zielonych. </w:t>
            </w:r>
          </w:p>
          <w:p w14:paraId="66638940" w14:textId="32667D7A" w:rsidR="00C14EA7" w:rsidRDefault="00C14EA7" w:rsidP="00C14EA7">
            <w:pPr>
              <w:spacing w:line="240" w:lineRule="auto"/>
              <w:jc w:val="both"/>
              <w:rPr>
                <w:rFonts w:ascii="Times New Roman" w:hAnsi="Times New Roman"/>
              </w:rPr>
            </w:pPr>
            <w:r w:rsidRPr="00582F06">
              <w:rPr>
                <w:rFonts w:ascii="Times New Roman" w:hAnsi="Times New Roman"/>
              </w:rPr>
              <w:t>Zaproponowane zmiany mają bowiem na celu ograniczanie wpływu zmian</w:t>
            </w:r>
            <w:r>
              <w:rPr>
                <w:rFonts w:ascii="Times New Roman" w:hAnsi="Times New Roman"/>
              </w:rPr>
              <w:t xml:space="preserve"> </w:t>
            </w:r>
            <w:r w:rsidRPr="00582F06">
              <w:rPr>
                <w:rFonts w:ascii="Times New Roman" w:hAnsi="Times New Roman"/>
              </w:rPr>
              <w:t>klimatu, co wiązać się będzie z podwyższeniem ochrony przed skutkami suszy,</w:t>
            </w:r>
            <w:r>
              <w:rPr>
                <w:rFonts w:ascii="Times New Roman" w:hAnsi="Times New Roman"/>
              </w:rPr>
              <w:t xml:space="preserve"> </w:t>
            </w:r>
            <w:r w:rsidRPr="00582F06">
              <w:rPr>
                <w:rFonts w:ascii="Times New Roman" w:hAnsi="Times New Roman"/>
              </w:rPr>
              <w:t>w tym zapewnieniem lepszej jakości życia mieszkańców (bezpieczeństwo,</w:t>
            </w:r>
            <w:r>
              <w:rPr>
                <w:rFonts w:ascii="Times New Roman" w:hAnsi="Times New Roman"/>
              </w:rPr>
              <w:t xml:space="preserve"> </w:t>
            </w:r>
            <w:r w:rsidRPr="00582F06">
              <w:rPr>
                <w:rFonts w:ascii="Times New Roman" w:hAnsi="Times New Roman"/>
              </w:rPr>
              <w:t>poprawa dostępności zasobów wodnych, tworzenie nowych miejsc pracy,</w:t>
            </w:r>
            <w:r>
              <w:rPr>
                <w:rFonts w:ascii="Times New Roman" w:hAnsi="Times New Roman"/>
              </w:rPr>
              <w:t xml:space="preserve"> </w:t>
            </w:r>
            <w:r w:rsidRPr="00582F06">
              <w:rPr>
                <w:rFonts w:ascii="Times New Roman" w:hAnsi="Times New Roman"/>
              </w:rPr>
              <w:t>zwiększenie walorów krajobrazowych i turystycznych regionów).</w:t>
            </w:r>
            <w:r>
              <w:rPr>
                <w:rFonts w:ascii="Times New Roman" w:hAnsi="Times New Roman"/>
              </w:rPr>
              <w:t xml:space="preserve"> </w:t>
            </w:r>
            <w:r w:rsidRPr="00582F06">
              <w:rPr>
                <w:rFonts w:ascii="Times New Roman" w:hAnsi="Times New Roman"/>
              </w:rPr>
              <w:t>Przewidywane zmiany mogą również generować korzyści ekonomiczne, dzięki</w:t>
            </w:r>
            <w:r>
              <w:rPr>
                <w:rFonts w:ascii="Times New Roman" w:hAnsi="Times New Roman"/>
              </w:rPr>
              <w:t xml:space="preserve"> </w:t>
            </w:r>
            <w:r w:rsidRPr="00582F06">
              <w:rPr>
                <w:rFonts w:ascii="Times New Roman" w:hAnsi="Times New Roman"/>
              </w:rPr>
              <w:t>zastąpieniu wody wodociągowej magazynowaną deszczówką.</w:t>
            </w:r>
          </w:p>
          <w:p w14:paraId="60346BE9" w14:textId="3069368A" w:rsidR="00C14EA7" w:rsidRPr="007A2509" w:rsidRDefault="00C14EA7" w:rsidP="00C14EA7">
            <w:pPr>
              <w:spacing w:line="240" w:lineRule="auto"/>
              <w:jc w:val="both"/>
              <w:rPr>
                <w:rFonts w:ascii="Times New Roman" w:hAnsi="Times New Roman"/>
              </w:rPr>
            </w:pPr>
            <w:r w:rsidRPr="00582F06">
              <w:rPr>
                <w:rFonts w:ascii="Times New Roman" w:hAnsi="Times New Roman"/>
              </w:rPr>
              <w:t xml:space="preserve">Wysoce prawdopodobny jest wzrost inwestycji w rozwój </w:t>
            </w:r>
            <w:r>
              <w:rPr>
                <w:rFonts w:ascii="Times New Roman" w:hAnsi="Times New Roman"/>
              </w:rPr>
              <w:t>terenów</w:t>
            </w:r>
            <w:r w:rsidRPr="00582F06">
              <w:rPr>
                <w:rFonts w:ascii="Times New Roman" w:hAnsi="Times New Roman"/>
              </w:rPr>
              <w:t xml:space="preserve"> zieleni</w:t>
            </w:r>
            <w:r w:rsidR="005C4E2D">
              <w:rPr>
                <w:rFonts w:ascii="Times New Roman" w:hAnsi="Times New Roman"/>
              </w:rPr>
              <w:t xml:space="preserve"> </w:t>
            </w:r>
            <w:r w:rsidRPr="00582F06">
              <w:rPr>
                <w:rFonts w:ascii="Times New Roman" w:hAnsi="Times New Roman"/>
              </w:rPr>
              <w:t>i</w:t>
            </w:r>
            <w:r w:rsidR="009A7B8F">
              <w:rPr>
                <w:rFonts w:ascii="Times New Roman" w:hAnsi="Times New Roman"/>
              </w:rPr>
              <w:t> </w:t>
            </w:r>
            <w:r w:rsidRPr="00582F06">
              <w:rPr>
                <w:rFonts w:ascii="Times New Roman" w:hAnsi="Times New Roman"/>
              </w:rPr>
              <w:t>instalowania urządzeń i rozwiązań do zatrzymania oraz magazynowania wody</w:t>
            </w:r>
            <w:r>
              <w:rPr>
                <w:rFonts w:ascii="Times New Roman" w:hAnsi="Times New Roman"/>
              </w:rPr>
              <w:t xml:space="preserve"> </w:t>
            </w:r>
            <w:r w:rsidRPr="00582F06">
              <w:rPr>
                <w:rFonts w:ascii="Times New Roman" w:hAnsi="Times New Roman"/>
              </w:rPr>
              <w:t>opadowej</w:t>
            </w:r>
            <w:r>
              <w:rPr>
                <w:rFonts w:ascii="Times New Roman" w:hAnsi="Times New Roman"/>
              </w:rPr>
              <w:t xml:space="preserve"> i roztopowej</w:t>
            </w:r>
            <w:r w:rsidRPr="00582F06">
              <w:rPr>
                <w:rFonts w:ascii="Times New Roman" w:hAnsi="Times New Roman"/>
              </w:rPr>
              <w:t>, co powinno przyczynić się do poprawy warunków życia.</w:t>
            </w:r>
          </w:p>
        </w:tc>
      </w:tr>
      <w:tr w:rsidR="00C14EA7" w:rsidRPr="007A2509" w14:paraId="76275AE7" w14:textId="77777777" w:rsidTr="00C14EA7">
        <w:trPr>
          <w:trHeight w:val="240"/>
          <w:jc w:val="center"/>
        </w:trPr>
        <w:tc>
          <w:tcPr>
            <w:tcW w:w="1596" w:type="dxa"/>
            <w:vMerge/>
            <w:shd w:val="clear" w:color="auto" w:fill="FFFFFF"/>
          </w:tcPr>
          <w:p w14:paraId="2747D4B9" w14:textId="77777777" w:rsidR="00C14EA7" w:rsidRPr="007A2509" w:rsidRDefault="00C14EA7" w:rsidP="00C14EA7">
            <w:pPr>
              <w:spacing w:line="240" w:lineRule="auto"/>
              <w:jc w:val="both"/>
              <w:rPr>
                <w:rFonts w:ascii="Times New Roman" w:hAnsi="Times New Roman"/>
                <w:color w:val="000000"/>
              </w:rPr>
            </w:pPr>
          </w:p>
        </w:tc>
        <w:tc>
          <w:tcPr>
            <w:tcW w:w="2293" w:type="dxa"/>
            <w:gridSpan w:val="3"/>
            <w:shd w:val="clear" w:color="auto" w:fill="FFFFFF"/>
          </w:tcPr>
          <w:p w14:paraId="09B89494" w14:textId="77777777" w:rsidR="00C14EA7" w:rsidRPr="007A2509" w:rsidRDefault="00C14EA7" w:rsidP="00C14EA7">
            <w:pPr>
              <w:spacing w:line="240" w:lineRule="auto"/>
              <w:rPr>
                <w:rFonts w:ascii="Times New Roman" w:hAnsi="Times New Roman"/>
              </w:rPr>
            </w:pPr>
            <w:r w:rsidRPr="007A2509">
              <w:rPr>
                <w:rFonts w:ascii="Times New Roman" w:hAnsi="Times New Roman"/>
              </w:rPr>
              <w:t>osoby z niepełnosprawnością oraz osoby starsze</w:t>
            </w:r>
          </w:p>
        </w:tc>
        <w:tc>
          <w:tcPr>
            <w:tcW w:w="7048" w:type="dxa"/>
            <w:gridSpan w:val="9"/>
            <w:shd w:val="clear" w:color="auto" w:fill="FFFFFF"/>
          </w:tcPr>
          <w:p w14:paraId="09289D4D" w14:textId="180C8D8A" w:rsidR="00C14EA7" w:rsidRPr="007A2509" w:rsidRDefault="00C14EA7" w:rsidP="00C14EA7">
            <w:pPr>
              <w:spacing w:line="240" w:lineRule="auto"/>
              <w:jc w:val="both"/>
              <w:rPr>
                <w:rFonts w:ascii="Times New Roman" w:hAnsi="Times New Roman"/>
              </w:rPr>
            </w:pPr>
            <w:r w:rsidRPr="007A2509">
              <w:rPr>
                <w:rFonts w:ascii="Times New Roman" w:hAnsi="Times New Roman"/>
              </w:rPr>
              <w:t>Uwzględnienie w dokumentach strategicznych gmin wniosków i rekomendacji z MPA korzystnie wpłynie na zdrowie osób z</w:t>
            </w:r>
            <w:r w:rsidR="009A7B8F">
              <w:rPr>
                <w:rFonts w:ascii="Times New Roman" w:hAnsi="Times New Roman"/>
              </w:rPr>
              <w:t> </w:t>
            </w:r>
            <w:r w:rsidRPr="007A2509">
              <w:rPr>
                <w:rFonts w:ascii="Times New Roman" w:hAnsi="Times New Roman"/>
              </w:rPr>
              <w:t>niepełnosprawnością oraz osoby starsze, poprawi jakość powietrza w</w:t>
            </w:r>
            <w:r w:rsidR="009A7B8F">
              <w:rPr>
                <w:rFonts w:ascii="Times New Roman" w:hAnsi="Times New Roman"/>
              </w:rPr>
              <w:t> </w:t>
            </w:r>
            <w:r w:rsidRPr="007A2509">
              <w:rPr>
                <w:rFonts w:ascii="Times New Roman" w:hAnsi="Times New Roman"/>
              </w:rPr>
              <w:t>miastach i zwiększy ilość terenów zielonych.</w:t>
            </w:r>
          </w:p>
        </w:tc>
      </w:tr>
      <w:tr w:rsidR="00C14EA7" w:rsidRPr="007A2509" w14:paraId="64F85698" w14:textId="77777777" w:rsidTr="00C14EA7">
        <w:trPr>
          <w:trHeight w:val="142"/>
          <w:jc w:val="center"/>
        </w:trPr>
        <w:tc>
          <w:tcPr>
            <w:tcW w:w="1596" w:type="dxa"/>
            <w:shd w:val="clear" w:color="auto" w:fill="FFFFFF"/>
          </w:tcPr>
          <w:p w14:paraId="5ED73824"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Niemierzalne</w:t>
            </w:r>
          </w:p>
        </w:tc>
        <w:tc>
          <w:tcPr>
            <w:tcW w:w="2293" w:type="dxa"/>
            <w:gridSpan w:val="3"/>
            <w:shd w:val="clear" w:color="auto" w:fill="FFFFFF"/>
          </w:tcPr>
          <w:p w14:paraId="0191B066" w14:textId="45D46ADE" w:rsidR="00C14EA7" w:rsidRPr="007A2509" w:rsidRDefault="00C14EA7" w:rsidP="00C14EA7">
            <w:pPr>
              <w:spacing w:line="240" w:lineRule="auto"/>
              <w:jc w:val="both"/>
              <w:rPr>
                <w:rFonts w:ascii="Times New Roman" w:hAnsi="Times New Roman"/>
                <w:color w:val="000000"/>
              </w:rPr>
            </w:pPr>
          </w:p>
        </w:tc>
        <w:tc>
          <w:tcPr>
            <w:tcW w:w="7048" w:type="dxa"/>
            <w:gridSpan w:val="9"/>
            <w:shd w:val="clear" w:color="auto" w:fill="FFFFFF"/>
          </w:tcPr>
          <w:p w14:paraId="33692D37" w14:textId="349EA95F" w:rsidR="00C14EA7" w:rsidRPr="007A2509" w:rsidRDefault="00C14EA7" w:rsidP="009A7B8F">
            <w:pPr>
              <w:spacing w:line="240" w:lineRule="auto"/>
              <w:jc w:val="both"/>
              <w:rPr>
                <w:rFonts w:ascii="Times New Roman" w:hAnsi="Times New Roman"/>
                <w:color w:val="000000"/>
                <w:spacing w:val="-2"/>
              </w:rPr>
            </w:pPr>
            <w:r w:rsidRPr="003B43DB">
              <w:rPr>
                <w:rFonts w:ascii="Times New Roman" w:hAnsi="Times New Roman"/>
                <w:color w:val="000000"/>
                <w:spacing w:val="-2"/>
              </w:rPr>
              <w:t>Łagodzenie skutków zmian klimatu i poprawa stanu gospodarki wodnej kraju.</w:t>
            </w:r>
          </w:p>
        </w:tc>
      </w:tr>
      <w:tr w:rsidR="00C14EA7" w:rsidRPr="007A2509" w14:paraId="3F37D571" w14:textId="77777777" w:rsidTr="00C14EA7">
        <w:trPr>
          <w:trHeight w:val="562"/>
          <w:jc w:val="center"/>
        </w:trPr>
        <w:tc>
          <w:tcPr>
            <w:tcW w:w="2243" w:type="dxa"/>
            <w:gridSpan w:val="2"/>
            <w:shd w:val="clear" w:color="auto" w:fill="FFFFFF"/>
          </w:tcPr>
          <w:p w14:paraId="4F23262A"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 xml:space="preserve">Dodatkowe informacje, w tym wskazanie źródeł danych i przyjętych do obliczeń założeń </w:t>
            </w:r>
          </w:p>
        </w:tc>
        <w:tc>
          <w:tcPr>
            <w:tcW w:w="8694" w:type="dxa"/>
            <w:gridSpan w:val="11"/>
            <w:shd w:val="clear" w:color="auto" w:fill="FFFFFF"/>
            <w:vAlign w:val="center"/>
          </w:tcPr>
          <w:p w14:paraId="29FF7D47" w14:textId="3F582946" w:rsidR="00C14EA7" w:rsidRPr="002105F3" w:rsidRDefault="00C14EA7" w:rsidP="00C14EA7">
            <w:pPr>
              <w:spacing w:line="240" w:lineRule="auto"/>
              <w:jc w:val="both"/>
              <w:rPr>
                <w:rFonts w:ascii="Times New Roman" w:hAnsi="Times New Roman"/>
                <w:b/>
                <w:bCs/>
                <w:color w:val="000000"/>
              </w:rPr>
            </w:pPr>
            <w:r w:rsidRPr="002105F3">
              <w:rPr>
                <w:rFonts w:ascii="Times New Roman" w:hAnsi="Times New Roman"/>
                <w:b/>
                <w:bCs/>
                <w:color w:val="000000"/>
              </w:rPr>
              <w:t>Dochody obywateli:</w:t>
            </w:r>
          </w:p>
          <w:p w14:paraId="01D9D9ED" w14:textId="5FEBE307" w:rsidR="00C14EA7" w:rsidRPr="002105F3" w:rsidRDefault="00C14EA7" w:rsidP="00C14EA7">
            <w:pPr>
              <w:spacing w:line="240" w:lineRule="auto"/>
              <w:jc w:val="both"/>
            </w:pPr>
            <w:r w:rsidRPr="002105F3">
              <w:rPr>
                <w:rFonts w:ascii="Times New Roman" w:hAnsi="Times New Roman"/>
                <w:color w:val="000000"/>
              </w:rPr>
              <w:t xml:space="preserve">W ujęciu pieniężnym źródłem dochodów obywateli </w:t>
            </w:r>
            <w:r>
              <w:rPr>
                <w:rFonts w:ascii="Times New Roman" w:hAnsi="Times New Roman"/>
                <w:color w:val="000000"/>
              </w:rPr>
              <w:t>będą</w:t>
            </w:r>
            <w:r w:rsidRPr="002105F3">
              <w:rPr>
                <w:rFonts w:ascii="Times New Roman" w:hAnsi="Times New Roman"/>
                <w:color w:val="000000"/>
              </w:rPr>
              <w:t xml:space="preserve"> wynagrodzenia netto przewidziane w ramach zwiększenia wynagrodzenia dla obecnie zatrudnionych pracowników lub zatrudnienia nowych pracowników przez IOŚ</w:t>
            </w:r>
            <w:r w:rsidR="00F114AC">
              <w:rPr>
                <w:rFonts w:ascii="Times New Roman" w:hAnsi="Times New Roman"/>
                <w:color w:val="000000"/>
              </w:rPr>
              <w:t>-PIB</w:t>
            </w:r>
            <w:r w:rsidRPr="002105F3">
              <w:rPr>
                <w:rFonts w:ascii="Times New Roman" w:hAnsi="Times New Roman"/>
                <w:color w:val="000000"/>
              </w:rPr>
              <w:t>.</w:t>
            </w:r>
            <w:r w:rsidRPr="002105F3">
              <w:t xml:space="preserve"> </w:t>
            </w:r>
          </w:p>
          <w:p w14:paraId="7DF518C1" w14:textId="4095280B" w:rsidR="00C14EA7" w:rsidRPr="002105F3" w:rsidRDefault="00C14EA7" w:rsidP="00C14EA7">
            <w:pPr>
              <w:spacing w:line="240" w:lineRule="auto"/>
              <w:jc w:val="both"/>
              <w:rPr>
                <w:rFonts w:ascii="Times New Roman" w:hAnsi="Times New Roman"/>
                <w:color w:val="000000"/>
              </w:rPr>
            </w:pPr>
            <w:r w:rsidRPr="002105F3">
              <w:rPr>
                <w:rFonts w:ascii="Times New Roman" w:hAnsi="Times New Roman"/>
                <w:color w:val="000000"/>
              </w:rPr>
              <w:t xml:space="preserve">Do wyliczeń przyjęto następujące założenia: </w:t>
            </w:r>
          </w:p>
          <w:p w14:paraId="3EC39661" w14:textId="39D1E31F" w:rsidR="00C14EA7" w:rsidRPr="002105F3" w:rsidRDefault="00C14EA7" w:rsidP="00C14EA7">
            <w:pPr>
              <w:spacing w:line="240" w:lineRule="auto"/>
              <w:jc w:val="both"/>
              <w:rPr>
                <w:rFonts w:ascii="Times New Roman" w:hAnsi="Times New Roman"/>
                <w:color w:val="000000"/>
              </w:rPr>
            </w:pPr>
            <w:r w:rsidRPr="002105F3">
              <w:rPr>
                <w:rFonts w:ascii="Times New Roman" w:hAnsi="Times New Roman"/>
                <w:color w:val="000000"/>
              </w:rPr>
              <w:t>a) 2,36 etaty merytoryczne/5 m-</w:t>
            </w:r>
            <w:proofErr w:type="spellStart"/>
            <w:r w:rsidRPr="002105F3">
              <w:rPr>
                <w:rFonts w:ascii="Times New Roman" w:hAnsi="Times New Roman"/>
                <w:color w:val="000000"/>
              </w:rPr>
              <w:t>cy</w:t>
            </w:r>
            <w:proofErr w:type="spellEnd"/>
            <w:r w:rsidRPr="002105F3">
              <w:rPr>
                <w:rFonts w:ascii="Times New Roman" w:hAnsi="Times New Roman"/>
                <w:color w:val="000000"/>
              </w:rPr>
              <w:t xml:space="preserve">/rok w </w:t>
            </w:r>
            <w:r w:rsidR="00E816A1" w:rsidRPr="002105F3">
              <w:rPr>
                <w:rFonts w:ascii="Times New Roman" w:hAnsi="Times New Roman"/>
                <w:color w:val="000000"/>
              </w:rPr>
              <w:t>202</w:t>
            </w:r>
            <w:r w:rsidR="00E816A1">
              <w:rPr>
                <w:rFonts w:ascii="Times New Roman" w:hAnsi="Times New Roman"/>
                <w:color w:val="000000"/>
              </w:rPr>
              <w:t>6</w:t>
            </w:r>
            <w:r w:rsidR="00E816A1" w:rsidRPr="002105F3">
              <w:rPr>
                <w:rFonts w:ascii="Times New Roman" w:hAnsi="Times New Roman"/>
                <w:color w:val="000000"/>
              </w:rPr>
              <w:t xml:space="preserve"> </w:t>
            </w:r>
            <w:r w:rsidRPr="002105F3">
              <w:rPr>
                <w:rFonts w:ascii="Times New Roman" w:hAnsi="Times New Roman"/>
                <w:color w:val="000000"/>
              </w:rPr>
              <w:t xml:space="preserve">r., 4,25 etaty w roku </w:t>
            </w:r>
            <w:r w:rsidR="00E816A1" w:rsidRPr="002105F3">
              <w:rPr>
                <w:rFonts w:ascii="Times New Roman" w:hAnsi="Times New Roman"/>
                <w:color w:val="000000"/>
              </w:rPr>
              <w:t>202</w:t>
            </w:r>
            <w:r w:rsidR="00E816A1">
              <w:rPr>
                <w:rFonts w:ascii="Times New Roman" w:hAnsi="Times New Roman"/>
                <w:color w:val="000000"/>
              </w:rPr>
              <w:t>8</w:t>
            </w:r>
            <w:r w:rsidR="00E816A1" w:rsidRPr="002105F3">
              <w:rPr>
                <w:rFonts w:ascii="Times New Roman" w:hAnsi="Times New Roman"/>
                <w:color w:val="000000"/>
              </w:rPr>
              <w:t xml:space="preserve"> </w:t>
            </w:r>
            <w:r w:rsidRPr="002105F3">
              <w:rPr>
                <w:rFonts w:ascii="Times New Roman" w:hAnsi="Times New Roman"/>
                <w:color w:val="000000"/>
              </w:rPr>
              <w:t xml:space="preserve">i 6 etatów w </w:t>
            </w:r>
            <w:r>
              <w:rPr>
                <w:rFonts w:ascii="Times New Roman" w:hAnsi="Times New Roman"/>
                <w:color w:val="000000"/>
              </w:rPr>
              <w:t>latach</w:t>
            </w:r>
            <w:r w:rsidRPr="002105F3">
              <w:rPr>
                <w:rFonts w:ascii="Times New Roman" w:hAnsi="Times New Roman"/>
                <w:color w:val="000000"/>
              </w:rPr>
              <w:t xml:space="preserve"> </w:t>
            </w:r>
            <w:r w:rsidR="00E816A1" w:rsidRPr="002105F3">
              <w:rPr>
                <w:rFonts w:ascii="Times New Roman" w:hAnsi="Times New Roman"/>
                <w:color w:val="000000"/>
              </w:rPr>
              <w:t>20</w:t>
            </w:r>
            <w:r w:rsidR="00E816A1">
              <w:rPr>
                <w:rFonts w:ascii="Times New Roman" w:hAnsi="Times New Roman"/>
                <w:color w:val="000000"/>
              </w:rPr>
              <w:t>30</w:t>
            </w:r>
            <w:r w:rsidRPr="002105F3">
              <w:rPr>
                <w:rFonts w:ascii="Times New Roman" w:hAnsi="Times New Roman"/>
                <w:color w:val="000000"/>
              </w:rPr>
              <w:t xml:space="preserve">, </w:t>
            </w:r>
            <w:r w:rsidR="00E816A1" w:rsidRPr="002105F3">
              <w:rPr>
                <w:rFonts w:ascii="Times New Roman" w:hAnsi="Times New Roman"/>
                <w:color w:val="000000"/>
              </w:rPr>
              <w:t>203</w:t>
            </w:r>
            <w:r w:rsidR="00E816A1">
              <w:rPr>
                <w:rFonts w:ascii="Times New Roman" w:hAnsi="Times New Roman"/>
                <w:color w:val="000000"/>
              </w:rPr>
              <w:t>2</w:t>
            </w:r>
            <w:r w:rsidR="00E816A1" w:rsidRPr="002105F3">
              <w:rPr>
                <w:rFonts w:ascii="Times New Roman" w:hAnsi="Times New Roman"/>
                <w:color w:val="000000"/>
              </w:rPr>
              <w:t xml:space="preserve"> </w:t>
            </w:r>
            <w:r w:rsidRPr="002105F3">
              <w:rPr>
                <w:rFonts w:ascii="Times New Roman" w:hAnsi="Times New Roman"/>
                <w:color w:val="000000"/>
              </w:rPr>
              <w:t xml:space="preserve">i </w:t>
            </w:r>
            <w:r w:rsidR="00E816A1" w:rsidRPr="002105F3">
              <w:rPr>
                <w:rFonts w:ascii="Times New Roman" w:hAnsi="Times New Roman"/>
                <w:color w:val="000000"/>
              </w:rPr>
              <w:t>203</w:t>
            </w:r>
            <w:r w:rsidR="00E816A1">
              <w:rPr>
                <w:rFonts w:ascii="Times New Roman" w:hAnsi="Times New Roman"/>
                <w:color w:val="000000"/>
              </w:rPr>
              <w:t>4</w:t>
            </w:r>
            <w:r w:rsidR="00E816A1" w:rsidRPr="002105F3">
              <w:rPr>
                <w:rFonts w:ascii="Times New Roman" w:hAnsi="Times New Roman"/>
                <w:color w:val="000000"/>
              </w:rPr>
              <w:t xml:space="preserve"> </w:t>
            </w:r>
            <w:r w:rsidRPr="002105F3">
              <w:rPr>
                <w:rFonts w:ascii="Times New Roman" w:hAnsi="Times New Roman"/>
                <w:color w:val="000000"/>
              </w:rPr>
              <w:t>+ wsparcie techniczne w każdym roku 0,9 etatu/12 m-</w:t>
            </w:r>
            <w:proofErr w:type="spellStart"/>
            <w:r w:rsidRPr="002105F3">
              <w:rPr>
                <w:rFonts w:ascii="Times New Roman" w:hAnsi="Times New Roman"/>
                <w:color w:val="000000"/>
              </w:rPr>
              <w:t>cy</w:t>
            </w:r>
            <w:proofErr w:type="spellEnd"/>
            <w:r w:rsidRPr="002105F3">
              <w:rPr>
                <w:rFonts w:ascii="Times New Roman" w:hAnsi="Times New Roman"/>
                <w:color w:val="000000"/>
              </w:rPr>
              <w:t>/rok</w:t>
            </w:r>
            <w:r>
              <w:rPr>
                <w:rFonts w:ascii="Times New Roman" w:hAnsi="Times New Roman"/>
                <w:color w:val="000000"/>
              </w:rPr>
              <w:t>,</w:t>
            </w:r>
          </w:p>
          <w:p w14:paraId="388D371B" w14:textId="2FD6A15A" w:rsidR="00C14EA7" w:rsidRDefault="00C14EA7" w:rsidP="00C14EA7">
            <w:pPr>
              <w:spacing w:line="240" w:lineRule="auto"/>
              <w:jc w:val="both"/>
              <w:rPr>
                <w:rFonts w:ascii="Times New Roman" w:hAnsi="Times New Roman"/>
                <w:color w:val="000000"/>
              </w:rPr>
            </w:pPr>
            <w:r w:rsidRPr="002105F3">
              <w:rPr>
                <w:rFonts w:ascii="Times New Roman" w:hAnsi="Times New Roman"/>
                <w:color w:val="000000"/>
              </w:rPr>
              <w:t>b) wynagrodzenie etatu merytorycznego 10540 zł brutto (7515,02</w:t>
            </w:r>
            <w:r>
              <w:rPr>
                <w:rFonts w:ascii="Times New Roman" w:hAnsi="Times New Roman"/>
                <w:color w:val="000000"/>
              </w:rPr>
              <w:t xml:space="preserve"> zł </w:t>
            </w:r>
            <w:r w:rsidRPr="002105F3">
              <w:rPr>
                <w:rFonts w:ascii="Times New Roman" w:hAnsi="Times New Roman"/>
                <w:color w:val="000000"/>
              </w:rPr>
              <w:t xml:space="preserve">netto), </w:t>
            </w:r>
          </w:p>
          <w:p w14:paraId="4BF3441C" w14:textId="51FC471C" w:rsidR="00774C75" w:rsidRDefault="00C14EA7" w:rsidP="00C14EA7">
            <w:pPr>
              <w:spacing w:line="240" w:lineRule="auto"/>
              <w:jc w:val="both"/>
              <w:rPr>
                <w:rFonts w:ascii="Times New Roman" w:hAnsi="Times New Roman"/>
                <w:color w:val="000000"/>
              </w:rPr>
            </w:pPr>
            <w:r>
              <w:rPr>
                <w:rFonts w:ascii="Times New Roman" w:hAnsi="Times New Roman"/>
                <w:color w:val="000000"/>
              </w:rPr>
              <w:t>c) wynagrodzenie</w:t>
            </w:r>
            <w:r w:rsidRPr="002105F3">
              <w:rPr>
                <w:rFonts w:ascii="Times New Roman" w:hAnsi="Times New Roman"/>
                <w:color w:val="000000"/>
              </w:rPr>
              <w:t xml:space="preserve"> etatu technicznego 3600 zł brutto (2783,86 </w:t>
            </w:r>
            <w:r>
              <w:rPr>
                <w:rFonts w:ascii="Times New Roman" w:hAnsi="Times New Roman"/>
                <w:color w:val="000000"/>
              </w:rPr>
              <w:t xml:space="preserve">zł </w:t>
            </w:r>
            <w:r w:rsidRPr="002105F3">
              <w:rPr>
                <w:rFonts w:ascii="Times New Roman" w:hAnsi="Times New Roman"/>
                <w:color w:val="000000"/>
              </w:rPr>
              <w:t>netto)</w:t>
            </w:r>
            <w:r>
              <w:rPr>
                <w:rFonts w:ascii="Times New Roman" w:hAnsi="Times New Roman"/>
                <w:color w:val="000000"/>
              </w:rPr>
              <w:t>.</w:t>
            </w:r>
          </w:p>
          <w:p w14:paraId="71F86534" w14:textId="77777777" w:rsidR="00774C75" w:rsidRDefault="00774C75" w:rsidP="00C14EA7">
            <w:pPr>
              <w:spacing w:line="240" w:lineRule="auto"/>
              <w:jc w:val="both"/>
              <w:rPr>
                <w:rFonts w:ascii="Times New Roman" w:hAnsi="Times New Roman"/>
                <w:color w:val="000000"/>
              </w:rPr>
            </w:pPr>
          </w:p>
          <w:p w14:paraId="127BF6B2" w14:textId="4517A8B4" w:rsidR="00C14EA7" w:rsidRPr="00FB1833" w:rsidRDefault="00C14EA7" w:rsidP="009C0671">
            <w:pPr>
              <w:spacing w:line="240" w:lineRule="auto"/>
              <w:jc w:val="both"/>
              <w:rPr>
                <w:rFonts w:ascii="Times New Roman" w:hAnsi="Times New Roman"/>
                <w:b/>
                <w:bCs/>
                <w:color w:val="000000"/>
              </w:rPr>
            </w:pPr>
            <w:r w:rsidRPr="00FB1833">
              <w:rPr>
                <w:rFonts w:ascii="Times New Roman" w:hAnsi="Times New Roman"/>
                <w:b/>
                <w:bCs/>
                <w:color w:val="000000"/>
              </w:rPr>
              <w:t>MPA:</w:t>
            </w:r>
          </w:p>
          <w:p w14:paraId="3E9041C4" w14:textId="7C0E300A" w:rsidR="00C14EA7" w:rsidRPr="0034095C" w:rsidRDefault="00C14EA7" w:rsidP="0034095C">
            <w:pPr>
              <w:spacing w:line="240" w:lineRule="auto"/>
              <w:jc w:val="both"/>
              <w:rPr>
                <w:rFonts w:ascii="Times New Roman" w:hAnsi="Times New Roman"/>
              </w:rPr>
            </w:pPr>
            <w:r w:rsidRPr="007A2509">
              <w:rPr>
                <w:rFonts w:ascii="Times New Roman" w:hAnsi="Times New Roman"/>
                <w:color w:val="000000"/>
              </w:rPr>
              <w:t xml:space="preserve">W ujęciu pieniężnym regulacja będzie miała pozytywny wpływ na sektor małych i średnich przedsiębiorstw, instytutów, </w:t>
            </w:r>
            <w:bookmarkStart w:id="46" w:name="_Hlk64619844"/>
            <w:r w:rsidRPr="007A2509">
              <w:rPr>
                <w:rFonts w:ascii="Times New Roman" w:hAnsi="Times New Roman"/>
                <w:color w:val="000000"/>
              </w:rPr>
              <w:t>które zajmują się opracowaniem planów adaptacji do zmian klimatu oraz innych analogicznych dokumentów planistycznych i strategicznych</w:t>
            </w:r>
            <w:bookmarkEnd w:id="46"/>
            <w:r w:rsidRPr="007A2509">
              <w:rPr>
                <w:rFonts w:ascii="Times New Roman" w:hAnsi="Times New Roman"/>
                <w:color w:val="000000"/>
              </w:rPr>
              <w:t xml:space="preserve">. Średni koszt opracowania jednego MPA oszacowano na 100 000 zł. Opracowanie MPA dla miast </w:t>
            </w:r>
            <w:r w:rsidR="00FF09ED">
              <w:rPr>
                <w:rFonts w:ascii="Times New Roman" w:hAnsi="Times New Roman"/>
                <w:color w:val="000000"/>
              </w:rPr>
              <w:t xml:space="preserve">o liczbie mieszkańców równej lub </w:t>
            </w:r>
            <w:r w:rsidRPr="007A2509">
              <w:rPr>
                <w:rFonts w:ascii="Times New Roman" w:hAnsi="Times New Roman"/>
                <w:color w:val="000000"/>
              </w:rPr>
              <w:t>powyżej 20 000 mieszkańców przyczyni się do wzrostu dochodów ww. przedsiębiorców</w:t>
            </w:r>
            <w:r>
              <w:rPr>
                <w:rFonts w:ascii="Times New Roman" w:hAnsi="Times New Roman"/>
              </w:rPr>
              <w:t>. Koszt w</w:t>
            </w:r>
            <w:r w:rsidR="005C4E2D">
              <w:rPr>
                <w:rFonts w:ascii="Times New Roman" w:hAnsi="Times New Roman"/>
              </w:rPr>
              <w:t> </w:t>
            </w:r>
            <w:r>
              <w:rPr>
                <w:rFonts w:ascii="Times New Roman" w:hAnsi="Times New Roman"/>
              </w:rPr>
              <w:t>poszczególnych latach jest trudny do oszacowania, gdyż nie wiadomo, ile gmin i w którym roku zleci opracowanie/aktualizację MPA.</w:t>
            </w:r>
          </w:p>
        </w:tc>
      </w:tr>
      <w:tr w:rsidR="00C14EA7" w:rsidRPr="007A2509" w14:paraId="28B36B63" w14:textId="77777777" w:rsidTr="00C14EA7">
        <w:trPr>
          <w:trHeight w:val="342"/>
          <w:jc w:val="center"/>
        </w:trPr>
        <w:tc>
          <w:tcPr>
            <w:tcW w:w="10937" w:type="dxa"/>
            <w:gridSpan w:val="13"/>
            <w:shd w:val="clear" w:color="auto" w:fill="99CCFF"/>
            <w:vAlign w:val="center"/>
          </w:tcPr>
          <w:p w14:paraId="5C0436B3" w14:textId="77777777" w:rsidR="00C14EA7" w:rsidRPr="007A2509" w:rsidRDefault="00C14EA7" w:rsidP="005C4CF5">
            <w:pPr>
              <w:numPr>
                <w:ilvl w:val="0"/>
                <w:numId w:val="38"/>
              </w:numPr>
              <w:spacing w:line="240" w:lineRule="auto"/>
              <w:ind w:left="318" w:hanging="284"/>
              <w:jc w:val="both"/>
              <w:rPr>
                <w:rFonts w:ascii="Times New Roman" w:hAnsi="Times New Roman"/>
                <w:b/>
                <w:color w:val="000000"/>
              </w:rPr>
            </w:pPr>
            <w:r w:rsidRPr="007A2509">
              <w:rPr>
                <w:rFonts w:ascii="Times New Roman" w:hAnsi="Times New Roman"/>
                <w:b/>
                <w:color w:val="000000"/>
              </w:rPr>
              <w:t xml:space="preserve"> Zmiana obciążeń regulacyjnych (w tym obowiązków informacyjnych) wynikających z projektu</w:t>
            </w:r>
          </w:p>
        </w:tc>
      </w:tr>
      <w:tr w:rsidR="00C14EA7" w:rsidRPr="007A2509" w14:paraId="4DE1BFBA" w14:textId="77777777" w:rsidTr="00C14EA7">
        <w:trPr>
          <w:trHeight w:val="151"/>
          <w:jc w:val="center"/>
        </w:trPr>
        <w:tc>
          <w:tcPr>
            <w:tcW w:w="10937" w:type="dxa"/>
            <w:gridSpan w:val="13"/>
            <w:shd w:val="clear" w:color="auto" w:fill="FFFFFF"/>
          </w:tcPr>
          <w:p w14:paraId="062B8032"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nie dotyczy</w:t>
            </w:r>
          </w:p>
        </w:tc>
      </w:tr>
      <w:tr w:rsidR="00C14EA7" w:rsidRPr="007A2509" w14:paraId="4252FC3E" w14:textId="77777777" w:rsidTr="00C14EA7">
        <w:trPr>
          <w:trHeight w:val="764"/>
          <w:jc w:val="center"/>
        </w:trPr>
        <w:tc>
          <w:tcPr>
            <w:tcW w:w="5111" w:type="dxa"/>
            <w:gridSpan w:val="6"/>
            <w:shd w:val="clear" w:color="auto" w:fill="FFFFFF"/>
          </w:tcPr>
          <w:p w14:paraId="688519EF"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spacing w:val="-2"/>
              </w:rPr>
              <w:lastRenderedPageBreak/>
              <w:t xml:space="preserve">Wprowadzane są obciążenia poza bezwzględnie wymaganymi przez UE </w:t>
            </w:r>
            <w:r w:rsidRPr="007A2509">
              <w:rPr>
                <w:rFonts w:ascii="Times New Roman" w:hAnsi="Times New Roman"/>
                <w:color w:val="000000"/>
              </w:rPr>
              <w:t>(szczegóły w odwróconej tabeli zgodności).</w:t>
            </w:r>
          </w:p>
        </w:tc>
        <w:tc>
          <w:tcPr>
            <w:tcW w:w="5826" w:type="dxa"/>
            <w:gridSpan w:val="7"/>
            <w:shd w:val="clear" w:color="auto" w:fill="FFFFFF"/>
          </w:tcPr>
          <w:p w14:paraId="5540DE15"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
                  <w:enabled/>
                  <w:calcOnExit w:val="0"/>
                  <w:checkBox>
                    <w:sizeAuto/>
                    <w:default w:val="1"/>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tak</w:t>
            </w:r>
          </w:p>
          <w:p w14:paraId="3494B9ED"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nie</w:t>
            </w:r>
          </w:p>
          <w:p w14:paraId="48AD7AF6"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nie dotyczy</w:t>
            </w:r>
          </w:p>
        </w:tc>
      </w:tr>
      <w:tr w:rsidR="00C14EA7" w:rsidRPr="007A2509" w14:paraId="3FEB6D83" w14:textId="77777777" w:rsidTr="00C14EA7">
        <w:trPr>
          <w:trHeight w:val="987"/>
          <w:jc w:val="center"/>
        </w:trPr>
        <w:tc>
          <w:tcPr>
            <w:tcW w:w="5111" w:type="dxa"/>
            <w:gridSpan w:val="6"/>
            <w:shd w:val="clear" w:color="auto" w:fill="FFFFFF"/>
          </w:tcPr>
          <w:p w14:paraId="04A3BE4E" w14:textId="77777777" w:rsidR="00C14EA7" w:rsidRPr="007A2509" w:rsidRDefault="00C14EA7" w:rsidP="00C14EA7">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 xml:space="preserve">zmniejszenie liczby dokumentów </w:t>
            </w:r>
          </w:p>
          <w:p w14:paraId="18C85968" w14:textId="77777777" w:rsidR="00C14EA7" w:rsidRPr="007A2509" w:rsidRDefault="00C14EA7" w:rsidP="00C14EA7">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zmniejszenie liczby procedur</w:t>
            </w:r>
          </w:p>
          <w:p w14:paraId="591A9E8E" w14:textId="77777777" w:rsidR="00C14EA7" w:rsidRPr="007A2509" w:rsidRDefault="00C14EA7" w:rsidP="00C14EA7">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skrócenie czasu na załatwienie sprawy</w:t>
            </w:r>
          </w:p>
          <w:p w14:paraId="6D419B21" w14:textId="77777777" w:rsidR="00C14EA7" w:rsidRPr="007A2509" w:rsidRDefault="00C14EA7" w:rsidP="00C14EA7">
            <w:pPr>
              <w:spacing w:line="240" w:lineRule="auto"/>
              <w:jc w:val="both"/>
              <w:rPr>
                <w:rFonts w:ascii="Times New Roman" w:hAnsi="Times New Roman"/>
                <w:b/>
                <w:color w:val="000000"/>
                <w:spacing w:val="-2"/>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inne:</w:t>
            </w:r>
            <w:r w:rsidRPr="007A2509">
              <w:rPr>
                <w:rFonts w:ascii="Times New Roman" w:hAnsi="Times New Roman"/>
                <w:color w:val="000000"/>
              </w:rPr>
              <w:t xml:space="preserve"> </w:t>
            </w:r>
            <w:r w:rsidRPr="007A250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2509">
              <w:rPr>
                <w:rFonts w:ascii="Times New Roman" w:hAnsi="Times New Roman"/>
                <w:color w:val="000000"/>
              </w:rPr>
              <w:instrText xml:space="preserve"> FORMTEXT </w:instrText>
            </w:r>
            <w:r w:rsidRPr="007A2509">
              <w:rPr>
                <w:rFonts w:ascii="Times New Roman" w:hAnsi="Times New Roman"/>
                <w:color w:val="000000"/>
              </w:rPr>
            </w:r>
            <w:r w:rsidRPr="007A2509">
              <w:rPr>
                <w:rFonts w:ascii="Times New Roman" w:hAnsi="Times New Roman"/>
                <w:color w:val="000000"/>
              </w:rPr>
              <w:fldChar w:fldCharType="separate"/>
            </w:r>
            <w:r w:rsidRPr="007A2509">
              <w:rPr>
                <w:rFonts w:ascii="Times New Roman" w:hAnsi="Times New Roman"/>
                <w:noProof/>
                <w:color w:val="000000"/>
              </w:rPr>
              <w:t> </w:t>
            </w:r>
            <w:r w:rsidRPr="007A2509">
              <w:rPr>
                <w:rFonts w:ascii="Times New Roman" w:hAnsi="Times New Roman"/>
                <w:noProof/>
                <w:color w:val="000000"/>
              </w:rPr>
              <w:t> </w:t>
            </w:r>
            <w:r w:rsidRPr="007A2509">
              <w:rPr>
                <w:rFonts w:ascii="Times New Roman" w:hAnsi="Times New Roman"/>
                <w:noProof/>
                <w:color w:val="000000"/>
              </w:rPr>
              <w:t> </w:t>
            </w:r>
            <w:r w:rsidRPr="007A2509">
              <w:rPr>
                <w:rFonts w:ascii="Times New Roman" w:hAnsi="Times New Roman"/>
                <w:noProof/>
                <w:color w:val="000000"/>
              </w:rPr>
              <w:t> </w:t>
            </w:r>
            <w:r w:rsidRPr="007A2509">
              <w:rPr>
                <w:rFonts w:ascii="Times New Roman" w:hAnsi="Times New Roman"/>
                <w:noProof/>
                <w:color w:val="000000"/>
              </w:rPr>
              <w:t> </w:t>
            </w:r>
            <w:r w:rsidRPr="007A2509">
              <w:rPr>
                <w:rFonts w:ascii="Times New Roman" w:hAnsi="Times New Roman"/>
                <w:color w:val="000000"/>
              </w:rPr>
              <w:fldChar w:fldCharType="end"/>
            </w:r>
          </w:p>
        </w:tc>
        <w:tc>
          <w:tcPr>
            <w:tcW w:w="5826" w:type="dxa"/>
            <w:gridSpan w:val="7"/>
            <w:shd w:val="clear" w:color="auto" w:fill="FFFFFF"/>
          </w:tcPr>
          <w:p w14:paraId="08E93043"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
                  <w:enabled/>
                  <w:calcOnExit w:val="0"/>
                  <w:checkBox>
                    <w:sizeAuto/>
                    <w:default w:val="1"/>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zwiększenie liczby dokumentów</w:t>
            </w:r>
          </w:p>
          <w:p w14:paraId="74ED23C6"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zwiększenie liczby procedur</w:t>
            </w:r>
          </w:p>
          <w:p w14:paraId="48824DED"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wydłużenie czasu na załatwienie sprawy</w:t>
            </w:r>
          </w:p>
          <w:p w14:paraId="49F4659F"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inne:</w:t>
            </w:r>
            <w:r w:rsidRPr="007A2509">
              <w:rPr>
                <w:rFonts w:ascii="Times New Roman" w:hAnsi="Times New Roman"/>
                <w:color w:val="000000"/>
              </w:rPr>
              <w:t xml:space="preserve"> </w:t>
            </w:r>
          </w:p>
        </w:tc>
      </w:tr>
      <w:tr w:rsidR="00C14EA7" w:rsidRPr="007A2509" w14:paraId="11E5A3F6" w14:textId="77777777" w:rsidTr="00C14EA7">
        <w:trPr>
          <w:trHeight w:val="870"/>
          <w:jc w:val="center"/>
        </w:trPr>
        <w:tc>
          <w:tcPr>
            <w:tcW w:w="5111" w:type="dxa"/>
            <w:gridSpan w:val="6"/>
            <w:shd w:val="clear" w:color="auto" w:fill="FFFFFF"/>
          </w:tcPr>
          <w:p w14:paraId="45D511E2"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spacing w:val="-2"/>
              </w:rPr>
              <w:t xml:space="preserve">Wprowadzane obciążenia są przystosowane do ich elektronizacji. </w:t>
            </w:r>
          </w:p>
        </w:tc>
        <w:tc>
          <w:tcPr>
            <w:tcW w:w="5826" w:type="dxa"/>
            <w:gridSpan w:val="7"/>
            <w:shd w:val="clear" w:color="auto" w:fill="FFFFFF"/>
          </w:tcPr>
          <w:p w14:paraId="1A1BD608" w14:textId="5C9A701F" w:rsidR="00C14EA7" w:rsidRPr="007A2509" w:rsidRDefault="00DE162C" w:rsidP="00C14EA7">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00C14EA7" w:rsidRPr="007A2509">
              <w:rPr>
                <w:rFonts w:ascii="Times New Roman" w:hAnsi="Times New Roman"/>
                <w:color w:val="000000"/>
              </w:rPr>
              <w:t xml:space="preserve"> tak</w:t>
            </w:r>
          </w:p>
          <w:p w14:paraId="38EEBCF6"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nie</w:t>
            </w:r>
          </w:p>
          <w:p w14:paraId="39D3EADB" w14:textId="2BCC4641" w:rsidR="00C14EA7" w:rsidRPr="007A2509" w:rsidRDefault="00DE162C" w:rsidP="00C14EA7">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00C14EA7" w:rsidRPr="007A2509">
              <w:rPr>
                <w:rFonts w:ascii="Times New Roman" w:hAnsi="Times New Roman"/>
                <w:color w:val="000000"/>
              </w:rPr>
              <w:t xml:space="preserve"> nie dotyczy</w:t>
            </w:r>
          </w:p>
        </w:tc>
      </w:tr>
      <w:tr w:rsidR="00C14EA7" w:rsidRPr="007A2509" w14:paraId="51EB43BE" w14:textId="77777777" w:rsidTr="00C14EA7">
        <w:trPr>
          <w:trHeight w:val="279"/>
          <w:jc w:val="center"/>
        </w:trPr>
        <w:tc>
          <w:tcPr>
            <w:tcW w:w="10937" w:type="dxa"/>
            <w:gridSpan w:val="13"/>
            <w:shd w:val="clear" w:color="auto" w:fill="FFFFFF"/>
          </w:tcPr>
          <w:p w14:paraId="31CFC406"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Komentarz:</w:t>
            </w:r>
          </w:p>
          <w:p w14:paraId="0A9FE1BD" w14:textId="0E5DD898" w:rsidR="00C14EA7" w:rsidRDefault="00C14EA7" w:rsidP="00C14EA7">
            <w:pPr>
              <w:spacing w:line="240" w:lineRule="auto"/>
              <w:jc w:val="both"/>
              <w:rPr>
                <w:rFonts w:ascii="Times New Roman" w:hAnsi="Times New Roman"/>
                <w:color w:val="000000"/>
                <w:spacing w:val="-2"/>
              </w:rPr>
            </w:pPr>
            <w:r w:rsidRPr="00FE2D03">
              <w:rPr>
                <w:rFonts w:ascii="Times New Roman" w:hAnsi="Times New Roman"/>
                <w:color w:val="000000"/>
                <w:u w:val="single"/>
              </w:rPr>
              <w:t>Zwiększenie liczby dokumentów</w:t>
            </w:r>
            <w:r w:rsidRPr="007A2509">
              <w:rPr>
                <w:rFonts w:ascii="Times New Roman" w:hAnsi="Times New Roman"/>
                <w:color w:val="000000"/>
              </w:rPr>
              <w:t xml:space="preserve"> – opracowanie miejskich</w:t>
            </w:r>
            <w:r>
              <w:rPr>
                <w:rFonts w:ascii="Times New Roman" w:hAnsi="Times New Roman"/>
                <w:color w:val="000000"/>
              </w:rPr>
              <w:t xml:space="preserve"> </w:t>
            </w:r>
            <w:r w:rsidRPr="007A2509">
              <w:rPr>
                <w:rFonts w:ascii="Times New Roman" w:hAnsi="Times New Roman"/>
                <w:color w:val="000000"/>
              </w:rPr>
              <w:t>planów adaptacji do zmian klimatu</w:t>
            </w:r>
            <w:r>
              <w:rPr>
                <w:rFonts w:ascii="Times New Roman" w:hAnsi="Times New Roman"/>
                <w:color w:val="000000"/>
              </w:rPr>
              <w:t xml:space="preserve"> i sprawozdań z wdrażania działań adaptacyjnych zawartych w MPA</w:t>
            </w:r>
            <w:r w:rsidRPr="007A2509">
              <w:rPr>
                <w:rFonts w:ascii="Times New Roman" w:hAnsi="Times New Roman"/>
                <w:color w:val="000000"/>
              </w:rPr>
              <w:t xml:space="preserve">; </w:t>
            </w:r>
            <w:r w:rsidRPr="007A2509">
              <w:rPr>
                <w:rFonts w:ascii="Times New Roman" w:hAnsi="Times New Roman"/>
                <w:color w:val="000000"/>
                <w:spacing w:val="-2"/>
              </w:rPr>
              <w:t>uwzględnianie w planowanych przedsięwzięciach/inwestycjach, które wymagają przygotowania oceny oddziaływania na środowisko, przeprowadzenia</w:t>
            </w:r>
            <w:r>
              <w:rPr>
                <w:rFonts w:ascii="Times New Roman" w:hAnsi="Times New Roman"/>
                <w:color w:val="000000"/>
                <w:spacing w:val="-2"/>
              </w:rPr>
              <w:t xml:space="preserve"> </w:t>
            </w:r>
            <w:r w:rsidRPr="007C324E">
              <w:rPr>
                <w:rFonts w:ascii="Times New Roman" w:hAnsi="Times New Roman"/>
                <w:color w:val="000000"/>
                <w:spacing w:val="-2"/>
              </w:rPr>
              <w:t>analiz</w:t>
            </w:r>
            <w:r>
              <w:rPr>
                <w:rFonts w:ascii="Times New Roman" w:hAnsi="Times New Roman"/>
                <w:color w:val="000000"/>
                <w:spacing w:val="-2"/>
              </w:rPr>
              <w:t>y</w:t>
            </w:r>
            <w:r w:rsidRPr="007C324E">
              <w:rPr>
                <w:rFonts w:ascii="Times New Roman" w:hAnsi="Times New Roman"/>
                <w:color w:val="000000"/>
                <w:spacing w:val="-2"/>
              </w:rPr>
              <w:t xml:space="preserve"> podatności (narażenia oraz odporności) przedsięwzięcia na zmiany klimatu</w:t>
            </w:r>
            <w:r>
              <w:rPr>
                <w:rFonts w:ascii="Times New Roman" w:hAnsi="Times New Roman"/>
                <w:color w:val="000000"/>
                <w:spacing w:val="-2"/>
              </w:rPr>
              <w:t>; s</w:t>
            </w:r>
            <w:r w:rsidRPr="007C324E">
              <w:rPr>
                <w:rFonts w:ascii="Times New Roman" w:hAnsi="Times New Roman"/>
                <w:color w:val="000000"/>
                <w:spacing w:val="-2"/>
              </w:rPr>
              <w:t xml:space="preserve">porządzane/aktualizowane </w:t>
            </w:r>
            <w:r>
              <w:rPr>
                <w:rFonts w:ascii="Times New Roman" w:hAnsi="Times New Roman"/>
                <w:color w:val="000000"/>
                <w:spacing w:val="-2"/>
              </w:rPr>
              <w:t xml:space="preserve">strategie rozwoju gmin, </w:t>
            </w:r>
            <w:r w:rsidR="00445687">
              <w:rPr>
                <w:rFonts w:ascii="Times New Roman" w:hAnsi="Times New Roman"/>
                <w:color w:val="000000"/>
                <w:spacing w:val="-2"/>
              </w:rPr>
              <w:t>plany ogólne</w:t>
            </w:r>
            <w:r w:rsidRPr="007C324E">
              <w:rPr>
                <w:rFonts w:ascii="Times New Roman" w:hAnsi="Times New Roman"/>
                <w:color w:val="000000"/>
                <w:spacing w:val="-2"/>
              </w:rPr>
              <w:t xml:space="preserve"> gmin oraz miejscowe plany zagospodarowania przestrzennego będą uwzględniały wnioski i rekomendacje z opracowanych miejskich planów adaptacji do zmian klimatu</w:t>
            </w:r>
            <w:r w:rsidR="009A7B8F">
              <w:rPr>
                <w:rFonts w:ascii="Times New Roman" w:hAnsi="Times New Roman"/>
                <w:color w:val="000000"/>
                <w:spacing w:val="-2"/>
              </w:rPr>
              <w:t>.</w:t>
            </w:r>
            <w:r>
              <w:rPr>
                <w:rFonts w:ascii="Times New Roman" w:hAnsi="Times New Roman"/>
                <w:color w:val="000000"/>
                <w:spacing w:val="-2"/>
              </w:rPr>
              <w:t xml:space="preserve"> </w:t>
            </w:r>
          </w:p>
          <w:p w14:paraId="32A3D50B" w14:textId="2C920E43" w:rsidR="00C14EA7" w:rsidRDefault="00C14EA7" w:rsidP="00C14EA7">
            <w:pPr>
              <w:spacing w:line="240" w:lineRule="auto"/>
              <w:jc w:val="both"/>
              <w:rPr>
                <w:rFonts w:ascii="Times New Roman" w:hAnsi="Times New Roman"/>
                <w:color w:val="000000"/>
              </w:rPr>
            </w:pPr>
            <w:r w:rsidRPr="00FE2D03">
              <w:rPr>
                <w:rFonts w:ascii="Times New Roman" w:hAnsi="Times New Roman"/>
                <w:color w:val="000000"/>
                <w:spacing w:val="-2"/>
                <w:u w:val="single"/>
              </w:rPr>
              <w:t>Zmniejszenie liczby dokumentów/ skrócenie czasu na załatwienie sprawy</w:t>
            </w:r>
            <w:r>
              <w:rPr>
                <w:rFonts w:ascii="Times New Roman" w:hAnsi="Times New Roman"/>
                <w:color w:val="000000"/>
                <w:spacing w:val="-2"/>
              </w:rPr>
              <w:t xml:space="preserve"> –</w:t>
            </w:r>
            <w:r w:rsidR="00B77718">
              <w:rPr>
                <w:rFonts w:ascii="Times New Roman" w:hAnsi="Times New Roman"/>
                <w:color w:val="000000"/>
                <w:spacing w:val="-2"/>
              </w:rPr>
              <w:t xml:space="preserve"> </w:t>
            </w:r>
            <w:r>
              <w:rPr>
                <w:rFonts w:ascii="Times New Roman" w:hAnsi="Times New Roman"/>
                <w:color w:val="000000"/>
              </w:rPr>
              <w:t>zmniejszy się liczba dokumentów związanych z obowiązkiem opracowania aktualizacji programów ochrony powietrza, poprzez zmniejszenie częstotliwości opracowania dokumentów.</w:t>
            </w:r>
          </w:p>
          <w:p w14:paraId="785BFC95" w14:textId="77777777" w:rsidR="00C14EA7" w:rsidRDefault="00C14EA7" w:rsidP="00C14EA7">
            <w:pPr>
              <w:spacing w:line="240" w:lineRule="auto"/>
              <w:jc w:val="both"/>
              <w:rPr>
                <w:rFonts w:ascii="Times New Roman" w:hAnsi="Times New Roman"/>
                <w:color w:val="000000"/>
                <w:spacing w:val="-2"/>
              </w:rPr>
            </w:pPr>
            <w:r w:rsidRPr="00391414">
              <w:rPr>
                <w:rFonts w:ascii="Times New Roman" w:hAnsi="Times New Roman"/>
                <w:color w:val="000000"/>
                <w:spacing w:val="-2"/>
                <w:u w:val="single"/>
              </w:rPr>
              <w:t>Zmniejszenie liczby procedur</w:t>
            </w:r>
            <w:r>
              <w:rPr>
                <w:rFonts w:ascii="Times New Roman" w:hAnsi="Times New Roman"/>
                <w:color w:val="000000"/>
                <w:spacing w:val="-2"/>
              </w:rPr>
              <w:t xml:space="preserve"> – nie będzie konieczności składania oświadczenia o </w:t>
            </w:r>
            <w:r w:rsidRPr="00391414">
              <w:rPr>
                <w:rFonts w:ascii="Times New Roman" w:hAnsi="Times New Roman"/>
                <w:color w:val="000000"/>
                <w:spacing w:val="-2"/>
              </w:rPr>
              <w:t>posiada</w:t>
            </w:r>
            <w:r>
              <w:rPr>
                <w:rFonts w:ascii="Times New Roman" w:hAnsi="Times New Roman"/>
                <w:color w:val="000000"/>
                <w:spacing w:val="-2"/>
              </w:rPr>
              <w:t>nych łącznie środkach własnych oraz zasobach majątkowych beneficjenta.</w:t>
            </w:r>
          </w:p>
          <w:p w14:paraId="39537639" w14:textId="621F0520" w:rsidR="00DE162C" w:rsidRPr="00C14EA7" w:rsidRDefault="00DE162C" w:rsidP="00C14EA7">
            <w:pPr>
              <w:spacing w:line="240" w:lineRule="auto"/>
              <w:jc w:val="both"/>
              <w:rPr>
                <w:rFonts w:ascii="Times New Roman" w:hAnsi="Times New Roman"/>
                <w:color w:val="000000"/>
                <w:spacing w:val="-2"/>
              </w:rPr>
            </w:pPr>
            <w:r>
              <w:rPr>
                <w:rFonts w:ascii="Times New Roman" w:hAnsi="Times New Roman"/>
                <w:color w:val="000000"/>
                <w:spacing w:val="-2"/>
              </w:rPr>
              <w:t>Wprowadzane obciążenia są przystosowane do ich elektronizacji – zostanie utworzony system sprawozdawczy w IOŚ-PIB</w:t>
            </w:r>
            <w:r w:rsidR="00D6220A">
              <w:rPr>
                <w:rFonts w:ascii="Times New Roman" w:hAnsi="Times New Roman"/>
                <w:color w:val="000000"/>
                <w:spacing w:val="-2"/>
              </w:rPr>
              <w:t>.</w:t>
            </w:r>
          </w:p>
        </w:tc>
      </w:tr>
      <w:tr w:rsidR="00C14EA7" w:rsidRPr="007A2509" w14:paraId="1E87C70C" w14:textId="77777777" w:rsidTr="00C14EA7">
        <w:trPr>
          <w:trHeight w:val="142"/>
          <w:jc w:val="center"/>
        </w:trPr>
        <w:tc>
          <w:tcPr>
            <w:tcW w:w="10937" w:type="dxa"/>
            <w:gridSpan w:val="13"/>
            <w:shd w:val="clear" w:color="auto" w:fill="99CCFF"/>
          </w:tcPr>
          <w:p w14:paraId="4992C476" w14:textId="77777777" w:rsidR="00C14EA7" w:rsidRPr="007A2509" w:rsidRDefault="00C14EA7" w:rsidP="005C4CF5">
            <w:pPr>
              <w:numPr>
                <w:ilvl w:val="0"/>
                <w:numId w:val="38"/>
              </w:numPr>
              <w:spacing w:line="240" w:lineRule="auto"/>
              <w:jc w:val="both"/>
              <w:rPr>
                <w:rFonts w:ascii="Times New Roman" w:hAnsi="Times New Roman"/>
                <w:b/>
                <w:color w:val="000000"/>
              </w:rPr>
            </w:pPr>
            <w:r w:rsidRPr="007A2509">
              <w:rPr>
                <w:rFonts w:ascii="Times New Roman" w:hAnsi="Times New Roman"/>
                <w:b/>
                <w:color w:val="000000"/>
              </w:rPr>
              <w:t xml:space="preserve">Wpływ na rynek pracy </w:t>
            </w:r>
          </w:p>
        </w:tc>
      </w:tr>
      <w:tr w:rsidR="00C14EA7" w:rsidRPr="007A2509" w14:paraId="46938F1E" w14:textId="77777777" w:rsidTr="00C14EA7">
        <w:trPr>
          <w:trHeight w:val="142"/>
          <w:jc w:val="center"/>
        </w:trPr>
        <w:tc>
          <w:tcPr>
            <w:tcW w:w="10937" w:type="dxa"/>
            <w:gridSpan w:val="13"/>
            <w:shd w:val="clear" w:color="auto" w:fill="auto"/>
          </w:tcPr>
          <w:p w14:paraId="59EBEB94" w14:textId="4755D7EF" w:rsidR="00C14EA7" w:rsidRDefault="00C14EA7" w:rsidP="00C14EA7">
            <w:pPr>
              <w:spacing w:line="240" w:lineRule="auto"/>
              <w:jc w:val="both"/>
              <w:rPr>
                <w:rFonts w:ascii="Times New Roman" w:hAnsi="Times New Roman"/>
                <w:color w:val="000000"/>
              </w:rPr>
            </w:pPr>
            <w:r w:rsidRPr="007A2509">
              <w:rPr>
                <w:rFonts w:ascii="Times New Roman" w:hAnsi="Times New Roman"/>
                <w:color w:val="000000"/>
              </w:rPr>
              <w:t>Projektowane zmiany mogą wpłynąć pozytywnie na zatrudnienie w firmach zajmujących się opracowywaniem MPA</w:t>
            </w:r>
            <w:r>
              <w:rPr>
                <w:rFonts w:ascii="Times New Roman" w:hAnsi="Times New Roman"/>
                <w:color w:val="000000"/>
              </w:rPr>
              <w:t xml:space="preserve">, </w:t>
            </w:r>
            <w:r w:rsidRPr="007A2509">
              <w:rPr>
                <w:rFonts w:ascii="Times New Roman" w:hAnsi="Times New Roman"/>
                <w:color w:val="000000"/>
              </w:rPr>
              <w:t>wykonujących oceny oddziaływania na środowisko</w:t>
            </w:r>
            <w:r>
              <w:rPr>
                <w:rFonts w:ascii="Times New Roman" w:hAnsi="Times New Roman"/>
                <w:color w:val="000000"/>
              </w:rPr>
              <w:t xml:space="preserve">, zakładających zieleń. </w:t>
            </w:r>
          </w:p>
          <w:p w14:paraId="4AB96CE6" w14:textId="77777777" w:rsidR="00C14EA7" w:rsidRPr="007A2509" w:rsidRDefault="00C14EA7" w:rsidP="00C14EA7">
            <w:pPr>
              <w:spacing w:line="240" w:lineRule="auto"/>
              <w:jc w:val="both"/>
              <w:rPr>
                <w:rFonts w:ascii="Times New Roman" w:hAnsi="Times New Roman"/>
                <w:color w:val="000000"/>
              </w:rPr>
            </w:pPr>
            <w:r w:rsidRPr="000A7778">
              <w:rPr>
                <w:rFonts w:ascii="Times New Roman" w:hAnsi="Times New Roman"/>
                <w:color w:val="000000"/>
              </w:rPr>
              <w:t>Zaproponowane zmiany wpłyną</w:t>
            </w:r>
            <w:r>
              <w:rPr>
                <w:rFonts w:ascii="Times New Roman" w:hAnsi="Times New Roman"/>
                <w:color w:val="000000"/>
              </w:rPr>
              <w:t xml:space="preserve"> </w:t>
            </w:r>
            <w:r w:rsidRPr="000A7778">
              <w:rPr>
                <w:rFonts w:ascii="Times New Roman" w:hAnsi="Times New Roman"/>
                <w:color w:val="000000"/>
              </w:rPr>
              <w:t>korzystnie na sektor przedsiębiorstw – umożliwią ich dalsze, niezakłócone przez czynniki związane ze zmianami klimatu,</w:t>
            </w:r>
            <w:r>
              <w:rPr>
                <w:rFonts w:ascii="Times New Roman" w:hAnsi="Times New Roman"/>
                <w:color w:val="000000"/>
              </w:rPr>
              <w:t xml:space="preserve"> </w:t>
            </w:r>
            <w:r w:rsidRPr="000A7778">
              <w:rPr>
                <w:rFonts w:ascii="Times New Roman" w:hAnsi="Times New Roman"/>
                <w:color w:val="000000"/>
              </w:rPr>
              <w:t>funkcjonowanie</w:t>
            </w:r>
            <w:r>
              <w:rPr>
                <w:rFonts w:ascii="Times New Roman" w:hAnsi="Times New Roman"/>
                <w:color w:val="000000"/>
              </w:rPr>
              <w:t>.</w:t>
            </w:r>
          </w:p>
        </w:tc>
      </w:tr>
      <w:tr w:rsidR="00C14EA7" w:rsidRPr="007A2509" w14:paraId="0EC0A5AA" w14:textId="77777777" w:rsidTr="00C14EA7">
        <w:trPr>
          <w:trHeight w:val="142"/>
          <w:jc w:val="center"/>
        </w:trPr>
        <w:tc>
          <w:tcPr>
            <w:tcW w:w="10937" w:type="dxa"/>
            <w:gridSpan w:val="13"/>
            <w:shd w:val="clear" w:color="auto" w:fill="99CCFF"/>
          </w:tcPr>
          <w:p w14:paraId="25E64A64" w14:textId="77777777" w:rsidR="00C14EA7" w:rsidRPr="007A2509" w:rsidRDefault="00C14EA7" w:rsidP="005C4CF5">
            <w:pPr>
              <w:numPr>
                <w:ilvl w:val="0"/>
                <w:numId w:val="38"/>
              </w:numPr>
              <w:spacing w:line="240" w:lineRule="auto"/>
              <w:jc w:val="both"/>
              <w:rPr>
                <w:rFonts w:ascii="Times New Roman" w:hAnsi="Times New Roman"/>
                <w:b/>
                <w:color w:val="000000"/>
              </w:rPr>
            </w:pPr>
            <w:r w:rsidRPr="007A2509">
              <w:rPr>
                <w:rFonts w:ascii="Times New Roman" w:hAnsi="Times New Roman"/>
                <w:b/>
                <w:color w:val="000000"/>
              </w:rPr>
              <w:t>Wpływ na pozostałe obszary</w:t>
            </w:r>
          </w:p>
        </w:tc>
      </w:tr>
      <w:tr w:rsidR="00C14EA7" w:rsidRPr="007A2509" w14:paraId="56E4D072" w14:textId="77777777" w:rsidTr="00C14EA7">
        <w:trPr>
          <w:trHeight w:val="811"/>
          <w:jc w:val="center"/>
        </w:trPr>
        <w:tc>
          <w:tcPr>
            <w:tcW w:w="3547" w:type="dxa"/>
            <w:gridSpan w:val="3"/>
            <w:shd w:val="clear" w:color="auto" w:fill="FFFFFF"/>
          </w:tcPr>
          <w:p w14:paraId="0FA01B3D"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
                  <w:enabled/>
                  <w:calcOnExit w:val="0"/>
                  <w:checkBox>
                    <w:sizeAuto/>
                    <w:default w:val="1"/>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środowisko naturalne</w:t>
            </w:r>
          </w:p>
          <w:p w14:paraId="0C41BAA5" w14:textId="77777777" w:rsidR="00C14EA7" w:rsidRPr="007A2509" w:rsidRDefault="00C14EA7" w:rsidP="00C14EA7">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sidRPr="007A2509">
              <w:rPr>
                <w:rFonts w:ascii="Times New Roman" w:hAnsi="Times New Roman"/>
                <w:color w:val="000000"/>
              </w:rPr>
              <w:t xml:space="preserve"> sytuacja i rozwój regionalny</w:t>
            </w:r>
          </w:p>
          <w:p w14:paraId="50A20A5B" w14:textId="77777777" w:rsidR="00C14EA7" w:rsidRPr="007A2509" w:rsidRDefault="00C14EA7" w:rsidP="00C14EA7">
            <w:pPr>
              <w:spacing w:line="240" w:lineRule="auto"/>
              <w:jc w:val="both"/>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sz w:val="20"/>
                <w:szCs w:val="20"/>
              </w:rPr>
              <w:t xml:space="preserve"> </w:t>
            </w:r>
            <w:r>
              <w:rPr>
                <w:rFonts w:ascii="Times New Roman" w:hAnsi="Times New Roman"/>
                <w:spacing w:val="-2"/>
              </w:rPr>
              <w:t>sądy powszechne, administracyjne lub wojskowe</w:t>
            </w:r>
          </w:p>
        </w:tc>
        <w:tc>
          <w:tcPr>
            <w:tcW w:w="3687" w:type="dxa"/>
            <w:gridSpan w:val="6"/>
            <w:shd w:val="clear" w:color="auto" w:fill="FFFFFF"/>
          </w:tcPr>
          <w:p w14:paraId="73742AA9"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demografia</w:t>
            </w:r>
          </w:p>
          <w:p w14:paraId="4A957AEC" w14:textId="77777777" w:rsidR="00C14EA7"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mienie państwowe</w:t>
            </w:r>
          </w:p>
          <w:p w14:paraId="63998E5E" w14:textId="77777777" w:rsidR="00C14EA7" w:rsidRPr="007A2509" w:rsidRDefault="00C14EA7" w:rsidP="00C14EA7">
            <w:pPr>
              <w:spacing w:line="240" w:lineRule="auto"/>
              <w:jc w:val="both"/>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sz w:val="20"/>
                <w:szCs w:val="20"/>
              </w:rPr>
              <w:t xml:space="preserve"> </w:t>
            </w:r>
            <w:r>
              <w:rPr>
                <w:rFonts w:ascii="Times New Roman" w:hAnsi="Times New Roman"/>
                <w:color w:val="000000"/>
                <w:spacing w:val="-2"/>
              </w:rPr>
              <w:t xml:space="preserve">inne: </w:t>
            </w:r>
            <w:r>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noProof/>
                <w:color w:val="000000"/>
              </w:rPr>
              <w:t> </w:t>
            </w:r>
            <w:r>
              <w:rPr>
                <w:rFonts w:ascii="Times New Roman"/>
                <w:noProof/>
                <w:color w:val="000000"/>
              </w:rPr>
              <w:t> </w:t>
            </w:r>
            <w:r>
              <w:rPr>
                <w:rFonts w:ascii="Times New Roman"/>
                <w:noProof/>
                <w:color w:val="000000"/>
              </w:rPr>
              <w:t> </w:t>
            </w:r>
            <w:r>
              <w:rPr>
                <w:rFonts w:ascii="Times New Roman"/>
                <w:noProof/>
                <w:color w:val="000000"/>
              </w:rPr>
              <w:t> </w:t>
            </w:r>
            <w:r>
              <w:rPr>
                <w:rFonts w:ascii="Times New Roman"/>
                <w:noProof/>
                <w:color w:val="000000"/>
              </w:rPr>
              <w:t> </w:t>
            </w:r>
            <w:r>
              <w:rPr>
                <w:rFonts w:ascii="Times New Roman" w:hAnsi="Times New Roman"/>
                <w:color w:val="000000"/>
              </w:rPr>
              <w:fldChar w:fldCharType="end"/>
            </w:r>
          </w:p>
        </w:tc>
        <w:tc>
          <w:tcPr>
            <w:tcW w:w="3703" w:type="dxa"/>
            <w:gridSpan w:val="4"/>
            <w:shd w:val="clear" w:color="auto" w:fill="FFFFFF"/>
          </w:tcPr>
          <w:p w14:paraId="14F795CD" w14:textId="77777777" w:rsidR="00C14EA7" w:rsidRPr="007A2509" w:rsidRDefault="00C14EA7" w:rsidP="00C14EA7">
            <w:pPr>
              <w:spacing w:line="240" w:lineRule="auto"/>
              <w:jc w:val="both"/>
              <w:rPr>
                <w:rFonts w:ascii="Times New Roman" w:hAnsi="Times New Roman"/>
                <w:color w:val="000000"/>
                <w:spacing w:val="-2"/>
              </w:rPr>
            </w:pPr>
            <w:r w:rsidRPr="007A2509">
              <w:rPr>
                <w:rFonts w:ascii="Times New Roman" w:hAnsi="Times New Roman"/>
                <w:color w:val="000000"/>
              </w:rPr>
              <w:fldChar w:fldCharType="begin">
                <w:ffData>
                  <w:name w:val="Wybór1"/>
                  <w:enabled/>
                  <w:calcOnExit w:val="0"/>
                  <w:checkBox>
                    <w:sizeAuto/>
                    <w:default w:val="0"/>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informatyzacja</w:t>
            </w:r>
          </w:p>
          <w:p w14:paraId="793A914B"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fldChar w:fldCharType="begin">
                <w:ffData>
                  <w:name w:val=""/>
                  <w:enabled/>
                  <w:calcOnExit w:val="0"/>
                  <w:checkBox>
                    <w:sizeAuto/>
                    <w:default w:val="1"/>
                  </w:checkBox>
                </w:ffData>
              </w:fldChar>
            </w:r>
            <w:r w:rsidRPr="007A2509">
              <w:rPr>
                <w:rFonts w:ascii="Times New Roman" w:hAnsi="Times New Roman"/>
                <w:color w:val="000000"/>
              </w:rPr>
              <w:instrText xml:space="preserve"> FORMCHECKBOX </w:instrText>
            </w:r>
            <w:r w:rsidR="00E84520">
              <w:rPr>
                <w:rFonts w:ascii="Times New Roman" w:hAnsi="Times New Roman"/>
                <w:color w:val="000000"/>
              </w:rPr>
            </w:r>
            <w:r w:rsidR="00E84520">
              <w:rPr>
                <w:rFonts w:ascii="Times New Roman" w:hAnsi="Times New Roman"/>
                <w:color w:val="000000"/>
              </w:rPr>
              <w:fldChar w:fldCharType="separate"/>
            </w:r>
            <w:r w:rsidRPr="007A2509">
              <w:rPr>
                <w:rFonts w:ascii="Times New Roman" w:hAnsi="Times New Roman"/>
                <w:color w:val="000000"/>
              </w:rPr>
              <w:fldChar w:fldCharType="end"/>
            </w:r>
            <w:r w:rsidRPr="007A2509">
              <w:rPr>
                <w:rFonts w:ascii="Times New Roman" w:hAnsi="Times New Roman"/>
                <w:color w:val="000000"/>
              </w:rPr>
              <w:t xml:space="preserve"> </w:t>
            </w:r>
            <w:r w:rsidRPr="007A2509">
              <w:rPr>
                <w:rFonts w:ascii="Times New Roman" w:hAnsi="Times New Roman"/>
                <w:color w:val="000000"/>
                <w:spacing w:val="-2"/>
              </w:rPr>
              <w:t>zdrowie</w:t>
            </w:r>
          </w:p>
        </w:tc>
      </w:tr>
      <w:tr w:rsidR="00C14EA7" w:rsidRPr="007A2509" w14:paraId="11292CCC" w14:textId="77777777" w:rsidTr="00C14EA7">
        <w:trPr>
          <w:trHeight w:val="712"/>
          <w:jc w:val="center"/>
        </w:trPr>
        <w:tc>
          <w:tcPr>
            <w:tcW w:w="2243" w:type="dxa"/>
            <w:gridSpan w:val="2"/>
            <w:shd w:val="clear" w:color="auto" w:fill="FFFFFF"/>
            <w:vAlign w:val="center"/>
          </w:tcPr>
          <w:p w14:paraId="231D9C54" w14:textId="77777777" w:rsidR="00C14EA7" w:rsidRPr="007A2509" w:rsidRDefault="00C14EA7" w:rsidP="00C14EA7">
            <w:pPr>
              <w:spacing w:line="240" w:lineRule="auto"/>
              <w:jc w:val="both"/>
              <w:rPr>
                <w:rFonts w:ascii="Times New Roman" w:hAnsi="Times New Roman"/>
                <w:color w:val="000000"/>
              </w:rPr>
            </w:pPr>
            <w:r w:rsidRPr="007A2509">
              <w:rPr>
                <w:rFonts w:ascii="Times New Roman" w:hAnsi="Times New Roman"/>
                <w:color w:val="000000"/>
              </w:rPr>
              <w:t>Omówienie wpływu</w:t>
            </w:r>
          </w:p>
        </w:tc>
        <w:tc>
          <w:tcPr>
            <w:tcW w:w="8694" w:type="dxa"/>
            <w:gridSpan w:val="11"/>
            <w:shd w:val="clear" w:color="auto" w:fill="FFFFFF"/>
            <w:vAlign w:val="center"/>
          </w:tcPr>
          <w:p w14:paraId="7F680E8A" w14:textId="76752F7E" w:rsidR="00C14EA7" w:rsidRPr="00DF31A0" w:rsidRDefault="00C14EA7" w:rsidP="00C14EA7">
            <w:pPr>
              <w:autoSpaceDE w:val="0"/>
              <w:autoSpaceDN w:val="0"/>
              <w:adjustRightInd w:val="0"/>
              <w:spacing w:line="240" w:lineRule="auto"/>
              <w:jc w:val="both"/>
              <w:rPr>
                <w:rFonts w:ascii="Times New Roman" w:hAnsi="Times New Roman"/>
                <w:spacing w:val="-2"/>
              </w:rPr>
            </w:pPr>
            <w:r w:rsidRPr="00DF31A0">
              <w:rPr>
                <w:rFonts w:ascii="Times New Roman" w:hAnsi="Times New Roman"/>
                <w:color w:val="000000"/>
                <w:spacing w:val="-2"/>
              </w:rPr>
              <w:t>Wprowadzenie proponowanych zmian wpłynie pozytywnie na środowisko naturalne oraz zieloną transformację, w tym różnorodność biologiczną oraz klimat</w:t>
            </w:r>
            <w:r w:rsidR="008B6E32" w:rsidRPr="00DF31A0">
              <w:rPr>
                <w:rFonts w:ascii="Times New Roman" w:hAnsi="Times New Roman"/>
                <w:color w:val="000000"/>
                <w:spacing w:val="-2"/>
              </w:rPr>
              <w:t>,</w:t>
            </w:r>
            <w:r w:rsidRPr="00DF31A0">
              <w:rPr>
                <w:rFonts w:ascii="Times New Roman" w:hAnsi="Times New Roman"/>
                <w:color w:val="000000"/>
                <w:spacing w:val="-2"/>
              </w:rPr>
              <w:t xml:space="preserve"> ze względu na zwiększenie potencjału retencji wody i zwiększenie udziału terenów zieleni w nowo planowanych inwestycjach. </w:t>
            </w:r>
            <w:r w:rsidRPr="00145F5E">
              <w:rPr>
                <w:rFonts w:ascii="Times New Roman" w:hAnsi="Times New Roman"/>
                <w:lang w:eastAsia="pl-PL"/>
              </w:rPr>
              <w:t>Wejście w życie niniejszej ustawy zapewni lepsze uwzględnienie aspektów zrównoważonego rozwoju w</w:t>
            </w:r>
            <w:r w:rsidR="009A7B8F">
              <w:rPr>
                <w:rFonts w:ascii="Times New Roman" w:hAnsi="Times New Roman"/>
                <w:lang w:eastAsia="pl-PL"/>
              </w:rPr>
              <w:t> </w:t>
            </w:r>
            <w:r w:rsidRPr="00145F5E">
              <w:rPr>
                <w:rFonts w:ascii="Times New Roman" w:hAnsi="Times New Roman"/>
                <w:lang w:eastAsia="pl-PL"/>
              </w:rPr>
              <w:t xml:space="preserve">polityce rozwojowej kraju oraz </w:t>
            </w:r>
            <w:r w:rsidR="00F114AC" w:rsidRPr="00145F5E">
              <w:rPr>
                <w:rFonts w:ascii="Times New Roman" w:hAnsi="Times New Roman"/>
                <w:lang w:eastAsia="pl-PL"/>
              </w:rPr>
              <w:t xml:space="preserve">JST </w:t>
            </w:r>
            <w:r w:rsidRPr="00145F5E">
              <w:rPr>
                <w:rFonts w:ascii="Times New Roman" w:hAnsi="Times New Roman"/>
                <w:lang w:eastAsia="pl-PL"/>
              </w:rPr>
              <w:t>i ich obszarów funkcjonalnych oraz w procedurach planowania przestrzeni miejskiej. Zapewni odpowiednie konsultacje z zainteresowanymi stronami w ramach tych procedur oraz wspieranie potencjału instytucji samorządowych na szczeblu lokalnym w celu realizacji takich projektów.</w:t>
            </w:r>
          </w:p>
          <w:p w14:paraId="5602C4EF" w14:textId="4524C9C7" w:rsidR="00C14EA7" w:rsidRPr="00DF31A0" w:rsidRDefault="00C14EA7" w:rsidP="00C14EA7">
            <w:pPr>
              <w:spacing w:line="240" w:lineRule="auto"/>
              <w:jc w:val="both"/>
              <w:rPr>
                <w:rFonts w:ascii="Times New Roman" w:hAnsi="Times New Roman"/>
                <w:color w:val="000000"/>
                <w:spacing w:val="-2"/>
              </w:rPr>
            </w:pPr>
            <w:r w:rsidRPr="00DF31A0">
              <w:rPr>
                <w:rFonts w:ascii="Times New Roman" w:hAnsi="Times New Roman"/>
                <w:color w:val="000000"/>
                <w:spacing w:val="-2"/>
              </w:rPr>
              <w:t>Wdrażanie MPA</w:t>
            </w:r>
            <w:r w:rsidR="0042317D" w:rsidRPr="00DF31A0">
              <w:rPr>
                <w:rFonts w:ascii="Times New Roman" w:hAnsi="Times New Roman"/>
                <w:color w:val="000000"/>
                <w:spacing w:val="-2"/>
              </w:rPr>
              <w:t xml:space="preserve"> </w:t>
            </w:r>
            <w:r w:rsidR="00A32EB9" w:rsidRPr="00DF31A0">
              <w:rPr>
                <w:rFonts w:ascii="Times New Roman" w:hAnsi="Times New Roman"/>
                <w:color w:val="000000"/>
                <w:spacing w:val="-2"/>
              </w:rPr>
              <w:t xml:space="preserve">i realizacja polityki adaptacyjnej na każdym szczeblu </w:t>
            </w:r>
            <w:r w:rsidRPr="00DF31A0">
              <w:rPr>
                <w:rFonts w:ascii="Times New Roman" w:hAnsi="Times New Roman"/>
                <w:color w:val="000000"/>
                <w:spacing w:val="-2"/>
              </w:rPr>
              <w:t>przyczyni się do zmniejszenia wpływu niekorzystnych skutków zmian klimatu (np. miejskiej wyspy ciepła, fal upałów, powodzi) na zdrowie i życie ludzi, a także do poprawy jakości powietrza, wzrostu powierzchni biologicznie czynnej, zagospodarowania wód opadowych i roztopowych.</w:t>
            </w:r>
          </w:p>
          <w:p w14:paraId="4349E7F4" w14:textId="77777777" w:rsidR="00C14EA7" w:rsidRPr="00DF31A0" w:rsidRDefault="00C14EA7" w:rsidP="00C14EA7">
            <w:pPr>
              <w:spacing w:line="240" w:lineRule="auto"/>
              <w:jc w:val="both"/>
              <w:rPr>
                <w:rFonts w:ascii="Times New Roman" w:hAnsi="Times New Roman"/>
                <w:color w:val="000000"/>
                <w:spacing w:val="-2"/>
              </w:rPr>
            </w:pPr>
            <w:r w:rsidRPr="00DF31A0">
              <w:rPr>
                <w:rFonts w:ascii="Times New Roman" w:hAnsi="Times New Roman"/>
                <w:color w:val="000000"/>
                <w:spacing w:val="-2"/>
              </w:rPr>
              <w:t>Proponowane rozwiązania pośrednio powinny się przyczynić do poprawy stanu środowiska.</w:t>
            </w:r>
          </w:p>
          <w:p w14:paraId="05546166" w14:textId="2F5DB34E" w:rsidR="00C14EA7" w:rsidRPr="004E49DA" w:rsidRDefault="00C14EA7" w:rsidP="00C14EA7">
            <w:pPr>
              <w:autoSpaceDE w:val="0"/>
              <w:autoSpaceDN w:val="0"/>
              <w:adjustRightInd w:val="0"/>
              <w:spacing w:line="240" w:lineRule="auto"/>
              <w:jc w:val="both"/>
              <w:rPr>
                <w:rFonts w:ascii="TimesNewRomanPSMT" w:hAnsi="TimesNewRomanPSMT" w:cs="TimesNewRomanPSMT"/>
                <w:lang w:eastAsia="pl-PL"/>
              </w:rPr>
            </w:pPr>
            <w:r w:rsidRPr="00145F5E">
              <w:rPr>
                <w:rFonts w:ascii="Times New Roman" w:hAnsi="Times New Roman"/>
                <w:lang w:eastAsia="pl-PL"/>
              </w:rPr>
              <w:t xml:space="preserve">Nakierowanie środków Funduszu Rozwoju Regionalnego na działania dot. zielonej transformacji obszarów miejskich pozwoli na wsparcie zdolności instytucjonalnych </w:t>
            </w:r>
            <w:r w:rsidR="00F114AC" w:rsidRPr="00145F5E">
              <w:rPr>
                <w:rFonts w:ascii="Times New Roman" w:hAnsi="Times New Roman"/>
                <w:lang w:eastAsia="pl-PL"/>
              </w:rPr>
              <w:t xml:space="preserve">JST </w:t>
            </w:r>
            <w:r w:rsidRPr="00145F5E">
              <w:rPr>
                <w:rFonts w:ascii="Times New Roman" w:hAnsi="Times New Roman"/>
                <w:lang w:eastAsia="pl-PL"/>
              </w:rPr>
              <w:t>w projektowaniu oraz realizacji projektów ukierunkowanych na zieloną transformację z uwzględnienie</w:t>
            </w:r>
            <w:r w:rsidR="00A32EB9" w:rsidRPr="00145F5E">
              <w:rPr>
                <w:rFonts w:ascii="Times New Roman" w:hAnsi="Times New Roman"/>
                <w:lang w:eastAsia="pl-PL"/>
              </w:rPr>
              <w:t>m</w:t>
            </w:r>
            <w:r w:rsidRPr="00145F5E">
              <w:rPr>
                <w:rFonts w:ascii="Times New Roman" w:hAnsi="Times New Roman"/>
                <w:lang w:eastAsia="pl-PL"/>
              </w:rPr>
              <w:t xml:space="preserve"> partycypacji społecznej.</w:t>
            </w:r>
            <w:r w:rsidRPr="004E49DA">
              <w:rPr>
                <w:rFonts w:ascii="Times New Roman" w:hAnsi="Times New Roman"/>
                <w:spacing w:val="-2"/>
              </w:rPr>
              <w:t xml:space="preserve"> </w:t>
            </w:r>
          </w:p>
        </w:tc>
      </w:tr>
      <w:tr w:rsidR="00C14EA7" w:rsidRPr="007A2509" w14:paraId="1861CF3F" w14:textId="77777777" w:rsidTr="00C14EA7">
        <w:trPr>
          <w:trHeight w:val="142"/>
          <w:jc w:val="center"/>
        </w:trPr>
        <w:tc>
          <w:tcPr>
            <w:tcW w:w="10937" w:type="dxa"/>
            <w:gridSpan w:val="13"/>
            <w:shd w:val="clear" w:color="auto" w:fill="99CCFF"/>
          </w:tcPr>
          <w:p w14:paraId="73A83E10" w14:textId="77777777" w:rsidR="00C14EA7" w:rsidRPr="007A2509" w:rsidRDefault="00C14EA7" w:rsidP="005C4CF5">
            <w:pPr>
              <w:numPr>
                <w:ilvl w:val="0"/>
                <w:numId w:val="38"/>
              </w:numPr>
              <w:spacing w:line="240" w:lineRule="auto"/>
              <w:ind w:left="318" w:hanging="284"/>
              <w:jc w:val="both"/>
              <w:rPr>
                <w:rFonts w:ascii="Times New Roman" w:hAnsi="Times New Roman"/>
                <w:b/>
              </w:rPr>
            </w:pPr>
            <w:r w:rsidRPr="007A2509">
              <w:rPr>
                <w:rFonts w:ascii="Times New Roman" w:hAnsi="Times New Roman"/>
                <w:b/>
                <w:spacing w:val="-2"/>
              </w:rPr>
              <w:t>Planowane wykonanie przepisów aktu prawnego</w:t>
            </w:r>
          </w:p>
        </w:tc>
      </w:tr>
      <w:tr w:rsidR="00C14EA7" w:rsidRPr="007A2509" w14:paraId="11D7B3CA" w14:textId="77777777" w:rsidTr="00C14EA7">
        <w:trPr>
          <w:trHeight w:val="142"/>
          <w:jc w:val="center"/>
        </w:trPr>
        <w:tc>
          <w:tcPr>
            <w:tcW w:w="10937" w:type="dxa"/>
            <w:gridSpan w:val="13"/>
            <w:shd w:val="clear" w:color="auto" w:fill="FFFFFF"/>
          </w:tcPr>
          <w:p w14:paraId="7B5858DC" w14:textId="63D3075D" w:rsidR="00C14EA7" w:rsidRPr="007A2509" w:rsidRDefault="00C14EA7" w:rsidP="00C14EA7">
            <w:pPr>
              <w:spacing w:line="240" w:lineRule="auto"/>
              <w:jc w:val="both"/>
              <w:rPr>
                <w:rFonts w:ascii="Times New Roman" w:hAnsi="Times New Roman"/>
                <w:spacing w:val="-2"/>
              </w:rPr>
            </w:pPr>
            <w:bookmarkStart w:id="47" w:name="_Hlk126761760"/>
            <w:r w:rsidRPr="007A2509">
              <w:rPr>
                <w:rFonts w:ascii="Times New Roman" w:hAnsi="Times New Roman"/>
                <w:spacing w:val="-2"/>
              </w:rPr>
              <w:t xml:space="preserve">Planowane wejście w życie ustawy – </w:t>
            </w:r>
            <w:r w:rsidR="00A05F55">
              <w:rPr>
                <w:rFonts w:ascii="Times New Roman" w:hAnsi="Times New Roman"/>
                <w:spacing w:val="-2"/>
              </w:rPr>
              <w:t xml:space="preserve">14 </w:t>
            </w:r>
            <w:r w:rsidR="00C36D74">
              <w:rPr>
                <w:rFonts w:ascii="Times New Roman" w:hAnsi="Times New Roman"/>
                <w:spacing w:val="-2"/>
              </w:rPr>
              <w:t xml:space="preserve">dni od </w:t>
            </w:r>
            <w:r w:rsidR="00A05F55">
              <w:rPr>
                <w:rFonts w:ascii="Times New Roman" w:hAnsi="Times New Roman"/>
                <w:spacing w:val="-2"/>
              </w:rPr>
              <w:t xml:space="preserve">dnia ogłoszenia ustawy. </w:t>
            </w:r>
          </w:p>
          <w:p w14:paraId="039413DC" w14:textId="48790A7A" w:rsidR="00C14EA7" w:rsidRPr="007A2509" w:rsidRDefault="00C14EA7" w:rsidP="00C14EA7">
            <w:pPr>
              <w:spacing w:line="240" w:lineRule="auto"/>
              <w:jc w:val="both"/>
              <w:rPr>
                <w:rFonts w:ascii="Times New Roman" w:hAnsi="Times New Roman"/>
                <w:spacing w:val="-2"/>
              </w:rPr>
            </w:pPr>
            <w:r w:rsidRPr="007A2509">
              <w:rPr>
                <w:rFonts w:ascii="Times New Roman" w:hAnsi="Times New Roman"/>
                <w:spacing w:val="-2"/>
              </w:rPr>
              <w:t xml:space="preserve">MPA miast </w:t>
            </w:r>
            <w:r>
              <w:rPr>
                <w:rFonts w:ascii="Times New Roman" w:hAnsi="Times New Roman"/>
                <w:spacing w:val="-2"/>
              </w:rPr>
              <w:t xml:space="preserve">o liczbie mieszkańców równej lub wyższej niż </w:t>
            </w:r>
            <w:r w:rsidRPr="007A2509">
              <w:rPr>
                <w:rFonts w:ascii="Times New Roman" w:hAnsi="Times New Roman"/>
                <w:spacing w:val="-2"/>
              </w:rPr>
              <w:t>20 </w:t>
            </w:r>
            <w:r>
              <w:rPr>
                <w:rFonts w:ascii="Times New Roman" w:hAnsi="Times New Roman"/>
                <w:spacing w:val="-2"/>
              </w:rPr>
              <w:t>tys.</w:t>
            </w:r>
            <w:r w:rsidRPr="007A2509">
              <w:rPr>
                <w:rFonts w:ascii="Times New Roman" w:hAnsi="Times New Roman"/>
                <w:spacing w:val="-2"/>
              </w:rPr>
              <w:t xml:space="preserve"> powinny być przyjęte nie później niż</w:t>
            </w:r>
            <w:r>
              <w:rPr>
                <w:rFonts w:ascii="Times New Roman" w:hAnsi="Times New Roman"/>
                <w:spacing w:val="-2"/>
              </w:rPr>
              <w:t xml:space="preserve"> do 2 stycznia 202</w:t>
            </w:r>
            <w:r w:rsidR="00172982">
              <w:rPr>
                <w:rFonts w:ascii="Times New Roman" w:hAnsi="Times New Roman"/>
                <w:spacing w:val="-2"/>
              </w:rPr>
              <w:t>8</w:t>
            </w:r>
            <w:r>
              <w:rPr>
                <w:rFonts w:ascii="Times New Roman" w:hAnsi="Times New Roman"/>
                <w:spacing w:val="-2"/>
              </w:rPr>
              <w:t xml:space="preserve"> r.</w:t>
            </w:r>
            <w:r w:rsidRPr="007A2509">
              <w:rPr>
                <w:rFonts w:ascii="Times New Roman" w:hAnsi="Times New Roman"/>
                <w:spacing w:val="-2"/>
              </w:rPr>
              <w:t xml:space="preserve"> </w:t>
            </w:r>
          </w:p>
          <w:bookmarkEnd w:id="47"/>
          <w:p w14:paraId="62CA9C36" w14:textId="1BBADEB4" w:rsidR="00C14EA7" w:rsidRPr="007A2509" w:rsidRDefault="00C14EA7" w:rsidP="00C14EA7">
            <w:pPr>
              <w:spacing w:line="240" w:lineRule="auto"/>
              <w:jc w:val="both"/>
              <w:rPr>
                <w:rFonts w:ascii="Times New Roman" w:hAnsi="Times New Roman"/>
                <w:spacing w:val="-2"/>
              </w:rPr>
            </w:pPr>
            <w:r w:rsidRPr="007A2509">
              <w:rPr>
                <w:rFonts w:ascii="Times New Roman" w:hAnsi="Times New Roman"/>
                <w:spacing w:val="-2"/>
              </w:rPr>
              <w:t>Sporządzane</w:t>
            </w:r>
            <w:r>
              <w:rPr>
                <w:rFonts w:ascii="Times New Roman" w:hAnsi="Times New Roman"/>
                <w:spacing w:val="-2"/>
              </w:rPr>
              <w:t xml:space="preserve"> lub </w:t>
            </w:r>
            <w:r w:rsidRPr="007A2509">
              <w:rPr>
                <w:rFonts w:ascii="Times New Roman" w:hAnsi="Times New Roman"/>
                <w:spacing w:val="-2"/>
              </w:rPr>
              <w:t xml:space="preserve">aktualizowane po </w:t>
            </w:r>
            <w:r>
              <w:rPr>
                <w:rFonts w:ascii="Times New Roman" w:hAnsi="Times New Roman"/>
                <w:spacing w:val="-2"/>
              </w:rPr>
              <w:t>wejściu w życie ustawy</w:t>
            </w:r>
            <w:r w:rsidRPr="007A2509">
              <w:rPr>
                <w:rFonts w:ascii="Times New Roman" w:hAnsi="Times New Roman"/>
                <w:spacing w:val="-2"/>
              </w:rPr>
              <w:t xml:space="preserve"> </w:t>
            </w:r>
            <w:r>
              <w:rPr>
                <w:rFonts w:ascii="Times New Roman" w:hAnsi="Times New Roman"/>
                <w:spacing w:val="-2"/>
              </w:rPr>
              <w:t xml:space="preserve">strategie rozwoju gmin, </w:t>
            </w:r>
            <w:r w:rsidR="00445687">
              <w:rPr>
                <w:rFonts w:ascii="Times New Roman" w:hAnsi="Times New Roman"/>
                <w:spacing w:val="-2"/>
              </w:rPr>
              <w:t>plany ogólne</w:t>
            </w:r>
            <w:r w:rsidRPr="007A2509">
              <w:rPr>
                <w:rFonts w:ascii="Times New Roman" w:hAnsi="Times New Roman"/>
                <w:spacing w:val="-2"/>
              </w:rPr>
              <w:t xml:space="preserve"> gmin oraz miejscowe plany zagospodarowania przestrzennego będą uwzględniały wnioski i rekomendacje z opracowanych</w:t>
            </w:r>
            <w:r>
              <w:rPr>
                <w:rFonts w:ascii="Times New Roman" w:hAnsi="Times New Roman"/>
                <w:spacing w:val="-2"/>
              </w:rPr>
              <w:t xml:space="preserve"> i przyjętych w tych gminach</w:t>
            </w:r>
            <w:r w:rsidRPr="007A2509">
              <w:rPr>
                <w:rFonts w:ascii="Times New Roman" w:hAnsi="Times New Roman"/>
                <w:spacing w:val="-2"/>
              </w:rPr>
              <w:t xml:space="preserve"> miejskich planów adaptacji do zmian klimatu. </w:t>
            </w:r>
          </w:p>
        </w:tc>
      </w:tr>
      <w:tr w:rsidR="00C14EA7" w:rsidRPr="007A2509" w14:paraId="28A0D228" w14:textId="77777777" w:rsidTr="00C14EA7">
        <w:trPr>
          <w:trHeight w:val="142"/>
          <w:jc w:val="center"/>
        </w:trPr>
        <w:tc>
          <w:tcPr>
            <w:tcW w:w="10937" w:type="dxa"/>
            <w:gridSpan w:val="13"/>
            <w:shd w:val="clear" w:color="auto" w:fill="99CCFF"/>
          </w:tcPr>
          <w:p w14:paraId="1B18FCA4" w14:textId="77777777" w:rsidR="00C14EA7" w:rsidRPr="007A2509" w:rsidRDefault="00C14EA7" w:rsidP="005C4CF5">
            <w:pPr>
              <w:numPr>
                <w:ilvl w:val="0"/>
                <w:numId w:val="38"/>
              </w:numPr>
              <w:spacing w:line="240" w:lineRule="auto"/>
              <w:ind w:left="318" w:hanging="284"/>
              <w:jc w:val="both"/>
              <w:rPr>
                <w:rFonts w:ascii="Times New Roman" w:hAnsi="Times New Roman"/>
                <w:b/>
                <w:color w:val="000000"/>
              </w:rPr>
            </w:pPr>
            <w:r w:rsidRPr="007A2509">
              <w:rPr>
                <w:rFonts w:ascii="Times New Roman" w:hAnsi="Times New Roman"/>
                <w:b/>
                <w:color w:val="000000"/>
              </w:rPr>
              <w:t xml:space="preserve"> </w:t>
            </w:r>
            <w:r w:rsidRPr="007A2509">
              <w:rPr>
                <w:rFonts w:ascii="Times New Roman" w:hAnsi="Times New Roman"/>
                <w:b/>
                <w:spacing w:val="-2"/>
              </w:rPr>
              <w:t>W jaki sposób i kiedy nastąpi ewaluacja efektów projektu oraz jakie mierniki zostaną zastosowane?</w:t>
            </w:r>
          </w:p>
        </w:tc>
      </w:tr>
      <w:tr w:rsidR="00C14EA7" w:rsidRPr="007A2509" w14:paraId="1086B47B" w14:textId="77777777" w:rsidTr="00C14EA7">
        <w:trPr>
          <w:trHeight w:val="142"/>
          <w:jc w:val="center"/>
        </w:trPr>
        <w:tc>
          <w:tcPr>
            <w:tcW w:w="10937" w:type="dxa"/>
            <w:gridSpan w:val="13"/>
            <w:shd w:val="clear" w:color="auto" w:fill="FFFFFF"/>
          </w:tcPr>
          <w:p w14:paraId="3CAB134F" w14:textId="3B04C8BB" w:rsidR="00C14EA7" w:rsidRPr="007A2509" w:rsidRDefault="00C14EA7" w:rsidP="00C14EA7">
            <w:pPr>
              <w:spacing w:line="240" w:lineRule="auto"/>
              <w:jc w:val="both"/>
              <w:rPr>
                <w:rFonts w:ascii="Times New Roman" w:hAnsi="Times New Roman"/>
                <w:color w:val="000000"/>
                <w:spacing w:val="-2"/>
              </w:rPr>
            </w:pPr>
            <w:r w:rsidRPr="00E55CB1">
              <w:rPr>
                <w:rFonts w:ascii="Times New Roman" w:hAnsi="Times New Roman"/>
                <w:color w:val="000000"/>
                <w:spacing w:val="-2"/>
              </w:rPr>
              <w:t xml:space="preserve">Ewaluacja </w:t>
            </w:r>
            <w:r w:rsidR="00F32162" w:rsidRPr="00E55CB1">
              <w:rPr>
                <w:rFonts w:ascii="Times New Roman" w:hAnsi="Times New Roman"/>
                <w:color w:val="000000"/>
                <w:spacing w:val="-2"/>
              </w:rPr>
              <w:t xml:space="preserve">efektów </w:t>
            </w:r>
            <w:r w:rsidRPr="00E55CB1">
              <w:rPr>
                <w:rFonts w:ascii="Times New Roman" w:hAnsi="Times New Roman"/>
                <w:color w:val="000000"/>
                <w:spacing w:val="-2"/>
              </w:rPr>
              <w:t>projektu nastąpi po 4 latach od wejścia ustawy w życie, w szczególności mając na uwadze mierniki:</w:t>
            </w:r>
          </w:p>
          <w:p w14:paraId="0A10A22F" w14:textId="36264E7C" w:rsidR="00C14EA7" w:rsidRPr="007A2509" w:rsidRDefault="00C14EA7" w:rsidP="00C14EA7">
            <w:pPr>
              <w:numPr>
                <w:ilvl w:val="0"/>
                <w:numId w:val="4"/>
              </w:numPr>
              <w:spacing w:line="240" w:lineRule="auto"/>
              <w:jc w:val="both"/>
              <w:rPr>
                <w:rFonts w:ascii="Times New Roman" w:hAnsi="Times New Roman"/>
                <w:color w:val="000000"/>
                <w:spacing w:val="-2"/>
              </w:rPr>
            </w:pPr>
            <w:r w:rsidRPr="007A2509">
              <w:rPr>
                <w:rFonts w:ascii="Times New Roman" w:hAnsi="Times New Roman"/>
                <w:color w:val="000000"/>
                <w:spacing w:val="-2"/>
              </w:rPr>
              <w:t xml:space="preserve">Liczba miast </w:t>
            </w:r>
            <w:r>
              <w:rPr>
                <w:rFonts w:ascii="Times New Roman" w:hAnsi="Times New Roman"/>
                <w:color w:val="000000"/>
                <w:spacing w:val="-2"/>
              </w:rPr>
              <w:t>≥</w:t>
            </w:r>
            <w:r w:rsidRPr="007A2509">
              <w:rPr>
                <w:rFonts w:ascii="Times New Roman" w:hAnsi="Times New Roman"/>
                <w:color w:val="000000"/>
                <w:spacing w:val="-2"/>
              </w:rPr>
              <w:t>20 000 mieszkańców z uchwalonym miejskim planem adaptacji – 100%</w:t>
            </w:r>
          </w:p>
          <w:p w14:paraId="69C126B3" w14:textId="77777777" w:rsidR="00C14EA7" w:rsidRPr="007A2509" w:rsidRDefault="00C14EA7" w:rsidP="00C14EA7">
            <w:pPr>
              <w:numPr>
                <w:ilvl w:val="0"/>
                <w:numId w:val="4"/>
              </w:numPr>
              <w:spacing w:line="240" w:lineRule="auto"/>
              <w:jc w:val="both"/>
              <w:rPr>
                <w:rFonts w:ascii="Times New Roman" w:hAnsi="Times New Roman"/>
                <w:color w:val="000000"/>
                <w:spacing w:val="-2"/>
              </w:rPr>
            </w:pPr>
            <w:r w:rsidRPr="007A2509">
              <w:rPr>
                <w:rFonts w:ascii="Times New Roman" w:hAnsi="Times New Roman"/>
                <w:color w:val="000000"/>
                <w:spacing w:val="-2"/>
              </w:rPr>
              <w:lastRenderedPageBreak/>
              <w:t>Odsetek mieszkańców polskich miast objętych miejskimi planami adaptacji – 60% w 2030 (cel PEP2030).</w:t>
            </w:r>
          </w:p>
          <w:p w14:paraId="31F67E17" w14:textId="77777777" w:rsidR="00C14EA7" w:rsidRDefault="00C14EA7" w:rsidP="00C14EA7">
            <w:pPr>
              <w:numPr>
                <w:ilvl w:val="0"/>
                <w:numId w:val="4"/>
              </w:numPr>
              <w:spacing w:line="240" w:lineRule="auto"/>
              <w:jc w:val="both"/>
              <w:rPr>
                <w:rFonts w:ascii="Times New Roman" w:hAnsi="Times New Roman"/>
                <w:color w:val="000000"/>
                <w:spacing w:val="-2"/>
              </w:rPr>
            </w:pPr>
            <w:r w:rsidRPr="007A2509">
              <w:rPr>
                <w:rFonts w:ascii="Times New Roman" w:hAnsi="Times New Roman"/>
                <w:color w:val="000000"/>
                <w:spacing w:val="-2"/>
              </w:rPr>
              <w:t>Powierzchnia parków, zieleńców i terenów zieleni osiedlowej w miastach w stosunku do powierzchni ogólnej – powyżej 2,3% w każdym województwie (cel PEP2030).</w:t>
            </w:r>
          </w:p>
          <w:p w14:paraId="5313ECE5" w14:textId="7667A8F9" w:rsidR="00020EA4" w:rsidRDefault="00020EA4" w:rsidP="00C14EA7">
            <w:pPr>
              <w:numPr>
                <w:ilvl w:val="0"/>
                <w:numId w:val="4"/>
              </w:numPr>
              <w:spacing w:line="240" w:lineRule="auto"/>
              <w:jc w:val="both"/>
              <w:rPr>
                <w:rFonts w:ascii="Times New Roman" w:hAnsi="Times New Roman"/>
                <w:color w:val="000000"/>
                <w:spacing w:val="-2"/>
              </w:rPr>
            </w:pPr>
            <w:r>
              <w:rPr>
                <w:rFonts w:ascii="Times New Roman" w:hAnsi="Times New Roman"/>
                <w:color w:val="000000"/>
                <w:spacing w:val="-2"/>
              </w:rPr>
              <w:t>W</w:t>
            </w:r>
            <w:r w:rsidRPr="00020EA4">
              <w:rPr>
                <w:rFonts w:ascii="Times New Roman" w:hAnsi="Times New Roman"/>
                <w:color w:val="000000"/>
                <w:spacing w:val="-2"/>
              </w:rPr>
              <w:t>eryfikacja uwzględnienia komponentu klimatyczno-środowiskowego w strategiach rozwoju gmin, ponadlokalnych, województwa i kraju</w:t>
            </w:r>
            <w:r w:rsidR="00F755B0">
              <w:rPr>
                <w:rFonts w:ascii="Times New Roman" w:hAnsi="Times New Roman"/>
                <w:color w:val="000000"/>
                <w:spacing w:val="-2"/>
              </w:rPr>
              <w:t>.</w:t>
            </w:r>
          </w:p>
          <w:p w14:paraId="2123253C" w14:textId="48F3005B" w:rsidR="00020EA4" w:rsidRDefault="00020EA4" w:rsidP="00020EA4">
            <w:pPr>
              <w:numPr>
                <w:ilvl w:val="0"/>
                <w:numId w:val="4"/>
              </w:numPr>
              <w:spacing w:line="240" w:lineRule="auto"/>
              <w:jc w:val="both"/>
              <w:rPr>
                <w:rFonts w:ascii="Times New Roman" w:hAnsi="Times New Roman"/>
                <w:color w:val="000000"/>
                <w:spacing w:val="-2"/>
              </w:rPr>
            </w:pPr>
            <w:r>
              <w:rPr>
                <w:rFonts w:ascii="Times New Roman" w:hAnsi="Times New Roman"/>
                <w:color w:val="000000"/>
                <w:spacing w:val="-2"/>
              </w:rPr>
              <w:t>O</w:t>
            </w:r>
            <w:r w:rsidRPr="00020EA4">
              <w:rPr>
                <w:rFonts w:ascii="Times New Roman" w:hAnsi="Times New Roman"/>
                <w:color w:val="000000"/>
                <w:spacing w:val="-2"/>
              </w:rPr>
              <w:t xml:space="preserve">cena uwzględniania w planowaniu przestrzennym przez miasta, które mają uchwalony MPA, </w:t>
            </w:r>
            <w:r w:rsidR="00F755B0">
              <w:rPr>
                <w:rFonts w:ascii="Times New Roman" w:hAnsi="Times New Roman"/>
                <w:color w:val="000000"/>
                <w:spacing w:val="-2"/>
              </w:rPr>
              <w:t>wniosków i</w:t>
            </w:r>
            <w:r w:rsidR="009A7B8F">
              <w:rPr>
                <w:rFonts w:ascii="Times New Roman" w:hAnsi="Times New Roman"/>
                <w:color w:val="000000"/>
                <w:spacing w:val="-2"/>
              </w:rPr>
              <w:t> </w:t>
            </w:r>
            <w:r w:rsidR="00F755B0">
              <w:rPr>
                <w:rFonts w:ascii="Times New Roman" w:hAnsi="Times New Roman"/>
                <w:color w:val="000000"/>
                <w:spacing w:val="-2"/>
              </w:rPr>
              <w:t xml:space="preserve">rekomendacji z MPA oraz </w:t>
            </w:r>
            <w:r w:rsidRPr="00020EA4">
              <w:rPr>
                <w:rFonts w:ascii="Times New Roman" w:hAnsi="Times New Roman"/>
                <w:color w:val="000000"/>
                <w:spacing w:val="-2"/>
              </w:rPr>
              <w:t>działań zmniejszających podatność na zmiany klimatu</w:t>
            </w:r>
            <w:r w:rsidR="00F755B0">
              <w:rPr>
                <w:rFonts w:ascii="Times New Roman" w:hAnsi="Times New Roman"/>
                <w:color w:val="000000"/>
                <w:spacing w:val="-2"/>
              </w:rPr>
              <w:t>.</w:t>
            </w:r>
          </w:p>
          <w:p w14:paraId="585002C2" w14:textId="114528C1" w:rsidR="00C14EA7" w:rsidRPr="00783664" w:rsidRDefault="00C14EA7" w:rsidP="009C0671">
            <w:pPr>
              <w:numPr>
                <w:ilvl w:val="0"/>
                <w:numId w:val="4"/>
              </w:numPr>
              <w:spacing w:line="240" w:lineRule="auto"/>
              <w:jc w:val="both"/>
              <w:rPr>
                <w:rFonts w:ascii="Times New Roman" w:hAnsi="Times New Roman"/>
                <w:color w:val="000000"/>
                <w:spacing w:val="-2"/>
              </w:rPr>
            </w:pPr>
            <w:r>
              <w:rPr>
                <w:rFonts w:ascii="Times New Roman" w:hAnsi="Times New Roman"/>
                <w:color w:val="000000"/>
                <w:spacing w:val="-2"/>
              </w:rPr>
              <w:t>Coroczna analiza na podstawie ustawy o finansach publicznych.</w:t>
            </w:r>
          </w:p>
        </w:tc>
      </w:tr>
      <w:tr w:rsidR="00C14EA7" w:rsidRPr="007A2509" w14:paraId="4DC21CCE" w14:textId="77777777" w:rsidTr="00C14EA7">
        <w:trPr>
          <w:trHeight w:val="142"/>
          <w:jc w:val="center"/>
        </w:trPr>
        <w:tc>
          <w:tcPr>
            <w:tcW w:w="10937" w:type="dxa"/>
            <w:gridSpan w:val="13"/>
            <w:shd w:val="clear" w:color="auto" w:fill="99CCFF"/>
          </w:tcPr>
          <w:p w14:paraId="1AC68AA8" w14:textId="77777777" w:rsidR="00C14EA7" w:rsidRPr="007A2509" w:rsidRDefault="00C14EA7" w:rsidP="005C4CF5">
            <w:pPr>
              <w:numPr>
                <w:ilvl w:val="0"/>
                <w:numId w:val="38"/>
              </w:numPr>
              <w:spacing w:line="240" w:lineRule="auto"/>
              <w:ind w:left="318" w:hanging="284"/>
              <w:jc w:val="both"/>
              <w:rPr>
                <w:rFonts w:ascii="Times New Roman" w:hAnsi="Times New Roman"/>
                <w:b/>
                <w:color w:val="000000"/>
                <w:spacing w:val="-2"/>
              </w:rPr>
            </w:pPr>
            <w:r w:rsidRPr="007A2509">
              <w:rPr>
                <w:rFonts w:ascii="Times New Roman" w:hAnsi="Times New Roman"/>
                <w:b/>
                <w:color w:val="000000"/>
                <w:spacing w:val="-2"/>
              </w:rPr>
              <w:lastRenderedPageBreak/>
              <w:t xml:space="preserve">Załączniki </w:t>
            </w:r>
            <w:r w:rsidRPr="007A2509">
              <w:rPr>
                <w:rFonts w:ascii="Times New Roman" w:hAnsi="Times New Roman"/>
                <w:b/>
                <w:spacing w:val="-2"/>
              </w:rPr>
              <w:t>(istotne dokumenty źródłowe, badania, analizy itp.</w:t>
            </w:r>
            <w:r w:rsidRPr="007A2509">
              <w:rPr>
                <w:rFonts w:ascii="Times New Roman" w:hAnsi="Times New Roman"/>
                <w:b/>
                <w:color w:val="000000"/>
                <w:spacing w:val="-2"/>
              </w:rPr>
              <w:t xml:space="preserve">) </w:t>
            </w:r>
          </w:p>
        </w:tc>
      </w:tr>
      <w:tr w:rsidR="00C14EA7" w:rsidRPr="007A2509" w14:paraId="3A8BAE91" w14:textId="77777777" w:rsidTr="00C14EA7">
        <w:trPr>
          <w:trHeight w:val="142"/>
          <w:jc w:val="center"/>
        </w:trPr>
        <w:tc>
          <w:tcPr>
            <w:tcW w:w="10937" w:type="dxa"/>
            <w:gridSpan w:val="13"/>
            <w:shd w:val="clear" w:color="auto" w:fill="FFFFFF"/>
          </w:tcPr>
          <w:p w14:paraId="2AD7F982" w14:textId="77777777" w:rsidR="00C14EA7" w:rsidRPr="007A2509" w:rsidRDefault="00C14EA7" w:rsidP="00C14EA7">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bl>
    <w:p w14:paraId="1BB4CF50" w14:textId="77777777" w:rsidR="006176ED" w:rsidRPr="007A2509" w:rsidRDefault="006176ED" w:rsidP="007A2509">
      <w:pPr>
        <w:pStyle w:val="Nagwek1"/>
        <w:spacing w:before="0" w:after="0"/>
        <w:jc w:val="both"/>
        <w:rPr>
          <w:rFonts w:ascii="Times New Roman" w:hAnsi="Times New Roman" w:cs="Times New Roman"/>
          <w:sz w:val="22"/>
          <w:szCs w:val="22"/>
        </w:rPr>
      </w:pPr>
    </w:p>
    <w:sectPr w:rsidR="006176ED" w:rsidRPr="007A2509" w:rsidSect="00BD1014">
      <w:headerReference w:type="default" r:id="rId8"/>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9DA5" w14:textId="77777777" w:rsidR="00E84520" w:rsidRDefault="00E84520" w:rsidP="00044739">
      <w:pPr>
        <w:spacing w:line="240" w:lineRule="auto"/>
      </w:pPr>
      <w:r>
        <w:separator/>
      </w:r>
    </w:p>
  </w:endnote>
  <w:endnote w:type="continuationSeparator" w:id="0">
    <w:p w14:paraId="1712FBF7" w14:textId="77777777" w:rsidR="00E84520" w:rsidRDefault="00E84520" w:rsidP="00044739">
      <w:pPr>
        <w:spacing w:line="240" w:lineRule="auto"/>
      </w:pPr>
      <w:r>
        <w:continuationSeparator/>
      </w:r>
    </w:p>
  </w:endnote>
  <w:endnote w:type="continuationNotice" w:id="1">
    <w:p w14:paraId="44F4405F" w14:textId="77777777" w:rsidR="00E84520" w:rsidRDefault="00E8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FranklinGothicURWCom-Boo">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85A5" w14:textId="77777777" w:rsidR="00E73DBA" w:rsidRDefault="00E73D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454E" w14:textId="77777777" w:rsidR="00E84520" w:rsidRDefault="00E84520" w:rsidP="00044739">
      <w:pPr>
        <w:spacing w:line="240" w:lineRule="auto"/>
      </w:pPr>
      <w:r>
        <w:separator/>
      </w:r>
    </w:p>
  </w:footnote>
  <w:footnote w:type="continuationSeparator" w:id="0">
    <w:p w14:paraId="7F3C0D93" w14:textId="77777777" w:rsidR="00E84520" w:rsidRDefault="00E84520" w:rsidP="00044739">
      <w:pPr>
        <w:spacing w:line="240" w:lineRule="auto"/>
      </w:pPr>
      <w:r>
        <w:continuationSeparator/>
      </w:r>
    </w:p>
  </w:footnote>
  <w:footnote w:type="continuationNotice" w:id="1">
    <w:p w14:paraId="16B8624D" w14:textId="77777777" w:rsidR="00E84520" w:rsidRDefault="00E84520">
      <w:pPr>
        <w:spacing w:line="240" w:lineRule="auto"/>
      </w:pPr>
    </w:p>
  </w:footnote>
  <w:footnote w:id="2">
    <w:p w14:paraId="6E8852E3" w14:textId="38B49346" w:rsidR="00EF1144" w:rsidRPr="00AC29C4" w:rsidRDefault="00EF1144">
      <w:pPr>
        <w:pStyle w:val="Tekstprzypisudolnego"/>
        <w:rPr>
          <w:rFonts w:ascii="Times New Roman" w:hAnsi="Times New Roman"/>
          <w:sz w:val="16"/>
          <w:szCs w:val="16"/>
        </w:rPr>
      </w:pPr>
      <w:r w:rsidRPr="00AC29C4">
        <w:rPr>
          <w:rStyle w:val="Odwoanieprzypisudolnego"/>
          <w:rFonts w:ascii="Times New Roman" w:hAnsi="Times New Roman"/>
          <w:sz w:val="16"/>
          <w:szCs w:val="16"/>
        </w:rPr>
        <w:footnoteRef/>
      </w:r>
      <w:r w:rsidR="004C3A73">
        <w:rPr>
          <w:rFonts w:ascii="Times New Roman" w:hAnsi="Times New Roman"/>
          <w:sz w:val="16"/>
          <w:szCs w:val="16"/>
          <w:vertAlign w:val="superscript"/>
        </w:rPr>
        <w:t xml:space="preserve">) </w:t>
      </w:r>
      <w:r w:rsidR="00020A1B">
        <w:rPr>
          <w:rFonts w:ascii="Times New Roman" w:hAnsi="Times New Roman"/>
          <w:sz w:val="16"/>
          <w:szCs w:val="16"/>
        </w:rPr>
        <w:t>GUS, 2023</w:t>
      </w:r>
      <w:r w:rsidR="001D62C2" w:rsidRPr="001D62C2">
        <w:rPr>
          <w:rFonts w:ascii="Times New Roman" w:hAnsi="Times New Roman"/>
          <w:sz w:val="16"/>
          <w:szCs w:val="16"/>
        </w:rPr>
        <w:t>/</w:t>
      </w:r>
      <w:r w:rsidRPr="00AC29C4">
        <w:rPr>
          <w:rFonts w:ascii="Times New Roman" w:hAnsi="Times New Roman"/>
          <w:sz w:val="16"/>
          <w:szCs w:val="16"/>
        </w:rPr>
        <w:t xml:space="preserve"> </w:t>
      </w:r>
    </w:p>
  </w:footnote>
  <w:footnote w:id="3">
    <w:p w14:paraId="7EE0CB11" w14:textId="0620AE90" w:rsidR="00BA23BB" w:rsidRPr="00BA23BB" w:rsidRDefault="00BA23BB" w:rsidP="00E55CB1">
      <w:pPr>
        <w:pStyle w:val="Tekstprzypisudolnego"/>
        <w:jc w:val="both"/>
        <w:rPr>
          <w:sz w:val="16"/>
          <w:szCs w:val="16"/>
        </w:rPr>
      </w:pPr>
      <w:r w:rsidRPr="00727348">
        <w:rPr>
          <w:rStyle w:val="Odwoanieprzypisudolnego"/>
          <w:rFonts w:ascii="Times New Roman" w:hAnsi="Times New Roman"/>
          <w:sz w:val="16"/>
          <w:szCs w:val="16"/>
        </w:rPr>
        <w:footnoteRef/>
      </w:r>
      <w:r w:rsidR="008703FA" w:rsidRPr="00727348">
        <w:rPr>
          <w:rFonts w:ascii="Times New Roman" w:hAnsi="Times New Roman"/>
          <w:sz w:val="16"/>
          <w:szCs w:val="16"/>
          <w:vertAlign w:val="superscript"/>
        </w:rPr>
        <w:t>)</w:t>
      </w:r>
      <w:r w:rsidR="000136D4" w:rsidRPr="00727348">
        <w:rPr>
          <w:rFonts w:ascii="Times New Roman" w:hAnsi="Times New Roman"/>
          <w:sz w:val="16"/>
          <w:szCs w:val="16"/>
          <w:vertAlign w:val="superscript"/>
        </w:rPr>
        <w:t xml:space="preserve"> </w:t>
      </w:r>
      <w:r w:rsidR="00774F09">
        <w:rPr>
          <w:rFonts w:ascii="Times New Roman" w:hAnsi="Times New Roman"/>
          <w:color w:val="000000"/>
          <w:spacing w:val="-2"/>
          <w:sz w:val="16"/>
          <w:szCs w:val="16"/>
        </w:rPr>
        <w:t>Przy</w:t>
      </w:r>
      <w:r w:rsidRPr="00BA23BB">
        <w:rPr>
          <w:rFonts w:ascii="Times New Roman" w:hAnsi="Times New Roman"/>
          <w:color w:val="000000"/>
          <w:spacing w:val="-2"/>
          <w:sz w:val="16"/>
          <w:szCs w:val="16"/>
        </w:rPr>
        <w:t>j</w:t>
      </w:r>
      <w:r w:rsidR="00774F09">
        <w:rPr>
          <w:rFonts w:ascii="Times New Roman" w:hAnsi="Times New Roman"/>
          <w:color w:val="000000"/>
          <w:spacing w:val="-2"/>
          <w:sz w:val="16"/>
          <w:szCs w:val="16"/>
        </w:rPr>
        <w:t>ęto</w:t>
      </w:r>
      <w:r w:rsidRPr="00BA23BB">
        <w:rPr>
          <w:rFonts w:ascii="Times New Roman" w:hAnsi="Times New Roman"/>
          <w:color w:val="000000"/>
          <w:spacing w:val="-2"/>
          <w:sz w:val="16"/>
          <w:szCs w:val="16"/>
        </w:rPr>
        <w:t xml:space="preserve">, że miasto </w:t>
      </w:r>
      <w:r w:rsidR="00E51E8B">
        <w:rPr>
          <w:rFonts w:ascii="Times New Roman" w:hAnsi="Times New Roman"/>
          <w:color w:val="000000"/>
          <w:spacing w:val="-2"/>
          <w:sz w:val="16"/>
          <w:szCs w:val="16"/>
        </w:rPr>
        <w:t xml:space="preserve">o liczbie mieszkańców równej lub większej niż </w:t>
      </w:r>
      <w:r w:rsidRPr="00BA23BB">
        <w:rPr>
          <w:rFonts w:ascii="Times New Roman" w:hAnsi="Times New Roman"/>
          <w:color w:val="000000"/>
          <w:spacing w:val="-2"/>
          <w:sz w:val="16"/>
          <w:szCs w:val="16"/>
        </w:rPr>
        <w:t xml:space="preserve">20 </w:t>
      </w:r>
      <w:r w:rsidR="000136D4">
        <w:rPr>
          <w:rFonts w:ascii="Times New Roman" w:hAnsi="Times New Roman"/>
          <w:color w:val="000000"/>
          <w:spacing w:val="-2"/>
          <w:sz w:val="16"/>
          <w:szCs w:val="16"/>
        </w:rPr>
        <w:t>tys.</w:t>
      </w:r>
      <w:r w:rsidRPr="00BA23BB">
        <w:rPr>
          <w:rFonts w:ascii="Times New Roman" w:hAnsi="Times New Roman"/>
          <w:color w:val="000000"/>
          <w:spacing w:val="-2"/>
          <w:sz w:val="16"/>
          <w:szCs w:val="16"/>
        </w:rPr>
        <w:t xml:space="preserve">, które będzie zobowiązane do opracowania miejskich planów adaptacji do zmian klimatu, to miasto, w którym liczba </w:t>
      </w:r>
      <w:r w:rsidR="00097209">
        <w:rPr>
          <w:rFonts w:ascii="Times New Roman" w:hAnsi="Times New Roman"/>
          <w:color w:val="000000"/>
          <w:spacing w:val="-2"/>
          <w:sz w:val="16"/>
          <w:szCs w:val="16"/>
        </w:rPr>
        <w:t>mieszkańców zgodnie z danymi statystycznymi</w:t>
      </w:r>
      <w:r w:rsidR="00097209" w:rsidRPr="00BA23BB">
        <w:rPr>
          <w:rFonts w:ascii="Times New Roman" w:hAnsi="Times New Roman"/>
          <w:color w:val="000000"/>
          <w:spacing w:val="-2"/>
          <w:sz w:val="16"/>
          <w:szCs w:val="16"/>
        </w:rPr>
        <w:t xml:space="preserve"> </w:t>
      </w:r>
      <w:r w:rsidRPr="00BA23BB">
        <w:rPr>
          <w:rFonts w:ascii="Times New Roman" w:hAnsi="Times New Roman"/>
          <w:color w:val="000000"/>
          <w:spacing w:val="-2"/>
          <w:sz w:val="16"/>
          <w:szCs w:val="16"/>
        </w:rPr>
        <w:t>w dniu wejścia w życie ustawy, a także w trzech kolejnych latach poprzedzających wejście w</w:t>
      </w:r>
      <w:r w:rsidR="0043193B">
        <w:rPr>
          <w:rFonts w:ascii="Times New Roman" w:hAnsi="Times New Roman"/>
          <w:color w:val="000000"/>
          <w:spacing w:val="-2"/>
          <w:sz w:val="16"/>
          <w:szCs w:val="16"/>
        </w:rPr>
        <w:t> </w:t>
      </w:r>
      <w:r w:rsidRPr="00BA23BB">
        <w:rPr>
          <w:rFonts w:ascii="Times New Roman" w:hAnsi="Times New Roman"/>
          <w:color w:val="000000"/>
          <w:spacing w:val="-2"/>
          <w:sz w:val="16"/>
          <w:szCs w:val="16"/>
        </w:rPr>
        <w:t xml:space="preserve">życie ustawy, przekraczała </w:t>
      </w:r>
      <w:r w:rsidR="00AC18F9">
        <w:rPr>
          <w:rFonts w:ascii="Times New Roman" w:hAnsi="Times New Roman"/>
          <w:color w:val="000000"/>
          <w:spacing w:val="-2"/>
          <w:sz w:val="16"/>
          <w:szCs w:val="16"/>
        </w:rPr>
        <w:t xml:space="preserve">lub była równa </w:t>
      </w:r>
      <w:r w:rsidRPr="00BA23BB">
        <w:rPr>
          <w:rFonts w:ascii="Times New Roman" w:hAnsi="Times New Roman"/>
          <w:color w:val="000000"/>
          <w:spacing w:val="-2"/>
          <w:sz w:val="16"/>
          <w:szCs w:val="16"/>
        </w:rPr>
        <w:t>20</w:t>
      </w:r>
      <w:r w:rsidR="003C74A1">
        <w:rPr>
          <w:rFonts w:ascii="Times New Roman" w:hAnsi="Times New Roman"/>
          <w:color w:val="000000"/>
          <w:spacing w:val="-2"/>
          <w:sz w:val="16"/>
          <w:szCs w:val="16"/>
        </w:rPr>
        <w:t> </w:t>
      </w:r>
      <w:r w:rsidR="000136D4">
        <w:rPr>
          <w:rFonts w:ascii="Times New Roman" w:hAnsi="Times New Roman"/>
          <w:color w:val="000000"/>
          <w:spacing w:val="-2"/>
          <w:sz w:val="16"/>
          <w:szCs w:val="16"/>
        </w:rPr>
        <w:t>tys</w:t>
      </w:r>
      <w:r w:rsidR="003C74A1">
        <w:rPr>
          <w:rFonts w:ascii="Times New Roman" w:hAnsi="Times New Roman"/>
          <w:color w:val="000000"/>
          <w:spacing w:val="-2"/>
          <w:sz w:val="16"/>
          <w:szCs w:val="16"/>
        </w:rPr>
        <w:t>.</w:t>
      </w:r>
    </w:p>
  </w:footnote>
  <w:footnote w:id="4">
    <w:p w14:paraId="10DB4E14" w14:textId="77777777" w:rsidR="00EF1144" w:rsidRDefault="00EF1144">
      <w:pPr>
        <w:pStyle w:val="Tekstprzypisudolnego"/>
      </w:pPr>
      <w:r>
        <w:rPr>
          <w:rStyle w:val="Odwoanieprzypisudolnego"/>
        </w:rPr>
        <w:footnoteRef/>
      </w:r>
      <w:r w:rsidR="007C300E">
        <w:rPr>
          <w:vertAlign w:val="superscript"/>
        </w:rPr>
        <w:t>)</w:t>
      </w:r>
      <w:r>
        <w:t xml:space="preserve"> </w:t>
      </w:r>
      <w:r w:rsidRPr="00EF2F36">
        <w:rPr>
          <w:rFonts w:ascii="Times New Roman" w:hAnsi="Times New Roman"/>
          <w:i/>
          <w:sz w:val="16"/>
          <w:szCs w:val="16"/>
        </w:rPr>
        <w:t>Zielona infrastruktura</w:t>
      </w:r>
      <w:r w:rsidRPr="005B51A8">
        <w:rPr>
          <w:rFonts w:ascii="Times New Roman" w:hAnsi="Times New Roman"/>
          <w:sz w:val="16"/>
          <w:szCs w:val="16"/>
        </w:rPr>
        <w:t>, Barbara Szulczewska, Warszawa, 2018 r.</w:t>
      </w:r>
    </w:p>
  </w:footnote>
  <w:footnote w:id="5">
    <w:p w14:paraId="1CF21CF9" w14:textId="77DDDDE0" w:rsidR="00D32720" w:rsidRPr="00F37BFE" w:rsidRDefault="00D32720" w:rsidP="00C3424F">
      <w:pPr>
        <w:pStyle w:val="Przypisdolny"/>
      </w:pPr>
      <w:r>
        <w:rPr>
          <w:rStyle w:val="Odwoanieprzypisudolnego"/>
          <w:rFonts w:eastAsia="Calibri"/>
        </w:rPr>
        <w:footnoteRef/>
      </w:r>
      <w:r w:rsidR="00C76328" w:rsidRPr="0056270E">
        <w:rPr>
          <w:vertAlign w:val="superscript"/>
        </w:rPr>
        <w:t>)</w:t>
      </w:r>
      <w:r w:rsidRPr="00E80BC5">
        <w:t xml:space="preserve"> </w:t>
      </w:r>
      <w:r w:rsidRPr="00F37BFE">
        <w:t>PN-EN ISO 17225-1:2021. Biopaliwa stałe. Specyfikacja paliw i klasy. Część 1: Wymagania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9B5B" w14:textId="77777777" w:rsidR="00E73DBA" w:rsidRDefault="00E73D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8FE"/>
    <w:multiLevelType w:val="hybridMultilevel"/>
    <w:tmpl w:val="EA066DC2"/>
    <w:lvl w:ilvl="0" w:tplc="04150011">
      <w:start w:val="1"/>
      <w:numFmt w:val="decimal"/>
      <w:lvlText w:val="%1)"/>
      <w:lvlJc w:val="left"/>
      <w:pPr>
        <w:ind w:left="298" w:hanging="360"/>
      </w:pPr>
    </w:lvl>
    <w:lvl w:ilvl="1" w:tplc="04150019">
      <w:start w:val="1"/>
      <w:numFmt w:val="lowerLetter"/>
      <w:lvlText w:val="%2."/>
      <w:lvlJc w:val="left"/>
      <w:pPr>
        <w:ind w:left="1018" w:hanging="360"/>
      </w:pPr>
    </w:lvl>
    <w:lvl w:ilvl="2" w:tplc="0415001B">
      <w:start w:val="1"/>
      <w:numFmt w:val="lowerRoman"/>
      <w:lvlText w:val="%3."/>
      <w:lvlJc w:val="right"/>
      <w:pPr>
        <w:ind w:left="1738" w:hanging="180"/>
      </w:pPr>
    </w:lvl>
    <w:lvl w:ilvl="3" w:tplc="0415000F">
      <w:start w:val="1"/>
      <w:numFmt w:val="decimal"/>
      <w:lvlText w:val="%4."/>
      <w:lvlJc w:val="left"/>
      <w:pPr>
        <w:ind w:left="2458" w:hanging="360"/>
      </w:pPr>
    </w:lvl>
    <w:lvl w:ilvl="4" w:tplc="04150019">
      <w:start w:val="1"/>
      <w:numFmt w:val="lowerLetter"/>
      <w:lvlText w:val="%5."/>
      <w:lvlJc w:val="left"/>
      <w:pPr>
        <w:ind w:left="3178" w:hanging="360"/>
      </w:pPr>
    </w:lvl>
    <w:lvl w:ilvl="5" w:tplc="0415001B">
      <w:start w:val="1"/>
      <w:numFmt w:val="lowerRoman"/>
      <w:lvlText w:val="%6."/>
      <w:lvlJc w:val="right"/>
      <w:pPr>
        <w:ind w:left="3898" w:hanging="180"/>
      </w:pPr>
    </w:lvl>
    <w:lvl w:ilvl="6" w:tplc="0415000F">
      <w:start w:val="1"/>
      <w:numFmt w:val="decimal"/>
      <w:lvlText w:val="%7."/>
      <w:lvlJc w:val="left"/>
      <w:pPr>
        <w:ind w:left="4618" w:hanging="360"/>
      </w:pPr>
    </w:lvl>
    <w:lvl w:ilvl="7" w:tplc="04150019">
      <w:start w:val="1"/>
      <w:numFmt w:val="lowerLetter"/>
      <w:lvlText w:val="%8."/>
      <w:lvlJc w:val="left"/>
      <w:pPr>
        <w:ind w:left="5338" w:hanging="360"/>
      </w:pPr>
    </w:lvl>
    <w:lvl w:ilvl="8" w:tplc="0415001B">
      <w:start w:val="1"/>
      <w:numFmt w:val="lowerRoman"/>
      <w:lvlText w:val="%9."/>
      <w:lvlJc w:val="right"/>
      <w:pPr>
        <w:ind w:left="6058" w:hanging="180"/>
      </w:pPr>
    </w:lvl>
  </w:abstractNum>
  <w:abstractNum w:abstractNumId="1" w15:restartNumberingAfterBreak="0">
    <w:nsid w:val="050D72A8"/>
    <w:multiLevelType w:val="hybridMultilevel"/>
    <w:tmpl w:val="55201CA8"/>
    <w:lvl w:ilvl="0" w:tplc="7640DBEA">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10C1"/>
    <w:multiLevelType w:val="hybridMultilevel"/>
    <w:tmpl w:val="4F143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900181"/>
    <w:multiLevelType w:val="hybridMultilevel"/>
    <w:tmpl w:val="EDCA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716E"/>
    <w:multiLevelType w:val="hybridMultilevel"/>
    <w:tmpl w:val="999EC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9228B"/>
    <w:multiLevelType w:val="hybridMultilevel"/>
    <w:tmpl w:val="5E427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14136"/>
    <w:multiLevelType w:val="hybridMultilevel"/>
    <w:tmpl w:val="A8E00D16"/>
    <w:lvl w:ilvl="0" w:tplc="FFFFFFFF">
      <w:start w:val="1"/>
      <w:numFmt w:val="decimal"/>
      <w:lvlText w:val="%1."/>
      <w:lvlJc w:val="left"/>
      <w:pPr>
        <w:ind w:left="754" w:hanging="360"/>
      </w:pPr>
      <w:rPr>
        <w:b/>
        <w:bCs/>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7" w15:restartNumberingAfterBreak="0">
    <w:nsid w:val="16823DC3"/>
    <w:multiLevelType w:val="hybridMultilevel"/>
    <w:tmpl w:val="4EBAC27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8" w15:restartNumberingAfterBreak="0">
    <w:nsid w:val="16E744F8"/>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9E05E1F"/>
    <w:multiLevelType w:val="hybridMultilevel"/>
    <w:tmpl w:val="3C8EA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2E1ABA"/>
    <w:multiLevelType w:val="hybridMultilevel"/>
    <w:tmpl w:val="84F4007E"/>
    <w:lvl w:ilvl="0" w:tplc="5DFE76E2">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A70ED"/>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A45B46"/>
    <w:multiLevelType w:val="hybridMultilevel"/>
    <w:tmpl w:val="999EC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2256C"/>
    <w:multiLevelType w:val="hybridMultilevel"/>
    <w:tmpl w:val="999EC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EB6DA8"/>
    <w:multiLevelType w:val="hybridMultilevel"/>
    <w:tmpl w:val="0A049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13B12"/>
    <w:multiLevelType w:val="hybridMultilevel"/>
    <w:tmpl w:val="AD0C2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48291E"/>
    <w:multiLevelType w:val="hybridMultilevel"/>
    <w:tmpl w:val="18D629FA"/>
    <w:lvl w:ilvl="0" w:tplc="04150001">
      <w:start w:val="1"/>
      <w:numFmt w:val="bullet"/>
      <w:lvlText w:val=""/>
      <w:lvlJc w:val="left"/>
      <w:pPr>
        <w:ind w:left="1080" w:hanging="360"/>
      </w:pPr>
      <w:rPr>
        <w:rFonts w:ascii="Symbol" w:hAnsi="Symbol" w:hint="default"/>
      </w:rPr>
    </w:lvl>
    <w:lvl w:ilvl="1" w:tplc="A06E0842">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0461EF2"/>
    <w:multiLevelType w:val="hybridMultilevel"/>
    <w:tmpl w:val="DAE07D42"/>
    <w:lvl w:ilvl="0" w:tplc="FD22B3FC">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C2985"/>
    <w:multiLevelType w:val="hybridMultilevel"/>
    <w:tmpl w:val="78562166"/>
    <w:lvl w:ilvl="0" w:tplc="F47CC364">
      <w:start w:val="8"/>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9" w15:restartNumberingAfterBreak="0">
    <w:nsid w:val="338D6EE4"/>
    <w:multiLevelType w:val="hybridMultilevel"/>
    <w:tmpl w:val="C922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86D48"/>
    <w:multiLevelType w:val="hybridMultilevel"/>
    <w:tmpl w:val="0A049E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76A2D67"/>
    <w:multiLevelType w:val="hybridMultilevel"/>
    <w:tmpl w:val="3248569E"/>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97598"/>
    <w:multiLevelType w:val="hybridMultilevel"/>
    <w:tmpl w:val="999EC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6B2F90"/>
    <w:multiLevelType w:val="hybridMultilevel"/>
    <w:tmpl w:val="02908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FB385D"/>
    <w:multiLevelType w:val="hybridMultilevel"/>
    <w:tmpl w:val="0A049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160A0"/>
    <w:multiLevelType w:val="hybridMultilevel"/>
    <w:tmpl w:val="76AADE7C"/>
    <w:lvl w:ilvl="0" w:tplc="E1B2FA9E">
      <w:start w:val="1"/>
      <w:numFmt w:val="bullet"/>
      <w:lvlText w:val="·"/>
      <w:lvlJc w:val="left"/>
      <w:pPr>
        <w:ind w:left="720" w:hanging="360"/>
      </w:pPr>
      <w:rPr>
        <w:rFonts w:ascii="Symbol" w:hAnsi="Symbol" w:hint="default"/>
      </w:rPr>
    </w:lvl>
    <w:lvl w:ilvl="1" w:tplc="1F6E2572">
      <w:start w:val="1"/>
      <w:numFmt w:val="bullet"/>
      <w:lvlText w:val="o"/>
      <w:lvlJc w:val="left"/>
      <w:pPr>
        <w:ind w:left="1440" w:hanging="360"/>
      </w:pPr>
      <w:rPr>
        <w:rFonts w:ascii="Courier New" w:hAnsi="Courier New" w:hint="default"/>
      </w:rPr>
    </w:lvl>
    <w:lvl w:ilvl="2" w:tplc="D004B2CC">
      <w:start w:val="1"/>
      <w:numFmt w:val="bullet"/>
      <w:lvlText w:val=""/>
      <w:lvlJc w:val="left"/>
      <w:pPr>
        <w:ind w:left="2160" w:hanging="360"/>
      </w:pPr>
      <w:rPr>
        <w:rFonts w:ascii="Wingdings" w:hAnsi="Wingdings" w:hint="default"/>
      </w:rPr>
    </w:lvl>
    <w:lvl w:ilvl="3" w:tplc="D478B5FC">
      <w:start w:val="1"/>
      <w:numFmt w:val="bullet"/>
      <w:lvlText w:val=""/>
      <w:lvlJc w:val="left"/>
      <w:pPr>
        <w:ind w:left="2880" w:hanging="360"/>
      </w:pPr>
      <w:rPr>
        <w:rFonts w:ascii="Symbol" w:hAnsi="Symbol" w:hint="default"/>
      </w:rPr>
    </w:lvl>
    <w:lvl w:ilvl="4" w:tplc="1B3885EE">
      <w:start w:val="1"/>
      <w:numFmt w:val="bullet"/>
      <w:lvlText w:val="o"/>
      <w:lvlJc w:val="left"/>
      <w:pPr>
        <w:ind w:left="3600" w:hanging="360"/>
      </w:pPr>
      <w:rPr>
        <w:rFonts w:ascii="Courier New" w:hAnsi="Courier New" w:hint="default"/>
      </w:rPr>
    </w:lvl>
    <w:lvl w:ilvl="5" w:tplc="8390B122">
      <w:start w:val="1"/>
      <w:numFmt w:val="bullet"/>
      <w:lvlText w:val=""/>
      <w:lvlJc w:val="left"/>
      <w:pPr>
        <w:ind w:left="4320" w:hanging="360"/>
      </w:pPr>
      <w:rPr>
        <w:rFonts w:ascii="Wingdings" w:hAnsi="Wingdings" w:hint="default"/>
      </w:rPr>
    </w:lvl>
    <w:lvl w:ilvl="6" w:tplc="19DA2D02">
      <w:start w:val="1"/>
      <w:numFmt w:val="bullet"/>
      <w:lvlText w:val=""/>
      <w:lvlJc w:val="left"/>
      <w:pPr>
        <w:ind w:left="5040" w:hanging="360"/>
      </w:pPr>
      <w:rPr>
        <w:rFonts w:ascii="Symbol" w:hAnsi="Symbol" w:hint="default"/>
      </w:rPr>
    </w:lvl>
    <w:lvl w:ilvl="7" w:tplc="326EF0BA">
      <w:start w:val="1"/>
      <w:numFmt w:val="bullet"/>
      <w:lvlText w:val="o"/>
      <w:lvlJc w:val="left"/>
      <w:pPr>
        <w:ind w:left="5760" w:hanging="360"/>
      </w:pPr>
      <w:rPr>
        <w:rFonts w:ascii="Courier New" w:hAnsi="Courier New" w:hint="default"/>
      </w:rPr>
    </w:lvl>
    <w:lvl w:ilvl="8" w:tplc="D4BA9742">
      <w:start w:val="1"/>
      <w:numFmt w:val="bullet"/>
      <w:lvlText w:val=""/>
      <w:lvlJc w:val="left"/>
      <w:pPr>
        <w:ind w:left="6480" w:hanging="360"/>
      </w:pPr>
      <w:rPr>
        <w:rFonts w:ascii="Wingdings" w:hAnsi="Wingdings" w:hint="default"/>
      </w:rPr>
    </w:lvl>
  </w:abstractNum>
  <w:abstractNum w:abstractNumId="27" w15:restartNumberingAfterBreak="0">
    <w:nsid w:val="41273B77"/>
    <w:multiLevelType w:val="hybridMultilevel"/>
    <w:tmpl w:val="2F9A84AE"/>
    <w:lvl w:ilvl="0" w:tplc="22A6A61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47A16"/>
    <w:multiLevelType w:val="hybridMultilevel"/>
    <w:tmpl w:val="0A049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37542D"/>
    <w:multiLevelType w:val="hybridMultilevel"/>
    <w:tmpl w:val="A19A057E"/>
    <w:lvl w:ilvl="0" w:tplc="26225DFC">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831076"/>
    <w:multiLevelType w:val="hybridMultilevel"/>
    <w:tmpl w:val="AD7CE8BA"/>
    <w:lvl w:ilvl="0" w:tplc="3140EBA4">
      <w:start w:val="1"/>
      <w:numFmt w:val="lowerLetter"/>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31" w15:restartNumberingAfterBreak="0">
    <w:nsid w:val="4D4635E6"/>
    <w:multiLevelType w:val="hybridMultilevel"/>
    <w:tmpl w:val="999EC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0F629D"/>
    <w:multiLevelType w:val="hybridMultilevel"/>
    <w:tmpl w:val="0EA42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758FD"/>
    <w:multiLevelType w:val="hybridMultilevel"/>
    <w:tmpl w:val="70783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3B2AF4"/>
    <w:multiLevelType w:val="hybridMultilevel"/>
    <w:tmpl w:val="5E427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F73C5F"/>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2710EB0"/>
    <w:multiLevelType w:val="hybridMultilevel"/>
    <w:tmpl w:val="5E427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7C61F35"/>
    <w:multiLevelType w:val="hybridMultilevel"/>
    <w:tmpl w:val="999EC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D47364"/>
    <w:multiLevelType w:val="hybridMultilevel"/>
    <w:tmpl w:val="C4D84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A6E88"/>
    <w:multiLevelType w:val="hybridMultilevel"/>
    <w:tmpl w:val="73666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CA4843"/>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086357F"/>
    <w:multiLevelType w:val="hybridMultilevel"/>
    <w:tmpl w:val="2ADC7DF6"/>
    <w:lvl w:ilvl="0" w:tplc="D0D63128">
      <w:start w:val="1"/>
      <w:numFmt w:val="bullet"/>
      <w:pStyle w:val="Punkty"/>
      <w:lvlText w:val=""/>
      <w:lvlJc w:val="left"/>
      <w:pPr>
        <w:ind w:left="652" w:hanging="360"/>
      </w:pPr>
      <w:rPr>
        <w:rFonts w:ascii="Symbol" w:hAnsi="Symbol" w:hint="default"/>
        <w:color w:val="auto"/>
      </w:rPr>
    </w:lvl>
    <w:lvl w:ilvl="1" w:tplc="04150005">
      <w:start w:val="1"/>
      <w:numFmt w:val="bullet"/>
      <w:lvlText w:val=""/>
      <w:lvlJc w:val="left"/>
      <w:pPr>
        <w:ind w:left="1372" w:hanging="360"/>
      </w:pPr>
      <w:rPr>
        <w:rFonts w:ascii="Wingdings" w:hAnsi="Wingdings"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2" w15:restartNumberingAfterBreak="0">
    <w:nsid w:val="62494EC5"/>
    <w:multiLevelType w:val="hybridMultilevel"/>
    <w:tmpl w:val="5E4272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337749D"/>
    <w:multiLevelType w:val="hybridMultilevel"/>
    <w:tmpl w:val="2AAEA71A"/>
    <w:lvl w:ilvl="0" w:tplc="FE6E7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24E54"/>
    <w:multiLevelType w:val="hybridMultilevel"/>
    <w:tmpl w:val="DF3ECF8E"/>
    <w:lvl w:ilvl="0" w:tplc="0415000F">
      <w:start w:val="1"/>
      <w:numFmt w:val="decimal"/>
      <w:lvlText w:val="%1."/>
      <w:lvlJc w:val="left"/>
      <w:pPr>
        <w:ind w:left="291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B04333"/>
    <w:multiLevelType w:val="hybridMultilevel"/>
    <w:tmpl w:val="A8E00D16"/>
    <w:lvl w:ilvl="0" w:tplc="768EA368">
      <w:start w:val="1"/>
      <w:numFmt w:val="decimal"/>
      <w:lvlText w:val="%1."/>
      <w:lvlJc w:val="left"/>
      <w:pPr>
        <w:ind w:left="754" w:hanging="360"/>
      </w:pPr>
      <w:rPr>
        <w:b/>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6" w15:restartNumberingAfterBreak="0">
    <w:nsid w:val="6E201662"/>
    <w:multiLevelType w:val="hybridMultilevel"/>
    <w:tmpl w:val="5E4272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ED2440F"/>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29802F6"/>
    <w:multiLevelType w:val="hybridMultilevel"/>
    <w:tmpl w:val="5E427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C36DF4"/>
    <w:multiLevelType w:val="hybridMultilevel"/>
    <w:tmpl w:val="5E427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6359A"/>
    <w:multiLevelType w:val="hybridMultilevel"/>
    <w:tmpl w:val="215E7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74761"/>
    <w:multiLevelType w:val="hybridMultilevel"/>
    <w:tmpl w:val="0A049E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9E647A1"/>
    <w:multiLevelType w:val="hybridMultilevel"/>
    <w:tmpl w:val="0A049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BBA683B"/>
    <w:multiLevelType w:val="hybridMultilevel"/>
    <w:tmpl w:val="4B8E15A6"/>
    <w:lvl w:ilvl="0" w:tplc="A06E0842">
      <w:numFmt w:val="bullet"/>
      <w:lvlText w:val="•"/>
      <w:lvlJc w:val="left"/>
      <w:pPr>
        <w:ind w:left="1080" w:hanging="360"/>
      </w:pPr>
      <w:rPr>
        <w:rFonts w:ascii="Times New Roman" w:eastAsia="Calibri" w:hAnsi="Times New Roman" w:cs="Times New Roman" w:hint="default"/>
      </w:rPr>
    </w:lvl>
    <w:lvl w:ilvl="1" w:tplc="FFFFFFFF">
      <w:numFmt w:val="bullet"/>
      <w:lvlText w:val="•"/>
      <w:lvlJc w:val="left"/>
      <w:pPr>
        <w:ind w:left="1800" w:hanging="360"/>
      </w:pPr>
      <w:rPr>
        <w:rFonts w:ascii="Times New Roman" w:eastAsia="Calibr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7DD3548C"/>
    <w:multiLevelType w:val="hybridMultilevel"/>
    <w:tmpl w:val="999ECD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44"/>
  </w:num>
  <w:num w:numId="3">
    <w:abstractNumId w:val="1"/>
  </w:num>
  <w:num w:numId="4">
    <w:abstractNumId w:val="19"/>
  </w:num>
  <w:num w:numId="5">
    <w:abstractNumId w:val="43"/>
  </w:num>
  <w:num w:numId="6">
    <w:abstractNumId w:val="0"/>
  </w:num>
  <w:num w:numId="7">
    <w:abstractNumId w:val="24"/>
  </w:num>
  <w:num w:numId="8">
    <w:abstractNumId w:val="30"/>
  </w:num>
  <w:num w:numId="9">
    <w:abstractNumId w:val="32"/>
  </w:num>
  <w:num w:numId="10">
    <w:abstractNumId w:val="39"/>
  </w:num>
  <w:num w:numId="11">
    <w:abstractNumId w:val="33"/>
  </w:num>
  <w:num w:numId="12">
    <w:abstractNumId w:val="18"/>
  </w:num>
  <w:num w:numId="13">
    <w:abstractNumId w:val="21"/>
  </w:num>
  <w:num w:numId="14">
    <w:abstractNumId w:val="29"/>
  </w:num>
  <w:num w:numId="15">
    <w:abstractNumId w:val="38"/>
  </w:num>
  <w:num w:numId="16">
    <w:abstractNumId w:val="41"/>
  </w:num>
  <w:num w:numId="17">
    <w:abstractNumId w:val="50"/>
  </w:num>
  <w:num w:numId="18">
    <w:abstractNumId w:val="10"/>
  </w:num>
  <w:num w:numId="19">
    <w:abstractNumId w:val="16"/>
  </w:num>
  <w:num w:numId="20">
    <w:abstractNumId w:val="26"/>
  </w:num>
  <w:num w:numId="21">
    <w:abstractNumId w:val="49"/>
  </w:num>
  <w:num w:numId="22">
    <w:abstractNumId w:val="25"/>
  </w:num>
  <w:num w:numId="23">
    <w:abstractNumId w:val="12"/>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 w:numId="27">
    <w:abstractNumId w:val="34"/>
  </w:num>
  <w:num w:numId="28">
    <w:abstractNumId w:val="28"/>
  </w:num>
  <w:num w:numId="29">
    <w:abstractNumId w:val="4"/>
  </w:num>
  <w:num w:numId="30">
    <w:abstractNumId w:val="5"/>
  </w:num>
  <w:num w:numId="31">
    <w:abstractNumId w:val="52"/>
  </w:num>
  <w:num w:numId="32">
    <w:abstractNumId w:val="31"/>
  </w:num>
  <w:num w:numId="33">
    <w:abstractNumId w:val="36"/>
  </w:num>
  <w:num w:numId="34">
    <w:abstractNumId w:val="14"/>
  </w:num>
  <w:num w:numId="35">
    <w:abstractNumId w:val="37"/>
  </w:num>
  <w:num w:numId="36">
    <w:abstractNumId w:val="23"/>
  </w:num>
  <w:num w:numId="37">
    <w:abstractNumId w:val="27"/>
  </w:num>
  <w:num w:numId="38">
    <w:abstractNumId w:val="17"/>
  </w:num>
  <w:num w:numId="39">
    <w:abstractNumId w:val="42"/>
  </w:num>
  <w:num w:numId="40">
    <w:abstractNumId w:val="51"/>
  </w:num>
  <w:num w:numId="41">
    <w:abstractNumId w:val="8"/>
  </w:num>
  <w:num w:numId="42">
    <w:abstractNumId w:val="47"/>
  </w:num>
  <w:num w:numId="43">
    <w:abstractNumId w:val="46"/>
  </w:num>
  <w:num w:numId="44">
    <w:abstractNumId w:val="20"/>
  </w:num>
  <w:num w:numId="45">
    <w:abstractNumId w:val="11"/>
  </w:num>
  <w:num w:numId="46">
    <w:abstractNumId w:val="35"/>
  </w:num>
  <w:num w:numId="47">
    <w:abstractNumId w:val="54"/>
  </w:num>
  <w:num w:numId="48">
    <w:abstractNumId w:val="40"/>
  </w:num>
  <w:num w:numId="49">
    <w:abstractNumId w:val="9"/>
  </w:num>
  <w:num w:numId="50">
    <w:abstractNumId w:val="15"/>
  </w:num>
  <w:num w:numId="51">
    <w:abstractNumId w:val="53"/>
  </w:num>
  <w:num w:numId="52">
    <w:abstractNumId w:val="3"/>
  </w:num>
  <w:num w:numId="53">
    <w:abstractNumId w:val="45"/>
  </w:num>
  <w:num w:numId="54">
    <w:abstractNumId w:val="7"/>
  </w:num>
  <w:num w:numId="55">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6AC"/>
    <w:rsid w:val="000006B9"/>
    <w:rsid w:val="000008E5"/>
    <w:rsid w:val="0000149F"/>
    <w:rsid w:val="000015EE"/>
    <w:rsid w:val="0000206A"/>
    <w:rsid w:val="000022D5"/>
    <w:rsid w:val="000025C1"/>
    <w:rsid w:val="00002731"/>
    <w:rsid w:val="00002981"/>
    <w:rsid w:val="000044A8"/>
    <w:rsid w:val="0000496F"/>
    <w:rsid w:val="00004B45"/>
    <w:rsid w:val="00004C6A"/>
    <w:rsid w:val="00005476"/>
    <w:rsid w:val="0000596E"/>
    <w:rsid w:val="00006964"/>
    <w:rsid w:val="0000738E"/>
    <w:rsid w:val="00007E43"/>
    <w:rsid w:val="000121CD"/>
    <w:rsid w:val="00012776"/>
    <w:rsid w:val="00012C49"/>
    <w:rsid w:val="00012D11"/>
    <w:rsid w:val="000136D4"/>
    <w:rsid w:val="00013730"/>
    <w:rsid w:val="0001379E"/>
    <w:rsid w:val="00013EB5"/>
    <w:rsid w:val="000148FF"/>
    <w:rsid w:val="00016D4A"/>
    <w:rsid w:val="0001760C"/>
    <w:rsid w:val="00020619"/>
    <w:rsid w:val="00020A1B"/>
    <w:rsid w:val="00020EA4"/>
    <w:rsid w:val="00021913"/>
    <w:rsid w:val="000224EC"/>
    <w:rsid w:val="00022562"/>
    <w:rsid w:val="00023836"/>
    <w:rsid w:val="00023852"/>
    <w:rsid w:val="0002394A"/>
    <w:rsid w:val="00023980"/>
    <w:rsid w:val="00023DD0"/>
    <w:rsid w:val="0002406E"/>
    <w:rsid w:val="000242A7"/>
    <w:rsid w:val="000247D5"/>
    <w:rsid w:val="00025AE6"/>
    <w:rsid w:val="00027E55"/>
    <w:rsid w:val="00030679"/>
    <w:rsid w:val="000331A1"/>
    <w:rsid w:val="000337A9"/>
    <w:rsid w:val="00033CA5"/>
    <w:rsid w:val="000344D4"/>
    <w:rsid w:val="000356A9"/>
    <w:rsid w:val="00036534"/>
    <w:rsid w:val="00037048"/>
    <w:rsid w:val="00040CBB"/>
    <w:rsid w:val="00044138"/>
    <w:rsid w:val="0004448A"/>
    <w:rsid w:val="00044739"/>
    <w:rsid w:val="0004566D"/>
    <w:rsid w:val="000457C2"/>
    <w:rsid w:val="000500C9"/>
    <w:rsid w:val="0005104A"/>
    <w:rsid w:val="00051637"/>
    <w:rsid w:val="000520CB"/>
    <w:rsid w:val="0005316C"/>
    <w:rsid w:val="000548CF"/>
    <w:rsid w:val="00054EA6"/>
    <w:rsid w:val="000553A7"/>
    <w:rsid w:val="00056681"/>
    <w:rsid w:val="0005690E"/>
    <w:rsid w:val="00057E2A"/>
    <w:rsid w:val="00057F5D"/>
    <w:rsid w:val="00060C86"/>
    <w:rsid w:val="00061CFB"/>
    <w:rsid w:val="00062703"/>
    <w:rsid w:val="000648A7"/>
    <w:rsid w:val="00065847"/>
    <w:rsid w:val="00065CD6"/>
    <w:rsid w:val="00065E03"/>
    <w:rsid w:val="0006618B"/>
    <w:rsid w:val="000670C0"/>
    <w:rsid w:val="000671DB"/>
    <w:rsid w:val="00067F13"/>
    <w:rsid w:val="00071B99"/>
    <w:rsid w:val="000747F9"/>
    <w:rsid w:val="00075117"/>
    <w:rsid w:val="000756E5"/>
    <w:rsid w:val="000761D3"/>
    <w:rsid w:val="00076873"/>
    <w:rsid w:val="0007704E"/>
    <w:rsid w:val="00077C49"/>
    <w:rsid w:val="00080C66"/>
    <w:rsid w:val="00080EC8"/>
    <w:rsid w:val="00082ABC"/>
    <w:rsid w:val="000832C9"/>
    <w:rsid w:val="0008391A"/>
    <w:rsid w:val="00084C54"/>
    <w:rsid w:val="00085E48"/>
    <w:rsid w:val="00086D4B"/>
    <w:rsid w:val="000871DF"/>
    <w:rsid w:val="00087882"/>
    <w:rsid w:val="00090CFD"/>
    <w:rsid w:val="00092900"/>
    <w:rsid w:val="00092DFA"/>
    <w:rsid w:val="00093C13"/>
    <w:rsid w:val="0009408C"/>
    <w:rsid w:val="00094258"/>
    <w:rsid w:val="000944AC"/>
    <w:rsid w:val="00094CB9"/>
    <w:rsid w:val="000956B2"/>
    <w:rsid w:val="0009678A"/>
    <w:rsid w:val="000969E7"/>
    <w:rsid w:val="00097209"/>
    <w:rsid w:val="000979C3"/>
    <w:rsid w:val="000A23DE"/>
    <w:rsid w:val="000A292C"/>
    <w:rsid w:val="000A3A02"/>
    <w:rsid w:val="000A4020"/>
    <w:rsid w:val="000A446A"/>
    <w:rsid w:val="000A7778"/>
    <w:rsid w:val="000A7A5E"/>
    <w:rsid w:val="000B0CED"/>
    <w:rsid w:val="000B1CEB"/>
    <w:rsid w:val="000B247E"/>
    <w:rsid w:val="000B415C"/>
    <w:rsid w:val="000B54FB"/>
    <w:rsid w:val="000B5ECB"/>
    <w:rsid w:val="000B5F94"/>
    <w:rsid w:val="000B641A"/>
    <w:rsid w:val="000B7834"/>
    <w:rsid w:val="000C028F"/>
    <w:rsid w:val="000C03FE"/>
    <w:rsid w:val="000C0C45"/>
    <w:rsid w:val="000C1C73"/>
    <w:rsid w:val="000C29B0"/>
    <w:rsid w:val="000C45AF"/>
    <w:rsid w:val="000C5256"/>
    <w:rsid w:val="000C59DF"/>
    <w:rsid w:val="000C76FC"/>
    <w:rsid w:val="000C77B1"/>
    <w:rsid w:val="000D1FF9"/>
    <w:rsid w:val="000D35A9"/>
    <w:rsid w:val="000D3602"/>
    <w:rsid w:val="000D38FC"/>
    <w:rsid w:val="000D3D88"/>
    <w:rsid w:val="000D4D90"/>
    <w:rsid w:val="000E2775"/>
    <w:rsid w:val="000E2D10"/>
    <w:rsid w:val="000E4295"/>
    <w:rsid w:val="000E4783"/>
    <w:rsid w:val="000E4EB6"/>
    <w:rsid w:val="000E5DD9"/>
    <w:rsid w:val="000E71A4"/>
    <w:rsid w:val="000E7A2A"/>
    <w:rsid w:val="000E7BAD"/>
    <w:rsid w:val="000E7F37"/>
    <w:rsid w:val="000E7F58"/>
    <w:rsid w:val="000F031C"/>
    <w:rsid w:val="000F0CAB"/>
    <w:rsid w:val="000F2AB0"/>
    <w:rsid w:val="000F317D"/>
    <w:rsid w:val="000F3204"/>
    <w:rsid w:val="000F3735"/>
    <w:rsid w:val="000F4A62"/>
    <w:rsid w:val="000F56DA"/>
    <w:rsid w:val="000F626D"/>
    <w:rsid w:val="000F6514"/>
    <w:rsid w:val="000F6AB5"/>
    <w:rsid w:val="00100788"/>
    <w:rsid w:val="001029EF"/>
    <w:rsid w:val="001034AE"/>
    <w:rsid w:val="0010548B"/>
    <w:rsid w:val="00105D7E"/>
    <w:rsid w:val="001072D1"/>
    <w:rsid w:val="00111EE3"/>
    <w:rsid w:val="00112038"/>
    <w:rsid w:val="00117017"/>
    <w:rsid w:val="001176C2"/>
    <w:rsid w:val="00117B93"/>
    <w:rsid w:val="001209C7"/>
    <w:rsid w:val="00120B7E"/>
    <w:rsid w:val="00121169"/>
    <w:rsid w:val="001222FA"/>
    <w:rsid w:val="001240AE"/>
    <w:rsid w:val="00124449"/>
    <w:rsid w:val="00125854"/>
    <w:rsid w:val="00126259"/>
    <w:rsid w:val="00126438"/>
    <w:rsid w:val="0012656F"/>
    <w:rsid w:val="001267F7"/>
    <w:rsid w:val="00130E8E"/>
    <w:rsid w:val="00131FEA"/>
    <w:rsid w:val="0013216E"/>
    <w:rsid w:val="001334B6"/>
    <w:rsid w:val="00133E66"/>
    <w:rsid w:val="001347DC"/>
    <w:rsid w:val="00134B47"/>
    <w:rsid w:val="00135502"/>
    <w:rsid w:val="00135F41"/>
    <w:rsid w:val="00137CB7"/>
    <w:rsid w:val="001401B5"/>
    <w:rsid w:val="00140A47"/>
    <w:rsid w:val="00140B5C"/>
    <w:rsid w:val="00141A26"/>
    <w:rsid w:val="001422B9"/>
    <w:rsid w:val="00143851"/>
    <w:rsid w:val="00143B33"/>
    <w:rsid w:val="001441B0"/>
    <w:rsid w:val="00144849"/>
    <w:rsid w:val="001451D5"/>
    <w:rsid w:val="00145D57"/>
    <w:rsid w:val="00145EF2"/>
    <w:rsid w:val="00145F5E"/>
    <w:rsid w:val="0014665F"/>
    <w:rsid w:val="0015339F"/>
    <w:rsid w:val="00153464"/>
    <w:rsid w:val="001541B3"/>
    <w:rsid w:val="001541EE"/>
    <w:rsid w:val="001558DB"/>
    <w:rsid w:val="00155A32"/>
    <w:rsid w:val="00155B15"/>
    <w:rsid w:val="00155FD6"/>
    <w:rsid w:val="00157445"/>
    <w:rsid w:val="001622AC"/>
    <w:rsid w:val="001625BE"/>
    <w:rsid w:val="001630A9"/>
    <w:rsid w:val="00163B0F"/>
    <w:rsid w:val="00164039"/>
    <w:rsid w:val="001643A4"/>
    <w:rsid w:val="001647C1"/>
    <w:rsid w:val="00164BA3"/>
    <w:rsid w:val="00165AAB"/>
    <w:rsid w:val="00166724"/>
    <w:rsid w:val="001701B0"/>
    <w:rsid w:val="00170DD8"/>
    <w:rsid w:val="001727BB"/>
    <w:rsid w:val="00172982"/>
    <w:rsid w:val="00172A5D"/>
    <w:rsid w:val="00172DE2"/>
    <w:rsid w:val="00174AFC"/>
    <w:rsid w:val="00176324"/>
    <w:rsid w:val="001768E2"/>
    <w:rsid w:val="00176E65"/>
    <w:rsid w:val="001777C9"/>
    <w:rsid w:val="00180D25"/>
    <w:rsid w:val="001816B3"/>
    <w:rsid w:val="00182243"/>
    <w:rsid w:val="001828CE"/>
    <w:rsid w:val="00182D66"/>
    <w:rsid w:val="0018318D"/>
    <w:rsid w:val="00183CA7"/>
    <w:rsid w:val="0018572C"/>
    <w:rsid w:val="00186F1A"/>
    <w:rsid w:val="0018747C"/>
    <w:rsid w:val="00187D6E"/>
    <w:rsid w:val="00187E79"/>
    <w:rsid w:val="00187F0D"/>
    <w:rsid w:val="00187F67"/>
    <w:rsid w:val="00190EA3"/>
    <w:rsid w:val="001910E0"/>
    <w:rsid w:val="0019141C"/>
    <w:rsid w:val="00192452"/>
    <w:rsid w:val="00192CC5"/>
    <w:rsid w:val="001936BC"/>
    <w:rsid w:val="00194770"/>
    <w:rsid w:val="001956A7"/>
    <w:rsid w:val="00197173"/>
    <w:rsid w:val="0019767E"/>
    <w:rsid w:val="001A02CC"/>
    <w:rsid w:val="001A03E4"/>
    <w:rsid w:val="001A118A"/>
    <w:rsid w:val="001A14D1"/>
    <w:rsid w:val="001A2128"/>
    <w:rsid w:val="001A27F4"/>
    <w:rsid w:val="001A2D95"/>
    <w:rsid w:val="001A3D6D"/>
    <w:rsid w:val="001A4D5E"/>
    <w:rsid w:val="001A57D9"/>
    <w:rsid w:val="001A6C3D"/>
    <w:rsid w:val="001A7774"/>
    <w:rsid w:val="001B114F"/>
    <w:rsid w:val="001B1325"/>
    <w:rsid w:val="001B16C4"/>
    <w:rsid w:val="001B1C21"/>
    <w:rsid w:val="001B2173"/>
    <w:rsid w:val="001B2AE6"/>
    <w:rsid w:val="001B3460"/>
    <w:rsid w:val="001B4078"/>
    <w:rsid w:val="001B44CC"/>
    <w:rsid w:val="001B4CA1"/>
    <w:rsid w:val="001B579B"/>
    <w:rsid w:val="001B6121"/>
    <w:rsid w:val="001B6978"/>
    <w:rsid w:val="001B7426"/>
    <w:rsid w:val="001B75D8"/>
    <w:rsid w:val="001C0148"/>
    <w:rsid w:val="001C0864"/>
    <w:rsid w:val="001C0D0D"/>
    <w:rsid w:val="001C1060"/>
    <w:rsid w:val="001C1641"/>
    <w:rsid w:val="001C1964"/>
    <w:rsid w:val="001C3442"/>
    <w:rsid w:val="001C3685"/>
    <w:rsid w:val="001C3C63"/>
    <w:rsid w:val="001C57D3"/>
    <w:rsid w:val="001C59B4"/>
    <w:rsid w:val="001C721F"/>
    <w:rsid w:val="001C7CD9"/>
    <w:rsid w:val="001D1ACE"/>
    <w:rsid w:val="001D2AAC"/>
    <w:rsid w:val="001D2CF8"/>
    <w:rsid w:val="001D3B6C"/>
    <w:rsid w:val="001D3ECB"/>
    <w:rsid w:val="001D4732"/>
    <w:rsid w:val="001D4D02"/>
    <w:rsid w:val="001D61F3"/>
    <w:rsid w:val="001D62C2"/>
    <w:rsid w:val="001D6A3C"/>
    <w:rsid w:val="001D6D51"/>
    <w:rsid w:val="001D7AE8"/>
    <w:rsid w:val="001E2110"/>
    <w:rsid w:val="001E342F"/>
    <w:rsid w:val="001E3EBF"/>
    <w:rsid w:val="001E44AF"/>
    <w:rsid w:val="001E5FBE"/>
    <w:rsid w:val="001E6769"/>
    <w:rsid w:val="001F02F8"/>
    <w:rsid w:val="001F161D"/>
    <w:rsid w:val="001F20C7"/>
    <w:rsid w:val="001F22EA"/>
    <w:rsid w:val="001F52F2"/>
    <w:rsid w:val="001F5B30"/>
    <w:rsid w:val="001F636B"/>
    <w:rsid w:val="001F6393"/>
    <w:rsid w:val="001F653A"/>
    <w:rsid w:val="001F6979"/>
    <w:rsid w:val="001F743C"/>
    <w:rsid w:val="001F7932"/>
    <w:rsid w:val="00200A58"/>
    <w:rsid w:val="002024C3"/>
    <w:rsid w:val="00202BC6"/>
    <w:rsid w:val="002032CF"/>
    <w:rsid w:val="00203824"/>
    <w:rsid w:val="00204F1F"/>
    <w:rsid w:val="00205141"/>
    <w:rsid w:val="0020516B"/>
    <w:rsid w:val="0020619D"/>
    <w:rsid w:val="002105F3"/>
    <w:rsid w:val="00212174"/>
    <w:rsid w:val="00213559"/>
    <w:rsid w:val="00213B02"/>
    <w:rsid w:val="00213D25"/>
    <w:rsid w:val="00213E53"/>
    <w:rsid w:val="00213EFD"/>
    <w:rsid w:val="00215FDC"/>
    <w:rsid w:val="00216FE3"/>
    <w:rsid w:val="00217159"/>
    <w:rsid w:val="002172F1"/>
    <w:rsid w:val="002214E0"/>
    <w:rsid w:val="00222399"/>
    <w:rsid w:val="00223773"/>
    <w:rsid w:val="002239FF"/>
    <w:rsid w:val="00223C7B"/>
    <w:rsid w:val="00224AB1"/>
    <w:rsid w:val="0022600D"/>
    <w:rsid w:val="0022687A"/>
    <w:rsid w:val="002271DB"/>
    <w:rsid w:val="00230728"/>
    <w:rsid w:val="00230A64"/>
    <w:rsid w:val="00233236"/>
    <w:rsid w:val="00233C2C"/>
    <w:rsid w:val="00234040"/>
    <w:rsid w:val="00235CD2"/>
    <w:rsid w:val="002374E4"/>
    <w:rsid w:val="00237587"/>
    <w:rsid w:val="0024024F"/>
    <w:rsid w:val="00240634"/>
    <w:rsid w:val="00240A1D"/>
    <w:rsid w:val="0024340D"/>
    <w:rsid w:val="00243435"/>
    <w:rsid w:val="00251DAC"/>
    <w:rsid w:val="00254DED"/>
    <w:rsid w:val="00254F36"/>
    <w:rsid w:val="00255619"/>
    <w:rsid w:val="0025570D"/>
    <w:rsid w:val="00255DAD"/>
    <w:rsid w:val="00256108"/>
    <w:rsid w:val="0026060E"/>
    <w:rsid w:val="00260F33"/>
    <w:rsid w:val="002613BD"/>
    <w:rsid w:val="0026182F"/>
    <w:rsid w:val="002624F1"/>
    <w:rsid w:val="0026659F"/>
    <w:rsid w:val="002675AC"/>
    <w:rsid w:val="00267BC8"/>
    <w:rsid w:val="00270AAC"/>
    <w:rsid w:val="00270C81"/>
    <w:rsid w:val="0027110E"/>
    <w:rsid w:val="00271558"/>
    <w:rsid w:val="00273914"/>
    <w:rsid w:val="0027478D"/>
    <w:rsid w:val="00274862"/>
    <w:rsid w:val="00275096"/>
    <w:rsid w:val="002753D4"/>
    <w:rsid w:val="002753E2"/>
    <w:rsid w:val="0027725C"/>
    <w:rsid w:val="002806F2"/>
    <w:rsid w:val="00282D72"/>
    <w:rsid w:val="00283402"/>
    <w:rsid w:val="00283DD4"/>
    <w:rsid w:val="002843DE"/>
    <w:rsid w:val="002847A0"/>
    <w:rsid w:val="00284FFD"/>
    <w:rsid w:val="0028581D"/>
    <w:rsid w:val="00286667"/>
    <w:rsid w:val="0028688A"/>
    <w:rsid w:val="002868EB"/>
    <w:rsid w:val="002878B1"/>
    <w:rsid w:val="00290743"/>
    <w:rsid w:val="00290FD6"/>
    <w:rsid w:val="00291E7D"/>
    <w:rsid w:val="00293D42"/>
    <w:rsid w:val="00294259"/>
    <w:rsid w:val="00294BB0"/>
    <w:rsid w:val="002A06FF"/>
    <w:rsid w:val="002A098E"/>
    <w:rsid w:val="002A0DF7"/>
    <w:rsid w:val="002A2C81"/>
    <w:rsid w:val="002A4E46"/>
    <w:rsid w:val="002A513E"/>
    <w:rsid w:val="002A7400"/>
    <w:rsid w:val="002A7853"/>
    <w:rsid w:val="002B0529"/>
    <w:rsid w:val="002B0A62"/>
    <w:rsid w:val="002B14BE"/>
    <w:rsid w:val="002B30A1"/>
    <w:rsid w:val="002B3D1A"/>
    <w:rsid w:val="002B3EE9"/>
    <w:rsid w:val="002B43F6"/>
    <w:rsid w:val="002B6EC2"/>
    <w:rsid w:val="002C27D0"/>
    <w:rsid w:val="002C2C9B"/>
    <w:rsid w:val="002C6060"/>
    <w:rsid w:val="002C6FD6"/>
    <w:rsid w:val="002C7AD8"/>
    <w:rsid w:val="002D048F"/>
    <w:rsid w:val="002D177B"/>
    <w:rsid w:val="002D17D6"/>
    <w:rsid w:val="002D18D7"/>
    <w:rsid w:val="002D21CE"/>
    <w:rsid w:val="002D3F73"/>
    <w:rsid w:val="002D417E"/>
    <w:rsid w:val="002D42F6"/>
    <w:rsid w:val="002D4A72"/>
    <w:rsid w:val="002D5491"/>
    <w:rsid w:val="002D657E"/>
    <w:rsid w:val="002D6F2A"/>
    <w:rsid w:val="002E1CFA"/>
    <w:rsid w:val="002E2244"/>
    <w:rsid w:val="002E28A7"/>
    <w:rsid w:val="002E3DA3"/>
    <w:rsid w:val="002E450F"/>
    <w:rsid w:val="002E47EB"/>
    <w:rsid w:val="002E591D"/>
    <w:rsid w:val="002E5F40"/>
    <w:rsid w:val="002E6B38"/>
    <w:rsid w:val="002E6D63"/>
    <w:rsid w:val="002E6E2B"/>
    <w:rsid w:val="002F0232"/>
    <w:rsid w:val="002F2D49"/>
    <w:rsid w:val="002F4644"/>
    <w:rsid w:val="002F500B"/>
    <w:rsid w:val="002F6A0A"/>
    <w:rsid w:val="002F797F"/>
    <w:rsid w:val="002F7B34"/>
    <w:rsid w:val="00300991"/>
    <w:rsid w:val="00300C2A"/>
    <w:rsid w:val="00301207"/>
    <w:rsid w:val="00301959"/>
    <w:rsid w:val="003020D3"/>
    <w:rsid w:val="00302CE0"/>
    <w:rsid w:val="00303A4D"/>
    <w:rsid w:val="00305B8A"/>
    <w:rsid w:val="00310B9E"/>
    <w:rsid w:val="00310BC4"/>
    <w:rsid w:val="003119D9"/>
    <w:rsid w:val="00312D65"/>
    <w:rsid w:val="00312DD8"/>
    <w:rsid w:val="00313598"/>
    <w:rsid w:val="00314F80"/>
    <w:rsid w:val="003165A8"/>
    <w:rsid w:val="00316B88"/>
    <w:rsid w:val="00317145"/>
    <w:rsid w:val="003171F4"/>
    <w:rsid w:val="0031778F"/>
    <w:rsid w:val="003208C6"/>
    <w:rsid w:val="0032091A"/>
    <w:rsid w:val="003215B0"/>
    <w:rsid w:val="00321894"/>
    <w:rsid w:val="00324792"/>
    <w:rsid w:val="00324975"/>
    <w:rsid w:val="00325728"/>
    <w:rsid w:val="00326AE4"/>
    <w:rsid w:val="00326ED6"/>
    <w:rsid w:val="00331BF9"/>
    <w:rsid w:val="0033355A"/>
    <w:rsid w:val="00333A4B"/>
    <w:rsid w:val="003340A4"/>
    <w:rsid w:val="0033495E"/>
    <w:rsid w:val="00334A79"/>
    <w:rsid w:val="00334BA8"/>
    <w:rsid w:val="00334C58"/>
    <w:rsid w:val="00334C70"/>
    <w:rsid w:val="00334D8D"/>
    <w:rsid w:val="00334E84"/>
    <w:rsid w:val="003351CC"/>
    <w:rsid w:val="00337345"/>
    <w:rsid w:val="0033752A"/>
    <w:rsid w:val="00337A19"/>
    <w:rsid w:val="00337A1D"/>
    <w:rsid w:val="00337DD2"/>
    <w:rsid w:val="00337E1D"/>
    <w:rsid w:val="003404D1"/>
    <w:rsid w:val="003407B1"/>
    <w:rsid w:val="0034095C"/>
    <w:rsid w:val="00341BD3"/>
    <w:rsid w:val="00342B2F"/>
    <w:rsid w:val="00343CE2"/>
    <w:rsid w:val="003443FF"/>
    <w:rsid w:val="003463F6"/>
    <w:rsid w:val="00347B5C"/>
    <w:rsid w:val="00347C05"/>
    <w:rsid w:val="00347F7A"/>
    <w:rsid w:val="00351CAC"/>
    <w:rsid w:val="00352F32"/>
    <w:rsid w:val="00353822"/>
    <w:rsid w:val="00353E4E"/>
    <w:rsid w:val="00354AF5"/>
    <w:rsid w:val="003550EF"/>
    <w:rsid w:val="0035548A"/>
    <w:rsid w:val="00355808"/>
    <w:rsid w:val="00355F18"/>
    <w:rsid w:val="00356A15"/>
    <w:rsid w:val="00356D7C"/>
    <w:rsid w:val="00357714"/>
    <w:rsid w:val="0036249A"/>
    <w:rsid w:val="00362C7E"/>
    <w:rsid w:val="00363309"/>
    <w:rsid w:val="00363601"/>
    <w:rsid w:val="003639A7"/>
    <w:rsid w:val="00364542"/>
    <w:rsid w:val="00364BE4"/>
    <w:rsid w:val="00364D85"/>
    <w:rsid w:val="0036756A"/>
    <w:rsid w:val="00370397"/>
    <w:rsid w:val="003703A9"/>
    <w:rsid w:val="00370B8F"/>
    <w:rsid w:val="00371A71"/>
    <w:rsid w:val="00374178"/>
    <w:rsid w:val="00374B58"/>
    <w:rsid w:val="00375703"/>
    <w:rsid w:val="0037594A"/>
    <w:rsid w:val="00376AC9"/>
    <w:rsid w:val="0037743C"/>
    <w:rsid w:val="00381CC1"/>
    <w:rsid w:val="003823DB"/>
    <w:rsid w:val="00382B2A"/>
    <w:rsid w:val="00382C83"/>
    <w:rsid w:val="00384B81"/>
    <w:rsid w:val="0039057B"/>
    <w:rsid w:val="0039104D"/>
    <w:rsid w:val="00392FDB"/>
    <w:rsid w:val="00393032"/>
    <w:rsid w:val="003932C7"/>
    <w:rsid w:val="00394304"/>
    <w:rsid w:val="0039490F"/>
    <w:rsid w:val="00394B69"/>
    <w:rsid w:val="003968C1"/>
    <w:rsid w:val="00396C16"/>
    <w:rsid w:val="00397078"/>
    <w:rsid w:val="003976F6"/>
    <w:rsid w:val="003A04CC"/>
    <w:rsid w:val="003A05B0"/>
    <w:rsid w:val="003A120D"/>
    <w:rsid w:val="003A1628"/>
    <w:rsid w:val="003A1C08"/>
    <w:rsid w:val="003A236C"/>
    <w:rsid w:val="003A320A"/>
    <w:rsid w:val="003A4030"/>
    <w:rsid w:val="003A6750"/>
    <w:rsid w:val="003A6953"/>
    <w:rsid w:val="003A7129"/>
    <w:rsid w:val="003A7722"/>
    <w:rsid w:val="003A7EB0"/>
    <w:rsid w:val="003B03A3"/>
    <w:rsid w:val="003B0E27"/>
    <w:rsid w:val="003B2433"/>
    <w:rsid w:val="003B43DB"/>
    <w:rsid w:val="003B6083"/>
    <w:rsid w:val="003B7415"/>
    <w:rsid w:val="003B788A"/>
    <w:rsid w:val="003C234B"/>
    <w:rsid w:val="003C27ED"/>
    <w:rsid w:val="003C3838"/>
    <w:rsid w:val="003C4980"/>
    <w:rsid w:val="003C4B57"/>
    <w:rsid w:val="003C5847"/>
    <w:rsid w:val="003C5F94"/>
    <w:rsid w:val="003C63AD"/>
    <w:rsid w:val="003C647E"/>
    <w:rsid w:val="003C74A1"/>
    <w:rsid w:val="003C767F"/>
    <w:rsid w:val="003D0681"/>
    <w:rsid w:val="003D12F6"/>
    <w:rsid w:val="003D1426"/>
    <w:rsid w:val="003D1BD9"/>
    <w:rsid w:val="003D23BA"/>
    <w:rsid w:val="003D4AC2"/>
    <w:rsid w:val="003D539F"/>
    <w:rsid w:val="003D66BD"/>
    <w:rsid w:val="003D7A3C"/>
    <w:rsid w:val="003D7C2B"/>
    <w:rsid w:val="003D7D23"/>
    <w:rsid w:val="003E211A"/>
    <w:rsid w:val="003E2F4E"/>
    <w:rsid w:val="003E3AF7"/>
    <w:rsid w:val="003E3F98"/>
    <w:rsid w:val="003E465C"/>
    <w:rsid w:val="003E49EE"/>
    <w:rsid w:val="003E720A"/>
    <w:rsid w:val="003E730E"/>
    <w:rsid w:val="003E7E0B"/>
    <w:rsid w:val="003F0267"/>
    <w:rsid w:val="003F086B"/>
    <w:rsid w:val="003F08C2"/>
    <w:rsid w:val="003F1EB8"/>
    <w:rsid w:val="003F452B"/>
    <w:rsid w:val="003F48A1"/>
    <w:rsid w:val="003F57C5"/>
    <w:rsid w:val="003F6397"/>
    <w:rsid w:val="003F73C8"/>
    <w:rsid w:val="003F7520"/>
    <w:rsid w:val="00401091"/>
    <w:rsid w:val="00401195"/>
    <w:rsid w:val="004013EA"/>
    <w:rsid w:val="00401DE2"/>
    <w:rsid w:val="004038F3"/>
    <w:rsid w:val="00403A22"/>
    <w:rsid w:val="00403C2C"/>
    <w:rsid w:val="00403E6E"/>
    <w:rsid w:val="00405B80"/>
    <w:rsid w:val="00406597"/>
    <w:rsid w:val="00407ACE"/>
    <w:rsid w:val="00407E4B"/>
    <w:rsid w:val="00410BE8"/>
    <w:rsid w:val="0041117D"/>
    <w:rsid w:val="004129B4"/>
    <w:rsid w:val="00413153"/>
    <w:rsid w:val="0041396E"/>
    <w:rsid w:val="00414E3E"/>
    <w:rsid w:val="00416ABB"/>
    <w:rsid w:val="00417187"/>
    <w:rsid w:val="004171CC"/>
    <w:rsid w:val="00417EF0"/>
    <w:rsid w:val="00422181"/>
    <w:rsid w:val="0042317D"/>
    <w:rsid w:val="004231F0"/>
    <w:rsid w:val="004244A8"/>
    <w:rsid w:val="00424888"/>
    <w:rsid w:val="00424FAF"/>
    <w:rsid w:val="00425F72"/>
    <w:rsid w:val="00427736"/>
    <w:rsid w:val="00427C03"/>
    <w:rsid w:val="00430146"/>
    <w:rsid w:val="004307D0"/>
    <w:rsid w:val="0043091F"/>
    <w:rsid w:val="0043193B"/>
    <w:rsid w:val="00431A2F"/>
    <w:rsid w:val="00433114"/>
    <w:rsid w:val="004355E0"/>
    <w:rsid w:val="00437C56"/>
    <w:rsid w:val="004407A1"/>
    <w:rsid w:val="00440ABA"/>
    <w:rsid w:val="00441787"/>
    <w:rsid w:val="004417FA"/>
    <w:rsid w:val="00443119"/>
    <w:rsid w:val="004431FB"/>
    <w:rsid w:val="00444E02"/>
    <w:rsid w:val="00444F2D"/>
    <w:rsid w:val="00445007"/>
    <w:rsid w:val="00445441"/>
    <w:rsid w:val="00445687"/>
    <w:rsid w:val="00446C14"/>
    <w:rsid w:val="00447EA7"/>
    <w:rsid w:val="004519E5"/>
    <w:rsid w:val="00452034"/>
    <w:rsid w:val="00453B0D"/>
    <w:rsid w:val="00455FA6"/>
    <w:rsid w:val="0045657E"/>
    <w:rsid w:val="00456F2D"/>
    <w:rsid w:val="004571EC"/>
    <w:rsid w:val="00457D4F"/>
    <w:rsid w:val="00462001"/>
    <w:rsid w:val="0046498D"/>
    <w:rsid w:val="00465F98"/>
    <w:rsid w:val="00466C70"/>
    <w:rsid w:val="00467AEE"/>
    <w:rsid w:val="004702C9"/>
    <w:rsid w:val="00470604"/>
    <w:rsid w:val="00471D17"/>
    <w:rsid w:val="0047283D"/>
    <w:rsid w:val="00472885"/>
    <w:rsid w:val="00472E45"/>
    <w:rsid w:val="00473BBC"/>
    <w:rsid w:val="00473FEA"/>
    <w:rsid w:val="00474DD0"/>
    <w:rsid w:val="0047579D"/>
    <w:rsid w:val="00475B75"/>
    <w:rsid w:val="00480519"/>
    <w:rsid w:val="004831B2"/>
    <w:rsid w:val="00483262"/>
    <w:rsid w:val="00484107"/>
    <w:rsid w:val="00484364"/>
    <w:rsid w:val="00485CC5"/>
    <w:rsid w:val="00486DBE"/>
    <w:rsid w:val="0048707F"/>
    <w:rsid w:val="00487573"/>
    <w:rsid w:val="00492789"/>
    <w:rsid w:val="004933FE"/>
    <w:rsid w:val="0049343F"/>
    <w:rsid w:val="00494C85"/>
    <w:rsid w:val="004957A2"/>
    <w:rsid w:val="004964FC"/>
    <w:rsid w:val="00496D27"/>
    <w:rsid w:val="00496E5E"/>
    <w:rsid w:val="004A0AC5"/>
    <w:rsid w:val="004A145E"/>
    <w:rsid w:val="004A1A7A"/>
    <w:rsid w:val="004A1F15"/>
    <w:rsid w:val="004A2A81"/>
    <w:rsid w:val="004A4F5C"/>
    <w:rsid w:val="004A78F4"/>
    <w:rsid w:val="004A7BD7"/>
    <w:rsid w:val="004B24AD"/>
    <w:rsid w:val="004B36CC"/>
    <w:rsid w:val="004B3FCB"/>
    <w:rsid w:val="004B4238"/>
    <w:rsid w:val="004B580F"/>
    <w:rsid w:val="004B670D"/>
    <w:rsid w:val="004B6D89"/>
    <w:rsid w:val="004B7035"/>
    <w:rsid w:val="004B72D8"/>
    <w:rsid w:val="004C15C2"/>
    <w:rsid w:val="004C215C"/>
    <w:rsid w:val="004C3158"/>
    <w:rsid w:val="004C36D8"/>
    <w:rsid w:val="004C389D"/>
    <w:rsid w:val="004C3A73"/>
    <w:rsid w:val="004C4E55"/>
    <w:rsid w:val="004C5BC7"/>
    <w:rsid w:val="004C5E66"/>
    <w:rsid w:val="004C6A0C"/>
    <w:rsid w:val="004C6EC6"/>
    <w:rsid w:val="004C73BB"/>
    <w:rsid w:val="004C78B3"/>
    <w:rsid w:val="004D0C79"/>
    <w:rsid w:val="004D1248"/>
    <w:rsid w:val="004D1E3C"/>
    <w:rsid w:val="004D4169"/>
    <w:rsid w:val="004D4B6F"/>
    <w:rsid w:val="004D5275"/>
    <w:rsid w:val="004D6BE5"/>
    <w:rsid w:val="004D6E14"/>
    <w:rsid w:val="004D75A3"/>
    <w:rsid w:val="004E19E2"/>
    <w:rsid w:val="004E2C33"/>
    <w:rsid w:val="004E3E9A"/>
    <w:rsid w:val="004E4325"/>
    <w:rsid w:val="004E49DA"/>
    <w:rsid w:val="004E4EE0"/>
    <w:rsid w:val="004E5014"/>
    <w:rsid w:val="004E681A"/>
    <w:rsid w:val="004E796F"/>
    <w:rsid w:val="004E7D26"/>
    <w:rsid w:val="004F0D13"/>
    <w:rsid w:val="004F11E7"/>
    <w:rsid w:val="004F1844"/>
    <w:rsid w:val="004F224C"/>
    <w:rsid w:val="004F2C23"/>
    <w:rsid w:val="004F41B7"/>
    <w:rsid w:val="004F4E17"/>
    <w:rsid w:val="004F5266"/>
    <w:rsid w:val="004F528A"/>
    <w:rsid w:val="004F55E6"/>
    <w:rsid w:val="004F635D"/>
    <w:rsid w:val="004F69D2"/>
    <w:rsid w:val="004F6E5B"/>
    <w:rsid w:val="004F7A2D"/>
    <w:rsid w:val="0050082F"/>
    <w:rsid w:val="00500C56"/>
    <w:rsid w:val="00500F7A"/>
    <w:rsid w:val="00501713"/>
    <w:rsid w:val="00501C32"/>
    <w:rsid w:val="005025F2"/>
    <w:rsid w:val="005042F6"/>
    <w:rsid w:val="00506568"/>
    <w:rsid w:val="005073F3"/>
    <w:rsid w:val="00510C02"/>
    <w:rsid w:val="005115D8"/>
    <w:rsid w:val="00514272"/>
    <w:rsid w:val="00515165"/>
    <w:rsid w:val="0051551B"/>
    <w:rsid w:val="00515676"/>
    <w:rsid w:val="0051572E"/>
    <w:rsid w:val="00516586"/>
    <w:rsid w:val="00520C57"/>
    <w:rsid w:val="00521230"/>
    <w:rsid w:val="00522D94"/>
    <w:rsid w:val="00523E49"/>
    <w:rsid w:val="0052448B"/>
    <w:rsid w:val="00525380"/>
    <w:rsid w:val="0052638B"/>
    <w:rsid w:val="00527086"/>
    <w:rsid w:val="00527983"/>
    <w:rsid w:val="00530029"/>
    <w:rsid w:val="00530D38"/>
    <w:rsid w:val="00532539"/>
    <w:rsid w:val="005332B3"/>
    <w:rsid w:val="00533938"/>
    <w:rsid w:val="00533D89"/>
    <w:rsid w:val="00534677"/>
    <w:rsid w:val="005346DF"/>
    <w:rsid w:val="00534761"/>
    <w:rsid w:val="005349B1"/>
    <w:rsid w:val="0053577B"/>
    <w:rsid w:val="00536564"/>
    <w:rsid w:val="00537028"/>
    <w:rsid w:val="005374EA"/>
    <w:rsid w:val="005377EF"/>
    <w:rsid w:val="00537CC2"/>
    <w:rsid w:val="00540440"/>
    <w:rsid w:val="0054059E"/>
    <w:rsid w:val="00543154"/>
    <w:rsid w:val="00544597"/>
    <w:rsid w:val="00544FFE"/>
    <w:rsid w:val="005473F5"/>
    <w:rsid w:val="005477E7"/>
    <w:rsid w:val="00550184"/>
    <w:rsid w:val="00551C37"/>
    <w:rsid w:val="00552794"/>
    <w:rsid w:val="005545FA"/>
    <w:rsid w:val="00555388"/>
    <w:rsid w:val="00555877"/>
    <w:rsid w:val="00555C78"/>
    <w:rsid w:val="00556F1F"/>
    <w:rsid w:val="00557E1B"/>
    <w:rsid w:val="00562153"/>
    <w:rsid w:val="0056268F"/>
    <w:rsid w:val="0056270E"/>
    <w:rsid w:val="00562E8B"/>
    <w:rsid w:val="00563199"/>
    <w:rsid w:val="00563605"/>
    <w:rsid w:val="005636BE"/>
    <w:rsid w:val="00564874"/>
    <w:rsid w:val="0056544F"/>
    <w:rsid w:val="005654B5"/>
    <w:rsid w:val="0056656F"/>
    <w:rsid w:val="00566B77"/>
    <w:rsid w:val="00567963"/>
    <w:rsid w:val="0057009A"/>
    <w:rsid w:val="00570FE5"/>
    <w:rsid w:val="00571260"/>
    <w:rsid w:val="0057189C"/>
    <w:rsid w:val="005721C8"/>
    <w:rsid w:val="005736BF"/>
    <w:rsid w:val="00573FC1"/>
    <w:rsid w:val="005741EE"/>
    <w:rsid w:val="00575444"/>
    <w:rsid w:val="00575493"/>
    <w:rsid w:val="00575792"/>
    <w:rsid w:val="005763E4"/>
    <w:rsid w:val="0057668E"/>
    <w:rsid w:val="005767B7"/>
    <w:rsid w:val="005771A3"/>
    <w:rsid w:val="005775AD"/>
    <w:rsid w:val="00580027"/>
    <w:rsid w:val="005807D4"/>
    <w:rsid w:val="0058138C"/>
    <w:rsid w:val="00581CF2"/>
    <w:rsid w:val="00582BBE"/>
    <w:rsid w:val="00582F06"/>
    <w:rsid w:val="00583823"/>
    <w:rsid w:val="005853DF"/>
    <w:rsid w:val="00586851"/>
    <w:rsid w:val="0059038C"/>
    <w:rsid w:val="005924C1"/>
    <w:rsid w:val="00594736"/>
    <w:rsid w:val="00594919"/>
    <w:rsid w:val="00594CAD"/>
    <w:rsid w:val="00595E83"/>
    <w:rsid w:val="00595F9B"/>
    <w:rsid w:val="00596530"/>
    <w:rsid w:val="005967F3"/>
    <w:rsid w:val="00596F0E"/>
    <w:rsid w:val="005A06DF"/>
    <w:rsid w:val="005A122B"/>
    <w:rsid w:val="005A1269"/>
    <w:rsid w:val="005A2AFE"/>
    <w:rsid w:val="005A3547"/>
    <w:rsid w:val="005A5286"/>
    <w:rsid w:val="005A5527"/>
    <w:rsid w:val="005A5AE6"/>
    <w:rsid w:val="005A6833"/>
    <w:rsid w:val="005A6A91"/>
    <w:rsid w:val="005B06C7"/>
    <w:rsid w:val="005B1206"/>
    <w:rsid w:val="005B2996"/>
    <w:rsid w:val="005B2DB1"/>
    <w:rsid w:val="005B3593"/>
    <w:rsid w:val="005B375C"/>
    <w:rsid w:val="005B37E8"/>
    <w:rsid w:val="005B4075"/>
    <w:rsid w:val="005B4388"/>
    <w:rsid w:val="005B4824"/>
    <w:rsid w:val="005B51A8"/>
    <w:rsid w:val="005B5CD9"/>
    <w:rsid w:val="005C0056"/>
    <w:rsid w:val="005C1D76"/>
    <w:rsid w:val="005C45EB"/>
    <w:rsid w:val="005C4CF5"/>
    <w:rsid w:val="005C4E2D"/>
    <w:rsid w:val="005C5E9E"/>
    <w:rsid w:val="005C6E5B"/>
    <w:rsid w:val="005C72D8"/>
    <w:rsid w:val="005C775C"/>
    <w:rsid w:val="005D0F25"/>
    <w:rsid w:val="005D18C9"/>
    <w:rsid w:val="005D1A71"/>
    <w:rsid w:val="005D24A9"/>
    <w:rsid w:val="005D3D15"/>
    <w:rsid w:val="005D5DAC"/>
    <w:rsid w:val="005D61D6"/>
    <w:rsid w:val="005D6467"/>
    <w:rsid w:val="005D6C66"/>
    <w:rsid w:val="005D6D71"/>
    <w:rsid w:val="005E08A2"/>
    <w:rsid w:val="005E0D13"/>
    <w:rsid w:val="005E15FF"/>
    <w:rsid w:val="005E174F"/>
    <w:rsid w:val="005E3B12"/>
    <w:rsid w:val="005E447C"/>
    <w:rsid w:val="005E4E65"/>
    <w:rsid w:val="005E5047"/>
    <w:rsid w:val="005E5BEF"/>
    <w:rsid w:val="005E7205"/>
    <w:rsid w:val="005E7371"/>
    <w:rsid w:val="005E7890"/>
    <w:rsid w:val="005E7D47"/>
    <w:rsid w:val="005F03F7"/>
    <w:rsid w:val="005F0D0F"/>
    <w:rsid w:val="005F116C"/>
    <w:rsid w:val="005F18A4"/>
    <w:rsid w:val="005F1A8E"/>
    <w:rsid w:val="005F2131"/>
    <w:rsid w:val="005F24AA"/>
    <w:rsid w:val="005F2E7C"/>
    <w:rsid w:val="005F397A"/>
    <w:rsid w:val="005F45E6"/>
    <w:rsid w:val="005F6BA6"/>
    <w:rsid w:val="005F7921"/>
    <w:rsid w:val="00601147"/>
    <w:rsid w:val="006020EA"/>
    <w:rsid w:val="006022CB"/>
    <w:rsid w:val="006029B2"/>
    <w:rsid w:val="00604139"/>
    <w:rsid w:val="006042D5"/>
    <w:rsid w:val="00604B30"/>
    <w:rsid w:val="00605184"/>
    <w:rsid w:val="006052F2"/>
    <w:rsid w:val="00605B37"/>
    <w:rsid w:val="00605C82"/>
    <w:rsid w:val="00605EF6"/>
    <w:rsid w:val="00606455"/>
    <w:rsid w:val="00607356"/>
    <w:rsid w:val="00607B93"/>
    <w:rsid w:val="0061376C"/>
    <w:rsid w:val="00613DB9"/>
    <w:rsid w:val="00614929"/>
    <w:rsid w:val="00616372"/>
    <w:rsid w:val="00616511"/>
    <w:rsid w:val="006176ED"/>
    <w:rsid w:val="006202F3"/>
    <w:rsid w:val="006207EC"/>
    <w:rsid w:val="0062097A"/>
    <w:rsid w:val="00621DA6"/>
    <w:rsid w:val="006236D5"/>
    <w:rsid w:val="00623CFE"/>
    <w:rsid w:val="00625E31"/>
    <w:rsid w:val="00627221"/>
    <w:rsid w:val="00627EE8"/>
    <w:rsid w:val="00630671"/>
    <w:rsid w:val="00630D4A"/>
    <w:rsid w:val="00630ED1"/>
    <w:rsid w:val="006316FA"/>
    <w:rsid w:val="00632DC1"/>
    <w:rsid w:val="00633F06"/>
    <w:rsid w:val="00634AAE"/>
    <w:rsid w:val="00635B1A"/>
    <w:rsid w:val="0063641E"/>
    <w:rsid w:val="00636AD7"/>
    <w:rsid w:val="00636EFA"/>
    <w:rsid w:val="006370D2"/>
    <w:rsid w:val="0064074F"/>
    <w:rsid w:val="0064084A"/>
    <w:rsid w:val="00641F55"/>
    <w:rsid w:val="006458F7"/>
    <w:rsid w:val="00645E4A"/>
    <w:rsid w:val="00652482"/>
    <w:rsid w:val="00653688"/>
    <w:rsid w:val="006536AB"/>
    <w:rsid w:val="00653E1B"/>
    <w:rsid w:val="00654BDE"/>
    <w:rsid w:val="00654C6D"/>
    <w:rsid w:val="00655CF4"/>
    <w:rsid w:val="006563FC"/>
    <w:rsid w:val="00656D15"/>
    <w:rsid w:val="00656D33"/>
    <w:rsid w:val="00657ED3"/>
    <w:rsid w:val="0066091B"/>
    <w:rsid w:val="00661AA0"/>
    <w:rsid w:val="00663EC1"/>
    <w:rsid w:val="006649A0"/>
    <w:rsid w:val="00664F5A"/>
    <w:rsid w:val="00665D7C"/>
    <w:rsid w:val="00666074"/>
    <w:rsid w:val="006660E9"/>
    <w:rsid w:val="00667249"/>
    <w:rsid w:val="00667558"/>
    <w:rsid w:val="006708B2"/>
    <w:rsid w:val="00671523"/>
    <w:rsid w:val="0067331D"/>
    <w:rsid w:val="00674217"/>
    <w:rsid w:val="006754EF"/>
    <w:rsid w:val="00675A1E"/>
    <w:rsid w:val="00675FC2"/>
    <w:rsid w:val="00676C8D"/>
    <w:rsid w:val="00676F1F"/>
    <w:rsid w:val="00677381"/>
    <w:rsid w:val="00677414"/>
    <w:rsid w:val="006804AB"/>
    <w:rsid w:val="00680D1A"/>
    <w:rsid w:val="00681A08"/>
    <w:rsid w:val="00681A58"/>
    <w:rsid w:val="00681BB9"/>
    <w:rsid w:val="00681CAF"/>
    <w:rsid w:val="006824C4"/>
    <w:rsid w:val="006832CF"/>
    <w:rsid w:val="0068601E"/>
    <w:rsid w:val="006863D0"/>
    <w:rsid w:val="00690D8C"/>
    <w:rsid w:val="006935DA"/>
    <w:rsid w:val="00693A3F"/>
    <w:rsid w:val="0069486B"/>
    <w:rsid w:val="00696592"/>
    <w:rsid w:val="006A0C30"/>
    <w:rsid w:val="006A394F"/>
    <w:rsid w:val="006A467E"/>
    <w:rsid w:val="006A4904"/>
    <w:rsid w:val="006A51A4"/>
    <w:rsid w:val="006A548F"/>
    <w:rsid w:val="006A5CA9"/>
    <w:rsid w:val="006A6299"/>
    <w:rsid w:val="006A6BEF"/>
    <w:rsid w:val="006A701A"/>
    <w:rsid w:val="006A7BAC"/>
    <w:rsid w:val="006B04D3"/>
    <w:rsid w:val="006B0DA8"/>
    <w:rsid w:val="006B0FB4"/>
    <w:rsid w:val="006B317D"/>
    <w:rsid w:val="006B35EC"/>
    <w:rsid w:val="006B3657"/>
    <w:rsid w:val="006B6495"/>
    <w:rsid w:val="006B64DC"/>
    <w:rsid w:val="006B65D0"/>
    <w:rsid w:val="006B7A91"/>
    <w:rsid w:val="006B7D6A"/>
    <w:rsid w:val="006C0019"/>
    <w:rsid w:val="006C09E1"/>
    <w:rsid w:val="006C11B6"/>
    <w:rsid w:val="006C1E9D"/>
    <w:rsid w:val="006C3914"/>
    <w:rsid w:val="006C3F31"/>
    <w:rsid w:val="006C4346"/>
    <w:rsid w:val="006C46DA"/>
    <w:rsid w:val="006C7561"/>
    <w:rsid w:val="006C7590"/>
    <w:rsid w:val="006C7D9C"/>
    <w:rsid w:val="006D075D"/>
    <w:rsid w:val="006D0E1E"/>
    <w:rsid w:val="006D1111"/>
    <w:rsid w:val="006D1620"/>
    <w:rsid w:val="006D1A12"/>
    <w:rsid w:val="006D3D79"/>
    <w:rsid w:val="006D4704"/>
    <w:rsid w:val="006D4B5D"/>
    <w:rsid w:val="006D4F72"/>
    <w:rsid w:val="006D5230"/>
    <w:rsid w:val="006D6A2D"/>
    <w:rsid w:val="006E1E18"/>
    <w:rsid w:val="006E2955"/>
    <w:rsid w:val="006E31CE"/>
    <w:rsid w:val="006E34D3"/>
    <w:rsid w:val="006E4597"/>
    <w:rsid w:val="006E48F4"/>
    <w:rsid w:val="006E4D2B"/>
    <w:rsid w:val="006E5153"/>
    <w:rsid w:val="006E556E"/>
    <w:rsid w:val="006E74CC"/>
    <w:rsid w:val="006F1435"/>
    <w:rsid w:val="006F2814"/>
    <w:rsid w:val="006F3215"/>
    <w:rsid w:val="006F5EBA"/>
    <w:rsid w:val="006F70ED"/>
    <w:rsid w:val="006F78C4"/>
    <w:rsid w:val="006F7FE2"/>
    <w:rsid w:val="007001E0"/>
    <w:rsid w:val="007024B3"/>
    <w:rsid w:val="00702B5E"/>
    <w:rsid w:val="00702CA9"/>
    <w:rsid w:val="00702F10"/>
    <w:rsid w:val="007031A0"/>
    <w:rsid w:val="00703573"/>
    <w:rsid w:val="00703D68"/>
    <w:rsid w:val="00704A78"/>
    <w:rsid w:val="00705A29"/>
    <w:rsid w:val="00705E00"/>
    <w:rsid w:val="00706249"/>
    <w:rsid w:val="00706384"/>
    <w:rsid w:val="007066E8"/>
    <w:rsid w:val="00707498"/>
    <w:rsid w:val="00710C26"/>
    <w:rsid w:val="00711A65"/>
    <w:rsid w:val="00712B14"/>
    <w:rsid w:val="00713B8F"/>
    <w:rsid w:val="00713E8F"/>
    <w:rsid w:val="00714133"/>
    <w:rsid w:val="007143D9"/>
    <w:rsid w:val="00714DA4"/>
    <w:rsid w:val="007156DC"/>
    <w:rsid w:val="007158B2"/>
    <w:rsid w:val="00715DB8"/>
    <w:rsid w:val="00716081"/>
    <w:rsid w:val="00720C7B"/>
    <w:rsid w:val="00722944"/>
    <w:rsid w:val="00722B48"/>
    <w:rsid w:val="007231C0"/>
    <w:rsid w:val="00723662"/>
    <w:rsid w:val="00723A3A"/>
    <w:rsid w:val="00724164"/>
    <w:rsid w:val="007242CB"/>
    <w:rsid w:val="007244D1"/>
    <w:rsid w:val="00725DE7"/>
    <w:rsid w:val="007260BA"/>
    <w:rsid w:val="00726322"/>
    <w:rsid w:val="0072636A"/>
    <w:rsid w:val="007266D4"/>
    <w:rsid w:val="00726B44"/>
    <w:rsid w:val="00726D66"/>
    <w:rsid w:val="00727324"/>
    <w:rsid w:val="00727348"/>
    <w:rsid w:val="007318DD"/>
    <w:rsid w:val="00732FF9"/>
    <w:rsid w:val="00733167"/>
    <w:rsid w:val="007335CA"/>
    <w:rsid w:val="00734218"/>
    <w:rsid w:val="00734AFC"/>
    <w:rsid w:val="00734F64"/>
    <w:rsid w:val="00737AEE"/>
    <w:rsid w:val="007408E8"/>
    <w:rsid w:val="00740D2C"/>
    <w:rsid w:val="00742228"/>
    <w:rsid w:val="00742998"/>
    <w:rsid w:val="00742DAD"/>
    <w:rsid w:val="0074428F"/>
    <w:rsid w:val="007449AF"/>
    <w:rsid w:val="00744BF9"/>
    <w:rsid w:val="00745FE3"/>
    <w:rsid w:val="0074605C"/>
    <w:rsid w:val="0074653A"/>
    <w:rsid w:val="007474ED"/>
    <w:rsid w:val="007500CB"/>
    <w:rsid w:val="00752623"/>
    <w:rsid w:val="00753070"/>
    <w:rsid w:val="0075344A"/>
    <w:rsid w:val="0075555E"/>
    <w:rsid w:val="007572DB"/>
    <w:rsid w:val="0075768A"/>
    <w:rsid w:val="00757BD9"/>
    <w:rsid w:val="00760F1F"/>
    <w:rsid w:val="00761983"/>
    <w:rsid w:val="00762533"/>
    <w:rsid w:val="00762A6A"/>
    <w:rsid w:val="007633AE"/>
    <w:rsid w:val="00764155"/>
    <w:rsid w:val="00764235"/>
    <w:rsid w:val="0076423E"/>
    <w:rsid w:val="007646CB"/>
    <w:rsid w:val="00765476"/>
    <w:rsid w:val="00765B69"/>
    <w:rsid w:val="0076658F"/>
    <w:rsid w:val="007674E3"/>
    <w:rsid w:val="007678E4"/>
    <w:rsid w:val="00770023"/>
    <w:rsid w:val="0077040A"/>
    <w:rsid w:val="00772D64"/>
    <w:rsid w:val="0077383B"/>
    <w:rsid w:val="00774478"/>
    <w:rsid w:val="00774C75"/>
    <w:rsid w:val="00774F09"/>
    <w:rsid w:val="0077562F"/>
    <w:rsid w:val="007808BC"/>
    <w:rsid w:val="00781511"/>
    <w:rsid w:val="00781B7D"/>
    <w:rsid w:val="00782175"/>
    <w:rsid w:val="00783186"/>
    <w:rsid w:val="00783664"/>
    <w:rsid w:val="00783F47"/>
    <w:rsid w:val="0078411E"/>
    <w:rsid w:val="00785115"/>
    <w:rsid w:val="00785A02"/>
    <w:rsid w:val="00786D2A"/>
    <w:rsid w:val="00790669"/>
    <w:rsid w:val="00790D2C"/>
    <w:rsid w:val="007922DE"/>
    <w:rsid w:val="00792609"/>
    <w:rsid w:val="00792887"/>
    <w:rsid w:val="00794101"/>
    <w:rsid w:val="007943E2"/>
    <w:rsid w:val="00794F2C"/>
    <w:rsid w:val="00795A73"/>
    <w:rsid w:val="007A0136"/>
    <w:rsid w:val="007A2509"/>
    <w:rsid w:val="007A2AD7"/>
    <w:rsid w:val="007A2E8E"/>
    <w:rsid w:val="007A3BC7"/>
    <w:rsid w:val="007A4FFD"/>
    <w:rsid w:val="007A5AC4"/>
    <w:rsid w:val="007A5CBE"/>
    <w:rsid w:val="007A6AF7"/>
    <w:rsid w:val="007A6B16"/>
    <w:rsid w:val="007A7322"/>
    <w:rsid w:val="007A7FA0"/>
    <w:rsid w:val="007B0B64"/>
    <w:rsid w:val="007B0E41"/>
    <w:rsid w:val="007B0FDD"/>
    <w:rsid w:val="007B2543"/>
    <w:rsid w:val="007B4802"/>
    <w:rsid w:val="007B511E"/>
    <w:rsid w:val="007B6668"/>
    <w:rsid w:val="007B6B33"/>
    <w:rsid w:val="007B74EA"/>
    <w:rsid w:val="007B7D4E"/>
    <w:rsid w:val="007C0F14"/>
    <w:rsid w:val="007C1BF0"/>
    <w:rsid w:val="007C1CE0"/>
    <w:rsid w:val="007C1E04"/>
    <w:rsid w:val="007C1E82"/>
    <w:rsid w:val="007C2701"/>
    <w:rsid w:val="007C300E"/>
    <w:rsid w:val="007C324E"/>
    <w:rsid w:val="007C59C0"/>
    <w:rsid w:val="007C6385"/>
    <w:rsid w:val="007C6CCC"/>
    <w:rsid w:val="007C7A7D"/>
    <w:rsid w:val="007D2192"/>
    <w:rsid w:val="007D4578"/>
    <w:rsid w:val="007D6FFD"/>
    <w:rsid w:val="007D7A78"/>
    <w:rsid w:val="007E0096"/>
    <w:rsid w:val="007E075B"/>
    <w:rsid w:val="007E0798"/>
    <w:rsid w:val="007E210F"/>
    <w:rsid w:val="007E2986"/>
    <w:rsid w:val="007E2BFD"/>
    <w:rsid w:val="007E3B84"/>
    <w:rsid w:val="007E4070"/>
    <w:rsid w:val="007E5775"/>
    <w:rsid w:val="007E58FF"/>
    <w:rsid w:val="007E6AA4"/>
    <w:rsid w:val="007F0021"/>
    <w:rsid w:val="007F0B44"/>
    <w:rsid w:val="007F11BF"/>
    <w:rsid w:val="007F159F"/>
    <w:rsid w:val="007F2361"/>
    <w:rsid w:val="007F2F52"/>
    <w:rsid w:val="007F4D42"/>
    <w:rsid w:val="007F4D66"/>
    <w:rsid w:val="007F5619"/>
    <w:rsid w:val="007F5A92"/>
    <w:rsid w:val="007F7097"/>
    <w:rsid w:val="0080062A"/>
    <w:rsid w:val="00800CBF"/>
    <w:rsid w:val="00801F71"/>
    <w:rsid w:val="00804765"/>
    <w:rsid w:val="00804C6F"/>
    <w:rsid w:val="00805216"/>
    <w:rsid w:val="00805F28"/>
    <w:rsid w:val="0080749F"/>
    <w:rsid w:val="00807A01"/>
    <w:rsid w:val="00811D46"/>
    <w:rsid w:val="0081250D"/>
    <w:rsid w:val="008125B0"/>
    <w:rsid w:val="00812CCB"/>
    <w:rsid w:val="008144CB"/>
    <w:rsid w:val="00814EAC"/>
    <w:rsid w:val="00815407"/>
    <w:rsid w:val="0081669D"/>
    <w:rsid w:val="00817D15"/>
    <w:rsid w:val="00821717"/>
    <w:rsid w:val="0082204E"/>
    <w:rsid w:val="00822DFF"/>
    <w:rsid w:val="00823545"/>
    <w:rsid w:val="00824210"/>
    <w:rsid w:val="008247DC"/>
    <w:rsid w:val="0082490D"/>
    <w:rsid w:val="0082508F"/>
    <w:rsid w:val="008263C0"/>
    <w:rsid w:val="00826A9C"/>
    <w:rsid w:val="00826B45"/>
    <w:rsid w:val="008306F6"/>
    <w:rsid w:val="00830897"/>
    <w:rsid w:val="00831523"/>
    <w:rsid w:val="008337B4"/>
    <w:rsid w:val="00834DB4"/>
    <w:rsid w:val="008353C2"/>
    <w:rsid w:val="008400C7"/>
    <w:rsid w:val="00841422"/>
    <w:rsid w:val="008419AD"/>
    <w:rsid w:val="00841D3B"/>
    <w:rsid w:val="008424B6"/>
    <w:rsid w:val="0084314C"/>
    <w:rsid w:val="00843171"/>
    <w:rsid w:val="0084331A"/>
    <w:rsid w:val="008447B4"/>
    <w:rsid w:val="00845390"/>
    <w:rsid w:val="00845AB3"/>
    <w:rsid w:val="008460C3"/>
    <w:rsid w:val="00850653"/>
    <w:rsid w:val="0085083B"/>
    <w:rsid w:val="00851A61"/>
    <w:rsid w:val="008536B6"/>
    <w:rsid w:val="008575C3"/>
    <w:rsid w:val="00857C75"/>
    <w:rsid w:val="008604D5"/>
    <w:rsid w:val="008623EA"/>
    <w:rsid w:val="008624E9"/>
    <w:rsid w:val="00863D28"/>
    <w:rsid w:val="0086458C"/>
    <w:rsid w:val="008648C3"/>
    <w:rsid w:val="00865C72"/>
    <w:rsid w:val="00867168"/>
    <w:rsid w:val="0086793D"/>
    <w:rsid w:val="008703FA"/>
    <w:rsid w:val="0087069B"/>
    <w:rsid w:val="008722A2"/>
    <w:rsid w:val="008725BE"/>
    <w:rsid w:val="00873039"/>
    <w:rsid w:val="0087530D"/>
    <w:rsid w:val="00875AFD"/>
    <w:rsid w:val="008767C3"/>
    <w:rsid w:val="00876B3D"/>
    <w:rsid w:val="00876CE3"/>
    <w:rsid w:val="0087727C"/>
    <w:rsid w:val="008775DD"/>
    <w:rsid w:val="0087793F"/>
    <w:rsid w:val="00880F26"/>
    <w:rsid w:val="00881751"/>
    <w:rsid w:val="00881D97"/>
    <w:rsid w:val="008869DE"/>
    <w:rsid w:val="008870C1"/>
    <w:rsid w:val="008872D9"/>
    <w:rsid w:val="00891F82"/>
    <w:rsid w:val="00892B47"/>
    <w:rsid w:val="00896427"/>
    <w:rsid w:val="00896C2E"/>
    <w:rsid w:val="00896E42"/>
    <w:rsid w:val="00897659"/>
    <w:rsid w:val="008A02DB"/>
    <w:rsid w:val="008A0493"/>
    <w:rsid w:val="008A1A99"/>
    <w:rsid w:val="008A27A2"/>
    <w:rsid w:val="008A34AA"/>
    <w:rsid w:val="008A374E"/>
    <w:rsid w:val="008A5095"/>
    <w:rsid w:val="008A608F"/>
    <w:rsid w:val="008B0880"/>
    <w:rsid w:val="008B0E88"/>
    <w:rsid w:val="008B10ED"/>
    <w:rsid w:val="008B1A9A"/>
    <w:rsid w:val="008B1CFA"/>
    <w:rsid w:val="008B2A66"/>
    <w:rsid w:val="008B2C3E"/>
    <w:rsid w:val="008B4617"/>
    <w:rsid w:val="008B4725"/>
    <w:rsid w:val="008B48A1"/>
    <w:rsid w:val="008B4FE6"/>
    <w:rsid w:val="008B53F3"/>
    <w:rsid w:val="008B5861"/>
    <w:rsid w:val="008B5B0F"/>
    <w:rsid w:val="008B5F8B"/>
    <w:rsid w:val="008B63E6"/>
    <w:rsid w:val="008B6C37"/>
    <w:rsid w:val="008B6E32"/>
    <w:rsid w:val="008B74EB"/>
    <w:rsid w:val="008B771E"/>
    <w:rsid w:val="008C3DED"/>
    <w:rsid w:val="008C4FD7"/>
    <w:rsid w:val="008C52F6"/>
    <w:rsid w:val="008C64D9"/>
    <w:rsid w:val="008C65A5"/>
    <w:rsid w:val="008D0089"/>
    <w:rsid w:val="008D050C"/>
    <w:rsid w:val="008D07C7"/>
    <w:rsid w:val="008D40A0"/>
    <w:rsid w:val="008D42DD"/>
    <w:rsid w:val="008D74B5"/>
    <w:rsid w:val="008E07A4"/>
    <w:rsid w:val="008E18F7"/>
    <w:rsid w:val="008E1E10"/>
    <w:rsid w:val="008E1F8B"/>
    <w:rsid w:val="008E28C9"/>
    <w:rsid w:val="008E291B"/>
    <w:rsid w:val="008E2CB3"/>
    <w:rsid w:val="008E358B"/>
    <w:rsid w:val="008E3D3F"/>
    <w:rsid w:val="008E4157"/>
    <w:rsid w:val="008E4F2F"/>
    <w:rsid w:val="008E6D03"/>
    <w:rsid w:val="008E6D33"/>
    <w:rsid w:val="008E74B0"/>
    <w:rsid w:val="008F1380"/>
    <w:rsid w:val="008F1AB8"/>
    <w:rsid w:val="008F329D"/>
    <w:rsid w:val="008F495E"/>
    <w:rsid w:val="008F56F1"/>
    <w:rsid w:val="008F79B2"/>
    <w:rsid w:val="009000F4"/>
    <w:rsid w:val="009008A8"/>
    <w:rsid w:val="00901BCB"/>
    <w:rsid w:val="009055C3"/>
    <w:rsid w:val="009063B0"/>
    <w:rsid w:val="00906DE7"/>
    <w:rsid w:val="00907106"/>
    <w:rsid w:val="009107FD"/>
    <w:rsid w:val="0091137C"/>
    <w:rsid w:val="00911567"/>
    <w:rsid w:val="00911E96"/>
    <w:rsid w:val="00912F31"/>
    <w:rsid w:val="00913C23"/>
    <w:rsid w:val="0091440C"/>
    <w:rsid w:val="00914F5B"/>
    <w:rsid w:val="0091616F"/>
    <w:rsid w:val="00916618"/>
    <w:rsid w:val="0091791B"/>
    <w:rsid w:val="00917AAE"/>
    <w:rsid w:val="00917BF1"/>
    <w:rsid w:val="0092124B"/>
    <w:rsid w:val="009228AA"/>
    <w:rsid w:val="009251A9"/>
    <w:rsid w:val="00925668"/>
    <w:rsid w:val="009269EE"/>
    <w:rsid w:val="00927CD9"/>
    <w:rsid w:val="00927D73"/>
    <w:rsid w:val="0093003E"/>
    <w:rsid w:val="00930699"/>
    <w:rsid w:val="00931F69"/>
    <w:rsid w:val="00932488"/>
    <w:rsid w:val="0093253B"/>
    <w:rsid w:val="00934123"/>
    <w:rsid w:val="00936BC8"/>
    <w:rsid w:val="009423D5"/>
    <w:rsid w:val="00944277"/>
    <w:rsid w:val="0094623F"/>
    <w:rsid w:val="009465A3"/>
    <w:rsid w:val="00947747"/>
    <w:rsid w:val="00952559"/>
    <w:rsid w:val="00953B25"/>
    <w:rsid w:val="00955774"/>
    <w:rsid w:val="009558BE"/>
    <w:rsid w:val="009560B5"/>
    <w:rsid w:val="00956D95"/>
    <w:rsid w:val="00957372"/>
    <w:rsid w:val="00957444"/>
    <w:rsid w:val="009603B5"/>
    <w:rsid w:val="00961A10"/>
    <w:rsid w:val="0096246C"/>
    <w:rsid w:val="009625AC"/>
    <w:rsid w:val="00962EB0"/>
    <w:rsid w:val="00962FD8"/>
    <w:rsid w:val="00963154"/>
    <w:rsid w:val="009632B5"/>
    <w:rsid w:val="009641A0"/>
    <w:rsid w:val="00964B0B"/>
    <w:rsid w:val="00965137"/>
    <w:rsid w:val="009652A9"/>
    <w:rsid w:val="00965455"/>
    <w:rsid w:val="00965648"/>
    <w:rsid w:val="00965B8B"/>
    <w:rsid w:val="00966687"/>
    <w:rsid w:val="0096724C"/>
    <w:rsid w:val="009672FC"/>
    <w:rsid w:val="009703D6"/>
    <w:rsid w:val="0097169F"/>
    <w:rsid w:val="0097181B"/>
    <w:rsid w:val="00971BD3"/>
    <w:rsid w:val="009747A8"/>
    <w:rsid w:val="0097668A"/>
    <w:rsid w:val="00976DC5"/>
    <w:rsid w:val="009818C7"/>
    <w:rsid w:val="00981B9A"/>
    <w:rsid w:val="00981BE5"/>
    <w:rsid w:val="009827FB"/>
    <w:rsid w:val="009829D7"/>
    <w:rsid w:val="00982A2E"/>
    <w:rsid w:val="00982DD4"/>
    <w:rsid w:val="00983862"/>
    <w:rsid w:val="009841E5"/>
    <w:rsid w:val="0098479F"/>
    <w:rsid w:val="00984A8A"/>
    <w:rsid w:val="00984EC7"/>
    <w:rsid w:val="009857B6"/>
    <w:rsid w:val="00985A8D"/>
    <w:rsid w:val="00986610"/>
    <w:rsid w:val="009869A8"/>
    <w:rsid w:val="009877DC"/>
    <w:rsid w:val="00987C4E"/>
    <w:rsid w:val="00990AC4"/>
    <w:rsid w:val="00990FA8"/>
    <w:rsid w:val="00991120"/>
    <w:rsid w:val="00991F96"/>
    <w:rsid w:val="00992927"/>
    <w:rsid w:val="00993BB8"/>
    <w:rsid w:val="00995AE7"/>
    <w:rsid w:val="00996F0A"/>
    <w:rsid w:val="00997D8D"/>
    <w:rsid w:val="009A1B6F"/>
    <w:rsid w:val="009A1D86"/>
    <w:rsid w:val="009A5418"/>
    <w:rsid w:val="009A7B8F"/>
    <w:rsid w:val="009B049C"/>
    <w:rsid w:val="009B0AC3"/>
    <w:rsid w:val="009B0C63"/>
    <w:rsid w:val="009B0DAD"/>
    <w:rsid w:val="009B0DC5"/>
    <w:rsid w:val="009B11C8"/>
    <w:rsid w:val="009B2036"/>
    <w:rsid w:val="009B2BCF"/>
    <w:rsid w:val="009B2FF8"/>
    <w:rsid w:val="009B480A"/>
    <w:rsid w:val="009B5BA3"/>
    <w:rsid w:val="009B5D0D"/>
    <w:rsid w:val="009B691F"/>
    <w:rsid w:val="009C0671"/>
    <w:rsid w:val="009C0CA5"/>
    <w:rsid w:val="009C1C4B"/>
    <w:rsid w:val="009C2517"/>
    <w:rsid w:val="009C3094"/>
    <w:rsid w:val="009C41A9"/>
    <w:rsid w:val="009C5AA0"/>
    <w:rsid w:val="009C63D0"/>
    <w:rsid w:val="009C6B3A"/>
    <w:rsid w:val="009D0027"/>
    <w:rsid w:val="009D0465"/>
    <w:rsid w:val="009D0655"/>
    <w:rsid w:val="009D1D9B"/>
    <w:rsid w:val="009D3942"/>
    <w:rsid w:val="009D3D11"/>
    <w:rsid w:val="009D5A19"/>
    <w:rsid w:val="009D6741"/>
    <w:rsid w:val="009D727C"/>
    <w:rsid w:val="009E0AC2"/>
    <w:rsid w:val="009E0C11"/>
    <w:rsid w:val="009E1E98"/>
    <w:rsid w:val="009E2612"/>
    <w:rsid w:val="009E2F75"/>
    <w:rsid w:val="009E34CD"/>
    <w:rsid w:val="009E3ABE"/>
    <w:rsid w:val="009E3C4B"/>
    <w:rsid w:val="009E4445"/>
    <w:rsid w:val="009E4BE5"/>
    <w:rsid w:val="009E56C4"/>
    <w:rsid w:val="009F0637"/>
    <w:rsid w:val="009F0963"/>
    <w:rsid w:val="009F1019"/>
    <w:rsid w:val="009F25F1"/>
    <w:rsid w:val="009F3326"/>
    <w:rsid w:val="009F621D"/>
    <w:rsid w:val="009F62A6"/>
    <w:rsid w:val="009F674F"/>
    <w:rsid w:val="009F6C29"/>
    <w:rsid w:val="009F7638"/>
    <w:rsid w:val="009F799E"/>
    <w:rsid w:val="009F7D90"/>
    <w:rsid w:val="00A00241"/>
    <w:rsid w:val="00A02020"/>
    <w:rsid w:val="00A03553"/>
    <w:rsid w:val="00A0521B"/>
    <w:rsid w:val="00A056CB"/>
    <w:rsid w:val="00A05F55"/>
    <w:rsid w:val="00A07783"/>
    <w:rsid w:val="00A07A29"/>
    <w:rsid w:val="00A1007D"/>
    <w:rsid w:val="00A106C0"/>
    <w:rsid w:val="00A10E27"/>
    <w:rsid w:val="00A10EFB"/>
    <w:rsid w:val="00A10FF1"/>
    <w:rsid w:val="00A11425"/>
    <w:rsid w:val="00A117AD"/>
    <w:rsid w:val="00A1355C"/>
    <w:rsid w:val="00A136FC"/>
    <w:rsid w:val="00A1506B"/>
    <w:rsid w:val="00A1528B"/>
    <w:rsid w:val="00A15290"/>
    <w:rsid w:val="00A15510"/>
    <w:rsid w:val="00A1637C"/>
    <w:rsid w:val="00A163EE"/>
    <w:rsid w:val="00A1641C"/>
    <w:rsid w:val="00A16978"/>
    <w:rsid w:val="00A17CB2"/>
    <w:rsid w:val="00A21A85"/>
    <w:rsid w:val="00A22F25"/>
    <w:rsid w:val="00A22F6A"/>
    <w:rsid w:val="00A23191"/>
    <w:rsid w:val="00A238C5"/>
    <w:rsid w:val="00A26358"/>
    <w:rsid w:val="00A26C01"/>
    <w:rsid w:val="00A27235"/>
    <w:rsid w:val="00A2772D"/>
    <w:rsid w:val="00A30D76"/>
    <w:rsid w:val="00A31821"/>
    <w:rsid w:val="00A319C0"/>
    <w:rsid w:val="00A32EB9"/>
    <w:rsid w:val="00A33560"/>
    <w:rsid w:val="00A345A1"/>
    <w:rsid w:val="00A34972"/>
    <w:rsid w:val="00A364E4"/>
    <w:rsid w:val="00A371A5"/>
    <w:rsid w:val="00A4009A"/>
    <w:rsid w:val="00A404F5"/>
    <w:rsid w:val="00A41E0C"/>
    <w:rsid w:val="00A420CA"/>
    <w:rsid w:val="00A4267D"/>
    <w:rsid w:val="00A45332"/>
    <w:rsid w:val="00A458C9"/>
    <w:rsid w:val="00A473E5"/>
    <w:rsid w:val="00A47BDF"/>
    <w:rsid w:val="00A5127D"/>
    <w:rsid w:val="00A51CD7"/>
    <w:rsid w:val="00A52ADB"/>
    <w:rsid w:val="00A52E2D"/>
    <w:rsid w:val="00A533E8"/>
    <w:rsid w:val="00A542D9"/>
    <w:rsid w:val="00A551C6"/>
    <w:rsid w:val="00A5542A"/>
    <w:rsid w:val="00A55DA0"/>
    <w:rsid w:val="00A55F51"/>
    <w:rsid w:val="00A56631"/>
    <w:rsid w:val="00A56E64"/>
    <w:rsid w:val="00A570CD"/>
    <w:rsid w:val="00A60C7C"/>
    <w:rsid w:val="00A624C3"/>
    <w:rsid w:val="00A627BB"/>
    <w:rsid w:val="00A637DC"/>
    <w:rsid w:val="00A643DD"/>
    <w:rsid w:val="00A6641C"/>
    <w:rsid w:val="00A66ADC"/>
    <w:rsid w:val="00A66D75"/>
    <w:rsid w:val="00A674B5"/>
    <w:rsid w:val="00A70351"/>
    <w:rsid w:val="00A72292"/>
    <w:rsid w:val="00A7251B"/>
    <w:rsid w:val="00A731D1"/>
    <w:rsid w:val="00A73314"/>
    <w:rsid w:val="00A73E10"/>
    <w:rsid w:val="00A748B6"/>
    <w:rsid w:val="00A74F76"/>
    <w:rsid w:val="00A750B5"/>
    <w:rsid w:val="00A75467"/>
    <w:rsid w:val="00A762D0"/>
    <w:rsid w:val="00A767D2"/>
    <w:rsid w:val="00A77616"/>
    <w:rsid w:val="00A805DA"/>
    <w:rsid w:val="00A808D5"/>
    <w:rsid w:val="00A80A8A"/>
    <w:rsid w:val="00A80F3A"/>
    <w:rsid w:val="00A811B4"/>
    <w:rsid w:val="00A811CB"/>
    <w:rsid w:val="00A818FD"/>
    <w:rsid w:val="00A81B7B"/>
    <w:rsid w:val="00A81E39"/>
    <w:rsid w:val="00A825FD"/>
    <w:rsid w:val="00A82D95"/>
    <w:rsid w:val="00A835D3"/>
    <w:rsid w:val="00A84C5E"/>
    <w:rsid w:val="00A84D6C"/>
    <w:rsid w:val="00A856BC"/>
    <w:rsid w:val="00A87979"/>
    <w:rsid w:val="00A879C4"/>
    <w:rsid w:val="00A87CDE"/>
    <w:rsid w:val="00A913D0"/>
    <w:rsid w:val="00A91700"/>
    <w:rsid w:val="00A92945"/>
    <w:rsid w:val="00A92BAF"/>
    <w:rsid w:val="00A94737"/>
    <w:rsid w:val="00A94BA3"/>
    <w:rsid w:val="00A953D6"/>
    <w:rsid w:val="00A961F1"/>
    <w:rsid w:val="00A9649B"/>
    <w:rsid w:val="00A96571"/>
    <w:rsid w:val="00A96B6E"/>
    <w:rsid w:val="00A96CBA"/>
    <w:rsid w:val="00AA08B4"/>
    <w:rsid w:val="00AA0F5D"/>
    <w:rsid w:val="00AA1CD3"/>
    <w:rsid w:val="00AA2392"/>
    <w:rsid w:val="00AA3A28"/>
    <w:rsid w:val="00AA4156"/>
    <w:rsid w:val="00AA4B56"/>
    <w:rsid w:val="00AA520D"/>
    <w:rsid w:val="00AA5CCE"/>
    <w:rsid w:val="00AA6443"/>
    <w:rsid w:val="00AA6A9C"/>
    <w:rsid w:val="00AB1110"/>
    <w:rsid w:val="00AB1ACD"/>
    <w:rsid w:val="00AB1E04"/>
    <w:rsid w:val="00AB21E9"/>
    <w:rsid w:val="00AB277F"/>
    <w:rsid w:val="00AB4099"/>
    <w:rsid w:val="00AB42E6"/>
    <w:rsid w:val="00AB449A"/>
    <w:rsid w:val="00AB4502"/>
    <w:rsid w:val="00AB4EFF"/>
    <w:rsid w:val="00AB672D"/>
    <w:rsid w:val="00AB7427"/>
    <w:rsid w:val="00AC0498"/>
    <w:rsid w:val="00AC1773"/>
    <w:rsid w:val="00AC18F9"/>
    <w:rsid w:val="00AC29C4"/>
    <w:rsid w:val="00AC46DC"/>
    <w:rsid w:val="00AC5085"/>
    <w:rsid w:val="00AC53A6"/>
    <w:rsid w:val="00AC6196"/>
    <w:rsid w:val="00AC72E8"/>
    <w:rsid w:val="00AD14F9"/>
    <w:rsid w:val="00AD1DD6"/>
    <w:rsid w:val="00AD28F7"/>
    <w:rsid w:val="00AD2F56"/>
    <w:rsid w:val="00AD35D6"/>
    <w:rsid w:val="00AD398C"/>
    <w:rsid w:val="00AD58C5"/>
    <w:rsid w:val="00AD7FA8"/>
    <w:rsid w:val="00AE0039"/>
    <w:rsid w:val="00AE3074"/>
    <w:rsid w:val="00AE31B6"/>
    <w:rsid w:val="00AE36C4"/>
    <w:rsid w:val="00AE3E03"/>
    <w:rsid w:val="00AE472C"/>
    <w:rsid w:val="00AE4899"/>
    <w:rsid w:val="00AE5375"/>
    <w:rsid w:val="00AE5969"/>
    <w:rsid w:val="00AE6CF8"/>
    <w:rsid w:val="00AE766D"/>
    <w:rsid w:val="00AF0742"/>
    <w:rsid w:val="00AF20C6"/>
    <w:rsid w:val="00AF2806"/>
    <w:rsid w:val="00AF2ECF"/>
    <w:rsid w:val="00AF4CAC"/>
    <w:rsid w:val="00AF5537"/>
    <w:rsid w:val="00AF6813"/>
    <w:rsid w:val="00AF6DFB"/>
    <w:rsid w:val="00AF7CBA"/>
    <w:rsid w:val="00AF7D89"/>
    <w:rsid w:val="00AF7F1F"/>
    <w:rsid w:val="00B0002E"/>
    <w:rsid w:val="00B003C1"/>
    <w:rsid w:val="00B015F6"/>
    <w:rsid w:val="00B030BB"/>
    <w:rsid w:val="00B03A49"/>
    <w:rsid w:val="00B03E0D"/>
    <w:rsid w:val="00B04EEC"/>
    <w:rsid w:val="00B054F8"/>
    <w:rsid w:val="00B05693"/>
    <w:rsid w:val="00B07354"/>
    <w:rsid w:val="00B12D73"/>
    <w:rsid w:val="00B13D51"/>
    <w:rsid w:val="00B17CDF"/>
    <w:rsid w:val="00B20B93"/>
    <w:rsid w:val="00B21759"/>
    <w:rsid w:val="00B2219A"/>
    <w:rsid w:val="00B226F2"/>
    <w:rsid w:val="00B23861"/>
    <w:rsid w:val="00B23BFA"/>
    <w:rsid w:val="00B2453F"/>
    <w:rsid w:val="00B26081"/>
    <w:rsid w:val="00B3035F"/>
    <w:rsid w:val="00B30EEB"/>
    <w:rsid w:val="00B3209C"/>
    <w:rsid w:val="00B331A8"/>
    <w:rsid w:val="00B340F5"/>
    <w:rsid w:val="00B3581B"/>
    <w:rsid w:val="00B35BF5"/>
    <w:rsid w:val="00B36B81"/>
    <w:rsid w:val="00B36FEE"/>
    <w:rsid w:val="00B37C80"/>
    <w:rsid w:val="00B40521"/>
    <w:rsid w:val="00B406D6"/>
    <w:rsid w:val="00B41E61"/>
    <w:rsid w:val="00B44A3E"/>
    <w:rsid w:val="00B46202"/>
    <w:rsid w:val="00B46318"/>
    <w:rsid w:val="00B468EC"/>
    <w:rsid w:val="00B47683"/>
    <w:rsid w:val="00B5092B"/>
    <w:rsid w:val="00B5194E"/>
    <w:rsid w:val="00B51AF5"/>
    <w:rsid w:val="00B527C7"/>
    <w:rsid w:val="00B531FC"/>
    <w:rsid w:val="00B54C21"/>
    <w:rsid w:val="00B54D43"/>
    <w:rsid w:val="00B55347"/>
    <w:rsid w:val="00B55996"/>
    <w:rsid w:val="00B55FAE"/>
    <w:rsid w:val="00B57C90"/>
    <w:rsid w:val="00B57E5E"/>
    <w:rsid w:val="00B60746"/>
    <w:rsid w:val="00B608DB"/>
    <w:rsid w:val="00B61F37"/>
    <w:rsid w:val="00B622CE"/>
    <w:rsid w:val="00B642CE"/>
    <w:rsid w:val="00B649EE"/>
    <w:rsid w:val="00B658C5"/>
    <w:rsid w:val="00B659F0"/>
    <w:rsid w:val="00B66563"/>
    <w:rsid w:val="00B67214"/>
    <w:rsid w:val="00B71306"/>
    <w:rsid w:val="00B7151C"/>
    <w:rsid w:val="00B719F2"/>
    <w:rsid w:val="00B733EB"/>
    <w:rsid w:val="00B73F84"/>
    <w:rsid w:val="00B747A9"/>
    <w:rsid w:val="00B760CD"/>
    <w:rsid w:val="00B767DE"/>
    <w:rsid w:val="00B7684C"/>
    <w:rsid w:val="00B771C8"/>
    <w:rsid w:val="00B7770F"/>
    <w:rsid w:val="00B77718"/>
    <w:rsid w:val="00B77A89"/>
    <w:rsid w:val="00B77B27"/>
    <w:rsid w:val="00B8134E"/>
    <w:rsid w:val="00B81B55"/>
    <w:rsid w:val="00B8241B"/>
    <w:rsid w:val="00B82A31"/>
    <w:rsid w:val="00B8338C"/>
    <w:rsid w:val="00B83D3D"/>
    <w:rsid w:val="00B84613"/>
    <w:rsid w:val="00B861CE"/>
    <w:rsid w:val="00B8628F"/>
    <w:rsid w:val="00B86B48"/>
    <w:rsid w:val="00B8752D"/>
    <w:rsid w:val="00B87A21"/>
    <w:rsid w:val="00B87AF0"/>
    <w:rsid w:val="00B9037B"/>
    <w:rsid w:val="00B910BD"/>
    <w:rsid w:val="00B913DB"/>
    <w:rsid w:val="00B932DA"/>
    <w:rsid w:val="00B93608"/>
    <w:rsid w:val="00B93834"/>
    <w:rsid w:val="00B94806"/>
    <w:rsid w:val="00B94B26"/>
    <w:rsid w:val="00B94D83"/>
    <w:rsid w:val="00B94F3A"/>
    <w:rsid w:val="00B9554C"/>
    <w:rsid w:val="00B95859"/>
    <w:rsid w:val="00B95B07"/>
    <w:rsid w:val="00B96469"/>
    <w:rsid w:val="00B97FF7"/>
    <w:rsid w:val="00BA0536"/>
    <w:rsid w:val="00BA0DA2"/>
    <w:rsid w:val="00BA1745"/>
    <w:rsid w:val="00BA182F"/>
    <w:rsid w:val="00BA23BB"/>
    <w:rsid w:val="00BA2940"/>
    <w:rsid w:val="00BA2981"/>
    <w:rsid w:val="00BA2FE1"/>
    <w:rsid w:val="00BA35B7"/>
    <w:rsid w:val="00BA3631"/>
    <w:rsid w:val="00BA42EE"/>
    <w:rsid w:val="00BA4493"/>
    <w:rsid w:val="00BA48F9"/>
    <w:rsid w:val="00BA5EF5"/>
    <w:rsid w:val="00BA760C"/>
    <w:rsid w:val="00BA7C0B"/>
    <w:rsid w:val="00BB0DCA"/>
    <w:rsid w:val="00BB1481"/>
    <w:rsid w:val="00BB1768"/>
    <w:rsid w:val="00BB1811"/>
    <w:rsid w:val="00BB2666"/>
    <w:rsid w:val="00BB39D4"/>
    <w:rsid w:val="00BB4B80"/>
    <w:rsid w:val="00BB4D99"/>
    <w:rsid w:val="00BB66E1"/>
    <w:rsid w:val="00BB69EF"/>
    <w:rsid w:val="00BB6B80"/>
    <w:rsid w:val="00BB7B97"/>
    <w:rsid w:val="00BC0002"/>
    <w:rsid w:val="00BC2208"/>
    <w:rsid w:val="00BC263C"/>
    <w:rsid w:val="00BC2A95"/>
    <w:rsid w:val="00BC2C24"/>
    <w:rsid w:val="00BC31F7"/>
    <w:rsid w:val="00BC3773"/>
    <w:rsid w:val="00BC381A"/>
    <w:rsid w:val="00BC3C23"/>
    <w:rsid w:val="00BC636C"/>
    <w:rsid w:val="00BC6AB4"/>
    <w:rsid w:val="00BC7132"/>
    <w:rsid w:val="00BD0962"/>
    <w:rsid w:val="00BD0F4D"/>
    <w:rsid w:val="00BD1014"/>
    <w:rsid w:val="00BD1EED"/>
    <w:rsid w:val="00BD3729"/>
    <w:rsid w:val="00BD5519"/>
    <w:rsid w:val="00BD6466"/>
    <w:rsid w:val="00BD64BE"/>
    <w:rsid w:val="00BD68A7"/>
    <w:rsid w:val="00BD696C"/>
    <w:rsid w:val="00BD6F1D"/>
    <w:rsid w:val="00BD71F8"/>
    <w:rsid w:val="00BD7634"/>
    <w:rsid w:val="00BD7E3D"/>
    <w:rsid w:val="00BE10C0"/>
    <w:rsid w:val="00BE305B"/>
    <w:rsid w:val="00BE39E2"/>
    <w:rsid w:val="00BE4556"/>
    <w:rsid w:val="00BE4B4E"/>
    <w:rsid w:val="00BE6E49"/>
    <w:rsid w:val="00BE713A"/>
    <w:rsid w:val="00BE775A"/>
    <w:rsid w:val="00BE7DA4"/>
    <w:rsid w:val="00BF0005"/>
    <w:rsid w:val="00BF0D67"/>
    <w:rsid w:val="00BF0DA2"/>
    <w:rsid w:val="00BF109C"/>
    <w:rsid w:val="00BF1180"/>
    <w:rsid w:val="00BF13EE"/>
    <w:rsid w:val="00BF19D3"/>
    <w:rsid w:val="00BF289F"/>
    <w:rsid w:val="00BF34FA"/>
    <w:rsid w:val="00BF409E"/>
    <w:rsid w:val="00BF4333"/>
    <w:rsid w:val="00BF43BE"/>
    <w:rsid w:val="00BF4A1E"/>
    <w:rsid w:val="00BF575D"/>
    <w:rsid w:val="00BF5E04"/>
    <w:rsid w:val="00BF66AB"/>
    <w:rsid w:val="00C004B6"/>
    <w:rsid w:val="00C0114D"/>
    <w:rsid w:val="00C047A7"/>
    <w:rsid w:val="00C05DE5"/>
    <w:rsid w:val="00C0646A"/>
    <w:rsid w:val="00C07C76"/>
    <w:rsid w:val="00C14C75"/>
    <w:rsid w:val="00C14EA7"/>
    <w:rsid w:val="00C15ACC"/>
    <w:rsid w:val="00C160D5"/>
    <w:rsid w:val="00C16DBD"/>
    <w:rsid w:val="00C21557"/>
    <w:rsid w:val="00C23DB4"/>
    <w:rsid w:val="00C26D3C"/>
    <w:rsid w:val="00C26F1B"/>
    <w:rsid w:val="00C30C58"/>
    <w:rsid w:val="00C30E7B"/>
    <w:rsid w:val="00C32BD7"/>
    <w:rsid w:val="00C33027"/>
    <w:rsid w:val="00C33BCA"/>
    <w:rsid w:val="00C3424F"/>
    <w:rsid w:val="00C348B2"/>
    <w:rsid w:val="00C3543B"/>
    <w:rsid w:val="00C355BC"/>
    <w:rsid w:val="00C359FF"/>
    <w:rsid w:val="00C35BEC"/>
    <w:rsid w:val="00C35E28"/>
    <w:rsid w:val="00C36723"/>
    <w:rsid w:val="00C36D06"/>
    <w:rsid w:val="00C36D74"/>
    <w:rsid w:val="00C3734F"/>
    <w:rsid w:val="00C37667"/>
    <w:rsid w:val="00C37675"/>
    <w:rsid w:val="00C37B14"/>
    <w:rsid w:val="00C4126B"/>
    <w:rsid w:val="00C41B30"/>
    <w:rsid w:val="00C42A6B"/>
    <w:rsid w:val="00C435DB"/>
    <w:rsid w:val="00C444F4"/>
    <w:rsid w:val="00C44D73"/>
    <w:rsid w:val="00C44E04"/>
    <w:rsid w:val="00C45EA7"/>
    <w:rsid w:val="00C46958"/>
    <w:rsid w:val="00C47B4A"/>
    <w:rsid w:val="00C50658"/>
    <w:rsid w:val="00C50B42"/>
    <w:rsid w:val="00C50EAD"/>
    <w:rsid w:val="00C516FF"/>
    <w:rsid w:val="00C51A1C"/>
    <w:rsid w:val="00C52BFA"/>
    <w:rsid w:val="00C53D1D"/>
    <w:rsid w:val="00C53F26"/>
    <w:rsid w:val="00C540BC"/>
    <w:rsid w:val="00C54320"/>
    <w:rsid w:val="00C547A6"/>
    <w:rsid w:val="00C54F3A"/>
    <w:rsid w:val="00C559E6"/>
    <w:rsid w:val="00C57C05"/>
    <w:rsid w:val="00C60706"/>
    <w:rsid w:val="00C607A7"/>
    <w:rsid w:val="00C60996"/>
    <w:rsid w:val="00C61043"/>
    <w:rsid w:val="00C62361"/>
    <w:rsid w:val="00C635BF"/>
    <w:rsid w:val="00C63D42"/>
    <w:rsid w:val="00C640BC"/>
    <w:rsid w:val="00C647D7"/>
    <w:rsid w:val="00C64F7D"/>
    <w:rsid w:val="00C651CE"/>
    <w:rsid w:val="00C65284"/>
    <w:rsid w:val="00C67309"/>
    <w:rsid w:val="00C67FC7"/>
    <w:rsid w:val="00C711E8"/>
    <w:rsid w:val="00C72636"/>
    <w:rsid w:val="00C72F04"/>
    <w:rsid w:val="00C730C8"/>
    <w:rsid w:val="00C7614E"/>
    <w:rsid w:val="00C76328"/>
    <w:rsid w:val="00C77BF1"/>
    <w:rsid w:val="00C80835"/>
    <w:rsid w:val="00C80CB8"/>
    <w:rsid w:val="00C80D60"/>
    <w:rsid w:val="00C8147C"/>
    <w:rsid w:val="00C81C6A"/>
    <w:rsid w:val="00C82FBD"/>
    <w:rsid w:val="00C833B5"/>
    <w:rsid w:val="00C849F6"/>
    <w:rsid w:val="00C84AEF"/>
    <w:rsid w:val="00C85267"/>
    <w:rsid w:val="00C86081"/>
    <w:rsid w:val="00C86DE9"/>
    <w:rsid w:val="00C86F15"/>
    <w:rsid w:val="00C8721B"/>
    <w:rsid w:val="00C873AB"/>
    <w:rsid w:val="00C90191"/>
    <w:rsid w:val="00C91C70"/>
    <w:rsid w:val="00C920DA"/>
    <w:rsid w:val="00C92A47"/>
    <w:rsid w:val="00C92DB9"/>
    <w:rsid w:val="00C92E2E"/>
    <w:rsid w:val="00C9372C"/>
    <w:rsid w:val="00C93AC2"/>
    <w:rsid w:val="00C94587"/>
    <w:rsid w:val="00C9470E"/>
    <w:rsid w:val="00C95CEB"/>
    <w:rsid w:val="00C977A4"/>
    <w:rsid w:val="00CA0CC3"/>
    <w:rsid w:val="00CA1054"/>
    <w:rsid w:val="00CA1B8C"/>
    <w:rsid w:val="00CA28FB"/>
    <w:rsid w:val="00CA2FF5"/>
    <w:rsid w:val="00CA3815"/>
    <w:rsid w:val="00CA3CE0"/>
    <w:rsid w:val="00CA4BEF"/>
    <w:rsid w:val="00CA4DC1"/>
    <w:rsid w:val="00CA4F5D"/>
    <w:rsid w:val="00CA63EB"/>
    <w:rsid w:val="00CA69F1"/>
    <w:rsid w:val="00CA73D4"/>
    <w:rsid w:val="00CA7C78"/>
    <w:rsid w:val="00CB05B6"/>
    <w:rsid w:val="00CB06EF"/>
    <w:rsid w:val="00CB2F85"/>
    <w:rsid w:val="00CB3993"/>
    <w:rsid w:val="00CB3A1F"/>
    <w:rsid w:val="00CB4A1E"/>
    <w:rsid w:val="00CB6991"/>
    <w:rsid w:val="00CB6E10"/>
    <w:rsid w:val="00CB7BC6"/>
    <w:rsid w:val="00CC2517"/>
    <w:rsid w:val="00CC3A9F"/>
    <w:rsid w:val="00CC3C78"/>
    <w:rsid w:val="00CC547D"/>
    <w:rsid w:val="00CC56B2"/>
    <w:rsid w:val="00CC6194"/>
    <w:rsid w:val="00CC6305"/>
    <w:rsid w:val="00CC78A5"/>
    <w:rsid w:val="00CC78DA"/>
    <w:rsid w:val="00CD0178"/>
    <w:rsid w:val="00CD0516"/>
    <w:rsid w:val="00CD0B93"/>
    <w:rsid w:val="00CD0F8F"/>
    <w:rsid w:val="00CD194B"/>
    <w:rsid w:val="00CD4C91"/>
    <w:rsid w:val="00CD5DB8"/>
    <w:rsid w:val="00CD6DBF"/>
    <w:rsid w:val="00CD756B"/>
    <w:rsid w:val="00CD7F58"/>
    <w:rsid w:val="00CE0252"/>
    <w:rsid w:val="00CE08E2"/>
    <w:rsid w:val="00CE0FEA"/>
    <w:rsid w:val="00CE134B"/>
    <w:rsid w:val="00CE32D5"/>
    <w:rsid w:val="00CE512D"/>
    <w:rsid w:val="00CE5A4F"/>
    <w:rsid w:val="00CE72AD"/>
    <w:rsid w:val="00CE734F"/>
    <w:rsid w:val="00CE7D24"/>
    <w:rsid w:val="00CF112E"/>
    <w:rsid w:val="00CF2CC2"/>
    <w:rsid w:val="00CF3E99"/>
    <w:rsid w:val="00CF5B83"/>
    <w:rsid w:val="00CF5DFB"/>
    <w:rsid w:val="00CF5F4F"/>
    <w:rsid w:val="00CF65C7"/>
    <w:rsid w:val="00D00DDE"/>
    <w:rsid w:val="00D01738"/>
    <w:rsid w:val="00D0189E"/>
    <w:rsid w:val="00D01CEF"/>
    <w:rsid w:val="00D03764"/>
    <w:rsid w:val="00D04886"/>
    <w:rsid w:val="00D06847"/>
    <w:rsid w:val="00D06B51"/>
    <w:rsid w:val="00D06D7A"/>
    <w:rsid w:val="00D07D30"/>
    <w:rsid w:val="00D10D4E"/>
    <w:rsid w:val="00D11448"/>
    <w:rsid w:val="00D13DC6"/>
    <w:rsid w:val="00D142AA"/>
    <w:rsid w:val="00D1463C"/>
    <w:rsid w:val="00D14D27"/>
    <w:rsid w:val="00D155DC"/>
    <w:rsid w:val="00D15EDB"/>
    <w:rsid w:val="00D161C8"/>
    <w:rsid w:val="00D161EC"/>
    <w:rsid w:val="00D1620D"/>
    <w:rsid w:val="00D16B4A"/>
    <w:rsid w:val="00D16D15"/>
    <w:rsid w:val="00D17693"/>
    <w:rsid w:val="00D178CC"/>
    <w:rsid w:val="00D202C2"/>
    <w:rsid w:val="00D218DC"/>
    <w:rsid w:val="00D2222A"/>
    <w:rsid w:val="00D24E56"/>
    <w:rsid w:val="00D26264"/>
    <w:rsid w:val="00D26682"/>
    <w:rsid w:val="00D31643"/>
    <w:rsid w:val="00D317AB"/>
    <w:rsid w:val="00D31AEB"/>
    <w:rsid w:val="00D324B4"/>
    <w:rsid w:val="00D32720"/>
    <w:rsid w:val="00D32ECD"/>
    <w:rsid w:val="00D34887"/>
    <w:rsid w:val="00D3522B"/>
    <w:rsid w:val="00D35E3B"/>
    <w:rsid w:val="00D361E4"/>
    <w:rsid w:val="00D36781"/>
    <w:rsid w:val="00D36F33"/>
    <w:rsid w:val="00D37338"/>
    <w:rsid w:val="00D37A2E"/>
    <w:rsid w:val="00D37E89"/>
    <w:rsid w:val="00D407C2"/>
    <w:rsid w:val="00D40D1D"/>
    <w:rsid w:val="00D40EC9"/>
    <w:rsid w:val="00D4121C"/>
    <w:rsid w:val="00D42805"/>
    <w:rsid w:val="00D42A8F"/>
    <w:rsid w:val="00D42E6C"/>
    <w:rsid w:val="00D439F6"/>
    <w:rsid w:val="00D43FD3"/>
    <w:rsid w:val="00D4439C"/>
    <w:rsid w:val="00D44B9C"/>
    <w:rsid w:val="00D459C6"/>
    <w:rsid w:val="00D45B3A"/>
    <w:rsid w:val="00D46894"/>
    <w:rsid w:val="00D46FE2"/>
    <w:rsid w:val="00D47E73"/>
    <w:rsid w:val="00D50729"/>
    <w:rsid w:val="00D50C19"/>
    <w:rsid w:val="00D517BB"/>
    <w:rsid w:val="00D519A3"/>
    <w:rsid w:val="00D52763"/>
    <w:rsid w:val="00D528A3"/>
    <w:rsid w:val="00D5379E"/>
    <w:rsid w:val="00D546B5"/>
    <w:rsid w:val="00D55246"/>
    <w:rsid w:val="00D5594D"/>
    <w:rsid w:val="00D57256"/>
    <w:rsid w:val="00D57A00"/>
    <w:rsid w:val="00D60210"/>
    <w:rsid w:val="00D60441"/>
    <w:rsid w:val="00D618E4"/>
    <w:rsid w:val="00D62118"/>
    <w:rsid w:val="00D6220A"/>
    <w:rsid w:val="00D62452"/>
    <w:rsid w:val="00D62643"/>
    <w:rsid w:val="00D6413B"/>
    <w:rsid w:val="00D647BB"/>
    <w:rsid w:val="00D64C0F"/>
    <w:rsid w:val="00D64DF9"/>
    <w:rsid w:val="00D64FA6"/>
    <w:rsid w:val="00D65186"/>
    <w:rsid w:val="00D65D2E"/>
    <w:rsid w:val="00D660C2"/>
    <w:rsid w:val="00D679E5"/>
    <w:rsid w:val="00D71992"/>
    <w:rsid w:val="00D71CC6"/>
    <w:rsid w:val="00D71DE6"/>
    <w:rsid w:val="00D7289B"/>
    <w:rsid w:val="00D72EFE"/>
    <w:rsid w:val="00D738CC"/>
    <w:rsid w:val="00D73D0F"/>
    <w:rsid w:val="00D75426"/>
    <w:rsid w:val="00D7588D"/>
    <w:rsid w:val="00D75C94"/>
    <w:rsid w:val="00D76227"/>
    <w:rsid w:val="00D76C7D"/>
    <w:rsid w:val="00D77DF1"/>
    <w:rsid w:val="00D82781"/>
    <w:rsid w:val="00D82AD0"/>
    <w:rsid w:val="00D82C26"/>
    <w:rsid w:val="00D83773"/>
    <w:rsid w:val="00D85178"/>
    <w:rsid w:val="00D86AFF"/>
    <w:rsid w:val="00D91252"/>
    <w:rsid w:val="00D9272C"/>
    <w:rsid w:val="00D94675"/>
    <w:rsid w:val="00D95774"/>
    <w:rsid w:val="00D95A44"/>
    <w:rsid w:val="00D95D16"/>
    <w:rsid w:val="00D9654B"/>
    <w:rsid w:val="00D96F2E"/>
    <w:rsid w:val="00D97C76"/>
    <w:rsid w:val="00DA4904"/>
    <w:rsid w:val="00DA6028"/>
    <w:rsid w:val="00DA6C72"/>
    <w:rsid w:val="00DB02B4"/>
    <w:rsid w:val="00DB04A2"/>
    <w:rsid w:val="00DB0733"/>
    <w:rsid w:val="00DB1116"/>
    <w:rsid w:val="00DB12C1"/>
    <w:rsid w:val="00DB3248"/>
    <w:rsid w:val="00DB452F"/>
    <w:rsid w:val="00DB538D"/>
    <w:rsid w:val="00DB6622"/>
    <w:rsid w:val="00DB6864"/>
    <w:rsid w:val="00DB75DA"/>
    <w:rsid w:val="00DB7953"/>
    <w:rsid w:val="00DC06F6"/>
    <w:rsid w:val="00DC1915"/>
    <w:rsid w:val="00DC275C"/>
    <w:rsid w:val="00DC2947"/>
    <w:rsid w:val="00DC4085"/>
    <w:rsid w:val="00DC439A"/>
    <w:rsid w:val="00DC480E"/>
    <w:rsid w:val="00DC4B0D"/>
    <w:rsid w:val="00DC5B24"/>
    <w:rsid w:val="00DC7FE1"/>
    <w:rsid w:val="00DD1114"/>
    <w:rsid w:val="00DD2BBA"/>
    <w:rsid w:val="00DD3F3F"/>
    <w:rsid w:val="00DD5572"/>
    <w:rsid w:val="00DD581C"/>
    <w:rsid w:val="00DD7011"/>
    <w:rsid w:val="00DD766A"/>
    <w:rsid w:val="00DD777B"/>
    <w:rsid w:val="00DE040E"/>
    <w:rsid w:val="00DE162C"/>
    <w:rsid w:val="00DE2394"/>
    <w:rsid w:val="00DE2485"/>
    <w:rsid w:val="00DE33BE"/>
    <w:rsid w:val="00DE4F27"/>
    <w:rsid w:val="00DE58E0"/>
    <w:rsid w:val="00DE5D80"/>
    <w:rsid w:val="00DE5F2C"/>
    <w:rsid w:val="00DF086B"/>
    <w:rsid w:val="00DF08C4"/>
    <w:rsid w:val="00DF1C66"/>
    <w:rsid w:val="00DF2344"/>
    <w:rsid w:val="00DF2835"/>
    <w:rsid w:val="00DF31A0"/>
    <w:rsid w:val="00DF4074"/>
    <w:rsid w:val="00DF4414"/>
    <w:rsid w:val="00DF4762"/>
    <w:rsid w:val="00DF47CD"/>
    <w:rsid w:val="00DF493D"/>
    <w:rsid w:val="00DF5114"/>
    <w:rsid w:val="00DF58CD"/>
    <w:rsid w:val="00DF6168"/>
    <w:rsid w:val="00DF65DE"/>
    <w:rsid w:val="00DF6DB2"/>
    <w:rsid w:val="00E0191D"/>
    <w:rsid w:val="00E019A5"/>
    <w:rsid w:val="00E01A4E"/>
    <w:rsid w:val="00E01D9A"/>
    <w:rsid w:val="00E02B00"/>
    <w:rsid w:val="00E02EC8"/>
    <w:rsid w:val="00E037F5"/>
    <w:rsid w:val="00E049AB"/>
    <w:rsid w:val="00E04B85"/>
    <w:rsid w:val="00E04ECB"/>
    <w:rsid w:val="00E05A09"/>
    <w:rsid w:val="00E06CA1"/>
    <w:rsid w:val="00E10096"/>
    <w:rsid w:val="00E10388"/>
    <w:rsid w:val="00E105CD"/>
    <w:rsid w:val="00E10617"/>
    <w:rsid w:val="00E1097F"/>
    <w:rsid w:val="00E11BDA"/>
    <w:rsid w:val="00E12B69"/>
    <w:rsid w:val="00E13535"/>
    <w:rsid w:val="00E1462B"/>
    <w:rsid w:val="00E1532D"/>
    <w:rsid w:val="00E15975"/>
    <w:rsid w:val="00E15F1F"/>
    <w:rsid w:val="00E172B8"/>
    <w:rsid w:val="00E17FB4"/>
    <w:rsid w:val="00E20B75"/>
    <w:rsid w:val="00E214F2"/>
    <w:rsid w:val="00E21AFD"/>
    <w:rsid w:val="00E22105"/>
    <w:rsid w:val="00E222B4"/>
    <w:rsid w:val="00E2371E"/>
    <w:rsid w:val="00E24BD7"/>
    <w:rsid w:val="00E25A08"/>
    <w:rsid w:val="00E26523"/>
    <w:rsid w:val="00E26809"/>
    <w:rsid w:val="00E2682F"/>
    <w:rsid w:val="00E304AE"/>
    <w:rsid w:val="00E30A21"/>
    <w:rsid w:val="00E3126A"/>
    <w:rsid w:val="00E33300"/>
    <w:rsid w:val="00E336AF"/>
    <w:rsid w:val="00E33E40"/>
    <w:rsid w:val="00E3412D"/>
    <w:rsid w:val="00E35BF5"/>
    <w:rsid w:val="00E35C80"/>
    <w:rsid w:val="00E366BE"/>
    <w:rsid w:val="00E367B6"/>
    <w:rsid w:val="00E36AC1"/>
    <w:rsid w:val="00E36E52"/>
    <w:rsid w:val="00E4071D"/>
    <w:rsid w:val="00E40766"/>
    <w:rsid w:val="00E40B9E"/>
    <w:rsid w:val="00E40DB8"/>
    <w:rsid w:val="00E42CA4"/>
    <w:rsid w:val="00E44E00"/>
    <w:rsid w:val="00E4585A"/>
    <w:rsid w:val="00E45AA6"/>
    <w:rsid w:val="00E45C80"/>
    <w:rsid w:val="00E47E31"/>
    <w:rsid w:val="00E50DCD"/>
    <w:rsid w:val="00E51C02"/>
    <w:rsid w:val="00E51E8B"/>
    <w:rsid w:val="00E5225D"/>
    <w:rsid w:val="00E55CB1"/>
    <w:rsid w:val="00E55CB9"/>
    <w:rsid w:val="00E562F5"/>
    <w:rsid w:val="00E56549"/>
    <w:rsid w:val="00E56896"/>
    <w:rsid w:val="00E57322"/>
    <w:rsid w:val="00E5737E"/>
    <w:rsid w:val="00E57FC1"/>
    <w:rsid w:val="00E60715"/>
    <w:rsid w:val="00E60796"/>
    <w:rsid w:val="00E61304"/>
    <w:rsid w:val="00E6172E"/>
    <w:rsid w:val="00E62385"/>
    <w:rsid w:val="00E628CB"/>
    <w:rsid w:val="00E62AD9"/>
    <w:rsid w:val="00E638C8"/>
    <w:rsid w:val="00E63DA9"/>
    <w:rsid w:val="00E656BA"/>
    <w:rsid w:val="00E65CFC"/>
    <w:rsid w:val="00E6662B"/>
    <w:rsid w:val="00E671A5"/>
    <w:rsid w:val="00E672B0"/>
    <w:rsid w:val="00E6737B"/>
    <w:rsid w:val="00E67CE7"/>
    <w:rsid w:val="00E730E1"/>
    <w:rsid w:val="00E737CD"/>
    <w:rsid w:val="00E7389A"/>
    <w:rsid w:val="00E73DBA"/>
    <w:rsid w:val="00E7418B"/>
    <w:rsid w:val="00E74D56"/>
    <w:rsid w:val="00E7509B"/>
    <w:rsid w:val="00E75952"/>
    <w:rsid w:val="00E77EC7"/>
    <w:rsid w:val="00E77EE2"/>
    <w:rsid w:val="00E816A1"/>
    <w:rsid w:val="00E82095"/>
    <w:rsid w:val="00E821B5"/>
    <w:rsid w:val="00E8262B"/>
    <w:rsid w:val="00E82D38"/>
    <w:rsid w:val="00E84168"/>
    <w:rsid w:val="00E84520"/>
    <w:rsid w:val="00E8476B"/>
    <w:rsid w:val="00E8520D"/>
    <w:rsid w:val="00E85414"/>
    <w:rsid w:val="00E855C1"/>
    <w:rsid w:val="00E86590"/>
    <w:rsid w:val="00E868AA"/>
    <w:rsid w:val="00E87F16"/>
    <w:rsid w:val="00E907FF"/>
    <w:rsid w:val="00E90963"/>
    <w:rsid w:val="00E90D8C"/>
    <w:rsid w:val="00E916A3"/>
    <w:rsid w:val="00E91B13"/>
    <w:rsid w:val="00E92755"/>
    <w:rsid w:val="00E9296F"/>
    <w:rsid w:val="00E92D1E"/>
    <w:rsid w:val="00E934A4"/>
    <w:rsid w:val="00E93D01"/>
    <w:rsid w:val="00E95BD3"/>
    <w:rsid w:val="00E9673E"/>
    <w:rsid w:val="00EA006D"/>
    <w:rsid w:val="00EA0222"/>
    <w:rsid w:val="00EA165F"/>
    <w:rsid w:val="00EA184C"/>
    <w:rsid w:val="00EA4090"/>
    <w:rsid w:val="00EA410B"/>
    <w:rsid w:val="00EA4240"/>
    <w:rsid w:val="00EA42D1"/>
    <w:rsid w:val="00EA42EF"/>
    <w:rsid w:val="00EA460F"/>
    <w:rsid w:val="00EA47E5"/>
    <w:rsid w:val="00EA47FB"/>
    <w:rsid w:val="00EA58C7"/>
    <w:rsid w:val="00EA5BA9"/>
    <w:rsid w:val="00EA6667"/>
    <w:rsid w:val="00EB04A3"/>
    <w:rsid w:val="00EB1A97"/>
    <w:rsid w:val="00EB2DD1"/>
    <w:rsid w:val="00EB58BD"/>
    <w:rsid w:val="00EB6B37"/>
    <w:rsid w:val="00EB7767"/>
    <w:rsid w:val="00EC0118"/>
    <w:rsid w:val="00EC0571"/>
    <w:rsid w:val="00EC0DCD"/>
    <w:rsid w:val="00EC29FE"/>
    <w:rsid w:val="00EC3C70"/>
    <w:rsid w:val="00EC3E9F"/>
    <w:rsid w:val="00EC4509"/>
    <w:rsid w:val="00EC47FA"/>
    <w:rsid w:val="00EC50C8"/>
    <w:rsid w:val="00EC56AB"/>
    <w:rsid w:val="00EC79C8"/>
    <w:rsid w:val="00ED2C7C"/>
    <w:rsid w:val="00ED2FA6"/>
    <w:rsid w:val="00ED3A3D"/>
    <w:rsid w:val="00ED3B18"/>
    <w:rsid w:val="00ED42DB"/>
    <w:rsid w:val="00ED4EED"/>
    <w:rsid w:val="00ED538A"/>
    <w:rsid w:val="00ED619F"/>
    <w:rsid w:val="00ED6CAA"/>
    <w:rsid w:val="00ED6FBC"/>
    <w:rsid w:val="00ED73C7"/>
    <w:rsid w:val="00ED76A3"/>
    <w:rsid w:val="00ED7B04"/>
    <w:rsid w:val="00EE07FA"/>
    <w:rsid w:val="00EE1592"/>
    <w:rsid w:val="00EE1A20"/>
    <w:rsid w:val="00EE21B3"/>
    <w:rsid w:val="00EE28A2"/>
    <w:rsid w:val="00EE2C00"/>
    <w:rsid w:val="00EE2DBE"/>
    <w:rsid w:val="00EE2F16"/>
    <w:rsid w:val="00EE3861"/>
    <w:rsid w:val="00EE446C"/>
    <w:rsid w:val="00EE461E"/>
    <w:rsid w:val="00EE4863"/>
    <w:rsid w:val="00EE70BA"/>
    <w:rsid w:val="00EE71DF"/>
    <w:rsid w:val="00EF0B3F"/>
    <w:rsid w:val="00EF0B58"/>
    <w:rsid w:val="00EF1144"/>
    <w:rsid w:val="00EF193E"/>
    <w:rsid w:val="00EF2E73"/>
    <w:rsid w:val="00EF2F36"/>
    <w:rsid w:val="00EF4C6E"/>
    <w:rsid w:val="00EF4CF1"/>
    <w:rsid w:val="00EF5D7F"/>
    <w:rsid w:val="00EF6585"/>
    <w:rsid w:val="00EF6DCC"/>
    <w:rsid w:val="00EF7683"/>
    <w:rsid w:val="00EF7A2D"/>
    <w:rsid w:val="00F002D2"/>
    <w:rsid w:val="00F025A4"/>
    <w:rsid w:val="00F02693"/>
    <w:rsid w:val="00F02A2C"/>
    <w:rsid w:val="00F04954"/>
    <w:rsid w:val="00F04E60"/>
    <w:rsid w:val="00F04F8D"/>
    <w:rsid w:val="00F05F94"/>
    <w:rsid w:val="00F07004"/>
    <w:rsid w:val="00F077B1"/>
    <w:rsid w:val="00F07C66"/>
    <w:rsid w:val="00F10AD0"/>
    <w:rsid w:val="00F11174"/>
    <w:rsid w:val="00F114AC"/>
    <w:rsid w:val="00F114FA"/>
    <w:rsid w:val="00F116CC"/>
    <w:rsid w:val="00F11BA7"/>
    <w:rsid w:val="00F12BC7"/>
    <w:rsid w:val="00F12BD1"/>
    <w:rsid w:val="00F12E91"/>
    <w:rsid w:val="00F13F71"/>
    <w:rsid w:val="00F14034"/>
    <w:rsid w:val="00F1492B"/>
    <w:rsid w:val="00F15327"/>
    <w:rsid w:val="00F15BC2"/>
    <w:rsid w:val="00F15D58"/>
    <w:rsid w:val="00F16453"/>
    <w:rsid w:val="00F168CF"/>
    <w:rsid w:val="00F17B01"/>
    <w:rsid w:val="00F17DB1"/>
    <w:rsid w:val="00F20744"/>
    <w:rsid w:val="00F222DE"/>
    <w:rsid w:val="00F22990"/>
    <w:rsid w:val="00F237A1"/>
    <w:rsid w:val="00F2438E"/>
    <w:rsid w:val="00F24A4C"/>
    <w:rsid w:val="00F2555C"/>
    <w:rsid w:val="00F264B7"/>
    <w:rsid w:val="00F265D5"/>
    <w:rsid w:val="00F26F29"/>
    <w:rsid w:val="00F278A4"/>
    <w:rsid w:val="00F27FCB"/>
    <w:rsid w:val="00F3095E"/>
    <w:rsid w:val="00F31DF3"/>
    <w:rsid w:val="00F31F15"/>
    <w:rsid w:val="00F32162"/>
    <w:rsid w:val="00F33AE5"/>
    <w:rsid w:val="00F33D58"/>
    <w:rsid w:val="00F33E48"/>
    <w:rsid w:val="00F34245"/>
    <w:rsid w:val="00F3458D"/>
    <w:rsid w:val="00F34FD8"/>
    <w:rsid w:val="00F3597D"/>
    <w:rsid w:val="00F36DD4"/>
    <w:rsid w:val="00F374AE"/>
    <w:rsid w:val="00F40C04"/>
    <w:rsid w:val="00F41E19"/>
    <w:rsid w:val="00F43174"/>
    <w:rsid w:val="00F4376D"/>
    <w:rsid w:val="00F43D29"/>
    <w:rsid w:val="00F43F6E"/>
    <w:rsid w:val="00F44DB6"/>
    <w:rsid w:val="00F45399"/>
    <w:rsid w:val="00F454EE"/>
    <w:rsid w:val="00F465EA"/>
    <w:rsid w:val="00F4724C"/>
    <w:rsid w:val="00F47CB2"/>
    <w:rsid w:val="00F50B09"/>
    <w:rsid w:val="00F50C7E"/>
    <w:rsid w:val="00F51DEC"/>
    <w:rsid w:val="00F5218B"/>
    <w:rsid w:val="00F53727"/>
    <w:rsid w:val="00F5391D"/>
    <w:rsid w:val="00F54E7B"/>
    <w:rsid w:val="00F55A88"/>
    <w:rsid w:val="00F577B4"/>
    <w:rsid w:val="00F615DF"/>
    <w:rsid w:val="00F61EB7"/>
    <w:rsid w:val="00F61F86"/>
    <w:rsid w:val="00F651F2"/>
    <w:rsid w:val="00F65A53"/>
    <w:rsid w:val="00F668FD"/>
    <w:rsid w:val="00F704C2"/>
    <w:rsid w:val="00F71496"/>
    <w:rsid w:val="00F728D0"/>
    <w:rsid w:val="00F72BC6"/>
    <w:rsid w:val="00F74005"/>
    <w:rsid w:val="00F755B0"/>
    <w:rsid w:val="00F75B7B"/>
    <w:rsid w:val="00F75E4C"/>
    <w:rsid w:val="00F76031"/>
    <w:rsid w:val="00F7657F"/>
    <w:rsid w:val="00F76884"/>
    <w:rsid w:val="00F80A42"/>
    <w:rsid w:val="00F80BF7"/>
    <w:rsid w:val="00F83BE8"/>
    <w:rsid w:val="00F83D24"/>
    <w:rsid w:val="00F83DD9"/>
    <w:rsid w:val="00F83F40"/>
    <w:rsid w:val="00F84B95"/>
    <w:rsid w:val="00F8649C"/>
    <w:rsid w:val="00F86F1C"/>
    <w:rsid w:val="00F907A3"/>
    <w:rsid w:val="00F90C0A"/>
    <w:rsid w:val="00F913B2"/>
    <w:rsid w:val="00F91F8D"/>
    <w:rsid w:val="00F920CE"/>
    <w:rsid w:val="00F922F5"/>
    <w:rsid w:val="00F937C1"/>
    <w:rsid w:val="00F93C56"/>
    <w:rsid w:val="00F93D7F"/>
    <w:rsid w:val="00F94C31"/>
    <w:rsid w:val="00F94D17"/>
    <w:rsid w:val="00F95B42"/>
    <w:rsid w:val="00F96C09"/>
    <w:rsid w:val="00F9721C"/>
    <w:rsid w:val="00FA0062"/>
    <w:rsid w:val="00FA117A"/>
    <w:rsid w:val="00FA1E56"/>
    <w:rsid w:val="00FA2476"/>
    <w:rsid w:val="00FA2F60"/>
    <w:rsid w:val="00FA34F1"/>
    <w:rsid w:val="00FA38D2"/>
    <w:rsid w:val="00FA38E6"/>
    <w:rsid w:val="00FA592C"/>
    <w:rsid w:val="00FA5A61"/>
    <w:rsid w:val="00FA5CBC"/>
    <w:rsid w:val="00FA6CA8"/>
    <w:rsid w:val="00FA72BB"/>
    <w:rsid w:val="00FA78EE"/>
    <w:rsid w:val="00FA7ABF"/>
    <w:rsid w:val="00FB1205"/>
    <w:rsid w:val="00FB1833"/>
    <w:rsid w:val="00FB2B86"/>
    <w:rsid w:val="00FB379D"/>
    <w:rsid w:val="00FB386A"/>
    <w:rsid w:val="00FB7CC4"/>
    <w:rsid w:val="00FB7D63"/>
    <w:rsid w:val="00FC0118"/>
    <w:rsid w:val="00FC0786"/>
    <w:rsid w:val="00FC17E8"/>
    <w:rsid w:val="00FC1AE3"/>
    <w:rsid w:val="00FC2344"/>
    <w:rsid w:val="00FC280A"/>
    <w:rsid w:val="00FC49EF"/>
    <w:rsid w:val="00FC65A7"/>
    <w:rsid w:val="00FC7BE1"/>
    <w:rsid w:val="00FD01D3"/>
    <w:rsid w:val="00FD2757"/>
    <w:rsid w:val="00FD32F4"/>
    <w:rsid w:val="00FD38E5"/>
    <w:rsid w:val="00FD402F"/>
    <w:rsid w:val="00FD4521"/>
    <w:rsid w:val="00FD463D"/>
    <w:rsid w:val="00FD5BA9"/>
    <w:rsid w:val="00FD6D85"/>
    <w:rsid w:val="00FE0DA1"/>
    <w:rsid w:val="00FE0E45"/>
    <w:rsid w:val="00FE1E9D"/>
    <w:rsid w:val="00FE1FA9"/>
    <w:rsid w:val="00FE26DB"/>
    <w:rsid w:val="00FE2D03"/>
    <w:rsid w:val="00FE2E4C"/>
    <w:rsid w:val="00FE3127"/>
    <w:rsid w:val="00FE36E2"/>
    <w:rsid w:val="00FE5A3C"/>
    <w:rsid w:val="00FE7259"/>
    <w:rsid w:val="00FE7AF5"/>
    <w:rsid w:val="00FF09ED"/>
    <w:rsid w:val="00FF0F92"/>
    <w:rsid w:val="00FF11AD"/>
    <w:rsid w:val="00FF23BB"/>
    <w:rsid w:val="00FF24EE"/>
    <w:rsid w:val="00FF2971"/>
    <w:rsid w:val="00FF2D00"/>
    <w:rsid w:val="00FF34D4"/>
    <w:rsid w:val="00FF3F42"/>
    <w:rsid w:val="00FF50C0"/>
    <w:rsid w:val="00FF76E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39CF"/>
  <w15:docId w15:val="{E7630F52-DAF8-4A58-8780-3365E9A6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A811CB"/>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unhideWhenUsed/>
    <w:qFormat/>
    <w:rsid w:val="00A17CB2"/>
    <w:rPr>
      <w:sz w:val="16"/>
      <w:szCs w:val="16"/>
    </w:rPr>
  </w:style>
  <w:style w:type="paragraph" w:styleId="Tekstkomentarza">
    <w:name w:val="annotation text"/>
    <w:basedOn w:val="Normalny"/>
    <w:link w:val="TekstkomentarzaZnak"/>
    <w:uiPriority w:val="99"/>
    <w:unhideWhenUsed/>
    <w:qFormat/>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highlight">
    <w:name w:val="highlight"/>
    <w:rsid w:val="00301207"/>
  </w:style>
  <w:style w:type="paragraph" w:customStyle="1" w:styleId="nieartteksttekstnieartykuowanynppreambua">
    <w:name w:val="nieartteksttekstnieartykuowanynppreambua"/>
    <w:basedOn w:val="Normalny"/>
    <w:qFormat/>
    <w:rsid w:val="00AC04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IEARTTEKSTtekstnieartykuowanynppreambua0">
    <w:name w:val="NIEART_TEKST – tekst nieartykułowany (np. preambuła)"/>
    <w:basedOn w:val="Normalny"/>
    <w:next w:val="Normalny"/>
    <w:link w:val="NIEARTTEKSTtekstnieartykuowanynppreambuaZnak"/>
    <w:qFormat/>
    <w:rsid w:val="00AC0498"/>
    <w:pPr>
      <w:suppressAutoHyphens/>
      <w:autoSpaceDE w:val="0"/>
      <w:autoSpaceDN w:val="0"/>
      <w:adjustRightInd w:val="0"/>
      <w:spacing w:before="120" w:line="360" w:lineRule="auto"/>
      <w:ind w:firstLine="510"/>
      <w:jc w:val="both"/>
    </w:pPr>
    <w:rPr>
      <w:rFonts w:ascii="Times" w:eastAsia="Times New Roman" w:hAnsi="Times" w:cs="Times"/>
      <w:sz w:val="24"/>
      <w:szCs w:val="20"/>
      <w:lang w:eastAsia="pl-PL"/>
    </w:rPr>
  </w:style>
  <w:style w:type="character" w:customStyle="1" w:styleId="NIEARTTEKSTtekstnieartykuowanynppreambuaZnak">
    <w:name w:val="NIEART_TEKST – tekst nieartykułowany (np. preambuła) Znak"/>
    <w:link w:val="NIEARTTEKSTtekstnieartykuowanynppreambua0"/>
    <w:locked/>
    <w:rsid w:val="00AC0498"/>
    <w:rPr>
      <w:rFonts w:ascii="Times" w:eastAsia="Times New Roman" w:hAnsi="Times" w:cs="Times"/>
      <w:sz w:val="24"/>
    </w:rPr>
  </w:style>
  <w:style w:type="character" w:customStyle="1" w:styleId="Nierozpoznanawzmianka1">
    <w:name w:val="Nierozpoznana wzmianka1"/>
    <w:uiPriority w:val="99"/>
    <w:semiHidden/>
    <w:unhideWhenUsed/>
    <w:rsid w:val="00DC1915"/>
    <w:rPr>
      <w:color w:val="605E5C"/>
      <w:shd w:val="clear" w:color="auto" w:fill="E1DFDD"/>
    </w:rPr>
  </w:style>
  <w:style w:type="paragraph" w:styleId="NormalnyWeb">
    <w:name w:val="Normal (Web)"/>
    <w:basedOn w:val="Normalny"/>
    <w:uiPriority w:val="99"/>
    <w:unhideWhenUsed/>
    <w:rsid w:val="0078511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785115"/>
    <w:rPr>
      <w:b/>
      <w:bCs/>
    </w:rPr>
  </w:style>
  <w:style w:type="paragraph" w:customStyle="1" w:styleId="Default">
    <w:name w:val="Default"/>
    <w:rsid w:val="00881751"/>
    <w:pPr>
      <w:autoSpaceDE w:val="0"/>
      <w:autoSpaceDN w:val="0"/>
      <w:adjustRightInd w:val="0"/>
    </w:pPr>
    <w:rPr>
      <w:rFonts w:ascii="Century Gothic" w:hAnsi="Century Gothic" w:cs="Century Gothic"/>
      <w:color w:val="000000"/>
      <w:sz w:val="24"/>
      <w:szCs w:val="24"/>
    </w:rPr>
  </w:style>
  <w:style w:type="paragraph" w:customStyle="1" w:styleId="rtejustify">
    <w:name w:val="rtejustify"/>
    <w:basedOn w:val="Normalny"/>
    <w:rsid w:val="00AA0F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jlqj4b">
    <w:name w:val="jlqj4b"/>
    <w:rsid w:val="00AA0F5D"/>
  </w:style>
  <w:style w:type="paragraph" w:styleId="Poprawka">
    <w:name w:val="Revision"/>
    <w:hidden/>
    <w:uiPriority w:val="99"/>
    <w:semiHidden/>
    <w:rsid w:val="009D3942"/>
    <w:rPr>
      <w:sz w:val="22"/>
      <w:szCs w:val="22"/>
      <w:lang w:eastAsia="en-US"/>
    </w:rPr>
  </w:style>
  <w:style w:type="character" w:customStyle="1" w:styleId="TekstkomentarzaZnak2">
    <w:name w:val="Tekst komentarza Znak2"/>
    <w:uiPriority w:val="99"/>
    <w:semiHidden/>
    <w:rsid w:val="005D24A9"/>
    <w:rPr>
      <w:rFonts w:ascii="Calibri" w:eastAsia="Calibri" w:hAnsi="Calibri" w:cs="Mangal"/>
      <w:kern w:val="1"/>
      <w:szCs w:val="18"/>
      <w:lang w:eastAsia="hi-IN" w:bidi="hi-IN"/>
    </w:rPr>
  </w:style>
  <w:style w:type="character" w:customStyle="1" w:styleId="Nagwek2Znak">
    <w:name w:val="Nagłówek 2 Znak"/>
    <w:link w:val="Nagwek2"/>
    <w:semiHidden/>
    <w:rsid w:val="00A811CB"/>
    <w:rPr>
      <w:rFonts w:ascii="Calibri Light" w:eastAsia="Times New Roman" w:hAnsi="Calibri Light" w:cs="Times New Roman"/>
      <w:b/>
      <w:bCs/>
      <w:i/>
      <w:iCs/>
      <w:sz w:val="28"/>
      <w:szCs w:val="28"/>
      <w:lang w:eastAsia="en-US"/>
    </w:rPr>
  </w:style>
  <w:style w:type="character" w:customStyle="1" w:styleId="lead">
    <w:name w:val="lead"/>
    <w:basedOn w:val="Domylnaczcionkaakapitu"/>
    <w:rsid w:val="006A7BAC"/>
  </w:style>
  <w:style w:type="paragraph" w:customStyle="1" w:styleId="Tekstakapitw">
    <w:name w:val="Tekst akapitów"/>
    <w:basedOn w:val="Normalny"/>
    <w:link w:val="TekstakapitwZnak"/>
    <w:qFormat/>
    <w:rsid w:val="00FF76EB"/>
    <w:pPr>
      <w:spacing w:before="240" w:line="360" w:lineRule="auto"/>
      <w:ind w:firstLine="709"/>
      <w:jc w:val="both"/>
    </w:pPr>
    <w:rPr>
      <w:rFonts w:ascii="Calibri Light" w:eastAsia="Times New Roman" w:hAnsi="Calibri Light"/>
      <w:szCs w:val="20"/>
      <w:lang w:eastAsia="en-GB"/>
    </w:rPr>
  </w:style>
  <w:style w:type="character" w:customStyle="1" w:styleId="TekstakapitwZnak">
    <w:name w:val="Tekst akapitów Znak"/>
    <w:link w:val="Tekstakapitw"/>
    <w:rsid w:val="00FF76EB"/>
    <w:rPr>
      <w:rFonts w:ascii="Calibri Light" w:eastAsia="Times New Roman" w:hAnsi="Calibri Light"/>
      <w:sz w:val="22"/>
      <w:lang w:eastAsia="en-GB"/>
    </w:rPr>
  </w:style>
  <w:style w:type="paragraph" w:customStyle="1" w:styleId="Punkty">
    <w:name w:val="Punkty"/>
    <w:basedOn w:val="Normalny"/>
    <w:link w:val="PunktyZnak"/>
    <w:qFormat/>
    <w:rsid w:val="00FF76EB"/>
    <w:pPr>
      <w:numPr>
        <w:numId w:val="16"/>
      </w:numPr>
      <w:spacing w:line="360" w:lineRule="auto"/>
      <w:ind w:left="851" w:hanging="425"/>
      <w:jc w:val="both"/>
    </w:pPr>
    <w:rPr>
      <w:rFonts w:ascii="Calibri Light" w:eastAsia="Times New Roman" w:hAnsi="Calibri Light" w:cs="Calibri Light"/>
      <w:szCs w:val="20"/>
      <w:lang w:eastAsia="en-GB"/>
    </w:rPr>
  </w:style>
  <w:style w:type="character" w:customStyle="1" w:styleId="PunktyZnak">
    <w:name w:val="Punkty Znak"/>
    <w:link w:val="Punkty"/>
    <w:rsid w:val="00FF76EB"/>
    <w:rPr>
      <w:rFonts w:ascii="Calibri Light" w:eastAsia="Times New Roman" w:hAnsi="Calibri Light" w:cs="Calibri Light"/>
      <w:sz w:val="22"/>
      <w:lang w:eastAsia="en-GB"/>
    </w:rPr>
  </w:style>
  <w:style w:type="paragraph" w:customStyle="1" w:styleId="Przypisdolny">
    <w:name w:val="Przypis dolny"/>
    <w:basedOn w:val="Tekstprzypisudolnego"/>
    <w:link w:val="PrzypisdolnyZnak"/>
    <w:qFormat/>
    <w:rsid w:val="00FF76EB"/>
    <w:pPr>
      <w:spacing w:line="240" w:lineRule="auto"/>
      <w:jc w:val="both"/>
    </w:pPr>
    <w:rPr>
      <w:rFonts w:ascii="Calibri Light" w:eastAsia="Times New Roman" w:hAnsi="Calibri Light" w:cs="Calibri Light"/>
      <w:sz w:val="18"/>
      <w:lang w:eastAsia="pl-PL"/>
    </w:rPr>
  </w:style>
  <w:style w:type="character" w:customStyle="1" w:styleId="PrzypisdolnyZnak">
    <w:name w:val="Przypis dolny Znak"/>
    <w:link w:val="Przypisdolny"/>
    <w:rsid w:val="00FF76EB"/>
    <w:rPr>
      <w:rFonts w:ascii="Calibri Light" w:eastAsia="Times New Roman" w:hAnsi="Calibri Light" w:cs="Calibri Light"/>
      <w:sz w:val="18"/>
    </w:rPr>
  </w:style>
  <w:style w:type="character" w:styleId="Uwydatnienie">
    <w:name w:val="Emphasis"/>
    <w:uiPriority w:val="20"/>
    <w:qFormat/>
    <w:locked/>
    <w:rsid w:val="0091791B"/>
    <w:rPr>
      <w:i/>
      <w:iCs/>
    </w:rPr>
  </w:style>
  <w:style w:type="character" w:customStyle="1" w:styleId="cf01">
    <w:name w:val="cf01"/>
    <w:rsid w:val="00AD7FA8"/>
    <w:rPr>
      <w:rFonts w:ascii="Segoe UI" w:hAnsi="Segoe UI" w:cs="Segoe UI" w:hint="default"/>
      <w:i/>
      <w:iCs/>
      <w:sz w:val="18"/>
      <w:szCs w:val="18"/>
    </w:rPr>
  </w:style>
  <w:style w:type="paragraph" w:customStyle="1" w:styleId="pf0">
    <w:name w:val="pf0"/>
    <w:basedOn w:val="Normalny"/>
    <w:rsid w:val="00AD7FA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E50DCD"/>
    <w:rPr>
      <w:color w:val="605E5C"/>
      <w:shd w:val="clear" w:color="auto" w:fill="E1DFDD"/>
    </w:rPr>
  </w:style>
  <w:style w:type="character" w:styleId="Tekstzastpczy">
    <w:name w:val="Placeholder Text"/>
    <w:basedOn w:val="Domylnaczcionkaakapitu"/>
    <w:uiPriority w:val="99"/>
    <w:semiHidden/>
    <w:rsid w:val="007808BC"/>
    <w:rPr>
      <w:color w:val="808080"/>
    </w:rPr>
  </w:style>
  <w:style w:type="paragraph" w:styleId="Tekstpodstawowy">
    <w:name w:val="Body Text"/>
    <w:basedOn w:val="Normalny"/>
    <w:link w:val="TekstpodstawowyZnak"/>
    <w:uiPriority w:val="99"/>
    <w:semiHidden/>
    <w:rsid w:val="00E47E31"/>
    <w:pPr>
      <w:spacing w:after="120"/>
    </w:pPr>
  </w:style>
  <w:style w:type="character" w:customStyle="1" w:styleId="TekstpodstawowyZnak">
    <w:name w:val="Tekst podstawowy Znak"/>
    <w:basedOn w:val="Domylnaczcionkaakapitu"/>
    <w:link w:val="Tekstpodstawowy"/>
    <w:uiPriority w:val="99"/>
    <w:semiHidden/>
    <w:rsid w:val="00E47E31"/>
    <w:rPr>
      <w:sz w:val="22"/>
      <w:szCs w:val="22"/>
      <w:lang w:eastAsia="en-US"/>
    </w:rPr>
  </w:style>
  <w:style w:type="paragraph" w:customStyle="1" w:styleId="ZUSTzmustartykuempunktem">
    <w:name w:val="Z/UST(§) – zm. ust. (§) artykułem (punktem)"/>
    <w:basedOn w:val="Normalny"/>
    <w:uiPriority w:val="30"/>
    <w:qFormat/>
    <w:rsid w:val="00DB75DA"/>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character" w:customStyle="1" w:styleId="articletitle">
    <w:name w:val="articletitle"/>
    <w:basedOn w:val="Domylnaczcionkaakapitu"/>
    <w:rsid w:val="00DB75DA"/>
  </w:style>
  <w:style w:type="paragraph" w:styleId="Bezodstpw">
    <w:name w:val="No Spacing"/>
    <w:uiPriority w:val="1"/>
    <w:qFormat/>
    <w:rsid w:val="00DB75DA"/>
    <w:rPr>
      <w:sz w:val="22"/>
      <w:szCs w:val="22"/>
      <w:lang w:eastAsia="en-US"/>
    </w:rPr>
  </w:style>
  <w:style w:type="character" w:customStyle="1" w:styleId="Nierozpoznanawzmianka3">
    <w:name w:val="Nierozpoznana wzmianka3"/>
    <w:basedOn w:val="Domylnaczcionkaakapitu"/>
    <w:uiPriority w:val="99"/>
    <w:semiHidden/>
    <w:unhideWhenUsed/>
    <w:rsid w:val="003C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29">
      <w:bodyDiv w:val="1"/>
      <w:marLeft w:val="0"/>
      <w:marRight w:val="0"/>
      <w:marTop w:val="0"/>
      <w:marBottom w:val="0"/>
      <w:divBdr>
        <w:top w:val="none" w:sz="0" w:space="0" w:color="auto"/>
        <w:left w:val="none" w:sz="0" w:space="0" w:color="auto"/>
        <w:bottom w:val="none" w:sz="0" w:space="0" w:color="auto"/>
        <w:right w:val="none" w:sz="0" w:space="0" w:color="auto"/>
      </w:divBdr>
    </w:div>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49958819">
      <w:bodyDiv w:val="1"/>
      <w:marLeft w:val="0"/>
      <w:marRight w:val="0"/>
      <w:marTop w:val="0"/>
      <w:marBottom w:val="0"/>
      <w:divBdr>
        <w:top w:val="none" w:sz="0" w:space="0" w:color="auto"/>
        <w:left w:val="none" w:sz="0" w:space="0" w:color="auto"/>
        <w:bottom w:val="none" w:sz="0" w:space="0" w:color="auto"/>
        <w:right w:val="none" w:sz="0" w:space="0" w:color="auto"/>
      </w:divBdr>
    </w:div>
    <w:div w:id="132022193">
      <w:bodyDiv w:val="1"/>
      <w:marLeft w:val="0"/>
      <w:marRight w:val="0"/>
      <w:marTop w:val="0"/>
      <w:marBottom w:val="0"/>
      <w:divBdr>
        <w:top w:val="none" w:sz="0" w:space="0" w:color="auto"/>
        <w:left w:val="none" w:sz="0" w:space="0" w:color="auto"/>
        <w:bottom w:val="none" w:sz="0" w:space="0" w:color="auto"/>
        <w:right w:val="none" w:sz="0" w:space="0" w:color="auto"/>
      </w:divBdr>
    </w:div>
    <w:div w:id="159395964">
      <w:bodyDiv w:val="1"/>
      <w:marLeft w:val="0"/>
      <w:marRight w:val="0"/>
      <w:marTop w:val="0"/>
      <w:marBottom w:val="0"/>
      <w:divBdr>
        <w:top w:val="none" w:sz="0" w:space="0" w:color="auto"/>
        <w:left w:val="none" w:sz="0" w:space="0" w:color="auto"/>
        <w:bottom w:val="none" w:sz="0" w:space="0" w:color="auto"/>
        <w:right w:val="none" w:sz="0" w:space="0" w:color="auto"/>
      </w:divBdr>
    </w:div>
    <w:div w:id="167065604">
      <w:bodyDiv w:val="1"/>
      <w:marLeft w:val="0"/>
      <w:marRight w:val="0"/>
      <w:marTop w:val="0"/>
      <w:marBottom w:val="0"/>
      <w:divBdr>
        <w:top w:val="none" w:sz="0" w:space="0" w:color="auto"/>
        <w:left w:val="none" w:sz="0" w:space="0" w:color="auto"/>
        <w:bottom w:val="none" w:sz="0" w:space="0" w:color="auto"/>
        <w:right w:val="none" w:sz="0" w:space="0" w:color="auto"/>
      </w:divBdr>
    </w:div>
    <w:div w:id="172767271">
      <w:bodyDiv w:val="1"/>
      <w:marLeft w:val="0"/>
      <w:marRight w:val="0"/>
      <w:marTop w:val="0"/>
      <w:marBottom w:val="0"/>
      <w:divBdr>
        <w:top w:val="none" w:sz="0" w:space="0" w:color="auto"/>
        <w:left w:val="none" w:sz="0" w:space="0" w:color="auto"/>
        <w:bottom w:val="none" w:sz="0" w:space="0" w:color="auto"/>
        <w:right w:val="none" w:sz="0" w:space="0" w:color="auto"/>
      </w:divBdr>
    </w:div>
    <w:div w:id="197664752">
      <w:bodyDiv w:val="1"/>
      <w:marLeft w:val="0"/>
      <w:marRight w:val="0"/>
      <w:marTop w:val="0"/>
      <w:marBottom w:val="0"/>
      <w:divBdr>
        <w:top w:val="none" w:sz="0" w:space="0" w:color="auto"/>
        <w:left w:val="none" w:sz="0" w:space="0" w:color="auto"/>
        <w:bottom w:val="none" w:sz="0" w:space="0" w:color="auto"/>
        <w:right w:val="none" w:sz="0" w:space="0" w:color="auto"/>
      </w:divBdr>
      <w:divsChild>
        <w:div w:id="1007951114">
          <w:marLeft w:val="0"/>
          <w:marRight w:val="0"/>
          <w:marTop w:val="0"/>
          <w:marBottom w:val="0"/>
          <w:divBdr>
            <w:top w:val="none" w:sz="0" w:space="0" w:color="auto"/>
            <w:left w:val="none" w:sz="0" w:space="0" w:color="auto"/>
            <w:bottom w:val="none" w:sz="0" w:space="0" w:color="auto"/>
            <w:right w:val="none" w:sz="0" w:space="0" w:color="auto"/>
          </w:divBdr>
        </w:div>
        <w:div w:id="1898861202">
          <w:marLeft w:val="0"/>
          <w:marRight w:val="0"/>
          <w:marTop w:val="0"/>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47270891">
      <w:bodyDiv w:val="1"/>
      <w:marLeft w:val="0"/>
      <w:marRight w:val="0"/>
      <w:marTop w:val="0"/>
      <w:marBottom w:val="0"/>
      <w:divBdr>
        <w:top w:val="none" w:sz="0" w:space="0" w:color="auto"/>
        <w:left w:val="none" w:sz="0" w:space="0" w:color="auto"/>
        <w:bottom w:val="none" w:sz="0" w:space="0" w:color="auto"/>
        <w:right w:val="none" w:sz="0" w:space="0" w:color="auto"/>
      </w:divBdr>
    </w:div>
    <w:div w:id="273485026">
      <w:bodyDiv w:val="1"/>
      <w:marLeft w:val="0"/>
      <w:marRight w:val="0"/>
      <w:marTop w:val="0"/>
      <w:marBottom w:val="0"/>
      <w:divBdr>
        <w:top w:val="none" w:sz="0" w:space="0" w:color="auto"/>
        <w:left w:val="none" w:sz="0" w:space="0" w:color="auto"/>
        <w:bottom w:val="none" w:sz="0" w:space="0" w:color="auto"/>
        <w:right w:val="none" w:sz="0" w:space="0" w:color="auto"/>
      </w:divBdr>
    </w:div>
    <w:div w:id="292709970">
      <w:bodyDiv w:val="1"/>
      <w:marLeft w:val="0"/>
      <w:marRight w:val="0"/>
      <w:marTop w:val="0"/>
      <w:marBottom w:val="0"/>
      <w:divBdr>
        <w:top w:val="none" w:sz="0" w:space="0" w:color="auto"/>
        <w:left w:val="none" w:sz="0" w:space="0" w:color="auto"/>
        <w:bottom w:val="none" w:sz="0" w:space="0" w:color="auto"/>
        <w:right w:val="none" w:sz="0" w:space="0" w:color="auto"/>
      </w:divBdr>
    </w:div>
    <w:div w:id="426004856">
      <w:bodyDiv w:val="1"/>
      <w:marLeft w:val="0"/>
      <w:marRight w:val="0"/>
      <w:marTop w:val="0"/>
      <w:marBottom w:val="0"/>
      <w:divBdr>
        <w:top w:val="none" w:sz="0" w:space="0" w:color="auto"/>
        <w:left w:val="none" w:sz="0" w:space="0" w:color="auto"/>
        <w:bottom w:val="none" w:sz="0" w:space="0" w:color="auto"/>
        <w:right w:val="none" w:sz="0" w:space="0" w:color="auto"/>
      </w:divBdr>
    </w:div>
    <w:div w:id="480197296">
      <w:bodyDiv w:val="1"/>
      <w:marLeft w:val="0"/>
      <w:marRight w:val="0"/>
      <w:marTop w:val="0"/>
      <w:marBottom w:val="0"/>
      <w:divBdr>
        <w:top w:val="none" w:sz="0" w:space="0" w:color="auto"/>
        <w:left w:val="none" w:sz="0" w:space="0" w:color="auto"/>
        <w:bottom w:val="none" w:sz="0" w:space="0" w:color="auto"/>
        <w:right w:val="none" w:sz="0" w:space="0" w:color="auto"/>
      </w:divBdr>
    </w:div>
    <w:div w:id="48682803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42084738">
      <w:bodyDiv w:val="1"/>
      <w:marLeft w:val="0"/>
      <w:marRight w:val="0"/>
      <w:marTop w:val="0"/>
      <w:marBottom w:val="0"/>
      <w:divBdr>
        <w:top w:val="none" w:sz="0" w:space="0" w:color="auto"/>
        <w:left w:val="none" w:sz="0" w:space="0" w:color="auto"/>
        <w:bottom w:val="none" w:sz="0" w:space="0" w:color="auto"/>
        <w:right w:val="none" w:sz="0" w:space="0" w:color="auto"/>
      </w:divBdr>
    </w:div>
    <w:div w:id="670836950">
      <w:bodyDiv w:val="1"/>
      <w:marLeft w:val="0"/>
      <w:marRight w:val="0"/>
      <w:marTop w:val="0"/>
      <w:marBottom w:val="0"/>
      <w:divBdr>
        <w:top w:val="none" w:sz="0" w:space="0" w:color="auto"/>
        <w:left w:val="none" w:sz="0" w:space="0" w:color="auto"/>
        <w:bottom w:val="none" w:sz="0" w:space="0" w:color="auto"/>
        <w:right w:val="none" w:sz="0" w:space="0" w:color="auto"/>
      </w:divBdr>
    </w:div>
    <w:div w:id="774131085">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1436698">
      <w:bodyDiv w:val="1"/>
      <w:marLeft w:val="0"/>
      <w:marRight w:val="0"/>
      <w:marTop w:val="0"/>
      <w:marBottom w:val="0"/>
      <w:divBdr>
        <w:top w:val="none" w:sz="0" w:space="0" w:color="auto"/>
        <w:left w:val="none" w:sz="0" w:space="0" w:color="auto"/>
        <w:bottom w:val="none" w:sz="0" w:space="0" w:color="auto"/>
        <w:right w:val="none" w:sz="0" w:space="0" w:color="auto"/>
      </w:divBdr>
    </w:div>
    <w:div w:id="884828867">
      <w:bodyDiv w:val="1"/>
      <w:marLeft w:val="0"/>
      <w:marRight w:val="0"/>
      <w:marTop w:val="0"/>
      <w:marBottom w:val="0"/>
      <w:divBdr>
        <w:top w:val="none" w:sz="0" w:space="0" w:color="auto"/>
        <w:left w:val="none" w:sz="0" w:space="0" w:color="auto"/>
        <w:bottom w:val="none" w:sz="0" w:space="0" w:color="auto"/>
        <w:right w:val="none" w:sz="0" w:space="0" w:color="auto"/>
      </w:divBdr>
    </w:div>
    <w:div w:id="919607607">
      <w:bodyDiv w:val="1"/>
      <w:marLeft w:val="0"/>
      <w:marRight w:val="0"/>
      <w:marTop w:val="0"/>
      <w:marBottom w:val="0"/>
      <w:divBdr>
        <w:top w:val="none" w:sz="0" w:space="0" w:color="auto"/>
        <w:left w:val="none" w:sz="0" w:space="0" w:color="auto"/>
        <w:bottom w:val="none" w:sz="0" w:space="0" w:color="auto"/>
        <w:right w:val="none" w:sz="0" w:space="0" w:color="auto"/>
      </w:divBdr>
    </w:div>
    <w:div w:id="930312782">
      <w:bodyDiv w:val="1"/>
      <w:marLeft w:val="0"/>
      <w:marRight w:val="0"/>
      <w:marTop w:val="0"/>
      <w:marBottom w:val="0"/>
      <w:divBdr>
        <w:top w:val="none" w:sz="0" w:space="0" w:color="auto"/>
        <w:left w:val="none" w:sz="0" w:space="0" w:color="auto"/>
        <w:bottom w:val="none" w:sz="0" w:space="0" w:color="auto"/>
        <w:right w:val="none" w:sz="0" w:space="0" w:color="auto"/>
      </w:divBdr>
      <w:divsChild>
        <w:div w:id="150216544">
          <w:marLeft w:val="0"/>
          <w:marRight w:val="0"/>
          <w:marTop w:val="0"/>
          <w:marBottom w:val="0"/>
          <w:divBdr>
            <w:top w:val="none" w:sz="0" w:space="0" w:color="auto"/>
            <w:left w:val="none" w:sz="0" w:space="0" w:color="auto"/>
            <w:bottom w:val="none" w:sz="0" w:space="0" w:color="auto"/>
            <w:right w:val="none" w:sz="0" w:space="0" w:color="auto"/>
          </w:divBdr>
        </w:div>
        <w:div w:id="922110606">
          <w:marLeft w:val="0"/>
          <w:marRight w:val="0"/>
          <w:marTop w:val="0"/>
          <w:marBottom w:val="0"/>
          <w:divBdr>
            <w:top w:val="none" w:sz="0" w:space="0" w:color="auto"/>
            <w:left w:val="none" w:sz="0" w:space="0" w:color="auto"/>
            <w:bottom w:val="none" w:sz="0" w:space="0" w:color="auto"/>
            <w:right w:val="none" w:sz="0" w:space="0" w:color="auto"/>
          </w:divBdr>
        </w:div>
      </w:divsChild>
    </w:div>
    <w:div w:id="992951634">
      <w:bodyDiv w:val="1"/>
      <w:marLeft w:val="0"/>
      <w:marRight w:val="0"/>
      <w:marTop w:val="0"/>
      <w:marBottom w:val="0"/>
      <w:divBdr>
        <w:top w:val="none" w:sz="0" w:space="0" w:color="auto"/>
        <w:left w:val="none" w:sz="0" w:space="0" w:color="auto"/>
        <w:bottom w:val="none" w:sz="0" w:space="0" w:color="auto"/>
        <w:right w:val="none" w:sz="0" w:space="0" w:color="auto"/>
      </w:divBdr>
    </w:div>
    <w:div w:id="999769719">
      <w:bodyDiv w:val="1"/>
      <w:marLeft w:val="0"/>
      <w:marRight w:val="0"/>
      <w:marTop w:val="0"/>
      <w:marBottom w:val="0"/>
      <w:divBdr>
        <w:top w:val="none" w:sz="0" w:space="0" w:color="auto"/>
        <w:left w:val="none" w:sz="0" w:space="0" w:color="auto"/>
        <w:bottom w:val="none" w:sz="0" w:space="0" w:color="auto"/>
        <w:right w:val="none" w:sz="0" w:space="0" w:color="auto"/>
      </w:divBdr>
    </w:div>
    <w:div w:id="104575884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26697346">
      <w:bodyDiv w:val="1"/>
      <w:marLeft w:val="0"/>
      <w:marRight w:val="0"/>
      <w:marTop w:val="0"/>
      <w:marBottom w:val="0"/>
      <w:divBdr>
        <w:top w:val="none" w:sz="0" w:space="0" w:color="auto"/>
        <w:left w:val="none" w:sz="0" w:space="0" w:color="auto"/>
        <w:bottom w:val="none" w:sz="0" w:space="0" w:color="auto"/>
        <w:right w:val="none" w:sz="0" w:space="0" w:color="auto"/>
      </w:divBdr>
    </w:div>
    <w:div w:id="1226405891">
      <w:bodyDiv w:val="1"/>
      <w:marLeft w:val="0"/>
      <w:marRight w:val="0"/>
      <w:marTop w:val="0"/>
      <w:marBottom w:val="0"/>
      <w:divBdr>
        <w:top w:val="none" w:sz="0" w:space="0" w:color="auto"/>
        <w:left w:val="none" w:sz="0" w:space="0" w:color="auto"/>
        <w:bottom w:val="none" w:sz="0" w:space="0" w:color="auto"/>
        <w:right w:val="none" w:sz="0" w:space="0" w:color="auto"/>
      </w:divBdr>
    </w:div>
    <w:div w:id="1249578461">
      <w:bodyDiv w:val="1"/>
      <w:marLeft w:val="0"/>
      <w:marRight w:val="0"/>
      <w:marTop w:val="0"/>
      <w:marBottom w:val="0"/>
      <w:divBdr>
        <w:top w:val="none" w:sz="0" w:space="0" w:color="auto"/>
        <w:left w:val="none" w:sz="0" w:space="0" w:color="auto"/>
        <w:bottom w:val="none" w:sz="0" w:space="0" w:color="auto"/>
        <w:right w:val="none" w:sz="0" w:space="0" w:color="auto"/>
      </w:divBdr>
    </w:div>
    <w:div w:id="1266575143">
      <w:bodyDiv w:val="1"/>
      <w:marLeft w:val="0"/>
      <w:marRight w:val="0"/>
      <w:marTop w:val="0"/>
      <w:marBottom w:val="0"/>
      <w:divBdr>
        <w:top w:val="none" w:sz="0" w:space="0" w:color="auto"/>
        <w:left w:val="none" w:sz="0" w:space="0" w:color="auto"/>
        <w:bottom w:val="none" w:sz="0" w:space="0" w:color="auto"/>
        <w:right w:val="none" w:sz="0" w:space="0" w:color="auto"/>
      </w:divBdr>
    </w:div>
    <w:div w:id="1267688129">
      <w:bodyDiv w:val="1"/>
      <w:marLeft w:val="0"/>
      <w:marRight w:val="0"/>
      <w:marTop w:val="0"/>
      <w:marBottom w:val="0"/>
      <w:divBdr>
        <w:top w:val="none" w:sz="0" w:space="0" w:color="auto"/>
        <w:left w:val="none" w:sz="0" w:space="0" w:color="auto"/>
        <w:bottom w:val="none" w:sz="0" w:space="0" w:color="auto"/>
        <w:right w:val="none" w:sz="0" w:space="0" w:color="auto"/>
      </w:divBdr>
    </w:div>
    <w:div w:id="1285044903">
      <w:bodyDiv w:val="1"/>
      <w:marLeft w:val="0"/>
      <w:marRight w:val="0"/>
      <w:marTop w:val="0"/>
      <w:marBottom w:val="0"/>
      <w:divBdr>
        <w:top w:val="none" w:sz="0" w:space="0" w:color="auto"/>
        <w:left w:val="none" w:sz="0" w:space="0" w:color="auto"/>
        <w:bottom w:val="none" w:sz="0" w:space="0" w:color="auto"/>
        <w:right w:val="none" w:sz="0" w:space="0" w:color="auto"/>
      </w:divBdr>
      <w:divsChild>
        <w:div w:id="1285313691">
          <w:marLeft w:val="0"/>
          <w:marRight w:val="0"/>
          <w:marTop w:val="0"/>
          <w:marBottom w:val="0"/>
          <w:divBdr>
            <w:top w:val="none" w:sz="0" w:space="0" w:color="auto"/>
            <w:left w:val="none" w:sz="0" w:space="0" w:color="auto"/>
            <w:bottom w:val="none" w:sz="0" w:space="0" w:color="auto"/>
            <w:right w:val="none" w:sz="0" w:space="0" w:color="auto"/>
          </w:divBdr>
        </w:div>
      </w:divsChild>
    </w:div>
    <w:div w:id="1286614528">
      <w:bodyDiv w:val="1"/>
      <w:marLeft w:val="0"/>
      <w:marRight w:val="0"/>
      <w:marTop w:val="0"/>
      <w:marBottom w:val="0"/>
      <w:divBdr>
        <w:top w:val="none" w:sz="0" w:space="0" w:color="auto"/>
        <w:left w:val="none" w:sz="0" w:space="0" w:color="auto"/>
        <w:bottom w:val="none" w:sz="0" w:space="0" w:color="auto"/>
        <w:right w:val="none" w:sz="0" w:space="0" w:color="auto"/>
      </w:divBdr>
    </w:div>
    <w:div w:id="1287855957">
      <w:bodyDiv w:val="1"/>
      <w:marLeft w:val="0"/>
      <w:marRight w:val="0"/>
      <w:marTop w:val="0"/>
      <w:marBottom w:val="0"/>
      <w:divBdr>
        <w:top w:val="none" w:sz="0" w:space="0" w:color="auto"/>
        <w:left w:val="none" w:sz="0" w:space="0" w:color="auto"/>
        <w:bottom w:val="none" w:sz="0" w:space="0" w:color="auto"/>
        <w:right w:val="none" w:sz="0" w:space="0" w:color="auto"/>
      </w:divBdr>
    </w:div>
    <w:div w:id="1304650876">
      <w:bodyDiv w:val="1"/>
      <w:marLeft w:val="0"/>
      <w:marRight w:val="0"/>
      <w:marTop w:val="0"/>
      <w:marBottom w:val="0"/>
      <w:divBdr>
        <w:top w:val="none" w:sz="0" w:space="0" w:color="auto"/>
        <w:left w:val="none" w:sz="0" w:space="0" w:color="auto"/>
        <w:bottom w:val="none" w:sz="0" w:space="0" w:color="auto"/>
        <w:right w:val="none" w:sz="0" w:space="0" w:color="auto"/>
      </w:divBdr>
    </w:div>
    <w:div w:id="137916477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26149409">
      <w:bodyDiv w:val="1"/>
      <w:marLeft w:val="0"/>
      <w:marRight w:val="0"/>
      <w:marTop w:val="0"/>
      <w:marBottom w:val="0"/>
      <w:divBdr>
        <w:top w:val="none" w:sz="0" w:space="0" w:color="auto"/>
        <w:left w:val="none" w:sz="0" w:space="0" w:color="auto"/>
        <w:bottom w:val="none" w:sz="0" w:space="0" w:color="auto"/>
        <w:right w:val="none" w:sz="0" w:space="0" w:color="auto"/>
      </w:divBdr>
    </w:div>
    <w:div w:id="1434201388">
      <w:bodyDiv w:val="1"/>
      <w:marLeft w:val="0"/>
      <w:marRight w:val="0"/>
      <w:marTop w:val="0"/>
      <w:marBottom w:val="0"/>
      <w:divBdr>
        <w:top w:val="none" w:sz="0" w:space="0" w:color="auto"/>
        <w:left w:val="none" w:sz="0" w:space="0" w:color="auto"/>
        <w:bottom w:val="none" w:sz="0" w:space="0" w:color="auto"/>
        <w:right w:val="none" w:sz="0" w:space="0" w:color="auto"/>
      </w:divBdr>
    </w:div>
    <w:div w:id="1448088846">
      <w:bodyDiv w:val="1"/>
      <w:marLeft w:val="0"/>
      <w:marRight w:val="0"/>
      <w:marTop w:val="0"/>
      <w:marBottom w:val="0"/>
      <w:divBdr>
        <w:top w:val="none" w:sz="0" w:space="0" w:color="auto"/>
        <w:left w:val="none" w:sz="0" w:space="0" w:color="auto"/>
        <w:bottom w:val="none" w:sz="0" w:space="0" w:color="auto"/>
        <w:right w:val="none" w:sz="0" w:space="0" w:color="auto"/>
      </w:divBdr>
      <w:divsChild>
        <w:div w:id="1885210441">
          <w:marLeft w:val="0"/>
          <w:marRight w:val="0"/>
          <w:marTop w:val="0"/>
          <w:marBottom w:val="0"/>
          <w:divBdr>
            <w:top w:val="none" w:sz="0" w:space="0" w:color="auto"/>
            <w:left w:val="none" w:sz="0" w:space="0" w:color="auto"/>
            <w:bottom w:val="none" w:sz="0" w:space="0" w:color="auto"/>
            <w:right w:val="none" w:sz="0" w:space="0" w:color="auto"/>
          </w:divBdr>
        </w:div>
        <w:div w:id="348068374">
          <w:marLeft w:val="0"/>
          <w:marRight w:val="0"/>
          <w:marTop w:val="0"/>
          <w:marBottom w:val="0"/>
          <w:divBdr>
            <w:top w:val="none" w:sz="0" w:space="0" w:color="auto"/>
            <w:left w:val="none" w:sz="0" w:space="0" w:color="auto"/>
            <w:bottom w:val="none" w:sz="0" w:space="0" w:color="auto"/>
            <w:right w:val="none" w:sz="0" w:space="0" w:color="auto"/>
          </w:divBdr>
          <w:divsChild>
            <w:div w:id="696348447">
              <w:marLeft w:val="0"/>
              <w:marRight w:val="0"/>
              <w:marTop w:val="0"/>
              <w:marBottom w:val="0"/>
              <w:divBdr>
                <w:top w:val="none" w:sz="0" w:space="0" w:color="auto"/>
                <w:left w:val="none" w:sz="0" w:space="0" w:color="auto"/>
                <w:bottom w:val="none" w:sz="0" w:space="0" w:color="auto"/>
                <w:right w:val="none" w:sz="0" w:space="0" w:color="auto"/>
              </w:divBdr>
              <w:divsChild>
                <w:div w:id="3717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2209">
      <w:bodyDiv w:val="1"/>
      <w:marLeft w:val="0"/>
      <w:marRight w:val="0"/>
      <w:marTop w:val="0"/>
      <w:marBottom w:val="0"/>
      <w:divBdr>
        <w:top w:val="none" w:sz="0" w:space="0" w:color="auto"/>
        <w:left w:val="none" w:sz="0" w:space="0" w:color="auto"/>
        <w:bottom w:val="none" w:sz="0" w:space="0" w:color="auto"/>
        <w:right w:val="none" w:sz="0" w:space="0" w:color="auto"/>
      </w:divBdr>
    </w:div>
    <w:div w:id="1625378958">
      <w:bodyDiv w:val="1"/>
      <w:marLeft w:val="0"/>
      <w:marRight w:val="0"/>
      <w:marTop w:val="0"/>
      <w:marBottom w:val="0"/>
      <w:divBdr>
        <w:top w:val="none" w:sz="0" w:space="0" w:color="auto"/>
        <w:left w:val="none" w:sz="0" w:space="0" w:color="auto"/>
        <w:bottom w:val="none" w:sz="0" w:space="0" w:color="auto"/>
        <w:right w:val="none" w:sz="0" w:space="0" w:color="auto"/>
      </w:divBdr>
    </w:div>
    <w:div w:id="1696996830">
      <w:bodyDiv w:val="1"/>
      <w:marLeft w:val="0"/>
      <w:marRight w:val="0"/>
      <w:marTop w:val="0"/>
      <w:marBottom w:val="0"/>
      <w:divBdr>
        <w:top w:val="none" w:sz="0" w:space="0" w:color="auto"/>
        <w:left w:val="none" w:sz="0" w:space="0" w:color="auto"/>
        <w:bottom w:val="none" w:sz="0" w:space="0" w:color="auto"/>
        <w:right w:val="none" w:sz="0" w:space="0" w:color="auto"/>
      </w:divBdr>
    </w:div>
    <w:div w:id="1743258688">
      <w:bodyDiv w:val="1"/>
      <w:marLeft w:val="0"/>
      <w:marRight w:val="0"/>
      <w:marTop w:val="0"/>
      <w:marBottom w:val="0"/>
      <w:divBdr>
        <w:top w:val="none" w:sz="0" w:space="0" w:color="auto"/>
        <w:left w:val="none" w:sz="0" w:space="0" w:color="auto"/>
        <w:bottom w:val="none" w:sz="0" w:space="0" w:color="auto"/>
        <w:right w:val="none" w:sz="0" w:space="0" w:color="auto"/>
      </w:divBdr>
    </w:div>
    <w:div w:id="1747263005">
      <w:bodyDiv w:val="1"/>
      <w:marLeft w:val="0"/>
      <w:marRight w:val="0"/>
      <w:marTop w:val="0"/>
      <w:marBottom w:val="0"/>
      <w:divBdr>
        <w:top w:val="none" w:sz="0" w:space="0" w:color="auto"/>
        <w:left w:val="none" w:sz="0" w:space="0" w:color="auto"/>
        <w:bottom w:val="none" w:sz="0" w:space="0" w:color="auto"/>
        <w:right w:val="none" w:sz="0" w:space="0" w:color="auto"/>
      </w:divBdr>
    </w:div>
    <w:div w:id="1782258239">
      <w:bodyDiv w:val="1"/>
      <w:marLeft w:val="0"/>
      <w:marRight w:val="0"/>
      <w:marTop w:val="0"/>
      <w:marBottom w:val="0"/>
      <w:divBdr>
        <w:top w:val="none" w:sz="0" w:space="0" w:color="auto"/>
        <w:left w:val="none" w:sz="0" w:space="0" w:color="auto"/>
        <w:bottom w:val="none" w:sz="0" w:space="0" w:color="auto"/>
        <w:right w:val="none" w:sz="0" w:space="0" w:color="auto"/>
      </w:divBdr>
    </w:div>
    <w:div w:id="1793406073">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1964403">
      <w:bodyDiv w:val="1"/>
      <w:marLeft w:val="0"/>
      <w:marRight w:val="0"/>
      <w:marTop w:val="0"/>
      <w:marBottom w:val="0"/>
      <w:divBdr>
        <w:top w:val="none" w:sz="0" w:space="0" w:color="auto"/>
        <w:left w:val="none" w:sz="0" w:space="0" w:color="auto"/>
        <w:bottom w:val="none" w:sz="0" w:space="0" w:color="auto"/>
        <w:right w:val="none" w:sz="0" w:space="0" w:color="auto"/>
      </w:divBdr>
    </w:div>
    <w:div w:id="1866358168">
      <w:bodyDiv w:val="1"/>
      <w:marLeft w:val="0"/>
      <w:marRight w:val="0"/>
      <w:marTop w:val="0"/>
      <w:marBottom w:val="0"/>
      <w:divBdr>
        <w:top w:val="none" w:sz="0" w:space="0" w:color="auto"/>
        <w:left w:val="none" w:sz="0" w:space="0" w:color="auto"/>
        <w:bottom w:val="none" w:sz="0" w:space="0" w:color="auto"/>
        <w:right w:val="none" w:sz="0" w:space="0" w:color="auto"/>
      </w:divBdr>
    </w:div>
    <w:div w:id="1867788900">
      <w:bodyDiv w:val="1"/>
      <w:marLeft w:val="0"/>
      <w:marRight w:val="0"/>
      <w:marTop w:val="0"/>
      <w:marBottom w:val="0"/>
      <w:divBdr>
        <w:top w:val="none" w:sz="0" w:space="0" w:color="auto"/>
        <w:left w:val="none" w:sz="0" w:space="0" w:color="auto"/>
        <w:bottom w:val="none" w:sz="0" w:space="0" w:color="auto"/>
        <w:right w:val="none" w:sz="0" w:space="0" w:color="auto"/>
      </w:divBdr>
    </w:div>
    <w:div w:id="190298023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54512249">
      <w:bodyDiv w:val="1"/>
      <w:marLeft w:val="0"/>
      <w:marRight w:val="0"/>
      <w:marTop w:val="0"/>
      <w:marBottom w:val="0"/>
      <w:divBdr>
        <w:top w:val="none" w:sz="0" w:space="0" w:color="auto"/>
        <w:left w:val="none" w:sz="0" w:space="0" w:color="auto"/>
        <w:bottom w:val="none" w:sz="0" w:space="0" w:color="auto"/>
        <w:right w:val="none" w:sz="0" w:space="0" w:color="auto"/>
      </w:divBdr>
    </w:div>
    <w:div w:id="2068335608">
      <w:bodyDiv w:val="1"/>
      <w:marLeft w:val="0"/>
      <w:marRight w:val="0"/>
      <w:marTop w:val="0"/>
      <w:marBottom w:val="0"/>
      <w:divBdr>
        <w:top w:val="none" w:sz="0" w:space="0" w:color="auto"/>
        <w:left w:val="none" w:sz="0" w:space="0" w:color="auto"/>
        <w:bottom w:val="none" w:sz="0" w:space="0" w:color="auto"/>
        <w:right w:val="none" w:sz="0" w:space="0" w:color="auto"/>
      </w:divBdr>
      <w:divsChild>
        <w:div w:id="460810439">
          <w:marLeft w:val="0"/>
          <w:marRight w:val="0"/>
          <w:marTop w:val="0"/>
          <w:marBottom w:val="0"/>
          <w:divBdr>
            <w:top w:val="none" w:sz="0" w:space="0" w:color="auto"/>
            <w:left w:val="none" w:sz="0" w:space="0" w:color="auto"/>
            <w:bottom w:val="none" w:sz="0" w:space="0" w:color="auto"/>
            <w:right w:val="none" w:sz="0" w:space="0" w:color="auto"/>
          </w:divBdr>
          <w:divsChild>
            <w:div w:id="1768648916">
              <w:marLeft w:val="0"/>
              <w:marRight w:val="0"/>
              <w:marTop w:val="0"/>
              <w:marBottom w:val="0"/>
              <w:divBdr>
                <w:top w:val="none" w:sz="0" w:space="0" w:color="auto"/>
                <w:left w:val="none" w:sz="0" w:space="0" w:color="auto"/>
                <w:bottom w:val="none" w:sz="0" w:space="0" w:color="auto"/>
                <w:right w:val="none" w:sz="0" w:space="0" w:color="auto"/>
              </w:divBdr>
            </w:div>
          </w:divsChild>
        </w:div>
        <w:div w:id="719981555">
          <w:marLeft w:val="0"/>
          <w:marRight w:val="0"/>
          <w:marTop w:val="0"/>
          <w:marBottom w:val="0"/>
          <w:divBdr>
            <w:top w:val="none" w:sz="0" w:space="0" w:color="auto"/>
            <w:left w:val="none" w:sz="0" w:space="0" w:color="auto"/>
            <w:bottom w:val="none" w:sz="0" w:space="0" w:color="auto"/>
            <w:right w:val="none" w:sz="0" w:space="0" w:color="auto"/>
          </w:divBdr>
          <w:divsChild>
            <w:div w:id="600719122">
              <w:marLeft w:val="0"/>
              <w:marRight w:val="0"/>
              <w:marTop w:val="0"/>
              <w:marBottom w:val="0"/>
              <w:divBdr>
                <w:top w:val="none" w:sz="0" w:space="0" w:color="auto"/>
                <w:left w:val="none" w:sz="0" w:space="0" w:color="auto"/>
                <w:bottom w:val="none" w:sz="0" w:space="0" w:color="auto"/>
                <w:right w:val="none" w:sz="0" w:space="0" w:color="auto"/>
              </w:divBdr>
            </w:div>
          </w:divsChild>
        </w:div>
        <w:div w:id="1425374518">
          <w:marLeft w:val="0"/>
          <w:marRight w:val="0"/>
          <w:marTop w:val="0"/>
          <w:marBottom w:val="0"/>
          <w:divBdr>
            <w:top w:val="none" w:sz="0" w:space="0" w:color="auto"/>
            <w:left w:val="none" w:sz="0" w:space="0" w:color="auto"/>
            <w:bottom w:val="none" w:sz="0" w:space="0" w:color="auto"/>
            <w:right w:val="none" w:sz="0" w:space="0" w:color="auto"/>
          </w:divBdr>
          <w:divsChild>
            <w:div w:id="37046448">
              <w:marLeft w:val="0"/>
              <w:marRight w:val="0"/>
              <w:marTop w:val="0"/>
              <w:marBottom w:val="0"/>
              <w:divBdr>
                <w:top w:val="none" w:sz="0" w:space="0" w:color="auto"/>
                <w:left w:val="none" w:sz="0" w:space="0" w:color="auto"/>
                <w:bottom w:val="none" w:sz="0" w:space="0" w:color="auto"/>
                <w:right w:val="none" w:sz="0" w:space="0" w:color="auto"/>
              </w:divBdr>
              <w:divsChild>
                <w:div w:id="918951684">
                  <w:marLeft w:val="0"/>
                  <w:marRight w:val="0"/>
                  <w:marTop w:val="0"/>
                  <w:marBottom w:val="0"/>
                  <w:divBdr>
                    <w:top w:val="none" w:sz="0" w:space="0" w:color="auto"/>
                    <w:left w:val="none" w:sz="0" w:space="0" w:color="auto"/>
                    <w:bottom w:val="none" w:sz="0" w:space="0" w:color="auto"/>
                    <w:right w:val="none" w:sz="0" w:space="0" w:color="auto"/>
                  </w:divBdr>
                  <w:divsChild>
                    <w:div w:id="202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8900">
              <w:marLeft w:val="0"/>
              <w:marRight w:val="0"/>
              <w:marTop w:val="0"/>
              <w:marBottom w:val="0"/>
              <w:divBdr>
                <w:top w:val="none" w:sz="0" w:space="0" w:color="auto"/>
                <w:left w:val="none" w:sz="0" w:space="0" w:color="auto"/>
                <w:bottom w:val="none" w:sz="0" w:space="0" w:color="auto"/>
                <w:right w:val="none" w:sz="0" w:space="0" w:color="auto"/>
              </w:divBdr>
              <w:divsChild>
                <w:div w:id="1584340261">
                  <w:marLeft w:val="0"/>
                  <w:marRight w:val="0"/>
                  <w:marTop w:val="0"/>
                  <w:marBottom w:val="0"/>
                  <w:divBdr>
                    <w:top w:val="none" w:sz="0" w:space="0" w:color="auto"/>
                    <w:left w:val="none" w:sz="0" w:space="0" w:color="auto"/>
                    <w:bottom w:val="none" w:sz="0" w:space="0" w:color="auto"/>
                    <w:right w:val="none" w:sz="0" w:space="0" w:color="auto"/>
                  </w:divBdr>
                  <w:divsChild>
                    <w:div w:id="6151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3224">
              <w:marLeft w:val="0"/>
              <w:marRight w:val="0"/>
              <w:marTop w:val="0"/>
              <w:marBottom w:val="0"/>
              <w:divBdr>
                <w:top w:val="none" w:sz="0" w:space="0" w:color="auto"/>
                <w:left w:val="none" w:sz="0" w:space="0" w:color="auto"/>
                <w:bottom w:val="none" w:sz="0" w:space="0" w:color="auto"/>
                <w:right w:val="none" w:sz="0" w:space="0" w:color="auto"/>
              </w:divBdr>
            </w:div>
            <w:div w:id="2019699394">
              <w:marLeft w:val="0"/>
              <w:marRight w:val="0"/>
              <w:marTop w:val="0"/>
              <w:marBottom w:val="0"/>
              <w:divBdr>
                <w:top w:val="none" w:sz="0" w:space="0" w:color="auto"/>
                <w:left w:val="none" w:sz="0" w:space="0" w:color="auto"/>
                <w:bottom w:val="none" w:sz="0" w:space="0" w:color="auto"/>
                <w:right w:val="none" w:sz="0" w:space="0" w:color="auto"/>
              </w:divBdr>
              <w:divsChild>
                <w:div w:id="1217282556">
                  <w:marLeft w:val="0"/>
                  <w:marRight w:val="0"/>
                  <w:marTop w:val="0"/>
                  <w:marBottom w:val="0"/>
                  <w:divBdr>
                    <w:top w:val="none" w:sz="0" w:space="0" w:color="auto"/>
                    <w:left w:val="none" w:sz="0" w:space="0" w:color="auto"/>
                    <w:bottom w:val="none" w:sz="0" w:space="0" w:color="auto"/>
                    <w:right w:val="none" w:sz="0" w:space="0" w:color="auto"/>
                  </w:divBdr>
                  <w:divsChild>
                    <w:div w:id="268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794D-AD46-4987-A51B-01D818BB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15404</Words>
  <Characters>92427</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107616</CharactersWithSpaces>
  <SharedDoc>false</SharedDoc>
  <HLinks>
    <vt:vector size="12" baseType="variant">
      <vt:variant>
        <vt:i4>1638453</vt:i4>
      </vt:variant>
      <vt:variant>
        <vt:i4>0</vt:i4>
      </vt:variant>
      <vt:variant>
        <vt:i4>0</vt:i4>
      </vt:variant>
      <vt:variant>
        <vt:i4>5</vt:i4>
      </vt:variant>
      <vt:variant>
        <vt:lpwstr>mailto:szymon.tumielewicz@klimat.gov.pl</vt:lpwstr>
      </vt:variant>
      <vt:variant>
        <vt:lpwstr/>
      </vt:variant>
      <vt:variant>
        <vt:i4>1114204</vt:i4>
      </vt:variant>
      <vt:variant>
        <vt:i4>0</vt:i4>
      </vt:variant>
      <vt:variant>
        <vt:i4>0</vt:i4>
      </vt:variant>
      <vt:variant>
        <vt:i4>5</vt:i4>
      </vt:variant>
      <vt:variant>
        <vt:lpwstr>http://obserwatorium.miasta.pl/wp-content/uploads/2021/06/Barometr-bud%C5%BCetu-obywatelskiego-Martela-Bubak-Janik-opm-irmir-2020.pdf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Stopczyk Veranika</dc:creator>
  <cp:keywords/>
  <cp:lastModifiedBy>Joanna Barańska</cp:lastModifiedBy>
  <cp:revision>4</cp:revision>
  <cp:lastPrinted>2023-03-21T14:20:00Z</cp:lastPrinted>
  <dcterms:created xsi:type="dcterms:W3CDTF">2024-05-24T13:13:00Z</dcterms:created>
  <dcterms:modified xsi:type="dcterms:W3CDTF">2024-05-24T13:48:00Z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-893612368</vt:i4>
  </property>
</Properties>
</file>