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51" w:type="dxa"/>
        <w:tblLayout w:type="fixed"/>
        <w:tblLook w:val="00A0" w:firstRow="1" w:lastRow="0" w:firstColumn="1" w:lastColumn="0" w:noHBand="0" w:noVBand="0"/>
      </w:tblPr>
      <w:tblGrid>
        <w:gridCol w:w="1317"/>
        <w:gridCol w:w="707"/>
        <w:gridCol w:w="752"/>
        <w:gridCol w:w="729"/>
        <w:gridCol w:w="729"/>
        <w:gridCol w:w="729"/>
        <w:gridCol w:w="729"/>
        <w:gridCol w:w="729"/>
        <w:gridCol w:w="729"/>
        <w:gridCol w:w="729"/>
        <w:gridCol w:w="729"/>
        <w:gridCol w:w="729"/>
        <w:gridCol w:w="729"/>
        <w:gridCol w:w="729"/>
        <w:gridCol w:w="1256"/>
      </w:tblGrid>
      <w:tr w:rsidR="004C7085" w:rsidRPr="00154E08" w14:paraId="3FAEBDD5" w14:textId="77777777" w:rsidTr="3E65ED00">
        <w:trPr>
          <w:trHeight w:val="1611"/>
        </w:trPr>
        <w:tc>
          <w:tcPr>
            <w:tcW w:w="42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0700D" w14:textId="2F5366A6" w:rsidR="00250BF6" w:rsidRPr="00154E08" w:rsidRDefault="00CE3FE5" w:rsidP="00270F18">
            <w:pPr>
              <w:spacing w:before="120" w:line="240" w:lineRule="auto"/>
              <w:ind w:left="33"/>
              <w:rPr>
                <w:rFonts w:eastAsia="Calibri" w:cs="Times New Roman"/>
                <w:sz w:val="22"/>
                <w:szCs w:val="22"/>
              </w:rPr>
            </w:pPr>
            <w:r w:rsidRPr="00154E08">
              <w:rPr>
                <w:rFonts w:eastAsia="Calibri" w:cs="Times New Roman"/>
                <w:b/>
                <w:sz w:val="22"/>
                <w:szCs w:val="22"/>
              </w:rPr>
              <w:t>Nazwa projektu</w:t>
            </w:r>
          </w:p>
          <w:p w14:paraId="2847851B" w14:textId="01477DD1" w:rsidR="00250BF6" w:rsidRPr="00154E08" w:rsidRDefault="00CE3FE5" w:rsidP="00270F18">
            <w:pPr>
              <w:spacing w:line="240" w:lineRule="auto"/>
              <w:ind w:left="33"/>
              <w:rPr>
                <w:rFonts w:eastAsia="Calibri" w:cs="Times New Roman"/>
                <w:sz w:val="22"/>
                <w:szCs w:val="22"/>
              </w:rPr>
            </w:pPr>
            <w:r w:rsidRPr="00154E08">
              <w:rPr>
                <w:rFonts w:eastAsia="Calibri" w:cs="Times New Roman"/>
                <w:sz w:val="22"/>
                <w:szCs w:val="22"/>
              </w:rPr>
              <w:t>Projekt ustawy o zmianie ustawy o</w:t>
            </w:r>
            <w:r w:rsidR="00BB55DE" w:rsidRPr="00154E08">
              <w:rPr>
                <w:rFonts w:eastAsia="Calibri" w:cs="Times New Roman"/>
                <w:sz w:val="22"/>
                <w:szCs w:val="22"/>
              </w:rPr>
              <w:t> </w:t>
            </w:r>
            <w:r w:rsidRPr="00154E08">
              <w:rPr>
                <w:rFonts w:eastAsia="Calibri" w:cs="Times New Roman"/>
                <w:sz w:val="22"/>
                <w:szCs w:val="22"/>
              </w:rPr>
              <w:t>biokomponentach i</w:t>
            </w:r>
            <w:r w:rsidR="004D06D1" w:rsidRPr="00154E08">
              <w:rPr>
                <w:rFonts w:eastAsia="Calibri" w:cs="Times New Roman"/>
                <w:sz w:val="22"/>
                <w:szCs w:val="22"/>
              </w:rPr>
              <w:t> </w:t>
            </w:r>
            <w:r w:rsidRPr="00154E08">
              <w:rPr>
                <w:rFonts w:eastAsia="Calibri" w:cs="Times New Roman"/>
                <w:sz w:val="22"/>
                <w:szCs w:val="22"/>
              </w:rPr>
              <w:t>biopaliwach ciekłych oraz niektórych innych ustaw</w:t>
            </w:r>
          </w:p>
          <w:p w14:paraId="5ACA233D" w14:textId="77777777" w:rsidR="00250BF6" w:rsidRPr="00154E08" w:rsidRDefault="00CE3FE5" w:rsidP="00270F18">
            <w:pPr>
              <w:spacing w:before="120" w:line="240" w:lineRule="auto"/>
              <w:ind w:left="33"/>
              <w:rPr>
                <w:rFonts w:eastAsia="Calibri" w:cs="Times New Roman"/>
                <w:b/>
                <w:sz w:val="22"/>
                <w:szCs w:val="22"/>
              </w:rPr>
            </w:pPr>
            <w:r w:rsidRPr="00154E08">
              <w:rPr>
                <w:rFonts w:eastAsia="Calibri" w:cs="Times New Roman"/>
                <w:b/>
                <w:sz w:val="22"/>
                <w:szCs w:val="22"/>
              </w:rPr>
              <w:t>Ministerstwo wiodące i ministerstwa współpracujące</w:t>
            </w:r>
            <w:bookmarkStart w:id="0" w:name="t1"/>
            <w:bookmarkEnd w:id="0"/>
          </w:p>
          <w:p w14:paraId="17B6D17A" w14:textId="37F4597D" w:rsidR="00250BF6" w:rsidRPr="00154E08" w:rsidRDefault="00CE3FE5" w:rsidP="00270F18">
            <w:pPr>
              <w:spacing w:line="240" w:lineRule="auto"/>
              <w:ind w:left="33"/>
              <w:rPr>
                <w:rFonts w:eastAsia="Calibri" w:cs="Times New Roman"/>
                <w:sz w:val="22"/>
                <w:szCs w:val="22"/>
              </w:rPr>
            </w:pPr>
            <w:r w:rsidRPr="00154E08">
              <w:rPr>
                <w:rFonts w:eastAsia="Calibri" w:cs="Times New Roman"/>
                <w:sz w:val="22"/>
                <w:szCs w:val="22"/>
              </w:rPr>
              <w:t>Ministerstwo Klimatu i Środowiska</w:t>
            </w:r>
          </w:p>
          <w:p w14:paraId="5B8EE187" w14:textId="77777777" w:rsidR="00250BF6" w:rsidRPr="00154E08" w:rsidRDefault="00250BF6" w:rsidP="00270F18">
            <w:pPr>
              <w:spacing w:line="240" w:lineRule="auto"/>
              <w:ind w:left="33"/>
              <w:rPr>
                <w:rFonts w:eastAsia="Calibri" w:cs="Times New Roman"/>
                <w:sz w:val="22"/>
                <w:szCs w:val="22"/>
              </w:rPr>
            </w:pPr>
          </w:p>
          <w:p w14:paraId="136ED854" w14:textId="77777777" w:rsidR="00250BF6" w:rsidRPr="00154E08" w:rsidRDefault="00CE3FE5" w:rsidP="00270F18">
            <w:pPr>
              <w:spacing w:line="240" w:lineRule="auto"/>
              <w:ind w:left="33"/>
              <w:rPr>
                <w:rFonts w:eastAsia="Calibri" w:cs="Times New Roman"/>
                <w:b/>
                <w:sz w:val="22"/>
                <w:szCs w:val="22"/>
              </w:rPr>
            </w:pPr>
            <w:r w:rsidRPr="00154E08">
              <w:rPr>
                <w:rFonts w:eastAsia="Calibri" w:cs="Times New Roman"/>
                <w:b/>
                <w:sz w:val="22"/>
                <w:szCs w:val="22"/>
              </w:rPr>
              <w:t xml:space="preserve">Osoba odpowiedzialna za projekt w randze Ministra, Sekretarza Stanu lub Podsekretarza Stanu </w:t>
            </w:r>
          </w:p>
          <w:p w14:paraId="1E6DD1A7" w14:textId="338FB6BF" w:rsidR="00250BF6" w:rsidRPr="00154E08" w:rsidRDefault="00D412EB" w:rsidP="00270F18">
            <w:pPr>
              <w:spacing w:line="240" w:lineRule="auto"/>
              <w:ind w:left="33"/>
              <w:rPr>
                <w:rFonts w:eastAsia="Calibri" w:cs="Times New Roman"/>
                <w:sz w:val="22"/>
                <w:szCs w:val="22"/>
              </w:rPr>
            </w:pPr>
            <w:r w:rsidRPr="00154E08">
              <w:rPr>
                <w:rFonts w:eastAsia="Calibri" w:cs="Times New Roman"/>
                <w:sz w:val="22"/>
                <w:szCs w:val="22"/>
              </w:rPr>
              <w:t>Miłosz Motyka</w:t>
            </w:r>
            <w:r w:rsidR="00684A87" w:rsidRPr="00154E08">
              <w:rPr>
                <w:rFonts w:eastAsia="Calibri" w:cs="Times New Roman"/>
                <w:sz w:val="22"/>
                <w:szCs w:val="22"/>
              </w:rPr>
              <w:t xml:space="preserve"> </w:t>
            </w:r>
            <w:r w:rsidR="0030280F" w:rsidRPr="00154E08">
              <w:rPr>
                <w:rFonts w:eastAsia="Calibri" w:cs="Times New Roman"/>
                <w:sz w:val="22"/>
                <w:szCs w:val="22"/>
              </w:rPr>
              <w:t>–</w:t>
            </w:r>
            <w:r w:rsidR="00684A87" w:rsidRPr="00154E08">
              <w:rPr>
                <w:rFonts w:eastAsia="Calibri" w:cs="Times New Roman"/>
                <w:sz w:val="22"/>
                <w:szCs w:val="22"/>
              </w:rPr>
              <w:t xml:space="preserve"> </w:t>
            </w:r>
            <w:r w:rsidR="00CE3FE5" w:rsidRPr="00154E08">
              <w:rPr>
                <w:rFonts w:eastAsia="Calibri" w:cs="Times New Roman"/>
                <w:sz w:val="22"/>
                <w:szCs w:val="22"/>
              </w:rPr>
              <w:t xml:space="preserve">Podsekretarz Stanu </w:t>
            </w:r>
          </w:p>
          <w:p w14:paraId="7610C3EA" w14:textId="77777777" w:rsidR="00250BF6" w:rsidRPr="00154E08" w:rsidRDefault="00CE3FE5" w:rsidP="00270F18">
            <w:pPr>
              <w:spacing w:before="120" w:line="240" w:lineRule="auto"/>
              <w:ind w:left="33"/>
              <w:rPr>
                <w:rFonts w:eastAsia="Calibri" w:cs="Times New Roman"/>
                <w:b/>
                <w:sz w:val="22"/>
                <w:szCs w:val="22"/>
              </w:rPr>
            </w:pPr>
            <w:r w:rsidRPr="00154E08">
              <w:rPr>
                <w:rFonts w:eastAsia="Calibri" w:cs="Times New Roman"/>
                <w:b/>
                <w:sz w:val="22"/>
                <w:szCs w:val="22"/>
              </w:rPr>
              <w:t>Osoby do kontaktu</w:t>
            </w:r>
          </w:p>
          <w:p w14:paraId="0E68BD49" w14:textId="77777777" w:rsidR="003445BD" w:rsidRDefault="00BB53A0" w:rsidP="00270F18">
            <w:pPr>
              <w:spacing w:line="240" w:lineRule="auto"/>
              <w:ind w:left="33"/>
              <w:rPr>
                <w:rFonts w:eastAsia="Calibri" w:cs="Times New Roman"/>
                <w:sz w:val="22"/>
                <w:szCs w:val="22"/>
              </w:rPr>
            </w:pPr>
            <w:r w:rsidRPr="00154E08">
              <w:rPr>
                <w:rFonts w:eastAsia="Calibri" w:cs="Times New Roman"/>
                <w:sz w:val="22"/>
                <w:szCs w:val="22"/>
              </w:rPr>
              <w:t>Marek Kosicki – naczelnik wydziału w Departamencie Ropy i Paliw Transportowych Ministerstwa Klimatu i Środowiska:</w:t>
            </w:r>
          </w:p>
          <w:p w14:paraId="7C38D673" w14:textId="2B7D0288" w:rsidR="00250BF6" w:rsidRPr="00154E08" w:rsidRDefault="00000000" w:rsidP="00270F18">
            <w:pPr>
              <w:spacing w:line="240" w:lineRule="auto"/>
              <w:ind w:left="33"/>
              <w:rPr>
                <w:rFonts w:cs="Times New Roman"/>
                <w:sz w:val="22"/>
                <w:szCs w:val="22"/>
              </w:rPr>
            </w:pPr>
            <w:hyperlink r:id="rId9" w:history="1">
              <w:r w:rsidR="003445BD" w:rsidRPr="000F0094">
                <w:rPr>
                  <w:rStyle w:val="Hipercze"/>
                  <w:rFonts w:eastAsia="Calibri" w:cs="Times New Roman"/>
                  <w:sz w:val="22"/>
                  <w:szCs w:val="22"/>
                </w:rPr>
                <w:t>Marek.Kosicki@klimat.gov.pl</w:t>
              </w:r>
            </w:hyperlink>
          </w:p>
          <w:p w14:paraId="39971464" w14:textId="110BACDE" w:rsidR="00FE0AE7" w:rsidRPr="00154E08" w:rsidRDefault="00BB53A0" w:rsidP="00FC06C6">
            <w:pPr>
              <w:spacing w:line="240" w:lineRule="auto"/>
              <w:ind w:left="33"/>
              <w:rPr>
                <w:rFonts w:eastAsia="Calibri" w:cs="Times New Roman"/>
                <w:sz w:val="22"/>
                <w:szCs w:val="22"/>
              </w:rPr>
            </w:pPr>
            <w:r w:rsidRPr="00154E08">
              <w:rPr>
                <w:rFonts w:eastAsia="Calibri" w:cs="Times New Roman"/>
                <w:sz w:val="22"/>
                <w:szCs w:val="22"/>
              </w:rPr>
              <w:t xml:space="preserve">Jakub Kowalski – starszy specjalista w Departamencie Ropy i Paliw Transportowych Ministerstwa Klimatu i Środowiska: </w:t>
            </w:r>
            <w:hyperlink r:id="rId10" w:history="1">
              <w:r w:rsidRPr="00154E08">
                <w:rPr>
                  <w:rStyle w:val="Hipercze"/>
                  <w:rFonts w:eastAsia="Calibri" w:cs="Times New Roman"/>
                  <w:sz w:val="22"/>
                  <w:szCs w:val="22"/>
                </w:rPr>
                <w:t>Jakub.Kowalski@klimat.gov.pl</w:t>
              </w:r>
            </w:hyperlink>
            <w:r w:rsidRPr="00154E08">
              <w:rPr>
                <w:rFonts w:eastAsia="Calibri" w:cs="Times New Roman"/>
                <w:sz w:val="22"/>
                <w:szCs w:val="22"/>
              </w:rPr>
              <w:t xml:space="preserve"> </w:t>
            </w:r>
          </w:p>
          <w:p w14:paraId="19127501" w14:textId="31935066" w:rsidR="00FE0AE7" w:rsidRPr="00154E08" w:rsidRDefault="00FE0AE7" w:rsidP="00FC06C6">
            <w:pPr>
              <w:spacing w:line="240" w:lineRule="auto"/>
              <w:ind w:left="33"/>
              <w:rPr>
                <w:rFonts w:eastAsia="Calibri" w:cs="Times New Roman"/>
                <w:color w:val="158466"/>
                <w:sz w:val="22"/>
                <w:szCs w:val="22"/>
              </w:rPr>
            </w:pPr>
          </w:p>
        </w:tc>
        <w:tc>
          <w:tcPr>
            <w:tcW w:w="656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A7519" w14:textId="77777777" w:rsidR="00154E08" w:rsidRPr="00154E08" w:rsidRDefault="00CE3FE5" w:rsidP="00154E08">
            <w:pPr>
              <w:spacing w:before="120" w:line="240" w:lineRule="auto"/>
              <w:ind w:left="96"/>
              <w:rPr>
                <w:rFonts w:eastAsia="Calibri" w:cs="Times New Roman"/>
                <w:b/>
                <w:sz w:val="22"/>
                <w:szCs w:val="22"/>
              </w:rPr>
            </w:pPr>
            <w:r w:rsidRPr="00154E08">
              <w:rPr>
                <w:rFonts w:eastAsia="Calibri" w:cs="Times New Roman"/>
                <w:b/>
                <w:sz w:val="22"/>
                <w:szCs w:val="22"/>
              </w:rPr>
              <w:t>Data sporządzenia</w:t>
            </w:r>
          </w:p>
          <w:p w14:paraId="741F6840" w14:textId="750DA05E" w:rsidR="00250BF6" w:rsidRPr="00154E08" w:rsidRDefault="00154E08" w:rsidP="00270F18">
            <w:pPr>
              <w:spacing w:line="240" w:lineRule="auto"/>
              <w:ind w:left="94"/>
              <w:rPr>
                <w:rFonts w:eastAsia="Calibri" w:cs="Times New Roman"/>
                <w:b/>
                <w:sz w:val="22"/>
                <w:szCs w:val="22"/>
              </w:rPr>
            </w:pPr>
            <w:r w:rsidRPr="00154E08">
              <w:rPr>
                <w:rFonts w:eastAsia="Calibri" w:cs="Times New Roman"/>
                <w:sz w:val="22"/>
                <w:szCs w:val="22"/>
              </w:rPr>
              <w:t>15.05</w:t>
            </w:r>
            <w:r w:rsidR="00621B1D" w:rsidRPr="00154E08">
              <w:rPr>
                <w:rFonts w:eastAsia="Calibri" w:cs="Times New Roman"/>
                <w:sz w:val="22"/>
                <w:szCs w:val="22"/>
              </w:rPr>
              <w:t>.</w:t>
            </w:r>
            <w:r w:rsidR="7728B5D1" w:rsidRPr="00154E08">
              <w:rPr>
                <w:rFonts w:eastAsia="Calibri" w:cs="Times New Roman"/>
                <w:sz w:val="22"/>
                <w:szCs w:val="22"/>
              </w:rPr>
              <w:t>2024</w:t>
            </w:r>
            <w:r w:rsidR="00F06749" w:rsidRPr="00154E08">
              <w:rPr>
                <w:rFonts w:eastAsia="Calibri" w:cs="Times New Roman"/>
                <w:sz w:val="22"/>
                <w:szCs w:val="22"/>
              </w:rPr>
              <w:t xml:space="preserve"> r</w:t>
            </w:r>
            <w:r w:rsidR="00F40432" w:rsidRPr="00154E08">
              <w:rPr>
                <w:rFonts w:eastAsia="Calibri" w:cs="Times New Roman"/>
                <w:sz w:val="22"/>
                <w:szCs w:val="22"/>
              </w:rPr>
              <w:t>.</w:t>
            </w:r>
          </w:p>
          <w:p w14:paraId="73EF44A0" w14:textId="77777777" w:rsidR="00250BF6" w:rsidRPr="00154E08" w:rsidRDefault="00250BF6" w:rsidP="00270F18">
            <w:pPr>
              <w:spacing w:line="240" w:lineRule="auto"/>
              <w:ind w:left="94"/>
              <w:rPr>
                <w:rFonts w:eastAsia="Calibri" w:cs="Times New Roman"/>
                <w:b/>
                <w:sz w:val="22"/>
                <w:szCs w:val="22"/>
              </w:rPr>
            </w:pPr>
          </w:p>
          <w:p w14:paraId="3D28A530" w14:textId="7C78024D" w:rsidR="00250BF6" w:rsidRPr="00154E08" w:rsidRDefault="00CE3FE5" w:rsidP="00270F18">
            <w:pPr>
              <w:spacing w:line="240" w:lineRule="auto"/>
              <w:ind w:left="94"/>
              <w:rPr>
                <w:rFonts w:eastAsia="Calibri" w:cs="Times New Roman"/>
                <w:b/>
                <w:sz w:val="22"/>
                <w:szCs w:val="22"/>
              </w:rPr>
            </w:pPr>
            <w:r w:rsidRPr="00154E08">
              <w:rPr>
                <w:rFonts w:eastAsia="Calibri" w:cs="Times New Roman"/>
                <w:b/>
                <w:sz w:val="22"/>
                <w:szCs w:val="22"/>
              </w:rPr>
              <w:t xml:space="preserve">Źródło </w:t>
            </w:r>
            <w:bookmarkStart w:id="1" w:name="Lista1"/>
            <w:bookmarkEnd w:id="1"/>
          </w:p>
          <w:p w14:paraId="5DD9CC70" w14:textId="77777777" w:rsidR="00732AA3" w:rsidRPr="00154E08" w:rsidRDefault="006914C9" w:rsidP="00270F18">
            <w:pPr>
              <w:spacing w:line="240" w:lineRule="auto"/>
              <w:ind w:left="94"/>
              <w:rPr>
                <w:rFonts w:cs="Times New Roman"/>
                <w:sz w:val="22"/>
                <w:szCs w:val="22"/>
              </w:rPr>
            </w:pPr>
            <w:r w:rsidRPr="00154E08">
              <w:rPr>
                <w:rFonts w:cs="Times New Roman"/>
                <w:sz w:val="22"/>
                <w:szCs w:val="22"/>
              </w:rPr>
              <w:t>W</w:t>
            </w:r>
            <w:r w:rsidR="00AE3748" w:rsidRPr="00154E08">
              <w:rPr>
                <w:rFonts w:cs="Times New Roman"/>
                <w:sz w:val="22"/>
                <w:szCs w:val="22"/>
              </w:rPr>
              <w:t>drożenie p</w:t>
            </w:r>
            <w:r w:rsidR="008A54F1" w:rsidRPr="00154E08">
              <w:rPr>
                <w:rFonts w:cs="Times New Roman"/>
                <w:sz w:val="22"/>
                <w:szCs w:val="22"/>
              </w:rPr>
              <w:t>raw</w:t>
            </w:r>
            <w:r w:rsidR="00AE3748" w:rsidRPr="00154E08">
              <w:rPr>
                <w:rFonts w:cs="Times New Roman"/>
                <w:sz w:val="22"/>
                <w:szCs w:val="22"/>
              </w:rPr>
              <w:t>a</w:t>
            </w:r>
            <w:r w:rsidR="008A54F1" w:rsidRPr="00154E08">
              <w:rPr>
                <w:rFonts w:cs="Times New Roman"/>
                <w:sz w:val="22"/>
                <w:szCs w:val="22"/>
              </w:rPr>
              <w:t xml:space="preserve"> UE </w:t>
            </w:r>
          </w:p>
          <w:p w14:paraId="4F1E73A3" w14:textId="0874914D" w:rsidR="00B5447C" w:rsidRPr="00154E08" w:rsidRDefault="00B5447C" w:rsidP="002E5A17">
            <w:pPr>
              <w:spacing w:line="240" w:lineRule="auto"/>
              <w:ind w:left="94"/>
              <w:jc w:val="both"/>
              <w:rPr>
                <w:rFonts w:cs="Times New Roman"/>
                <w:sz w:val="22"/>
                <w:szCs w:val="22"/>
              </w:rPr>
            </w:pPr>
            <w:r w:rsidRPr="00154E08">
              <w:rPr>
                <w:rFonts w:cs="Times New Roman"/>
                <w:sz w:val="22"/>
                <w:szCs w:val="22"/>
              </w:rPr>
              <w:t>Dyrektywa Parlamentu Europejskiego i Rady (UE) 2018/2001 z</w:t>
            </w:r>
            <w:r w:rsidR="00837D94" w:rsidRPr="00154E08">
              <w:rPr>
                <w:rFonts w:cs="Times New Roman"/>
                <w:sz w:val="22"/>
                <w:szCs w:val="22"/>
              </w:rPr>
              <w:t> </w:t>
            </w:r>
            <w:r w:rsidRPr="00154E08">
              <w:rPr>
                <w:rFonts w:cs="Times New Roman"/>
                <w:sz w:val="22"/>
                <w:szCs w:val="22"/>
              </w:rPr>
              <w:t>dnia 11 grudnia 2018 r. w</w:t>
            </w:r>
            <w:r w:rsidR="00920B00" w:rsidRPr="00154E08">
              <w:rPr>
                <w:rFonts w:cs="Times New Roman"/>
                <w:sz w:val="22"/>
                <w:szCs w:val="22"/>
              </w:rPr>
              <w:t> </w:t>
            </w:r>
            <w:r w:rsidRPr="00154E08">
              <w:rPr>
                <w:rFonts w:cs="Times New Roman"/>
                <w:sz w:val="22"/>
                <w:szCs w:val="22"/>
              </w:rPr>
              <w:t>sprawie promowania stosowania energii ze źródeł odnawialnych</w:t>
            </w:r>
            <w:r w:rsidRPr="00154E08" w:rsidDel="00B5447C">
              <w:rPr>
                <w:rFonts w:cs="Times New Roman"/>
                <w:sz w:val="22"/>
                <w:szCs w:val="22"/>
              </w:rPr>
              <w:t xml:space="preserve"> </w:t>
            </w:r>
          </w:p>
          <w:p w14:paraId="09B4BD78" w14:textId="5FE28247" w:rsidR="00B5447C" w:rsidRPr="00154E08" w:rsidRDefault="008E218B" w:rsidP="002E5A17">
            <w:pPr>
              <w:spacing w:line="240" w:lineRule="auto"/>
              <w:ind w:left="94"/>
              <w:jc w:val="both"/>
              <w:rPr>
                <w:rFonts w:cs="Times New Roman"/>
                <w:sz w:val="22"/>
                <w:szCs w:val="22"/>
              </w:rPr>
            </w:pPr>
            <w:r w:rsidRPr="00154E08">
              <w:rPr>
                <w:rFonts w:cs="Times New Roman"/>
                <w:sz w:val="22"/>
                <w:szCs w:val="22"/>
              </w:rPr>
              <w:t>(Dz. Urz. UE L 328 z 21.12.2018, str. 82, Dz. Urz. UE L 311 z 25.09.2020, str. 11, Dz. Urz. UE L 41 z 22.02.2022, str. 37 oraz Dz. Urz. UE L 139 z 18.05.2022, str. 1)</w:t>
            </w:r>
          </w:p>
          <w:p w14:paraId="48964A7B" w14:textId="79C70A69" w:rsidR="5EE5FBFB" w:rsidRPr="00154E08" w:rsidRDefault="5EE5FBFB" w:rsidP="002E5A17">
            <w:pPr>
              <w:spacing w:line="240" w:lineRule="auto"/>
              <w:ind w:left="94"/>
              <w:jc w:val="both"/>
              <w:rPr>
                <w:rFonts w:cs="Times New Roman"/>
                <w:sz w:val="22"/>
                <w:szCs w:val="22"/>
              </w:rPr>
            </w:pPr>
          </w:p>
          <w:p w14:paraId="64F73359" w14:textId="77777777" w:rsidR="00BB53A0" w:rsidRPr="00154E08" w:rsidRDefault="00CE3FE5" w:rsidP="00270F18">
            <w:pPr>
              <w:spacing w:before="120" w:line="240" w:lineRule="auto"/>
              <w:ind w:left="94"/>
              <w:rPr>
                <w:rFonts w:eastAsia="Calibri" w:cs="Times New Roman"/>
                <w:b/>
                <w:color w:val="000000"/>
                <w:sz w:val="22"/>
                <w:szCs w:val="22"/>
              </w:rPr>
            </w:pPr>
            <w:r w:rsidRPr="00154E08">
              <w:rPr>
                <w:rFonts w:eastAsia="Calibri" w:cs="Times New Roman"/>
                <w:b/>
                <w:color w:val="000000"/>
                <w:sz w:val="22"/>
                <w:szCs w:val="22"/>
              </w:rPr>
              <w:t xml:space="preserve">Nr w </w:t>
            </w:r>
            <w:r w:rsidR="00684A87" w:rsidRPr="00154E08">
              <w:rPr>
                <w:rFonts w:eastAsia="Calibri" w:cs="Times New Roman"/>
                <w:b/>
                <w:color w:val="000000"/>
                <w:sz w:val="22"/>
                <w:szCs w:val="22"/>
              </w:rPr>
              <w:t>W</w:t>
            </w:r>
            <w:r w:rsidRPr="00154E08">
              <w:rPr>
                <w:rFonts w:eastAsia="Calibri" w:cs="Times New Roman"/>
                <w:b/>
                <w:color w:val="000000"/>
                <w:sz w:val="22"/>
                <w:szCs w:val="22"/>
              </w:rPr>
              <w:t xml:space="preserve">ykazie </w:t>
            </w:r>
            <w:r w:rsidR="00684A87" w:rsidRPr="00154E08">
              <w:rPr>
                <w:rFonts w:eastAsia="Calibri" w:cs="Times New Roman"/>
                <w:b/>
                <w:color w:val="000000"/>
                <w:sz w:val="22"/>
                <w:szCs w:val="22"/>
              </w:rPr>
              <w:t xml:space="preserve">prac legislacyjnych i programowych </w:t>
            </w:r>
            <w:r w:rsidRPr="00154E08">
              <w:rPr>
                <w:rFonts w:eastAsia="Calibri" w:cs="Times New Roman"/>
                <w:b/>
                <w:color w:val="000000"/>
                <w:sz w:val="22"/>
                <w:szCs w:val="22"/>
              </w:rPr>
              <w:t>R</w:t>
            </w:r>
            <w:r w:rsidR="00684A87" w:rsidRPr="00154E08">
              <w:rPr>
                <w:rFonts w:eastAsia="Calibri" w:cs="Times New Roman"/>
                <w:b/>
                <w:color w:val="000000"/>
                <w:sz w:val="22"/>
                <w:szCs w:val="22"/>
              </w:rPr>
              <w:t xml:space="preserve">ady </w:t>
            </w:r>
            <w:r w:rsidRPr="00154E08">
              <w:rPr>
                <w:rFonts w:eastAsia="Calibri" w:cs="Times New Roman"/>
                <w:b/>
                <w:color w:val="000000"/>
                <w:sz w:val="22"/>
                <w:szCs w:val="22"/>
              </w:rPr>
              <w:t>M</w:t>
            </w:r>
            <w:r w:rsidR="00684A87" w:rsidRPr="00154E08">
              <w:rPr>
                <w:rFonts w:eastAsia="Calibri" w:cs="Times New Roman"/>
                <w:b/>
                <w:color w:val="000000"/>
                <w:sz w:val="22"/>
                <w:szCs w:val="22"/>
              </w:rPr>
              <w:t>inistrów</w:t>
            </w:r>
            <w:r w:rsidRPr="00154E08">
              <w:rPr>
                <w:rFonts w:eastAsia="Calibri" w:cs="Times New Roman"/>
                <w:b/>
                <w:color w:val="000000"/>
                <w:sz w:val="22"/>
                <w:szCs w:val="22"/>
              </w:rPr>
              <w:t xml:space="preserve"> </w:t>
            </w:r>
          </w:p>
          <w:p w14:paraId="1BD41A77" w14:textId="68899810" w:rsidR="00250BF6" w:rsidRPr="00154E08" w:rsidRDefault="00BB53A0" w:rsidP="00270F18">
            <w:pPr>
              <w:spacing w:before="120" w:line="240" w:lineRule="auto"/>
              <w:ind w:left="94"/>
              <w:rPr>
                <w:rFonts w:eastAsia="Calibri" w:cs="Times New Roman"/>
                <w:b/>
                <w:color w:val="000000"/>
                <w:sz w:val="22"/>
                <w:szCs w:val="22"/>
              </w:rPr>
            </w:pPr>
            <w:r w:rsidRPr="00154E08">
              <w:rPr>
                <w:rFonts w:eastAsia="Calibri" w:cs="Times New Roman"/>
                <w:bCs/>
                <w:color w:val="000000"/>
                <w:sz w:val="22"/>
                <w:szCs w:val="22"/>
              </w:rPr>
              <w:t>UC28</w:t>
            </w:r>
            <w:r w:rsidR="00B2628C" w:rsidRPr="00154E08">
              <w:rPr>
                <w:rFonts w:eastAsia="Calibri" w:cs="Times New Roman"/>
                <w:bCs/>
                <w:color w:val="000000"/>
                <w:sz w:val="22"/>
                <w:szCs w:val="22"/>
              </w:rPr>
              <w:t xml:space="preserve"> </w:t>
            </w:r>
          </w:p>
          <w:p w14:paraId="3307FD8E" w14:textId="3D0EE813" w:rsidR="00250BF6" w:rsidRPr="00154E08" w:rsidRDefault="00250BF6" w:rsidP="00270F18">
            <w:pPr>
              <w:spacing w:line="240" w:lineRule="auto"/>
              <w:ind w:left="94"/>
              <w:rPr>
                <w:rFonts w:cs="Times New Roman"/>
                <w:color w:val="C9211E"/>
                <w:sz w:val="22"/>
                <w:szCs w:val="22"/>
              </w:rPr>
            </w:pPr>
          </w:p>
        </w:tc>
        <w:tc>
          <w:tcPr>
            <w:tcW w:w="1256" w:type="dxa"/>
          </w:tcPr>
          <w:p w14:paraId="5496FE83" w14:textId="77777777" w:rsidR="00250BF6" w:rsidRPr="00154E08" w:rsidRDefault="00250BF6">
            <w:pPr>
              <w:rPr>
                <w:rFonts w:cs="Times New Roman"/>
                <w:sz w:val="22"/>
                <w:szCs w:val="22"/>
              </w:rPr>
            </w:pPr>
          </w:p>
        </w:tc>
      </w:tr>
      <w:tr w:rsidR="00B432CA" w:rsidRPr="00154E08" w14:paraId="130FE905"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2DB570D8" w14:textId="77777777" w:rsidR="00250BF6" w:rsidRPr="00154E08" w:rsidRDefault="00CE3FE5">
            <w:pPr>
              <w:spacing w:line="240" w:lineRule="auto"/>
              <w:ind w:left="57"/>
              <w:jc w:val="center"/>
              <w:rPr>
                <w:rFonts w:eastAsia="Calibri" w:cs="Times New Roman"/>
                <w:b/>
                <w:color w:val="FFFFFF"/>
                <w:sz w:val="22"/>
                <w:szCs w:val="22"/>
              </w:rPr>
            </w:pPr>
            <w:r w:rsidRPr="00D95D2F">
              <w:rPr>
                <w:rFonts w:eastAsia="Calibri" w:cs="Times New Roman"/>
                <w:b/>
                <w:color w:val="FFFFFF"/>
                <w:sz w:val="32"/>
                <w:szCs w:val="32"/>
              </w:rPr>
              <w:t>OCENA SKUTKÓW REGULACJI</w:t>
            </w:r>
          </w:p>
        </w:tc>
        <w:tc>
          <w:tcPr>
            <w:tcW w:w="1256" w:type="dxa"/>
          </w:tcPr>
          <w:p w14:paraId="24B6C77E" w14:textId="77777777" w:rsidR="00250BF6" w:rsidRPr="00154E08" w:rsidRDefault="00250BF6">
            <w:pPr>
              <w:rPr>
                <w:rFonts w:cs="Times New Roman"/>
                <w:sz w:val="22"/>
                <w:szCs w:val="22"/>
              </w:rPr>
            </w:pPr>
          </w:p>
        </w:tc>
      </w:tr>
      <w:tr w:rsidR="00B432CA" w:rsidRPr="00154E08" w14:paraId="734F4492" w14:textId="77777777" w:rsidTr="3E65ED00">
        <w:trPr>
          <w:trHeight w:val="333"/>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center"/>
          </w:tcPr>
          <w:p w14:paraId="646B19CA" w14:textId="2B49BDB0" w:rsidR="00250BF6" w:rsidRPr="00154E08" w:rsidRDefault="00CE3FE5">
            <w:pPr>
              <w:numPr>
                <w:ilvl w:val="0"/>
                <w:numId w:val="1"/>
              </w:numPr>
              <w:spacing w:before="60" w:after="60" w:line="240" w:lineRule="auto"/>
              <w:ind w:left="318" w:hanging="284"/>
              <w:jc w:val="both"/>
              <w:rPr>
                <w:rFonts w:eastAsia="Calibri" w:cs="Times New Roman"/>
                <w:b/>
                <w:color w:val="000000"/>
                <w:sz w:val="22"/>
                <w:szCs w:val="22"/>
              </w:rPr>
            </w:pPr>
            <w:r w:rsidRPr="00154E08">
              <w:rPr>
                <w:rFonts w:eastAsia="Calibri" w:cs="Times New Roman"/>
                <w:b/>
                <w:sz w:val="22"/>
                <w:szCs w:val="22"/>
              </w:rPr>
              <w:t>Jaki problem jest rozwiązywany?</w:t>
            </w:r>
          </w:p>
        </w:tc>
        <w:tc>
          <w:tcPr>
            <w:tcW w:w="1256" w:type="dxa"/>
          </w:tcPr>
          <w:p w14:paraId="7BC94454" w14:textId="77777777" w:rsidR="00250BF6" w:rsidRPr="00154E08" w:rsidRDefault="00250BF6">
            <w:pPr>
              <w:rPr>
                <w:rFonts w:cs="Times New Roman"/>
                <w:sz w:val="22"/>
                <w:szCs w:val="22"/>
              </w:rPr>
            </w:pPr>
          </w:p>
        </w:tc>
      </w:tr>
      <w:tr w:rsidR="00B432CA" w:rsidRPr="00154E08" w14:paraId="5D74CE65"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264A8D" w14:textId="3A6DBD70" w:rsidR="00FA7A1D" w:rsidRPr="00154E08" w:rsidRDefault="00D41EC7" w:rsidP="002E5A17">
            <w:pPr>
              <w:spacing w:after="120" w:line="240" w:lineRule="auto"/>
              <w:jc w:val="both"/>
              <w:rPr>
                <w:rFonts w:eastAsia="Calibri" w:cs="Times New Roman"/>
                <w:sz w:val="22"/>
                <w:szCs w:val="22"/>
              </w:rPr>
            </w:pPr>
            <w:r w:rsidRPr="00154E08">
              <w:rPr>
                <w:rFonts w:eastAsia="Calibri" w:cs="Times New Roman"/>
                <w:sz w:val="22"/>
                <w:szCs w:val="22"/>
              </w:rPr>
              <w:t>Przygotowanie</w:t>
            </w:r>
            <w:r w:rsidR="00820A94" w:rsidRPr="00154E08">
              <w:rPr>
                <w:rFonts w:eastAsia="Calibri" w:cs="Times New Roman"/>
                <w:sz w:val="22"/>
                <w:szCs w:val="22"/>
              </w:rPr>
              <w:t xml:space="preserve"> p</w:t>
            </w:r>
            <w:r w:rsidR="0074601A" w:rsidRPr="00154E08">
              <w:rPr>
                <w:rFonts w:eastAsia="Calibri" w:cs="Times New Roman"/>
                <w:sz w:val="22"/>
                <w:szCs w:val="22"/>
              </w:rPr>
              <w:t>rojekt</w:t>
            </w:r>
            <w:r w:rsidR="00820A94" w:rsidRPr="00154E08">
              <w:rPr>
                <w:rFonts w:eastAsia="Calibri" w:cs="Times New Roman"/>
                <w:sz w:val="22"/>
                <w:szCs w:val="22"/>
              </w:rPr>
              <w:t>u</w:t>
            </w:r>
            <w:r w:rsidR="0074601A" w:rsidRPr="00154E08">
              <w:rPr>
                <w:rFonts w:eastAsia="Calibri" w:cs="Times New Roman"/>
                <w:sz w:val="22"/>
                <w:szCs w:val="22"/>
              </w:rPr>
              <w:t xml:space="preserve"> ustawy o zmianie ustawy o biokomponentach i biopaliwach ciekłych oraz niektórych innych ustaw</w:t>
            </w:r>
            <w:r w:rsidR="00F60B99" w:rsidRPr="00154E08">
              <w:rPr>
                <w:rFonts w:eastAsia="Calibri" w:cs="Times New Roman"/>
                <w:sz w:val="22"/>
                <w:szCs w:val="22"/>
              </w:rPr>
              <w:t>,</w:t>
            </w:r>
            <w:r w:rsidR="0074601A" w:rsidRPr="00154E08">
              <w:rPr>
                <w:rFonts w:eastAsia="Calibri" w:cs="Times New Roman"/>
                <w:sz w:val="22"/>
                <w:szCs w:val="22"/>
              </w:rPr>
              <w:t xml:space="preserve"> </w:t>
            </w:r>
            <w:r w:rsidR="004552F7" w:rsidRPr="00154E08">
              <w:rPr>
                <w:rFonts w:eastAsia="Calibri" w:cs="Times New Roman"/>
                <w:sz w:val="22"/>
                <w:szCs w:val="22"/>
              </w:rPr>
              <w:t xml:space="preserve">zwana </w:t>
            </w:r>
            <w:r w:rsidR="0074601A" w:rsidRPr="00154E08">
              <w:rPr>
                <w:rFonts w:eastAsia="Calibri" w:cs="Times New Roman"/>
                <w:sz w:val="22"/>
                <w:szCs w:val="22"/>
              </w:rPr>
              <w:t>dalej „ustaw</w:t>
            </w:r>
            <w:r w:rsidR="00E13FF8" w:rsidRPr="00154E08">
              <w:rPr>
                <w:rFonts w:eastAsia="Calibri" w:cs="Times New Roman"/>
                <w:sz w:val="22"/>
                <w:szCs w:val="22"/>
              </w:rPr>
              <w:t>ą</w:t>
            </w:r>
            <w:r w:rsidR="0074601A" w:rsidRPr="00154E08">
              <w:rPr>
                <w:rFonts w:eastAsia="Calibri" w:cs="Times New Roman"/>
                <w:sz w:val="22"/>
                <w:szCs w:val="22"/>
              </w:rPr>
              <w:t>”</w:t>
            </w:r>
            <w:r w:rsidR="00F60B99" w:rsidRPr="00154E08">
              <w:rPr>
                <w:rFonts w:eastAsia="Calibri" w:cs="Times New Roman"/>
                <w:sz w:val="22"/>
                <w:szCs w:val="22"/>
              </w:rPr>
              <w:t>,</w:t>
            </w:r>
            <w:r w:rsidR="0074601A" w:rsidRPr="00154E08">
              <w:rPr>
                <w:rFonts w:eastAsia="Calibri" w:cs="Times New Roman"/>
                <w:sz w:val="22"/>
                <w:szCs w:val="22"/>
              </w:rPr>
              <w:t xml:space="preserve"> </w:t>
            </w:r>
            <w:r w:rsidR="000C3E10" w:rsidRPr="00154E08">
              <w:rPr>
                <w:rFonts w:eastAsia="Calibri" w:cs="Times New Roman"/>
                <w:sz w:val="22"/>
                <w:szCs w:val="22"/>
              </w:rPr>
              <w:t xml:space="preserve">wynika z potrzeby </w:t>
            </w:r>
            <w:r w:rsidR="0074601A" w:rsidRPr="00154E08">
              <w:rPr>
                <w:rFonts w:eastAsia="Calibri" w:cs="Times New Roman"/>
                <w:sz w:val="22"/>
                <w:szCs w:val="22"/>
              </w:rPr>
              <w:t>transpozycj</w:t>
            </w:r>
            <w:r w:rsidR="000C3E10" w:rsidRPr="00154E08">
              <w:rPr>
                <w:rFonts w:eastAsia="Calibri" w:cs="Times New Roman"/>
                <w:sz w:val="22"/>
                <w:szCs w:val="22"/>
              </w:rPr>
              <w:t>i</w:t>
            </w:r>
            <w:r w:rsidR="0074601A" w:rsidRPr="00154E08">
              <w:rPr>
                <w:rFonts w:eastAsia="Calibri" w:cs="Times New Roman"/>
                <w:sz w:val="22"/>
                <w:szCs w:val="22"/>
              </w:rPr>
              <w:t xml:space="preserve"> prawa </w:t>
            </w:r>
            <w:r w:rsidR="00BB53A0" w:rsidRPr="00154E08">
              <w:rPr>
                <w:rFonts w:eastAsia="Calibri" w:cs="Times New Roman"/>
                <w:sz w:val="22"/>
                <w:szCs w:val="22"/>
              </w:rPr>
              <w:t>Unii Europejskiej (</w:t>
            </w:r>
            <w:r w:rsidR="0074601A" w:rsidRPr="00154E08">
              <w:rPr>
                <w:rFonts w:eastAsia="Calibri" w:cs="Times New Roman"/>
                <w:sz w:val="22"/>
                <w:szCs w:val="22"/>
              </w:rPr>
              <w:t>UE</w:t>
            </w:r>
            <w:r w:rsidR="00BB53A0" w:rsidRPr="00154E08">
              <w:rPr>
                <w:rFonts w:eastAsia="Calibri" w:cs="Times New Roman"/>
                <w:sz w:val="22"/>
                <w:szCs w:val="22"/>
              </w:rPr>
              <w:t>)</w:t>
            </w:r>
            <w:r w:rsidR="0074601A" w:rsidRPr="00154E08">
              <w:rPr>
                <w:rFonts w:eastAsia="Calibri" w:cs="Times New Roman"/>
                <w:sz w:val="22"/>
                <w:szCs w:val="22"/>
              </w:rPr>
              <w:t xml:space="preserve"> w zakresie sektora transportu, do krajowego porządku prawnego, tj. dyrektywy Parlamentu Europejskiego i Rady (UE) 2018/2001 z dnia 11 grudnia 2018 r. w</w:t>
            </w:r>
            <w:r w:rsidR="007F0695" w:rsidRPr="00154E08">
              <w:rPr>
                <w:rFonts w:eastAsia="Calibri" w:cs="Times New Roman"/>
                <w:sz w:val="22"/>
                <w:szCs w:val="22"/>
              </w:rPr>
              <w:t> </w:t>
            </w:r>
            <w:r w:rsidR="0074601A" w:rsidRPr="00154E08">
              <w:rPr>
                <w:rFonts w:eastAsia="Calibri" w:cs="Times New Roman"/>
                <w:sz w:val="22"/>
                <w:szCs w:val="22"/>
              </w:rPr>
              <w:t>sprawie promowania stosowania energii ze źródeł odnawialnych (Dz. Urz. UEL 328 z</w:t>
            </w:r>
            <w:r w:rsidR="00837D94" w:rsidRPr="00154E08">
              <w:rPr>
                <w:rFonts w:eastAsia="Calibri" w:cs="Times New Roman"/>
                <w:sz w:val="22"/>
                <w:szCs w:val="22"/>
              </w:rPr>
              <w:t> </w:t>
            </w:r>
            <w:r w:rsidR="0074601A" w:rsidRPr="00154E08">
              <w:rPr>
                <w:rFonts w:eastAsia="Calibri" w:cs="Times New Roman"/>
                <w:sz w:val="22"/>
                <w:szCs w:val="22"/>
              </w:rPr>
              <w:t>21.12.2018, str. 82)</w:t>
            </w:r>
            <w:r w:rsidR="00B35E87" w:rsidRPr="00154E08">
              <w:rPr>
                <w:rFonts w:eastAsia="Calibri" w:cs="Times New Roman"/>
                <w:sz w:val="22"/>
                <w:szCs w:val="22"/>
              </w:rPr>
              <w:t>, zwan</w:t>
            </w:r>
            <w:r w:rsidR="006F29E1" w:rsidRPr="00154E08">
              <w:rPr>
                <w:rFonts w:eastAsia="Calibri" w:cs="Times New Roman"/>
                <w:sz w:val="22"/>
                <w:szCs w:val="22"/>
              </w:rPr>
              <w:t>ej</w:t>
            </w:r>
            <w:r w:rsidR="00B35E87" w:rsidRPr="00154E08">
              <w:rPr>
                <w:rFonts w:eastAsia="Calibri" w:cs="Times New Roman"/>
                <w:sz w:val="22"/>
                <w:szCs w:val="22"/>
              </w:rPr>
              <w:t xml:space="preserve"> dalej </w:t>
            </w:r>
            <w:r w:rsidR="00F1557B" w:rsidRPr="00154E08">
              <w:rPr>
                <w:rFonts w:eastAsia="Calibri" w:cs="Times New Roman"/>
                <w:sz w:val="22"/>
                <w:szCs w:val="22"/>
              </w:rPr>
              <w:t>„</w:t>
            </w:r>
            <w:r w:rsidR="00B35E87" w:rsidRPr="00154E08">
              <w:rPr>
                <w:rFonts w:eastAsia="Calibri" w:cs="Times New Roman"/>
                <w:sz w:val="22"/>
                <w:szCs w:val="22"/>
              </w:rPr>
              <w:t>dyrektywą RED II”</w:t>
            </w:r>
            <w:r w:rsidR="001B12C5" w:rsidRPr="00154E08">
              <w:rPr>
                <w:rFonts w:eastAsia="Calibri" w:cs="Times New Roman"/>
                <w:sz w:val="22"/>
                <w:szCs w:val="22"/>
              </w:rPr>
              <w:t>.</w:t>
            </w:r>
            <w:r w:rsidR="00E43BCB" w:rsidRPr="00154E08">
              <w:rPr>
                <w:rFonts w:eastAsia="Calibri" w:cs="Times New Roman"/>
                <w:sz w:val="22"/>
                <w:szCs w:val="22"/>
              </w:rPr>
              <w:t xml:space="preserve"> </w:t>
            </w:r>
            <w:r w:rsidR="000C439F" w:rsidRPr="00154E08">
              <w:rPr>
                <w:rFonts w:eastAsia="Calibri" w:cs="Times New Roman"/>
                <w:sz w:val="22"/>
                <w:szCs w:val="22"/>
              </w:rPr>
              <w:t>P</w:t>
            </w:r>
            <w:r w:rsidR="00633DDF" w:rsidRPr="00154E08">
              <w:rPr>
                <w:rFonts w:eastAsia="Calibri" w:cs="Times New Roman"/>
                <w:sz w:val="22"/>
                <w:szCs w:val="22"/>
              </w:rPr>
              <w:t xml:space="preserve">oza wdrożeniem dyrektywy 2018/2001, </w:t>
            </w:r>
            <w:r w:rsidR="001544A7" w:rsidRPr="00154E08">
              <w:rPr>
                <w:rFonts w:eastAsia="Calibri" w:cs="Times New Roman"/>
                <w:sz w:val="22"/>
                <w:szCs w:val="22"/>
              </w:rPr>
              <w:t xml:space="preserve">przygotowany projekt </w:t>
            </w:r>
            <w:r w:rsidR="007255F8" w:rsidRPr="00154E08">
              <w:rPr>
                <w:rFonts w:eastAsia="Calibri" w:cs="Times New Roman"/>
                <w:sz w:val="22"/>
                <w:szCs w:val="22"/>
              </w:rPr>
              <w:t>w</w:t>
            </w:r>
            <w:r w:rsidR="00633DDF" w:rsidRPr="00154E08">
              <w:rPr>
                <w:rFonts w:eastAsia="Calibri" w:cs="Times New Roman"/>
                <w:sz w:val="22"/>
                <w:szCs w:val="22"/>
              </w:rPr>
              <w:t>skaz</w:t>
            </w:r>
            <w:r w:rsidR="007255F8" w:rsidRPr="00154E08">
              <w:rPr>
                <w:rFonts w:eastAsia="Calibri" w:cs="Times New Roman"/>
                <w:sz w:val="22"/>
                <w:szCs w:val="22"/>
              </w:rPr>
              <w:t>uje możliwe</w:t>
            </w:r>
            <w:r w:rsidR="00964C36" w:rsidRPr="00154E08">
              <w:rPr>
                <w:rFonts w:eastAsia="Calibri" w:cs="Times New Roman"/>
                <w:sz w:val="22"/>
                <w:szCs w:val="22"/>
              </w:rPr>
              <w:t xml:space="preserve"> krajowe</w:t>
            </w:r>
            <w:r w:rsidR="007255F8" w:rsidRPr="00154E08">
              <w:rPr>
                <w:rFonts w:eastAsia="Calibri" w:cs="Times New Roman"/>
                <w:sz w:val="22"/>
                <w:szCs w:val="22"/>
              </w:rPr>
              <w:t xml:space="preserve"> </w:t>
            </w:r>
            <w:r w:rsidR="00633DDF" w:rsidRPr="00154E08">
              <w:rPr>
                <w:rFonts w:eastAsia="Calibri" w:cs="Times New Roman"/>
                <w:sz w:val="22"/>
                <w:szCs w:val="22"/>
              </w:rPr>
              <w:t>ścieżki rozwoju rynku niskoemisyjnych paliw transportowych w kierunku zwiększenia wykorzystania energii odnawialnej</w:t>
            </w:r>
            <w:r w:rsidR="0081403D" w:rsidRPr="00154E08">
              <w:rPr>
                <w:rFonts w:eastAsia="Calibri" w:cs="Times New Roman"/>
                <w:sz w:val="22"/>
                <w:szCs w:val="22"/>
              </w:rPr>
              <w:t xml:space="preserve">, </w:t>
            </w:r>
            <w:r w:rsidR="00633DDF" w:rsidRPr="00154E08">
              <w:rPr>
                <w:rFonts w:eastAsia="Calibri" w:cs="Times New Roman"/>
                <w:sz w:val="22"/>
                <w:szCs w:val="22"/>
              </w:rPr>
              <w:t>zmniejszeni</w:t>
            </w:r>
            <w:r w:rsidR="006636FC" w:rsidRPr="00154E08">
              <w:rPr>
                <w:rFonts w:eastAsia="Calibri" w:cs="Times New Roman"/>
                <w:sz w:val="22"/>
                <w:szCs w:val="22"/>
              </w:rPr>
              <w:t>a</w:t>
            </w:r>
            <w:r w:rsidR="00633DDF" w:rsidRPr="00154E08">
              <w:rPr>
                <w:rFonts w:eastAsia="Calibri" w:cs="Times New Roman"/>
                <w:sz w:val="22"/>
                <w:szCs w:val="22"/>
              </w:rPr>
              <w:t xml:space="preserve"> emisji GHG z</w:t>
            </w:r>
            <w:r w:rsidR="00837D94" w:rsidRPr="00154E08">
              <w:rPr>
                <w:rFonts w:eastAsia="Calibri" w:cs="Times New Roman"/>
                <w:sz w:val="22"/>
                <w:szCs w:val="22"/>
              </w:rPr>
              <w:t> </w:t>
            </w:r>
            <w:r w:rsidR="00633DDF" w:rsidRPr="00154E08">
              <w:rPr>
                <w:rFonts w:eastAsia="Calibri" w:cs="Times New Roman"/>
                <w:sz w:val="22"/>
                <w:szCs w:val="22"/>
              </w:rPr>
              <w:t>sektora transportu, a także stworzeni</w:t>
            </w:r>
            <w:r w:rsidR="006636FC" w:rsidRPr="00154E08">
              <w:rPr>
                <w:rFonts w:eastAsia="Calibri" w:cs="Times New Roman"/>
                <w:sz w:val="22"/>
                <w:szCs w:val="22"/>
              </w:rPr>
              <w:t>a</w:t>
            </w:r>
            <w:r w:rsidR="00633DDF" w:rsidRPr="00154E08">
              <w:rPr>
                <w:rFonts w:eastAsia="Calibri" w:cs="Times New Roman"/>
                <w:sz w:val="22"/>
                <w:szCs w:val="22"/>
              </w:rPr>
              <w:t xml:space="preserve"> warunków dla rozwoju technologii biokomponentów zaawansowanych, jak również wykorzystanie w pojazdach drogowych i kolejowych energii elektrycznej ze źródeł OZE –</w:t>
            </w:r>
            <w:r w:rsidR="00EC6D4B" w:rsidRPr="00154E08">
              <w:rPr>
                <w:rFonts w:eastAsia="Calibri" w:cs="Times New Roman"/>
                <w:sz w:val="22"/>
                <w:szCs w:val="22"/>
              </w:rPr>
              <w:t xml:space="preserve"> przy </w:t>
            </w:r>
            <w:r w:rsidR="00633DDF" w:rsidRPr="00154E08">
              <w:rPr>
                <w:rFonts w:eastAsia="Calibri" w:cs="Times New Roman"/>
                <w:sz w:val="22"/>
                <w:szCs w:val="22"/>
              </w:rPr>
              <w:t>utrzymani</w:t>
            </w:r>
            <w:r w:rsidR="004330F4" w:rsidRPr="00154E08">
              <w:rPr>
                <w:rFonts w:eastAsia="Calibri" w:cs="Times New Roman"/>
                <w:sz w:val="22"/>
                <w:szCs w:val="22"/>
              </w:rPr>
              <w:t>u</w:t>
            </w:r>
            <w:r w:rsidR="00633DDF" w:rsidRPr="00154E08">
              <w:rPr>
                <w:rFonts w:eastAsia="Calibri" w:cs="Times New Roman"/>
                <w:sz w:val="22"/>
                <w:szCs w:val="22"/>
              </w:rPr>
              <w:t xml:space="preserve"> właściwego poziomu bezpieczeństwa paliwowego państwa</w:t>
            </w:r>
            <w:r w:rsidR="002D1719" w:rsidRPr="00154E08">
              <w:rPr>
                <w:rFonts w:eastAsia="Calibri" w:cs="Times New Roman"/>
                <w:sz w:val="22"/>
                <w:szCs w:val="22"/>
              </w:rPr>
              <w:t xml:space="preserve">. </w:t>
            </w:r>
          </w:p>
          <w:p w14:paraId="113CBEA1" w14:textId="15B5620B" w:rsidR="004738F1" w:rsidRPr="00154E08" w:rsidRDefault="00F868F2" w:rsidP="002E5A17">
            <w:pPr>
              <w:spacing w:after="120" w:line="240" w:lineRule="auto"/>
              <w:jc w:val="both"/>
              <w:rPr>
                <w:rFonts w:eastAsia="Calibri" w:cs="Times New Roman"/>
                <w:sz w:val="22"/>
                <w:szCs w:val="22"/>
              </w:rPr>
            </w:pPr>
            <w:r w:rsidRPr="00154E08">
              <w:rPr>
                <w:rFonts w:eastAsia="Calibri" w:cs="Times New Roman"/>
                <w:sz w:val="22"/>
                <w:szCs w:val="22"/>
              </w:rPr>
              <w:t xml:space="preserve">Przyjęta perspektywa tj. okres do 2030 r. </w:t>
            </w:r>
            <w:r w:rsidR="00633DDF" w:rsidRPr="00154E08">
              <w:rPr>
                <w:rFonts w:eastAsia="Calibri" w:cs="Times New Roman"/>
                <w:sz w:val="22"/>
                <w:szCs w:val="22"/>
              </w:rPr>
              <w:t>zapewni</w:t>
            </w:r>
            <w:r w:rsidR="005C333D" w:rsidRPr="00154E08">
              <w:rPr>
                <w:rFonts w:eastAsia="Calibri" w:cs="Times New Roman"/>
                <w:sz w:val="22"/>
                <w:szCs w:val="22"/>
              </w:rPr>
              <w:t xml:space="preserve"> </w:t>
            </w:r>
            <w:r w:rsidR="00633DDF" w:rsidRPr="00154E08">
              <w:rPr>
                <w:rFonts w:eastAsia="Calibri" w:cs="Times New Roman"/>
                <w:sz w:val="22"/>
                <w:szCs w:val="22"/>
              </w:rPr>
              <w:t>niezbędn</w:t>
            </w:r>
            <w:r w:rsidR="005C333D" w:rsidRPr="00154E08">
              <w:rPr>
                <w:rFonts w:eastAsia="Calibri" w:cs="Times New Roman"/>
                <w:sz w:val="22"/>
                <w:szCs w:val="22"/>
              </w:rPr>
              <w:t xml:space="preserve">y </w:t>
            </w:r>
            <w:r w:rsidR="00633DDF" w:rsidRPr="00154E08">
              <w:rPr>
                <w:rFonts w:eastAsia="Calibri" w:cs="Times New Roman"/>
                <w:sz w:val="22"/>
                <w:szCs w:val="22"/>
              </w:rPr>
              <w:t>czas na przeprowadzenie inwestycji, przebudowę infrastruktury logistycznej, dywersyfikację źródeł i dróg dostaw różnych niskoemisyjnych nośników energii odnawialnej stosowanych w transporcie.</w:t>
            </w:r>
          </w:p>
          <w:p w14:paraId="0C23083C" w14:textId="1BDCA9D0" w:rsidR="00B92A46" w:rsidRPr="00154E08" w:rsidRDefault="000733C0" w:rsidP="002E5A17">
            <w:pPr>
              <w:spacing w:after="120" w:line="240" w:lineRule="auto"/>
              <w:jc w:val="both"/>
              <w:rPr>
                <w:rFonts w:eastAsia="Calibri" w:cs="Times New Roman"/>
                <w:spacing w:val="-2"/>
                <w:sz w:val="22"/>
                <w:szCs w:val="22"/>
              </w:rPr>
            </w:pPr>
            <w:r w:rsidRPr="00154E08">
              <w:rPr>
                <w:rFonts w:eastAsia="Calibri" w:cs="Times New Roman"/>
                <w:sz w:val="22"/>
                <w:szCs w:val="22"/>
              </w:rPr>
              <w:t>S</w:t>
            </w:r>
            <w:r w:rsidR="00572363" w:rsidRPr="00154E08">
              <w:rPr>
                <w:rFonts w:eastAsia="Calibri" w:cs="Times New Roman"/>
                <w:sz w:val="22"/>
                <w:szCs w:val="22"/>
              </w:rPr>
              <w:t>ektor paliw transportowych jest zdominowany przez paliwa węglowodorowe</w:t>
            </w:r>
            <w:r w:rsidR="00147AA3" w:rsidRPr="00154E08">
              <w:rPr>
                <w:rFonts w:eastAsia="Calibri" w:cs="Times New Roman"/>
                <w:sz w:val="22"/>
                <w:szCs w:val="22"/>
              </w:rPr>
              <w:t xml:space="preserve"> pochodzenia kopalnego</w:t>
            </w:r>
            <w:r w:rsidR="004D06D1" w:rsidRPr="00154E08">
              <w:rPr>
                <w:rFonts w:eastAsia="Calibri" w:cs="Times New Roman"/>
                <w:sz w:val="22"/>
                <w:szCs w:val="22"/>
              </w:rPr>
              <w:t xml:space="preserve"> – olej napędowy, benzyny i gaz płynny LPG</w:t>
            </w:r>
            <w:r w:rsidR="00572363" w:rsidRPr="00154E08">
              <w:rPr>
                <w:rFonts w:eastAsia="Calibri" w:cs="Times New Roman"/>
                <w:sz w:val="22"/>
                <w:szCs w:val="22"/>
              </w:rPr>
              <w:t>. Zapewnienie neutralności klimatycznej wymaga wprowadzenia zmian we wszystkich obszarach gospodarki, w tym zmiany struktury paliw transportowych. Polityka w tym obszarze polega przede wszystkim na zwiększaniu udziału paliw odnawialnych w paliwach zużywanych przez transport. Obszar ten jest regulowany przez przepisy Unii Europejskiej.</w:t>
            </w:r>
            <w:r w:rsidR="00572363" w:rsidRPr="00154E08">
              <w:rPr>
                <w:rFonts w:eastAsia="Calibri" w:cs="Times New Roman"/>
                <w:spacing w:val="-2"/>
                <w:sz w:val="22"/>
                <w:szCs w:val="22"/>
              </w:rPr>
              <w:t xml:space="preserve"> </w:t>
            </w:r>
            <w:r w:rsidR="001321E4" w:rsidRPr="00154E08">
              <w:rPr>
                <w:rFonts w:eastAsia="Calibri" w:cs="Times New Roman"/>
                <w:spacing w:val="-2"/>
                <w:sz w:val="22"/>
                <w:szCs w:val="22"/>
              </w:rPr>
              <w:t xml:space="preserve">Do </w:t>
            </w:r>
            <w:r w:rsidR="00684A87" w:rsidRPr="00154E08">
              <w:rPr>
                <w:rFonts w:eastAsia="Calibri" w:cs="Times New Roman"/>
                <w:spacing w:val="-2"/>
                <w:sz w:val="22"/>
                <w:szCs w:val="22"/>
              </w:rPr>
              <w:t xml:space="preserve">dnia </w:t>
            </w:r>
            <w:r w:rsidR="001321E4" w:rsidRPr="00154E08">
              <w:rPr>
                <w:rFonts w:eastAsia="Calibri" w:cs="Times New Roman"/>
                <w:spacing w:val="-2"/>
                <w:sz w:val="22"/>
                <w:szCs w:val="22"/>
              </w:rPr>
              <w:t>30 czerwca 2021 r.</w:t>
            </w:r>
            <w:r w:rsidR="0001154B" w:rsidRPr="00154E08">
              <w:rPr>
                <w:rFonts w:eastAsia="Calibri" w:cs="Times New Roman"/>
                <w:spacing w:val="-2"/>
                <w:sz w:val="22"/>
                <w:szCs w:val="22"/>
              </w:rPr>
              <w:t xml:space="preserve"> </w:t>
            </w:r>
            <w:r w:rsidR="0010423F" w:rsidRPr="00154E08">
              <w:rPr>
                <w:rFonts w:eastAsia="Calibri" w:cs="Times New Roman"/>
                <w:spacing w:val="-2"/>
                <w:sz w:val="22"/>
                <w:szCs w:val="22"/>
              </w:rPr>
              <w:t xml:space="preserve">dokumentem </w:t>
            </w:r>
            <w:r w:rsidR="0001154B" w:rsidRPr="00154E08">
              <w:rPr>
                <w:rFonts w:eastAsia="Calibri" w:cs="Times New Roman"/>
                <w:spacing w:val="-2"/>
                <w:sz w:val="22"/>
                <w:szCs w:val="22"/>
              </w:rPr>
              <w:t xml:space="preserve">obowiązującym </w:t>
            </w:r>
            <w:r w:rsidR="0010423F" w:rsidRPr="00154E08">
              <w:rPr>
                <w:rFonts w:eastAsia="Calibri" w:cs="Times New Roman"/>
                <w:spacing w:val="-2"/>
                <w:sz w:val="22"/>
                <w:szCs w:val="22"/>
              </w:rPr>
              <w:t xml:space="preserve">na poziomie unijnym </w:t>
            </w:r>
            <w:r w:rsidR="009E653C" w:rsidRPr="00154E08">
              <w:rPr>
                <w:rFonts w:eastAsia="Calibri" w:cs="Times New Roman"/>
                <w:spacing w:val="-2"/>
                <w:sz w:val="22"/>
                <w:szCs w:val="22"/>
              </w:rPr>
              <w:t xml:space="preserve">dotyczącym ww. kwestii </w:t>
            </w:r>
            <w:r w:rsidR="0001154B" w:rsidRPr="00154E08">
              <w:rPr>
                <w:rFonts w:eastAsia="Calibri" w:cs="Times New Roman"/>
                <w:spacing w:val="-2"/>
                <w:sz w:val="22"/>
                <w:szCs w:val="22"/>
              </w:rPr>
              <w:t xml:space="preserve">była </w:t>
            </w:r>
            <w:r w:rsidR="0010423F" w:rsidRPr="00154E08">
              <w:rPr>
                <w:rFonts w:eastAsia="Calibri" w:cs="Times New Roman"/>
                <w:iCs/>
                <w:spacing w:val="-2"/>
                <w:sz w:val="22"/>
                <w:szCs w:val="22"/>
              </w:rPr>
              <w:t>dyrektywa</w:t>
            </w:r>
            <w:r w:rsidR="0010423F" w:rsidRPr="00154E08">
              <w:rPr>
                <w:rFonts w:eastAsia="Calibri" w:cs="Times New Roman"/>
                <w:spacing w:val="-2"/>
                <w:sz w:val="22"/>
                <w:szCs w:val="22"/>
              </w:rPr>
              <w:t xml:space="preserve"> </w:t>
            </w:r>
            <w:r w:rsidR="0001154B" w:rsidRPr="00154E08">
              <w:rPr>
                <w:rFonts w:eastAsia="Calibri" w:cs="Times New Roman"/>
                <w:spacing w:val="-2"/>
                <w:sz w:val="22"/>
                <w:szCs w:val="22"/>
              </w:rPr>
              <w:t xml:space="preserve">Parlamentu Europejskiego i Rady (UE) </w:t>
            </w:r>
            <w:r w:rsidR="0010423F" w:rsidRPr="00154E08">
              <w:rPr>
                <w:rFonts w:eastAsia="Calibri" w:cs="Times New Roman"/>
                <w:spacing w:val="-2"/>
                <w:sz w:val="22"/>
                <w:szCs w:val="22"/>
              </w:rPr>
              <w:t>2009/28/</w:t>
            </w:r>
            <w:r w:rsidR="0001154B" w:rsidRPr="00154E08">
              <w:rPr>
                <w:rFonts w:eastAsia="Calibri" w:cs="Times New Roman"/>
                <w:spacing w:val="-2"/>
                <w:sz w:val="22"/>
                <w:szCs w:val="22"/>
              </w:rPr>
              <w:t>WE z</w:t>
            </w:r>
            <w:r w:rsidR="005E6238" w:rsidRPr="00154E08">
              <w:rPr>
                <w:rFonts w:eastAsia="Calibri" w:cs="Times New Roman"/>
                <w:spacing w:val="-2"/>
                <w:sz w:val="22"/>
                <w:szCs w:val="22"/>
              </w:rPr>
              <w:t> </w:t>
            </w:r>
            <w:r w:rsidR="0001154B" w:rsidRPr="00154E08">
              <w:rPr>
                <w:rFonts w:eastAsia="Calibri" w:cs="Times New Roman"/>
                <w:spacing w:val="-2"/>
                <w:sz w:val="22"/>
                <w:szCs w:val="22"/>
              </w:rPr>
              <w:t>dnia 23</w:t>
            </w:r>
            <w:r w:rsidR="004D06D1" w:rsidRPr="00154E08">
              <w:rPr>
                <w:rFonts w:eastAsia="Calibri" w:cs="Times New Roman"/>
                <w:spacing w:val="-2"/>
                <w:sz w:val="22"/>
                <w:szCs w:val="22"/>
              </w:rPr>
              <w:t> </w:t>
            </w:r>
            <w:r w:rsidR="0001154B" w:rsidRPr="00154E08">
              <w:rPr>
                <w:rFonts w:eastAsia="Calibri" w:cs="Times New Roman"/>
                <w:spacing w:val="-2"/>
                <w:sz w:val="22"/>
                <w:szCs w:val="22"/>
              </w:rPr>
              <w:t>kwietnia 2009 r</w:t>
            </w:r>
            <w:r w:rsidR="0001154B" w:rsidRPr="00154E08">
              <w:rPr>
                <w:rFonts w:eastAsia="Calibri" w:cs="Times New Roman"/>
                <w:i/>
                <w:iCs/>
                <w:spacing w:val="-2"/>
                <w:sz w:val="22"/>
                <w:szCs w:val="22"/>
              </w:rPr>
              <w:t>.</w:t>
            </w:r>
            <w:r w:rsidR="00684A87" w:rsidRPr="00154E08">
              <w:rPr>
                <w:rFonts w:eastAsia="Calibri" w:cs="Times New Roman"/>
                <w:i/>
                <w:iCs/>
                <w:spacing w:val="-2"/>
                <w:sz w:val="22"/>
                <w:szCs w:val="22"/>
              </w:rPr>
              <w:t xml:space="preserve"> </w:t>
            </w:r>
            <w:r w:rsidR="0010423F" w:rsidRPr="00154E08">
              <w:rPr>
                <w:rFonts w:eastAsia="Calibri" w:cs="Times New Roman"/>
                <w:spacing w:val="-2"/>
                <w:sz w:val="22"/>
                <w:szCs w:val="22"/>
              </w:rPr>
              <w:t>w sprawie promowania stosowania energii ze źródeł odnawialnych</w:t>
            </w:r>
            <w:r w:rsidR="0001154B" w:rsidRPr="00154E08">
              <w:rPr>
                <w:rFonts w:eastAsia="Calibri" w:cs="Times New Roman"/>
                <w:spacing w:val="-2"/>
                <w:sz w:val="22"/>
                <w:szCs w:val="22"/>
              </w:rPr>
              <w:t xml:space="preserve"> zmieniająca i</w:t>
            </w:r>
            <w:r w:rsidR="00732AA3" w:rsidRPr="00154E08">
              <w:rPr>
                <w:rFonts w:eastAsia="Calibri" w:cs="Times New Roman"/>
                <w:spacing w:val="-2"/>
                <w:sz w:val="22"/>
                <w:szCs w:val="22"/>
              </w:rPr>
              <w:t> </w:t>
            </w:r>
            <w:r w:rsidR="0001154B" w:rsidRPr="00154E08">
              <w:rPr>
                <w:rFonts w:eastAsia="Calibri" w:cs="Times New Roman"/>
                <w:spacing w:val="-2"/>
                <w:sz w:val="22"/>
                <w:szCs w:val="22"/>
              </w:rPr>
              <w:t>w</w:t>
            </w:r>
            <w:r w:rsidR="00732AA3" w:rsidRPr="00154E08">
              <w:rPr>
                <w:rFonts w:eastAsia="Calibri" w:cs="Times New Roman"/>
                <w:spacing w:val="-2"/>
                <w:sz w:val="22"/>
                <w:szCs w:val="22"/>
              </w:rPr>
              <w:t> </w:t>
            </w:r>
            <w:r w:rsidR="0001154B" w:rsidRPr="00154E08">
              <w:rPr>
                <w:rFonts w:eastAsia="Calibri" w:cs="Times New Roman"/>
                <w:spacing w:val="-2"/>
                <w:sz w:val="22"/>
                <w:szCs w:val="22"/>
              </w:rPr>
              <w:t xml:space="preserve">następstwie uchylająca dyrektywy 2001/77/WE oraz 2003/30/WE </w:t>
            </w:r>
            <w:r w:rsidR="00CF599F" w:rsidRPr="00154E08">
              <w:rPr>
                <w:rFonts w:cs="Times New Roman"/>
                <w:sz w:val="22"/>
                <w:szCs w:val="22"/>
              </w:rPr>
              <w:t>(Dz. Urz. UE L 140 z</w:t>
            </w:r>
            <w:r w:rsidR="00CF3C62" w:rsidRPr="00154E08">
              <w:rPr>
                <w:rFonts w:cs="Times New Roman"/>
                <w:sz w:val="22"/>
                <w:szCs w:val="22"/>
              </w:rPr>
              <w:t> </w:t>
            </w:r>
            <w:r w:rsidR="00CF599F" w:rsidRPr="00154E08">
              <w:rPr>
                <w:rFonts w:cs="Times New Roman"/>
                <w:sz w:val="22"/>
                <w:szCs w:val="22"/>
              </w:rPr>
              <w:t xml:space="preserve">05.06.2009, str. 16, z </w:t>
            </w:r>
            <w:proofErr w:type="spellStart"/>
            <w:r w:rsidR="00CF599F" w:rsidRPr="00154E08">
              <w:rPr>
                <w:rFonts w:cs="Times New Roman"/>
                <w:sz w:val="22"/>
                <w:szCs w:val="22"/>
              </w:rPr>
              <w:t>późn</w:t>
            </w:r>
            <w:proofErr w:type="spellEnd"/>
            <w:r w:rsidR="00CF599F" w:rsidRPr="00154E08">
              <w:rPr>
                <w:rFonts w:cs="Times New Roman"/>
                <w:sz w:val="22"/>
                <w:szCs w:val="22"/>
              </w:rPr>
              <w:t>. zm.)</w:t>
            </w:r>
            <w:r w:rsidR="00CF599F" w:rsidRPr="00154E08">
              <w:rPr>
                <w:rFonts w:eastAsia="Calibri" w:cs="Times New Roman"/>
                <w:spacing w:val="-2"/>
                <w:sz w:val="22"/>
                <w:szCs w:val="22"/>
              </w:rPr>
              <w:t xml:space="preserve">, zwana </w:t>
            </w:r>
            <w:r w:rsidR="0001154B" w:rsidRPr="00154E08">
              <w:rPr>
                <w:rFonts w:eastAsia="Calibri" w:cs="Times New Roman"/>
                <w:spacing w:val="-2"/>
                <w:sz w:val="22"/>
                <w:szCs w:val="22"/>
              </w:rPr>
              <w:t>dalej „</w:t>
            </w:r>
            <w:r w:rsidR="00DF2CC6" w:rsidRPr="00154E08">
              <w:rPr>
                <w:rFonts w:eastAsia="Calibri" w:cs="Times New Roman"/>
                <w:spacing w:val="-2"/>
                <w:sz w:val="22"/>
                <w:szCs w:val="22"/>
              </w:rPr>
              <w:t xml:space="preserve">dyrektywą </w:t>
            </w:r>
            <w:r w:rsidR="0001154B" w:rsidRPr="00154E08">
              <w:rPr>
                <w:rFonts w:eastAsia="Calibri" w:cs="Times New Roman"/>
                <w:bCs/>
                <w:spacing w:val="-2"/>
                <w:sz w:val="22"/>
                <w:szCs w:val="22"/>
              </w:rPr>
              <w:t>RED</w:t>
            </w:r>
            <w:r w:rsidR="0001154B" w:rsidRPr="00154E08">
              <w:rPr>
                <w:rFonts w:eastAsia="Calibri" w:cs="Times New Roman"/>
                <w:spacing w:val="-2"/>
                <w:sz w:val="22"/>
                <w:szCs w:val="22"/>
              </w:rPr>
              <w:t>”</w:t>
            </w:r>
            <w:r w:rsidR="0010423F" w:rsidRPr="00154E08">
              <w:rPr>
                <w:rFonts w:eastAsia="Calibri" w:cs="Times New Roman"/>
                <w:spacing w:val="-2"/>
                <w:sz w:val="22"/>
                <w:szCs w:val="22"/>
              </w:rPr>
              <w:t xml:space="preserve">. </w:t>
            </w:r>
            <w:r w:rsidR="00E76E41" w:rsidRPr="00154E08">
              <w:rPr>
                <w:rFonts w:eastAsia="Calibri" w:cs="Times New Roman"/>
                <w:spacing w:val="-2"/>
                <w:sz w:val="22"/>
                <w:szCs w:val="22"/>
              </w:rPr>
              <w:t>D</w:t>
            </w:r>
            <w:r w:rsidR="00DF2CC6" w:rsidRPr="00154E08">
              <w:rPr>
                <w:rFonts w:eastAsia="Calibri" w:cs="Times New Roman"/>
                <w:spacing w:val="-2"/>
                <w:sz w:val="22"/>
                <w:szCs w:val="22"/>
              </w:rPr>
              <w:t>yrektyw</w:t>
            </w:r>
            <w:r w:rsidR="00E76E41" w:rsidRPr="00154E08">
              <w:rPr>
                <w:rFonts w:eastAsia="Calibri" w:cs="Times New Roman"/>
                <w:spacing w:val="-2"/>
                <w:sz w:val="22"/>
                <w:szCs w:val="22"/>
              </w:rPr>
              <w:t>a</w:t>
            </w:r>
            <w:r w:rsidR="00CC2F30" w:rsidRPr="00154E08">
              <w:rPr>
                <w:rFonts w:eastAsia="Calibri" w:cs="Times New Roman"/>
                <w:spacing w:val="-2"/>
                <w:sz w:val="22"/>
                <w:szCs w:val="22"/>
              </w:rPr>
              <w:t xml:space="preserve"> </w:t>
            </w:r>
            <w:r w:rsidR="00DF2CC6" w:rsidRPr="00154E08">
              <w:rPr>
                <w:rFonts w:eastAsia="Calibri" w:cs="Times New Roman"/>
                <w:spacing w:val="-2"/>
                <w:sz w:val="22"/>
                <w:szCs w:val="22"/>
              </w:rPr>
              <w:t xml:space="preserve">RED </w:t>
            </w:r>
            <w:r w:rsidR="00E76E41" w:rsidRPr="00154E08">
              <w:rPr>
                <w:rFonts w:eastAsia="Calibri" w:cs="Times New Roman"/>
                <w:spacing w:val="-2"/>
                <w:sz w:val="22"/>
                <w:szCs w:val="22"/>
              </w:rPr>
              <w:t xml:space="preserve">zobowiązywała </w:t>
            </w:r>
            <w:r w:rsidR="009E653C" w:rsidRPr="00154E08">
              <w:rPr>
                <w:rFonts w:eastAsia="Calibri" w:cs="Times New Roman"/>
                <w:spacing w:val="-2"/>
                <w:sz w:val="22"/>
                <w:szCs w:val="22"/>
              </w:rPr>
              <w:t>państwa członkowskie U</w:t>
            </w:r>
            <w:r w:rsidR="00DF2CC6" w:rsidRPr="00154E08">
              <w:rPr>
                <w:rFonts w:eastAsia="Calibri" w:cs="Times New Roman"/>
                <w:spacing w:val="-2"/>
                <w:sz w:val="22"/>
                <w:szCs w:val="22"/>
              </w:rPr>
              <w:t xml:space="preserve">nii </w:t>
            </w:r>
            <w:r w:rsidR="009E653C" w:rsidRPr="00154E08">
              <w:rPr>
                <w:rFonts w:eastAsia="Calibri" w:cs="Times New Roman"/>
                <w:spacing w:val="-2"/>
                <w:sz w:val="22"/>
                <w:szCs w:val="22"/>
              </w:rPr>
              <w:t>E</w:t>
            </w:r>
            <w:r w:rsidR="00DF2CC6" w:rsidRPr="00154E08">
              <w:rPr>
                <w:rFonts w:eastAsia="Calibri" w:cs="Times New Roman"/>
                <w:spacing w:val="-2"/>
                <w:sz w:val="22"/>
                <w:szCs w:val="22"/>
              </w:rPr>
              <w:t>uropejskiej</w:t>
            </w:r>
            <w:r w:rsidR="009E653C" w:rsidRPr="00154E08">
              <w:rPr>
                <w:rFonts w:eastAsia="Calibri" w:cs="Times New Roman"/>
                <w:spacing w:val="-2"/>
                <w:sz w:val="22"/>
                <w:szCs w:val="22"/>
              </w:rPr>
              <w:t xml:space="preserve"> do zapewnienia w</w:t>
            </w:r>
            <w:r w:rsidR="005E6238" w:rsidRPr="00154E08">
              <w:rPr>
                <w:rFonts w:eastAsia="Calibri" w:cs="Times New Roman"/>
                <w:spacing w:val="-2"/>
                <w:sz w:val="22"/>
                <w:szCs w:val="22"/>
              </w:rPr>
              <w:t> </w:t>
            </w:r>
            <w:r w:rsidR="009E653C" w:rsidRPr="00154E08">
              <w:rPr>
                <w:rFonts w:eastAsia="Calibri" w:cs="Times New Roman"/>
                <w:spacing w:val="-2"/>
                <w:sz w:val="22"/>
                <w:szCs w:val="22"/>
              </w:rPr>
              <w:t>2020 r</w:t>
            </w:r>
            <w:r w:rsidR="004D06D1" w:rsidRPr="00154E08">
              <w:rPr>
                <w:rFonts w:eastAsia="Calibri" w:cs="Times New Roman"/>
                <w:spacing w:val="-2"/>
                <w:sz w:val="22"/>
                <w:szCs w:val="22"/>
              </w:rPr>
              <w:t>.</w:t>
            </w:r>
            <w:r w:rsidR="009E653C" w:rsidRPr="00154E08">
              <w:rPr>
                <w:rFonts w:eastAsia="Calibri" w:cs="Times New Roman"/>
                <w:spacing w:val="-2"/>
                <w:sz w:val="22"/>
                <w:szCs w:val="22"/>
              </w:rPr>
              <w:t xml:space="preserve"> udziału paliw odnawialnych w</w:t>
            </w:r>
            <w:r w:rsidR="004947D1" w:rsidRPr="00154E08">
              <w:rPr>
                <w:rFonts w:eastAsia="Calibri" w:cs="Times New Roman"/>
                <w:spacing w:val="-2"/>
                <w:sz w:val="22"/>
                <w:szCs w:val="22"/>
              </w:rPr>
              <w:t> </w:t>
            </w:r>
            <w:r w:rsidR="009E653C" w:rsidRPr="00154E08">
              <w:rPr>
                <w:rFonts w:eastAsia="Calibri" w:cs="Times New Roman"/>
                <w:spacing w:val="-2"/>
                <w:sz w:val="22"/>
                <w:szCs w:val="22"/>
              </w:rPr>
              <w:t xml:space="preserve">paliwach wykorzystanych w transporcie </w:t>
            </w:r>
            <w:r w:rsidR="0016369A" w:rsidRPr="00154E08">
              <w:rPr>
                <w:rFonts w:eastAsia="Calibri" w:cs="Times New Roman"/>
                <w:spacing w:val="-2"/>
                <w:sz w:val="22"/>
                <w:szCs w:val="22"/>
              </w:rPr>
              <w:t xml:space="preserve">– </w:t>
            </w:r>
            <w:r w:rsidR="009E653C" w:rsidRPr="00154E08">
              <w:rPr>
                <w:rFonts w:eastAsia="Calibri" w:cs="Times New Roman"/>
                <w:spacing w:val="-2"/>
                <w:sz w:val="22"/>
                <w:szCs w:val="22"/>
              </w:rPr>
              <w:t>drogowym i kolejowym</w:t>
            </w:r>
            <w:r w:rsidR="005E6238" w:rsidRPr="00154E08">
              <w:rPr>
                <w:rFonts w:eastAsia="Calibri" w:cs="Times New Roman"/>
                <w:spacing w:val="-2"/>
                <w:sz w:val="22"/>
                <w:szCs w:val="22"/>
              </w:rPr>
              <w:t>,</w:t>
            </w:r>
            <w:r w:rsidR="004A3F39" w:rsidRPr="00154E08">
              <w:rPr>
                <w:rFonts w:eastAsia="Calibri" w:cs="Times New Roman"/>
                <w:spacing w:val="-2"/>
                <w:sz w:val="22"/>
                <w:szCs w:val="22"/>
              </w:rPr>
              <w:t xml:space="preserve"> na poziomie </w:t>
            </w:r>
            <w:r w:rsidR="005E6238" w:rsidRPr="00154E08">
              <w:rPr>
                <w:rFonts w:eastAsia="Calibri" w:cs="Times New Roman"/>
                <w:spacing w:val="-2"/>
                <w:sz w:val="22"/>
                <w:szCs w:val="22"/>
              </w:rPr>
              <w:t>co najmniej</w:t>
            </w:r>
            <w:r w:rsidR="006232ED" w:rsidRPr="00154E08">
              <w:rPr>
                <w:rFonts w:eastAsia="Calibri" w:cs="Times New Roman"/>
                <w:spacing w:val="-2"/>
                <w:sz w:val="22"/>
                <w:szCs w:val="22"/>
              </w:rPr>
              <w:t> </w:t>
            </w:r>
            <w:r w:rsidR="004A3F39" w:rsidRPr="00154E08">
              <w:rPr>
                <w:rFonts w:eastAsia="Calibri" w:cs="Times New Roman"/>
                <w:spacing w:val="-2"/>
                <w:sz w:val="22"/>
                <w:szCs w:val="22"/>
              </w:rPr>
              <w:t>10%</w:t>
            </w:r>
            <w:r w:rsidR="009E653C" w:rsidRPr="00154E08">
              <w:rPr>
                <w:rFonts w:eastAsia="Calibri" w:cs="Times New Roman"/>
                <w:spacing w:val="-2"/>
                <w:sz w:val="22"/>
                <w:szCs w:val="22"/>
              </w:rPr>
              <w:t>.</w:t>
            </w:r>
            <w:r w:rsidR="00DD2A7C" w:rsidRPr="00154E08">
              <w:rPr>
                <w:rFonts w:eastAsia="Calibri" w:cs="Times New Roman"/>
                <w:spacing w:val="-2"/>
                <w:sz w:val="22"/>
                <w:szCs w:val="22"/>
              </w:rPr>
              <w:t xml:space="preserve"> </w:t>
            </w:r>
          </w:p>
          <w:p w14:paraId="5A9C48B1" w14:textId="4650FF4F" w:rsidR="00F66C86" w:rsidRPr="00154E08" w:rsidRDefault="00DF2CC6"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D</w:t>
            </w:r>
            <w:r w:rsidR="009E653C" w:rsidRPr="00154E08">
              <w:rPr>
                <w:rFonts w:eastAsia="Calibri" w:cs="Times New Roman"/>
                <w:spacing w:val="-2"/>
                <w:sz w:val="22"/>
                <w:szCs w:val="22"/>
              </w:rPr>
              <w:t xml:space="preserve">yrektywa </w:t>
            </w:r>
            <w:r w:rsidRPr="00154E08">
              <w:rPr>
                <w:rFonts w:eastAsia="Calibri" w:cs="Times New Roman"/>
                <w:spacing w:val="-2"/>
                <w:sz w:val="22"/>
                <w:szCs w:val="22"/>
              </w:rPr>
              <w:t xml:space="preserve">RED </w:t>
            </w:r>
            <w:r w:rsidR="6F35FEA1" w:rsidRPr="00154E08">
              <w:rPr>
                <w:rFonts w:eastAsia="Calibri" w:cs="Times New Roman"/>
                <w:sz w:val="22"/>
                <w:szCs w:val="22"/>
              </w:rPr>
              <w:t xml:space="preserve">w sektorze transportu </w:t>
            </w:r>
            <w:r w:rsidR="009E653C" w:rsidRPr="00154E08">
              <w:rPr>
                <w:rFonts w:eastAsia="Calibri" w:cs="Times New Roman"/>
                <w:spacing w:val="-2"/>
                <w:sz w:val="22"/>
                <w:szCs w:val="22"/>
              </w:rPr>
              <w:t>została wdrożona do polskiego porządku prawnego ustawą z dnia</w:t>
            </w:r>
            <w:r w:rsidR="004A3F39" w:rsidRPr="00154E08">
              <w:rPr>
                <w:rFonts w:eastAsia="Calibri" w:cs="Times New Roman"/>
                <w:spacing w:val="-2"/>
                <w:sz w:val="22"/>
                <w:szCs w:val="22"/>
              </w:rPr>
              <w:t xml:space="preserve"> 21 marca 2014 r.</w:t>
            </w:r>
            <w:r w:rsidR="00DD2A7C" w:rsidRPr="00154E08">
              <w:rPr>
                <w:rFonts w:eastAsia="Calibri" w:cs="Times New Roman"/>
                <w:spacing w:val="-2"/>
                <w:sz w:val="22"/>
                <w:szCs w:val="22"/>
              </w:rPr>
              <w:t xml:space="preserve"> </w:t>
            </w:r>
            <w:r w:rsidR="00F66C86" w:rsidRPr="00154E08">
              <w:rPr>
                <w:rFonts w:eastAsia="Calibri" w:cs="Times New Roman"/>
                <w:spacing w:val="-2"/>
                <w:sz w:val="22"/>
                <w:szCs w:val="22"/>
              </w:rPr>
              <w:t>o</w:t>
            </w:r>
            <w:r w:rsidR="007571FD" w:rsidRPr="00154E08">
              <w:rPr>
                <w:rFonts w:eastAsia="Calibri" w:cs="Times New Roman"/>
                <w:spacing w:val="-2"/>
                <w:sz w:val="22"/>
                <w:szCs w:val="22"/>
              </w:rPr>
              <w:t> </w:t>
            </w:r>
            <w:r w:rsidR="00F66C86" w:rsidRPr="00154E08">
              <w:rPr>
                <w:rFonts w:eastAsia="Calibri" w:cs="Times New Roman"/>
                <w:spacing w:val="-2"/>
                <w:sz w:val="22"/>
                <w:szCs w:val="22"/>
              </w:rPr>
              <w:t>zmianie ustawy o</w:t>
            </w:r>
            <w:r w:rsidR="009E653C" w:rsidRPr="00154E08">
              <w:rPr>
                <w:rFonts w:eastAsia="Calibri" w:cs="Times New Roman"/>
                <w:spacing w:val="-2"/>
                <w:sz w:val="22"/>
                <w:szCs w:val="22"/>
              </w:rPr>
              <w:t xml:space="preserve"> biokomponentach i biopaliwach ciekłych </w:t>
            </w:r>
            <w:r w:rsidR="004A3F39" w:rsidRPr="00154E08">
              <w:rPr>
                <w:rFonts w:eastAsia="Calibri" w:cs="Times New Roman"/>
                <w:spacing w:val="-2"/>
                <w:sz w:val="22"/>
                <w:szCs w:val="22"/>
              </w:rPr>
              <w:t xml:space="preserve">oraz niektórych innych ustaw </w:t>
            </w:r>
            <w:r w:rsidR="009E653C" w:rsidRPr="00154E08">
              <w:rPr>
                <w:rFonts w:eastAsia="Calibri" w:cs="Times New Roman"/>
                <w:spacing w:val="-2"/>
                <w:sz w:val="22"/>
                <w:szCs w:val="22"/>
              </w:rPr>
              <w:t xml:space="preserve">(Dz. U. </w:t>
            </w:r>
            <w:r w:rsidR="004A3F39" w:rsidRPr="00154E08">
              <w:rPr>
                <w:rFonts w:eastAsia="Calibri" w:cs="Times New Roman"/>
                <w:spacing w:val="-2"/>
                <w:sz w:val="22"/>
                <w:szCs w:val="22"/>
              </w:rPr>
              <w:t>poz. 457</w:t>
            </w:r>
            <w:r w:rsidR="009E653C" w:rsidRPr="00154E08">
              <w:rPr>
                <w:rFonts w:eastAsia="Calibri" w:cs="Times New Roman"/>
                <w:spacing w:val="-2"/>
                <w:sz w:val="22"/>
                <w:szCs w:val="22"/>
              </w:rPr>
              <w:t xml:space="preserve">). </w:t>
            </w:r>
            <w:r w:rsidR="00603373" w:rsidRPr="00154E08">
              <w:rPr>
                <w:rFonts w:eastAsia="Calibri" w:cs="Times New Roman"/>
                <w:spacing w:val="-2"/>
                <w:sz w:val="22"/>
                <w:szCs w:val="22"/>
              </w:rPr>
              <w:t xml:space="preserve">Narzędziem służącym zapewnieniu </w:t>
            </w:r>
            <w:r w:rsidR="00EC73FE" w:rsidRPr="00154E08">
              <w:rPr>
                <w:rFonts w:eastAsia="Calibri" w:cs="Times New Roman"/>
                <w:spacing w:val="-2"/>
                <w:sz w:val="22"/>
                <w:szCs w:val="22"/>
              </w:rPr>
              <w:t>realizacji wyznaczonego celu</w:t>
            </w:r>
            <w:r w:rsidR="00603373" w:rsidRPr="00154E08">
              <w:rPr>
                <w:rFonts w:eastAsia="Calibri" w:cs="Times New Roman"/>
                <w:spacing w:val="-2"/>
                <w:sz w:val="22"/>
                <w:szCs w:val="22"/>
              </w:rPr>
              <w:t xml:space="preserve"> był</w:t>
            </w:r>
            <w:r w:rsidR="00EC73FE" w:rsidRPr="00154E08">
              <w:rPr>
                <w:rFonts w:eastAsia="Calibri" w:cs="Times New Roman"/>
                <w:spacing w:val="-2"/>
                <w:sz w:val="22"/>
                <w:szCs w:val="22"/>
              </w:rPr>
              <w:t xml:space="preserve"> wprowadzony w</w:t>
            </w:r>
            <w:r w:rsidR="009A7354" w:rsidRPr="00154E08">
              <w:rPr>
                <w:rFonts w:eastAsia="Calibri" w:cs="Times New Roman"/>
                <w:spacing w:val="-2"/>
                <w:sz w:val="22"/>
                <w:szCs w:val="22"/>
              </w:rPr>
              <w:t> </w:t>
            </w:r>
            <w:r w:rsidRPr="00154E08">
              <w:rPr>
                <w:rFonts w:eastAsia="Calibri" w:cs="Times New Roman"/>
                <w:spacing w:val="-2"/>
                <w:sz w:val="22"/>
                <w:szCs w:val="22"/>
              </w:rPr>
              <w:t xml:space="preserve">ww. </w:t>
            </w:r>
            <w:r w:rsidR="00EC73FE" w:rsidRPr="00154E08">
              <w:rPr>
                <w:rFonts w:eastAsia="Calibri" w:cs="Times New Roman"/>
                <w:spacing w:val="-2"/>
                <w:sz w:val="22"/>
                <w:szCs w:val="22"/>
              </w:rPr>
              <w:t>ustawie</w:t>
            </w:r>
            <w:r w:rsidR="00603373" w:rsidRPr="00154E08">
              <w:rPr>
                <w:rFonts w:eastAsia="Calibri" w:cs="Times New Roman"/>
                <w:spacing w:val="-2"/>
                <w:sz w:val="22"/>
                <w:szCs w:val="22"/>
              </w:rPr>
              <w:t xml:space="preserve"> Narodowy Cel Wskaźnikowy</w:t>
            </w:r>
            <w:r w:rsidRPr="00154E08">
              <w:rPr>
                <w:rFonts w:eastAsia="Calibri" w:cs="Times New Roman"/>
                <w:spacing w:val="-2"/>
                <w:sz w:val="22"/>
                <w:szCs w:val="22"/>
              </w:rPr>
              <w:t xml:space="preserve">, zwany </w:t>
            </w:r>
            <w:r w:rsidR="0001154B" w:rsidRPr="00154E08">
              <w:rPr>
                <w:rFonts w:eastAsia="Calibri" w:cs="Times New Roman"/>
                <w:spacing w:val="-2"/>
                <w:sz w:val="22"/>
                <w:szCs w:val="22"/>
              </w:rPr>
              <w:t>dalej „NCW</w:t>
            </w:r>
            <w:r w:rsidRPr="00154E08">
              <w:rPr>
                <w:rFonts w:eastAsia="Calibri" w:cs="Times New Roman"/>
                <w:spacing w:val="-2"/>
                <w:sz w:val="22"/>
                <w:szCs w:val="22"/>
              </w:rPr>
              <w:t>”</w:t>
            </w:r>
            <w:r w:rsidR="00603373" w:rsidRPr="00154E08">
              <w:rPr>
                <w:rFonts w:eastAsia="Calibri" w:cs="Times New Roman"/>
                <w:spacing w:val="-2"/>
                <w:sz w:val="22"/>
                <w:szCs w:val="22"/>
              </w:rPr>
              <w:t xml:space="preserve">, określający </w:t>
            </w:r>
            <w:r w:rsidR="009E653C" w:rsidRPr="00154E08">
              <w:rPr>
                <w:rFonts w:eastAsia="Calibri" w:cs="Times New Roman"/>
                <w:spacing w:val="-2"/>
                <w:sz w:val="22"/>
                <w:szCs w:val="22"/>
              </w:rPr>
              <w:t>minimalny udział paliw odnawialnych i</w:t>
            </w:r>
            <w:r w:rsidR="00837D94" w:rsidRPr="00154E08">
              <w:rPr>
                <w:rFonts w:eastAsia="Calibri" w:cs="Times New Roman"/>
                <w:spacing w:val="-2"/>
                <w:sz w:val="22"/>
                <w:szCs w:val="22"/>
              </w:rPr>
              <w:t> </w:t>
            </w:r>
            <w:r w:rsidR="009E653C" w:rsidRPr="00154E08">
              <w:rPr>
                <w:rFonts w:eastAsia="Calibri" w:cs="Times New Roman"/>
                <w:spacing w:val="-2"/>
                <w:sz w:val="22"/>
                <w:szCs w:val="22"/>
              </w:rPr>
              <w:t>biokomponentów zawartych w paliwach stosowanych w</w:t>
            </w:r>
            <w:r w:rsidR="00572363" w:rsidRPr="00154E08">
              <w:rPr>
                <w:rFonts w:eastAsia="Calibri" w:cs="Times New Roman"/>
                <w:spacing w:val="-2"/>
                <w:sz w:val="22"/>
                <w:szCs w:val="22"/>
              </w:rPr>
              <w:t>e</w:t>
            </w:r>
            <w:r w:rsidR="009E653C" w:rsidRPr="00154E08">
              <w:rPr>
                <w:rFonts w:eastAsia="Calibri" w:cs="Times New Roman"/>
                <w:spacing w:val="-2"/>
                <w:sz w:val="22"/>
                <w:szCs w:val="22"/>
              </w:rPr>
              <w:t xml:space="preserve"> wszystkich rodzajach transportu w ogólnej ilości paliw ciekłych i biopaliw zużytych w ciągu roku w </w:t>
            </w:r>
            <w:r w:rsidR="009E653C" w:rsidRPr="00154E08">
              <w:rPr>
                <w:rFonts w:eastAsia="Calibri" w:cs="Times New Roman"/>
                <w:spacing w:val="-2"/>
                <w:sz w:val="22"/>
                <w:szCs w:val="22"/>
              </w:rPr>
              <w:lastRenderedPageBreak/>
              <w:t>transporcie</w:t>
            </w:r>
            <w:r w:rsidR="00603373" w:rsidRPr="00154E08">
              <w:rPr>
                <w:rFonts w:eastAsia="Calibri" w:cs="Times New Roman"/>
                <w:spacing w:val="-2"/>
                <w:sz w:val="22"/>
                <w:szCs w:val="22"/>
              </w:rPr>
              <w:t xml:space="preserve">. </w:t>
            </w:r>
          </w:p>
          <w:p w14:paraId="7461AAF4" w14:textId="4DC26C92" w:rsidR="00C91750" w:rsidRPr="00154E08" w:rsidRDefault="00583E50" w:rsidP="002E5A17">
            <w:pPr>
              <w:shd w:val="clear" w:color="auto" w:fill="FFFFFF" w:themeFill="background1"/>
              <w:spacing w:after="120" w:line="240" w:lineRule="auto"/>
              <w:jc w:val="both"/>
              <w:rPr>
                <w:rFonts w:eastAsia="Calibri" w:cs="Times New Roman"/>
                <w:spacing w:val="-2"/>
                <w:sz w:val="22"/>
                <w:szCs w:val="22"/>
              </w:rPr>
            </w:pPr>
            <w:r w:rsidRPr="00154E08">
              <w:rPr>
                <w:rFonts w:eastAsia="Calibri" w:cs="Times New Roman"/>
                <w:spacing w:val="-2"/>
                <w:sz w:val="22"/>
                <w:szCs w:val="22"/>
              </w:rPr>
              <w:t>P</w:t>
            </w:r>
            <w:r w:rsidR="00F66C86" w:rsidRPr="00154E08">
              <w:rPr>
                <w:rFonts w:eastAsia="Calibri" w:cs="Times New Roman"/>
                <w:spacing w:val="-2"/>
                <w:sz w:val="22"/>
                <w:szCs w:val="22"/>
              </w:rPr>
              <w:t>odmiotami zobowiązanymi do realizacji NCW zostały przedsiębiorstwa paliwowe – tj.</w:t>
            </w:r>
            <w:r w:rsidR="005E6238" w:rsidRPr="00154E08">
              <w:rPr>
                <w:rFonts w:eastAsia="Calibri" w:cs="Times New Roman"/>
                <w:spacing w:val="-2"/>
                <w:sz w:val="22"/>
                <w:szCs w:val="22"/>
              </w:rPr>
              <w:t> </w:t>
            </w:r>
            <w:r w:rsidR="00F66C86" w:rsidRPr="00154E08">
              <w:rPr>
                <w:rFonts w:eastAsia="Calibri" w:cs="Times New Roman"/>
                <w:spacing w:val="-2"/>
                <w:sz w:val="22"/>
                <w:szCs w:val="22"/>
              </w:rPr>
              <w:t>wytw</w:t>
            </w:r>
            <w:r w:rsidR="007C626E" w:rsidRPr="00154E08">
              <w:rPr>
                <w:rFonts w:eastAsia="Calibri" w:cs="Times New Roman"/>
                <w:spacing w:val="-2"/>
                <w:sz w:val="22"/>
                <w:szCs w:val="22"/>
              </w:rPr>
              <w:t>órcy</w:t>
            </w:r>
            <w:r w:rsidR="00F66C86" w:rsidRPr="00154E08">
              <w:rPr>
                <w:rFonts w:eastAsia="Calibri" w:cs="Times New Roman"/>
                <w:spacing w:val="-2"/>
                <w:sz w:val="22"/>
                <w:szCs w:val="22"/>
              </w:rPr>
              <w:t>, importe</w:t>
            </w:r>
            <w:r w:rsidR="007C626E" w:rsidRPr="00154E08">
              <w:rPr>
                <w:rFonts w:eastAsia="Calibri" w:cs="Times New Roman"/>
                <w:spacing w:val="-2"/>
                <w:sz w:val="22"/>
                <w:szCs w:val="22"/>
              </w:rPr>
              <w:t xml:space="preserve">rzy </w:t>
            </w:r>
            <w:r w:rsidR="00F66C86" w:rsidRPr="00154E08">
              <w:rPr>
                <w:rFonts w:eastAsia="Calibri" w:cs="Times New Roman"/>
                <w:spacing w:val="-2"/>
                <w:sz w:val="22"/>
                <w:szCs w:val="22"/>
              </w:rPr>
              <w:t>lub naby</w:t>
            </w:r>
            <w:r w:rsidR="00AF3410" w:rsidRPr="00154E08">
              <w:rPr>
                <w:rFonts w:eastAsia="Calibri" w:cs="Times New Roman"/>
                <w:spacing w:val="-2"/>
                <w:sz w:val="22"/>
                <w:szCs w:val="22"/>
              </w:rPr>
              <w:t xml:space="preserve">wcy </w:t>
            </w:r>
            <w:r w:rsidR="00F66C86" w:rsidRPr="00154E08">
              <w:rPr>
                <w:rFonts w:eastAsia="Calibri" w:cs="Times New Roman"/>
                <w:spacing w:val="-2"/>
                <w:sz w:val="22"/>
                <w:szCs w:val="22"/>
              </w:rPr>
              <w:t>wewnątrzwspólnotow</w:t>
            </w:r>
            <w:r w:rsidR="00AF3410" w:rsidRPr="00154E08">
              <w:rPr>
                <w:rFonts w:eastAsia="Calibri" w:cs="Times New Roman"/>
                <w:spacing w:val="-2"/>
                <w:sz w:val="22"/>
                <w:szCs w:val="22"/>
              </w:rPr>
              <w:t xml:space="preserve">i </w:t>
            </w:r>
            <w:r w:rsidR="00F66C86" w:rsidRPr="00154E08">
              <w:rPr>
                <w:rFonts w:eastAsia="Calibri" w:cs="Times New Roman"/>
                <w:spacing w:val="-2"/>
                <w:sz w:val="22"/>
                <w:szCs w:val="22"/>
              </w:rPr>
              <w:t>paliw ciekłych lub biopaliw ciekłych, którz</w:t>
            </w:r>
            <w:r w:rsidR="00963F0F" w:rsidRPr="00154E08">
              <w:rPr>
                <w:rFonts w:eastAsia="Calibri" w:cs="Times New Roman"/>
                <w:spacing w:val="-2"/>
                <w:sz w:val="22"/>
                <w:szCs w:val="22"/>
              </w:rPr>
              <w:t>y</w:t>
            </w:r>
            <w:r w:rsidR="00F66C86" w:rsidRPr="00154E08">
              <w:rPr>
                <w:rFonts w:eastAsia="Calibri" w:cs="Times New Roman"/>
                <w:spacing w:val="-2"/>
                <w:sz w:val="22"/>
                <w:szCs w:val="22"/>
              </w:rPr>
              <w:t>:</w:t>
            </w:r>
          </w:p>
          <w:p w14:paraId="7D76D597" w14:textId="58758058" w:rsidR="00C91750" w:rsidRPr="00154E08" w:rsidRDefault="00F66C86" w:rsidP="002E5A17">
            <w:pPr>
              <w:pStyle w:val="Akapitzlist"/>
              <w:numPr>
                <w:ilvl w:val="0"/>
                <w:numId w:val="19"/>
              </w:numPr>
              <w:spacing w:after="120" w:line="240" w:lineRule="auto"/>
              <w:jc w:val="both"/>
              <w:rPr>
                <w:rFonts w:ascii="Times New Roman" w:hAnsi="Times New Roman"/>
                <w:sz w:val="22"/>
                <w:szCs w:val="22"/>
              </w:rPr>
            </w:pPr>
            <w:r w:rsidRPr="00154E08">
              <w:rPr>
                <w:rFonts w:ascii="Times New Roman" w:eastAsia="Calibri" w:hAnsi="Times New Roman"/>
                <w:spacing w:val="-2"/>
                <w:sz w:val="22"/>
                <w:szCs w:val="22"/>
              </w:rPr>
              <w:t>rozporządzają nimi na terytorium R</w:t>
            </w:r>
            <w:r w:rsidR="00FF66BF" w:rsidRPr="00154E08">
              <w:rPr>
                <w:rFonts w:ascii="Times New Roman" w:eastAsia="Calibri" w:hAnsi="Times New Roman"/>
                <w:spacing w:val="-2"/>
                <w:sz w:val="22"/>
                <w:szCs w:val="22"/>
              </w:rPr>
              <w:t xml:space="preserve">zeczypospolitej </w:t>
            </w:r>
            <w:r w:rsidRPr="00154E08">
              <w:rPr>
                <w:rFonts w:ascii="Times New Roman" w:eastAsia="Calibri" w:hAnsi="Times New Roman"/>
                <w:spacing w:val="-2"/>
                <w:sz w:val="22"/>
                <w:szCs w:val="22"/>
              </w:rPr>
              <w:t>P</w:t>
            </w:r>
            <w:r w:rsidR="00FF66BF" w:rsidRPr="00154E08">
              <w:rPr>
                <w:rFonts w:ascii="Times New Roman" w:eastAsia="Calibri" w:hAnsi="Times New Roman"/>
                <w:spacing w:val="-2"/>
                <w:sz w:val="22"/>
                <w:szCs w:val="22"/>
              </w:rPr>
              <w:t>olskiej</w:t>
            </w:r>
            <w:r w:rsidRPr="00154E08">
              <w:rPr>
                <w:rFonts w:ascii="Times New Roman" w:eastAsia="Calibri" w:hAnsi="Times New Roman"/>
                <w:spacing w:val="-2"/>
                <w:sz w:val="22"/>
                <w:szCs w:val="22"/>
              </w:rPr>
              <w:t xml:space="preserve"> przez dokonanie jakiejkolwiek czynności prawnej lub</w:t>
            </w:r>
            <w:r w:rsidR="00DF2CC6" w:rsidRPr="00154E08">
              <w:rPr>
                <w:rFonts w:ascii="Times New Roman" w:eastAsia="Calibri" w:hAnsi="Times New Roman"/>
                <w:spacing w:val="-2"/>
                <w:sz w:val="22"/>
                <w:szCs w:val="22"/>
              </w:rPr>
              <w:t xml:space="preserve"> </w:t>
            </w:r>
            <w:r w:rsidRPr="00154E08">
              <w:rPr>
                <w:rFonts w:ascii="Times New Roman" w:eastAsia="Calibri" w:hAnsi="Times New Roman"/>
                <w:spacing w:val="-2"/>
                <w:sz w:val="22"/>
                <w:szCs w:val="22"/>
              </w:rPr>
              <w:t>faktycznej skutkującej trwałym wyzbyciem się tych paliw lub biopaliw ciekłych, lub</w:t>
            </w:r>
          </w:p>
          <w:p w14:paraId="61352F69" w14:textId="13670D93" w:rsidR="00E4057B" w:rsidRPr="00154E08" w:rsidRDefault="00F66C86" w:rsidP="00B279FD">
            <w:pPr>
              <w:pStyle w:val="Akapitzlist"/>
              <w:numPr>
                <w:ilvl w:val="0"/>
                <w:numId w:val="19"/>
              </w:numPr>
              <w:spacing w:after="120" w:line="240" w:lineRule="auto"/>
              <w:jc w:val="both"/>
              <w:rPr>
                <w:rFonts w:ascii="Times New Roman" w:eastAsia="Calibri" w:hAnsi="Times New Roman"/>
                <w:spacing w:val="-2"/>
                <w:sz w:val="22"/>
                <w:szCs w:val="22"/>
              </w:rPr>
            </w:pPr>
            <w:r w:rsidRPr="00154E08">
              <w:rPr>
                <w:rFonts w:ascii="Times New Roman" w:eastAsia="Calibri" w:hAnsi="Times New Roman"/>
                <w:spacing w:val="-2"/>
                <w:sz w:val="22"/>
                <w:szCs w:val="22"/>
              </w:rPr>
              <w:t>zużywa</w:t>
            </w:r>
            <w:r w:rsidR="00F025AB" w:rsidRPr="00154E08">
              <w:rPr>
                <w:rFonts w:ascii="Times New Roman" w:eastAsia="Calibri" w:hAnsi="Times New Roman"/>
                <w:spacing w:val="-2"/>
                <w:sz w:val="22"/>
                <w:szCs w:val="22"/>
              </w:rPr>
              <w:t>ją</w:t>
            </w:r>
            <w:r w:rsidRPr="00154E08">
              <w:rPr>
                <w:rFonts w:ascii="Times New Roman" w:eastAsia="Calibri" w:hAnsi="Times New Roman"/>
                <w:spacing w:val="-2"/>
                <w:sz w:val="22"/>
                <w:szCs w:val="22"/>
              </w:rPr>
              <w:t xml:space="preserve"> je na własne potrzeby, z wyłączeniem przewozu paliw przeznaczonych do</w:t>
            </w:r>
            <w:r w:rsidR="00226D00" w:rsidRPr="00154E08">
              <w:rPr>
                <w:rFonts w:ascii="Times New Roman" w:eastAsia="Calibri" w:hAnsi="Times New Roman"/>
                <w:spacing w:val="-2"/>
                <w:sz w:val="22"/>
                <w:szCs w:val="22"/>
              </w:rPr>
              <w:t> </w:t>
            </w:r>
            <w:r w:rsidRPr="00154E08">
              <w:rPr>
                <w:rFonts w:ascii="Times New Roman" w:eastAsia="Calibri" w:hAnsi="Times New Roman"/>
                <w:spacing w:val="-2"/>
                <w:sz w:val="22"/>
                <w:szCs w:val="22"/>
              </w:rPr>
              <w:t>u</w:t>
            </w:r>
            <w:r w:rsidR="00916CFE" w:rsidRPr="00154E08">
              <w:rPr>
                <w:rFonts w:ascii="Times New Roman" w:eastAsia="Calibri" w:hAnsi="Times New Roman"/>
                <w:spacing w:val="-2"/>
                <w:sz w:val="22"/>
                <w:szCs w:val="22"/>
              </w:rPr>
              <w:t>ż</w:t>
            </w:r>
            <w:r w:rsidRPr="00154E08">
              <w:rPr>
                <w:rFonts w:ascii="Times New Roman" w:eastAsia="Calibri" w:hAnsi="Times New Roman"/>
                <w:spacing w:val="-2"/>
                <w:sz w:val="22"/>
                <w:szCs w:val="22"/>
              </w:rPr>
              <w:t>ycia podczas transportu i przywożonych w standardowych zbiornikach, o których mowa w art. 33 ust</w:t>
            </w:r>
            <w:r w:rsidR="00684A87" w:rsidRPr="00154E08">
              <w:rPr>
                <w:rFonts w:ascii="Times New Roman" w:eastAsia="Calibri" w:hAnsi="Times New Roman"/>
                <w:spacing w:val="-2"/>
                <w:sz w:val="22"/>
                <w:szCs w:val="22"/>
              </w:rPr>
              <w:t>.</w:t>
            </w:r>
            <w:r w:rsidRPr="00154E08">
              <w:rPr>
                <w:rFonts w:ascii="Times New Roman" w:eastAsia="Calibri" w:hAnsi="Times New Roman"/>
                <w:spacing w:val="-2"/>
                <w:sz w:val="22"/>
                <w:szCs w:val="22"/>
              </w:rPr>
              <w:t xml:space="preserve"> 1 </w:t>
            </w:r>
            <w:r w:rsidR="00732AA3" w:rsidRPr="00154E08">
              <w:rPr>
                <w:rFonts w:ascii="Times New Roman" w:eastAsia="Calibri" w:hAnsi="Times New Roman"/>
                <w:spacing w:val="-2"/>
                <w:sz w:val="22"/>
                <w:szCs w:val="22"/>
              </w:rPr>
              <w:t>ust</w:t>
            </w:r>
            <w:r w:rsidR="00684A87" w:rsidRPr="00154E08">
              <w:rPr>
                <w:rFonts w:ascii="Times New Roman" w:eastAsia="Calibri" w:hAnsi="Times New Roman"/>
                <w:spacing w:val="-2"/>
                <w:sz w:val="22"/>
                <w:szCs w:val="22"/>
              </w:rPr>
              <w:t>awy</w:t>
            </w:r>
            <w:r w:rsidR="00732AA3" w:rsidRPr="00154E08">
              <w:rPr>
                <w:rFonts w:ascii="Times New Roman" w:eastAsia="Calibri" w:hAnsi="Times New Roman"/>
                <w:spacing w:val="-2"/>
                <w:sz w:val="22"/>
                <w:szCs w:val="22"/>
              </w:rPr>
              <w:t xml:space="preserve"> </w:t>
            </w:r>
            <w:r w:rsidRPr="00154E08">
              <w:rPr>
                <w:rFonts w:ascii="Times New Roman" w:eastAsia="Calibri" w:hAnsi="Times New Roman"/>
                <w:spacing w:val="-2"/>
                <w:sz w:val="22"/>
                <w:szCs w:val="22"/>
              </w:rPr>
              <w:t xml:space="preserve">z </w:t>
            </w:r>
            <w:r w:rsidR="00732AA3" w:rsidRPr="00154E08">
              <w:rPr>
                <w:rFonts w:ascii="Times New Roman" w:eastAsia="Calibri" w:hAnsi="Times New Roman"/>
                <w:spacing w:val="-2"/>
                <w:sz w:val="22"/>
                <w:szCs w:val="22"/>
              </w:rPr>
              <w:t>dn</w:t>
            </w:r>
            <w:r w:rsidR="00684A87" w:rsidRPr="00154E08">
              <w:rPr>
                <w:rFonts w:ascii="Times New Roman" w:eastAsia="Calibri" w:hAnsi="Times New Roman"/>
                <w:spacing w:val="-2"/>
                <w:sz w:val="22"/>
                <w:szCs w:val="22"/>
              </w:rPr>
              <w:t>ia</w:t>
            </w:r>
            <w:r w:rsidR="00732AA3" w:rsidRPr="00154E08">
              <w:rPr>
                <w:rFonts w:ascii="Times New Roman" w:eastAsia="Calibri" w:hAnsi="Times New Roman"/>
                <w:spacing w:val="-2"/>
                <w:sz w:val="22"/>
                <w:szCs w:val="22"/>
              </w:rPr>
              <w:t xml:space="preserve"> </w:t>
            </w:r>
            <w:r w:rsidRPr="00154E08">
              <w:rPr>
                <w:rFonts w:ascii="Times New Roman" w:eastAsia="Calibri" w:hAnsi="Times New Roman"/>
                <w:spacing w:val="-2"/>
                <w:sz w:val="22"/>
                <w:szCs w:val="22"/>
              </w:rPr>
              <w:t>6 grudnia 2008 r. o podatku akcyzowym</w:t>
            </w:r>
            <w:r w:rsidR="00271699" w:rsidRPr="00154E08">
              <w:rPr>
                <w:rFonts w:ascii="Times New Roman" w:eastAsia="Calibri" w:hAnsi="Times New Roman"/>
                <w:spacing w:val="-2"/>
                <w:sz w:val="22"/>
                <w:szCs w:val="22"/>
              </w:rPr>
              <w:t xml:space="preserve"> (Dz. U. z 202</w:t>
            </w:r>
            <w:r w:rsidR="00FF66BF" w:rsidRPr="00154E08">
              <w:rPr>
                <w:rFonts w:ascii="Times New Roman" w:eastAsia="Calibri" w:hAnsi="Times New Roman"/>
                <w:spacing w:val="-2"/>
                <w:sz w:val="22"/>
                <w:szCs w:val="22"/>
              </w:rPr>
              <w:t>2</w:t>
            </w:r>
            <w:r w:rsidR="00271699" w:rsidRPr="00154E08">
              <w:rPr>
                <w:rFonts w:ascii="Times New Roman" w:eastAsia="Calibri" w:hAnsi="Times New Roman"/>
                <w:spacing w:val="-2"/>
                <w:sz w:val="22"/>
                <w:szCs w:val="22"/>
              </w:rPr>
              <w:t xml:space="preserve"> r. poz. </w:t>
            </w:r>
            <w:r w:rsidR="00FF66BF" w:rsidRPr="00154E08">
              <w:rPr>
                <w:rFonts w:ascii="Times New Roman" w:eastAsia="Calibri" w:hAnsi="Times New Roman"/>
                <w:spacing w:val="-2"/>
                <w:sz w:val="22"/>
                <w:szCs w:val="22"/>
              </w:rPr>
              <w:t>143,</w:t>
            </w:r>
            <w:r w:rsidR="00271699" w:rsidRPr="00154E08">
              <w:rPr>
                <w:rFonts w:ascii="Times New Roman" w:eastAsia="Calibri" w:hAnsi="Times New Roman"/>
                <w:spacing w:val="-2"/>
                <w:sz w:val="22"/>
                <w:szCs w:val="22"/>
              </w:rPr>
              <w:t xml:space="preserve"> z</w:t>
            </w:r>
            <w:r w:rsidR="00732AA3" w:rsidRPr="00154E08">
              <w:rPr>
                <w:rFonts w:ascii="Times New Roman" w:eastAsia="Calibri" w:hAnsi="Times New Roman"/>
                <w:spacing w:val="-2"/>
                <w:sz w:val="22"/>
                <w:szCs w:val="22"/>
              </w:rPr>
              <w:t> </w:t>
            </w:r>
            <w:proofErr w:type="spellStart"/>
            <w:r w:rsidR="00271699" w:rsidRPr="00154E08">
              <w:rPr>
                <w:rFonts w:ascii="Times New Roman" w:eastAsia="Calibri" w:hAnsi="Times New Roman"/>
                <w:spacing w:val="-2"/>
                <w:sz w:val="22"/>
                <w:szCs w:val="22"/>
              </w:rPr>
              <w:t>późn</w:t>
            </w:r>
            <w:proofErr w:type="spellEnd"/>
            <w:r w:rsidR="00271699" w:rsidRPr="00154E08">
              <w:rPr>
                <w:rFonts w:ascii="Times New Roman" w:eastAsia="Calibri" w:hAnsi="Times New Roman"/>
                <w:spacing w:val="-2"/>
                <w:sz w:val="22"/>
                <w:szCs w:val="22"/>
              </w:rPr>
              <w:t>. zm.)</w:t>
            </w:r>
            <w:r w:rsidRPr="00154E08">
              <w:rPr>
                <w:rFonts w:ascii="Times New Roman" w:eastAsia="Calibri" w:hAnsi="Times New Roman"/>
                <w:spacing w:val="-2"/>
                <w:sz w:val="22"/>
                <w:szCs w:val="22"/>
              </w:rPr>
              <w:t>.</w:t>
            </w:r>
          </w:p>
          <w:p w14:paraId="76D2A60D" w14:textId="09CE74B9" w:rsidR="00E4057B" w:rsidRPr="00154E08" w:rsidRDefault="00E4057B" w:rsidP="002E5A17">
            <w:pPr>
              <w:shd w:val="clear" w:color="auto" w:fill="FFFFFF" w:themeFill="background1"/>
              <w:spacing w:after="120" w:line="240" w:lineRule="auto"/>
              <w:jc w:val="both"/>
              <w:rPr>
                <w:rFonts w:eastAsia="Calibri" w:cs="Times New Roman"/>
                <w:spacing w:val="-2"/>
                <w:sz w:val="22"/>
                <w:szCs w:val="22"/>
              </w:rPr>
            </w:pPr>
            <w:r w:rsidRPr="00154E08">
              <w:rPr>
                <w:rFonts w:eastAsia="Calibri" w:cs="Times New Roman"/>
                <w:spacing w:val="-2"/>
                <w:sz w:val="22"/>
                <w:szCs w:val="22"/>
              </w:rPr>
              <w:t>W ramach wdrożenia dyrektywy RED za</w:t>
            </w:r>
            <w:r w:rsidR="00831264" w:rsidRPr="00154E08">
              <w:rPr>
                <w:rFonts w:eastAsia="Calibri" w:cs="Times New Roman"/>
                <w:spacing w:val="-2"/>
                <w:sz w:val="22"/>
                <w:szCs w:val="22"/>
              </w:rPr>
              <w:t>kładano</w:t>
            </w:r>
            <w:r w:rsidRPr="00154E08">
              <w:rPr>
                <w:rFonts w:eastAsia="Calibri" w:cs="Times New Roman"/>
                <w:spacing w:val="-2"/>
                <w:sz w:val="22"/>
                <w:szCs w:val="22"/>
              </w:rPr>
              <w:t>, iż 10</w:t>
            </w:r>
            <w:r w:rsidR="004D06D1" w:rsidRPr="00154E08">
              <w:rPr>
                <w:rFonts w:eastAsia="Calibri" w:cs="Times New Roman"/>
                <w:spacing w:val="-2"/>
                <w:sz w:val="22"/>
                <w:szCs w:val="22"/>
              </w:rPr>
              <w:t>%</w:t>
            </w:r>
            <w:r w:rsidRPr="00154E08">
              <w:rPr>
                <w:rFonts w:eastAsia="Calibri" w:cs="Times New Roman"/>
                <w:spacing w:val="-2"/>
                <w:sz w:val="22"/>
                <w:szCs w:val="22"/>
              </w:rPr>
              <w:t xml:space="preserve"> </w:t>
            </w:r>
            <w:r w:rsidR="009B6151" w:rsidRPr="00154E08">
              <w:rPr>
                <w:rFonts w:eastAsia="Calibri" w:cs="Times New Roman"/>
                <w:spacing w:val="-2"/>
                <w:sz w:val="22"/>
                <w:szCs w:val="22"/>
              </w:rPr>
              <w:t>udział energii ze źródeł odnawialnych w</w:t>
            </w:r>
            <w:r w:rsidR="006431A9" w:rsidRPr="00154E08">
              <w:rPr>
                <w:rFonts w:eastAsia="Calibri" w:cs="Times New Roman"/>
                <w:spacing w:val="-2"/>
                <w:sz w:val="22"/>
                <w:szCs w:val="22"/>
              </w:rPr>
              <w:t> </w:t>
            </w:r>
            <w:r w:rsidRPr="00154E08">
              <w:rPr>
                <w:rFonts w:eastAsia="Calibri" w:cs="Times New Roman"/>
                <w:spacing w:val="-2"/>
                <w:sz w:val="22"/>
                <w:szCs w:val="22"/>
              </w:rPr>
              <w:t>transporcie realizowany będzie dwoma ścieżkami:</w:t>
            </w:r>
          </w:p>
          <w:p w14:paraId="6EB5BD12" w14:textId="7EF04BF9" w:rsidR="00E4057B" w:rsidRPr="00154E08" w:rsidRDefault="00684A87" w:rsidP="002E5A17">
            <w:pPr>
              <w:pStyle w:val="Akapitzlist"/>
              <w:numPr>
                <w:ilvl w:val="0"/>
                <w:numId w:val="7"/>
              </w:numPr>
              <w:shd w:val="clear" w:color="auto" w:fill="FFFFFF" w:themeFill="background1"/>
              <w:spacing w:after="120" w:line="240" w:lineRule="auto"/>
              <w:jc w:val="both"/>
              <w:rPr>
                <w:rFonts w:ascii="Times New Roman" w:eastAsia="Calibri" w:hAnsi="Times New Roman"/>
                <w:spacing w:val="-2"/>
                <w:sz w:val="22"/>
                <w:szCs w:val="22"/>
              </w:rPr>
            </w:pPr>
            <w:r w:rsidRPr="00154E08">
              <w:rPr>
                <w:rFonts w:ascii="Times New Roman" w:eastAsia="Calibri" w:hAnsi="Times New Roman"/>
                <w:spacing w:val="-2"/>
                <w:sz w:val="22"/>
                <w:szCs w:val="22"/>
              </w:rPr>
              <w:t>przez</w:t>
            </w:r>
            <w:r w:rsidR="00E4057B" w:rsidRPr="00154E08">
              <w:rPr>
                <w:rFonts w:ascii="Times New Roman" w:eastAsia="Calibri" w:hAnsi="Times New Roman"/>
                <w:spacing w:val="-2"/>
                <w:sz w:val="22"/>
                <w:szCs w:val="22"/>
              </w:rPr>
              <w:t xml:space="preserve"> </w:t>
            </w:r>
            <w:r w:rsidR="005A6094" w:rsidRPr="00154E08">
              <w:rPr>
                <w:rFonts w:ascii="Times New Roman" w:eastAsia="Calibri" w:hAnsi="Times New Roman"/>
                <w:spacing w:val="-2"/>
                <w:sz w:val="22"/>
                <w:szCs w:val="22"/>
              </w:rPr>
              <w:t xml:space="preserve">obligatoryjną </w:t>
            </w:r>
            <w:r w:rsidR="00E4057B" w:rsidRPr="00154E08">
              <w:rPr>
                <w:rFonts w:ascii="Times New Roman" w:eastAsia="Calibri" w:hAnsi="Times New Roman"/>
                <w:spacing w:val="-2"/>
                <w:sz w:val="22"/>
                <w:szCs w:val="22"/>
              </w:rPr>
              <w:t>realizacj</w:t>
            </w:r>
            <w:r w:rsidR="006454B9" w:rsidRPr="00154E08">
              <w:rPr>
                <w:rFonts w:ascii="Times New Roman" w:eastAsia="Calibri" w:hAnsi="Times New Roman"/>
                <w:spacing w:val="-2"/>
                <w:sz w:val="22"/>
                <w:szCs w:val="22"/>
              </w:rPr>
              <w:t>ę</w:t>
            </w:r>
            <w:r w:rsidR="00E4057B" w:rsidRPr="00154E08">
              <w:rPr>
                <w:rFonts w:ascii="Times New Roman" w:eastAsia="Calibri" w:hAnsi="Times New Roman"/>
                <w:spacing w:val="-2"/>
                <w:sz w:val="22"/>
                <w:szCs w:val="22"/>
              </w:rPr>
              <w:t xml:space="preserve"> NCW oraz</w:t>
            </w:r>
          </w:p>
          <w:p w14:paraId="7A7C8486" w14:textId="15ADF135" w:rsidR="00732AA3" w:rsidRPr="00154E08" w:rsidRDefault="00684A87" w:rsidP="00B279FD">
            <w:pPr>
              <w:pStyle w:val="Akapitzlist"/>
              <w:numPr>
                <w:ilvl w:val="0"/>
                <w:numId w:val="7"/>
              </w:numPr>
              <w:shd w:val="clear" w:color="auto" w:fill="FFFFFF" w:themeFill="background1"/>
              <w:spacing w:after="120" w:line="240" w:lineRule="auto"/>
              <w:jc w:val="both"/>
              <w:rPr>
                <w:rFonts w:ascii="Times New Roman" w:eastAsia="Calibri" w:hAnsi="Times New Roman"/>
                <w:spacing w:val="-2"/>
                <w:sz w:val="22"/>
                <w:szCs w:val="22"/>
              </w:rPr>
            </w:pPr>
            <w:r w:rsidRPr="00154E08">
              <w:rPr>
                <w:rFonts w:ascii="Times New Roman" w:eastAsia="Calibri" w:hAnsi="Times New Roman"/>
                <w:spacing w:val="-2"/>
                <w:sz w:val="22"/>
                <w:szCs w:val="22"/>
              </w:rPr>
              <w:t>przez</w:t>
            </w:r>
            <w:r w:rsidR="00E4057B" w:rsidRPr="00154E08">
              <w:rPr>
                <w:rFonts w:ascii="Times New Roman" w:eastAsia="Calibri" w:hAnsi="Times New Roman"/>
                <w:spacing w:val="-2"/>
                <w:sz w:val="22"/>
                <w:szCs w:val="22"/>
              </w:rPr>
              <w:t xml:space="preserve"> systematyczny wzrost stosowania energii elektrycznej ze źródeł odnawialnych </w:t>
            </w:r>
            <w:r w:rsidR="001D4665" w:rsidRPr="00154E08">
              <w:rPr>
                <w:rFonts w:ascii="Times New Roman" w:eastAsia="Calibri" w:hAnsi="Times New Roman"/>
                <w:spacing w:val="-2"/>
                <w:sz w:val="22"/>
                <w:szCs w:val="22"/>
              </w:rPr>
              <w:t>w transporcie</w:t>
            </w:r>
            <w:r w:rsidR="004D06D1" w:rsidRPr="00154E08">
              <w:rPr>
                <w:rFonts w:ascii="Times New Roman" w:eastAsia="Calibri" w:hAnsi="Times New Roman"/>
                <w:spacing w:val="-2"/>
                <w:sz w:val="22"/>
                <w:szCs w:val="22"/>
              </w:rPr>
              <w:t xml:space="preserve"> </w:t>
            </w:r>
            <w:r w:rsidR="00E4057B" w:rsidRPr="00154E08">
              <w:rPr>
                <w:rFonts w:ascii="Times New Roman" w:eastAsia="Calibri" w:hAnsi="Times New Roman"/>
                <w:spacing w:val="-2"/>
                <w:sz w:val="22"/>
                <w:szCs w:val="22"/>
              </w:rPr>
              <w:t>kolejowym</w:t>
            </w:r>
            <w:r w:rsidR="006454B9" w:rsidRPr="00154E08">
              <w:rPr>
                <w:rFonts w:ascii="Times New Roman" w:eastAsia="Calibri" w:hAnsi="Times New Roman"/>
                <w:spacing w:val="-2"/>
                <w:sz w:val="22"/>
                <w:szCs w:val="22"/>
              </w:rPr>
              <w:t xml:space="preserve"> lub</w:t>
            </w:r>
            <w:r w:rsidR="00E4057B" w:rsidRPr="00154E08">
              <w:rPr>
                <w:rFonts w:ascii="Times New Roman" w:eastAsia="Calibri" w:hAnsi="Times New Roman"/>
                <w:spacing w:val="-2"/>
                <w:sz w:val="22"/>
                <w:szCs w:val="22"/>
              </w:rPr>
              <w:t xml:space="preserve"> drogowym</w:t>
            </w:r>
            <w:r w:rsidR="00CE3B51" w:rsidRPr="00154E08">
              <w:rPr>
                <w:rFonts w:ascii="Times New Roman" w:eastAsia="Calibri" w:hAnsi="Times New Roman"/>
                <w:spacing w:val="-2"/>
                <w:sz w:val="22"/>
                <w:szCs w:val="22"/>
              </w:rPr>
              <w:t>.</w:t>
            </w:r>
          </w:p>
          <w:p w14:paraId="157D825D" w14:textId="39849A06" w:rsidR="003F19A5" w:rsidRPr="00154E08" w:rsidRDefault="00E4057B" w:rsidP="002E5A17">
            <w:pPr>
              <w:shd w:val="clear" w:color="auto" w:fill="FFFFFF" w:themeFill="background1"/>
              <w:spacing w:after="120" w:line="240" w:lineRule="auto"/>
              <w:jc w:val="both"/>
              <w:rPr>
                <w:rFonts w:cs="Times New Roman"/>
                <w:sz w:val="22"/>
                <w:szCs w:val="22"/>
              </w:rPr>
            </w:pPr>
            <w:r w:rsidRPr="00154E08">
              <w:rPr>
                <w:rFonts w:eastAsia="Calibri" w:cs="Times New Roman"/>
                <w:spacing w:val="-2"/>
                <w:sz w:val="22"/>
                <w:szCs w:val="22"/>
              </w:rPr>
              <w:t xml:space="preserve">Przyjęto także, iż udział ww. ścieżek w realizacji celu </w:t>
            </w:r>
            <w:r w:rsidR="009C0215" w:rsidRPr="00154E08">
              <w:rPr>
                <w:rFonts w:eastAsia="Calibri" w:cs="Times New Roman"/>
                <w:spacing w:val="-2"/>
                <w:sz w:val="22"/>
                <w:szCs w:val="22"/>
              </w:rPr>
              <w:t xml:space="preserve">w 2020 r. </w:t>
            </w:r>
            <w:r w:rsidRPr="00154E08">
              <w:rPr>
                <w:rFonts w:eastAsia="Calibri" w:cs="Times New Roman"/>
                <w:spacing w:val="-2"/>
                <w:sz w:val="22"/>
                <w:szCs w:val="22"/>
              </w:rPr>
              <w:t>będzie następujący: 8,5%</w:t>
            </w:r>
            <w:r w:rsidR="00684A87" w:rsidRPr="00154E08">
              <w:rPr>
                <w:rFonts w:eastAsia="Calibri" w:cs="Times New Roman"/>
                <w:spacing w:val="-2"/>
                <w:sz w:val="22"/>
                <w:szCs w:val="22"/>
              </w:rPr>
              <w:t xml:space="preserve"> –</w:t>
            </w:r>
            <w:r w:rsidRPr="00154E08">
              <w:rPr>
                <w:rFonts w:eastAsia="Calibri" w:cs="Times New Roman"/>
                <w:spacing w:val="-2"/>
                <w:sz w:val="22"/>
                <w:szCs w:val="22"/>
              </w:rPr>
              <w:t xml:space="preserve"> </w:t>
            </w:r>
            <w:r w:rsidR="005A6094" w:rsidRPr="00154E08">
              <w:rPr>
                <w:rFonts w:eastAsia="Calibri" w:cs="Times New Roman"/>
                <w:spacing w:val="-2"/>
                <w:sz w:val="22"/>
                <w:szCs w:val="22"/>
              </w:rPr>
              <w:t>w</w:t>
            </w:r>
            <w:r w:rsidR="00F915C1" w:rsidRPr="00154E08">
              <w:rPr>
                <w:rFonts w:eastAsia="Calibri" w:cs="Times New Roman"/>
                <w:spacing w:val="-2"/>
                <w:sz w:val="22"/>
                <w:szCs w:val="22"/>
              </w:rPr>
              <w:t> </w:t>
            </w:r>
            <w:r w:rsidR="005A6094" w:rsidRPr="00154E08">
              <w:rPr>
                <w:rFonts w:eastAsia="Calibri" w:cs="Times New Roman"/>
                <w:spacing w:val="-2"/>
                <w:sz w:val="22"/>
                <w:szCs w:val="22"/>
              </w:rPr>
              <w:t xml:space="preserve">ramach </w:t>
            </w:r>
            <w:r w:rsidR="004D06D1" w:rsidRPr="00154E08">
              <w:rPr>
                <w:rFonts w:eastAsia="Calibri" w:cs="Times New Roman"/>
                <w:spacing w:val="-2"/>
                <w:sz w:val="22"/>
                <w:szCs w:val="22"/>
              </w:rPr>
              <w:t xml:space="preserve">realizacji obowiązku </w:t>
            </w:r>
            <w:r w:rsidRPr="00154E08">
              <w:rPr>
                <w:rFonts w:eastAsia="Calibri" w:cs="Times New Roman"/>
                <w:spacing w:val="-2"/>
                <w:sz w:val="22"/>
                <w:szCs w:val="22"/>
              </w:rPr>
              <w:t xml:space="preserve">NCW </w:t>
            </w:r>
            <w:r w:rsidR="005A6094" w:rsidRPr="00154E08">
              <w:rPr>
                <w:rFonts w:eastAsia="Calibri" w:cs="Times New Roman"/>
                <w:spacing w:val="-2"/>
                <w:sz w:val="22"/>
                <w:szCs w:val="22"/>
              </w:rPr>
              <w:t xml:space="preserve">oraz </w:t>
            </w:r>
            <w:r w:rsidR="00045286" w:rsidRPr="00154E08">
              <w:rPr>
                <w:rFonts w:eastAsia="Calibri" w:cs="Times New Roman"/>
                <w:spacing w:val="-2"/>
                <w:sz w:val="22"/>
                <w:szCs w:val="22"/>
              </w:rPr>
              <w:t xml:space="preserve">dodatkowe </w:t>
            </w:r>
            <w:r w:rsidRPr="00154E08">
              <w:rPr>
                <w:rFonts w:eastAsia="Calibri" w:cs="Times New Roman"/>
                <w:spacing w:val="-2"/>
                <w:sz w:val="22"/>
                <w:szCs w:val="22"/>
              </w:rPr>
              <w:t>1</w:t>
            </w:r>
            <w:r w:rsidR="009B6151" w:rsidRPr="00154E08">
              <w:rPr>
                <w:rFonts w:eastAsia="Calibri" w:cs="Times New Roman"/>
                <w:spacing w:val="-2"/>
                <w:sz w:val="22"/>
                <w:szCs w:val="22"/>
              </w:rPr>
              <w:t>,</w:t>
            </w:r>
            <w:r w:rsidRPr="00154E08">
              <w:rPr>
                <w:rFonts w:eastAsia="Calibri" w:cs="Times New Roman"/>
                <w:spacing w:val="-2"/>
                <w:sz w:val="22"/>
                <w:szCs w:val="22"/>
              </w:rPr>
              <w:t>5%</w:t>
            </w:r>
            <w:r w:rsidR="00684A87" w:rsidRPr="00154E08">
              <w:rPr>
                <w:rFonts w:eastAsia="Calibri" w:cs="Times New Roman"/>
                <w:spacing w:val="-2"/>
                <w:sz w:val="22"/>
                <w:szCs w:val="22"/>
              </w:rPr>
              <w:t xml:space="preserve"> –</w:t>
            </w:r>
            <w:r w:rsidRPr="00154E08">
              <w:rPr>
                <w:rFonts w:eastAsia="Calibri" w:cs="Times New Roman"/>
                <w:spacing w:val="-2"/>
                <w:sz w:val="22"/>
                <w:szCs w:val="22"/>
              </w:rPr>
              <w:t xml:space="preserve"> </w:t>
            </w:r>
            <w:r w:rsidR="005A6094" w:rsidRPr="00154E08">
              <w:rPr>
                <w:rFonts w:eastAsia="Calibri" w:cs="Times New Roman"/>
                <w:spacing w:val="-2"/>
                <w:sz w:val="22"/>
                <w:szCs w:val="22"/>
              </w:rPr>
              <w:t>w ramach wykorzystania</w:t>
            </w:r>
            <w:r w:rsidR="004D06D1" w:rsidRPr="00154E08">
              <w:rPr>
                <w:rFonts w:eastAsia="Calibri" w:cs="Times New Roman"/>
                <w:spacing w:val="-2"/>
                <w:sz w:val="22"/>
                <w:szCs w:val="22"/>
              </w:rPr>
              <w:t xml:space="preserve"> w</w:t>
            </w:r>
            <w:r w:rsidR="00FC549A" w:rsidRPr="00154E08">
              <w:rPr>
                <w:rFonts w:eastAsia="Calibri" w:cs="Times New Roman"/>
                <w:spacing w:val="-2"/>
                <w:sz w:val="22"/>
                <w:szCs w:val="22"/>
              </w:rPr>
              <w:t> </w:t>
            </w:r>
            <w:r w:rsidR="004D06D1" w:rsidRPr="00154E08">
              <w:rPr>
                <w:rFonts w:eastAsia="Calibri" w:cs="Times New Roman"/>
                <w:spacing w:val="-2"/>
                <w:sz w:val="22"/>
                <w:szCs w:val="22"/>
              </w:rPr>
              <w:t>transporcie</w:t>
            </w:r>
            <w:r w:rsidR="005A6094" w:rsidRPr="00154E08">
              <w:rPr>
                <w:rFonts w:eastAsia="Calibri" w:cs="Times New Roman"/>
                <w:spacing w:val="-2"/>
                <w:sz w:val="22"/>
                <w:szCs w:val="22"/>
              </w:rPr>
              <w:t xml:space="preserve"> </w:t>
            </w:r>
            <w:r w:rsidRPr="00154E08">
              <w:rPr>
                <w:rFonts w:eastAsia="Calibri" w:cs="Times New Roman"/>
                <w:spacing w:val="-2"/>
                <w:sz w:val="22"/>
                <w:szCs w:val="22"/>
              </w:rPr>
              <w:t>energi</w:t>
            </w:r>
            <w:r w:rsidR="005A6094" w:rsidRPr="00154E08">
              <w:rPr>
                <w:rFonts w:eastAsia="Calibri" w:cs="Times New Roman"/>
                <w:spacing w:val="-2"/>
                <w:sz w:val="22"/>
                <w:szCs w:val="22"/>
              </w:rPr>
              <w:t>i</w:t>
            </w:r>
            <w:r w:rsidRPr="00154E08">
              <w:rPr>
                <w:rFonts w:eastAsia="Calibri" w:cs="Times New Roman"/>
                <w:spacing w:val="-2"/>
                <w:sz w:val="22"/>
                <w:szCs w:val="22"/>
              </w:rPr>
              <w:t xml:space="preserve"> elektryczn</w:t>
            </w:r>
            <w:r w:rsidR="005A6094" w:rsidRPr="00154E08">
              <w:rPr>
                <w:rFonts w:eastAsia="Calibri" w:cs="Times New Roman"/>
                <w:spacing w:val="-2"/>
                <w:sz w:val="22"/>
                <w:szCs w:val="22"/>
              </w:rPr>
              <w:t>ej z</w:t>
            </w:r>
            <w:r w:rsidR="004D06D1" w:rsidRPr="00154E08">
              <w:rPr>
                <w:rFonts w:eastAsia="Calibri" w:cs="Times New Roman"/>
                <w:spacing w:val="-2"/>
                <w:sz w:val="22"/>
                <w:szCs w:val="22"/>
              </w:rPr>
              <w:t> </w:t>
            </w:r>
            <w:r w:rsidR="00C0659F" w:rsidRPr="00154E08">
              <w:rPr>
                <w:rFonts w:eastAsia="Calibri" w:cs="Times New Roman"/>
                <w:spacing w:val="-2"/>
                <w:sz w:val="22"/>
                <w:szCs w:val="22"/>
              </w:rPr>
              <w:t>odnawialnych źródeł energii</w:t>
            </w:r>
            <w:r w:rsidR="00BD20F6" w:rsidRPr="00154E08">
              <w:rPr>
                <w:rFonts w:eastAsia="Calibri" w:cs="Times New Roman"/>
                <w:spacing w:val="-2"/>
                <w:sz w:val="22"/>
                <w:szCs w:val="22"/>
              </w:rPr>
              <w:t>, zwanej dalej „</w:t>
            </w:r>
            <w:r w:rsidR="005A6094" w:rsidRPr="00154E08">
              <w:rPr>
                <w:rFonts w:eastAsia="Calibri" w:cs="Times New Roman"/>
                <w:spacing w:val="-2"/>
                <w:sz w:val="22"/>
                <w:szCs w:val="22"/>
              </w:rPr>
              <w:t>OZE</w:t>
            </w:r>
            <w:r w:rsidR="009B6151" w:rsidRPr="00154E08">
              <w:rPr>
                <w:rFonts w:eastAsia="Calibri" w:cs="Times New Roman"/>
                <w:spacing w:val="-2"/>
                <w:sz w:val="22"/>
                <w:szCs w:val="22"/>
              </w:rPr>
              <w:t>”</w:t>
            </w:r>
            <w:r w:rsidR="005A6094" w:rsidRPr="00154E08">
              <w:rPr>
                <w:rFonts w:cs="Times New Roman"/>
                <w:sz w:val="22"/>
                <w:szCs w:val="22"/>
              </w:rPr>
              <w:t>.</w:t>
            </w:r>
          </w:p>
          <w:p w14:paraId="15CC2F77" w14:textId="4CFB59F7" w:rsidR="00F61276" w:rsidRPr="00154E08" w:rsidRDefault="00577696" w:rsidP="002E5A17">
            <w:pPr>
              <w:shd w:val="clear" w:color="auto" w:fill="FFFFFF" w:themeFill="background1"/>
              <w:spacing w:after="120" w:line="240" w:lineRule="auto"/>
              <w:jc w:val="both"/>
              <w:rPr>
                <w:rFonts w:eastAsia="Calibri" w:cs="Times New Roman"/>
                <w:spacing w:val="-2"/>
                <w:sz w:val="22"/>
                <w:szCs w:val="22"/>
              </w:rPr>
            </w:pPr>
            <w:r w:rsidRPr="00154E08">
              <w:rPr>
                <w:rFonts w:eastAsia="Calibri" w:cs="Times New Roman"/>
                <w:spacing w:val="-2"/>
                <w:sz w:val="22"/>
                <w:szCs w:val="22"/>
              </w:rPr>
              <w:t>Zgodnie z art. 22a ust 4</w:t>
            </w:r>
            <w:r w:rsidR="00684A87" w:rsidRPr="00154E08">
              <w:rPr>
                <w:rFonts w:eastAsia="Calibri" w:cs="Times New Roman"/>
                <w:spacing w:val="-2"/>
                <w:sz w:val="22"/>
                <w:szCs w:val="22"/>
              </w:rPr>
              <w:t xml:space="preserve"> –</w:t>
            </w:r>
            <w:r w:rsidRPr="00154E08">
              <w:rPr>
                <w:rFonts w:eastAsia="Calibri" w:cs="Times New Roman"/>
                <w:spacing w:val="-2"/>
                <w:sz w:val="22"/>
                <w:szCs w:val="22"/>
              </w:rPr>
              <w:t xml:space="preserve">6 ustawy </w:t>
            </w:r>
            <w:r w:rsidR="00C0659F" w:rsidRPr="00154E08">
              <w:rPr>
                <w:rFonts w:cs="Times New Roman"/>
                <w:sz w:val="22"/>
                <w:szCs w:val="22"/>
              </w:rPr>
              <w:t>z dnia 25 sierpnia 2006 r. o biokomponentach i biopaliwach ciekłych (Dz. U. z 202</w:t>
            </w:r>
            <w:r w:rsidR="00FF66BF" w:rsidRPr="00154E08">
              <w:rPr>
                <w:rFonts w:cs="Times New Roman"/>
                <w:sz w:val="22"/>
                <w:szCs w:val="22"/>
              </w:rPr>
              <w:t>2</w:t>
            </w:r>
            <w:r w:rsidR="00C0659F" w:rsidRPr="00154E08">
              <w:rPr>
                <w:rFonts w:cs="Times New Roman"/>
                <w:sz w:val="22"/>
                <w:szCs w:val="22"/>
              </w:rPr>
              <w:t xml:space="preserve"> r. poz. </w:t>
            </w:r>
            <w:r w:rsidR="00FF66BF" w:rsidRPr="00154E08">
              <w:rPr>
                <w:rFonts w:cs="Times New Roman"/>
                <w:sz w:val="22"/>
                <w:szCs w:val="22"/>
              </w:rPr>
              <w:t xml:space="preserve">403, z </w:t>
            </w:r>
            <w:proofErr w:type="spellStart"/>
            <w:r w:rsidR="00FF66BF" w:rsidRPr="00154E08">
              <w:rPr>
                <w:rFonts w:cs="Times New Roman"/>
                <w:sz w:val="22"/>
                <w:szCs w:val="22"/>
              </w:rPr>
              <w:t>późn</w:t>
            </w:r>
            <w:proofErr w:type="spellEnd"/>
            <w:r w:rsidR="00FF66BF" w:rsidRPr="00154E08">
              <w:rPr>
                <w:rFonts w:cs="Times New Roman"/>
                <w:sz w:val="22"/>
                <w:szCs w:val="22"/>
              </w:rPr>
              <w:t>. zm.</w:t>
            </w:r>
            <w:r w:rsidR="00C0659F" w:rsidRPr="00154E08">
              <w:rPr>
                <w:rFonts w:cs="Times New Roman"/>
                <w:sz w:val="22"/>
                <w:szCs w:val="22"/>
              </w:rPr>
              <w:t xml:space="preserve">) </w:t>
            </w:r>
            <w:r w:rsidRPr="00154E08">
              <w:rPr>
                <w:rFonts w:eastAsia="Calibri" w:cs="Times New Roman"/>
                <w:spacing w:val="-2"/>
                <w:sz w:val="22"/>
                <w:szCs w:val="22"/>
              </w:rPr>
              <w:t>Prezes U</w:t>
            </w:r>
            <w:r w:rsidR="00C0659F" w:rsidRPr="00154E08">
              <w:rPr>
                <w:rFonts w:eastAsia="Calibri" w:cs="Times New Roman"/>
                <w:spacing w:val="-2"/>
                <w:sz w:val="22"/>
                <w:szCs w:val="22"/>
              </w:rPr>
              <w:t xml:space="preserve">rzędu </w:t>
            </w:r>
            <w:r w:rsidRPr="00154E08">
              <w:rPr>
                <w:rFonts w:eastAsia="Calibri" w:cs="Times New Roman"/>
                <w:spacing w:val="-2"/>
                <w:sz w:val="22"/>
                <w:szCs w:val="22"/>
              </w:rPr>
              <w:t>R</w:t>
            </w:r>
            <w:r w:rsidR="00C0659F" w:rsidRPr="00154E08">
              <w:rPr>
                <w:rFonts w:eastAsia="Calibri" w:cs="Times New Roman"/>
                <w:spacing w:val="-2"/>
                <w:sz w:val="22"/>
                <w:szCs w:val="22"/>
              </w:rPr>
              <w:t xml:space="preserve">egulacji </w:t>
            </w:r>
            <w:r w:rsidRPr="00154E08">
              <w:rPr>
                <w:rFonts w:eastAsia="Calibri" w:cs="Times New Roman"/>
                <w:spacing w:val="-2"/>
                <w:sz w:val="22"/>
                <w:szCs w:val="22"/>
              </w:rPr>
              <w:t>E</w:t>
            </w:r>
            <w:r w:rsidR="00C0659F" w:rsidRPr="00154E08">
              <w:rPr>
                <w:rFonts w:eastAsia="Calibri" w:cs="Times New Roman"/>
                <w:spacing w:val="-2"/>
                <w:sz w:val="22"/>
                <w:szCs w:val="22"/>
              </w:rPr>
              <w:t>nergetyki</w:t>
            </w:r>
            <w:r w:rsidR="00FA5A0E" w:rsidRPr="00154E08">
              <w:rPr>
                <w:rFonts w:eastAsia="Calibri" w:cs="Times New Roman"/>
                <w:spacing w:val="-2"/>
                <w:sz w:val="22"/>
                <w:szCs w:val="22"/>
              </w:rPr>
              <w:t>, zwanego dalej „URE”,</w:t>
            </w:r>
            <w:r w:rsidRPr="00154E08">
              <w:rPr>
                <w:rFonts w:eastAsia="Calibri" w:cs="Times New Roman"/>
                <w:spacing w:val="-2"/>
                <w:sz w:val="22"/>
                <w:szCs w:val="22"/>
              </w:rPr>
              <w:t xml:space="preserve"> prowadzi wykaz podmiotów, które są obowiązane do realizacji NCW w danym roku kalendarzowym</w:t>
            </w:r>
            <w:r w:rsidR="00453884" w:rsidRPr="00154E08">
              <w:rPr>
                <w:rFonts w:eastAsia="Calibri" w:cs="Times New Roman"/>
                <w:spacing w:val="-2"/>
                <w:sz w:val="22"/>
                <w:szCs w:val="22"/>
              </w:rPr>
              <w:t>, natomiast z</w:t>
            </w:r>
            <w:r w:rsidR="00F61276" w:rsidRPr="00154E08">
              <w:rPr>
                <w:rFonts w:eastAsia="Calibri" w:cs="Times New Roman"/>
                <w:spacing w:val="-2"/>
                <w:sz w:val="22"/>
                <w:szCs w:val="22"/>
              </w:rPr>
              <w:t>godnie z ust. 1 ww.</w:t>
            </w:r>
            <w:r w:rsidR="00453884" w:rsidRPr="00154E08">
              <w:rPr>
                <w:rFonts w:eastAsia="Calibri" w:cs="Times New Roman"/>
                <w:spacing w:val="-2"/>
                <w:sz w:val="22"/>
                <w:szCs w:val="22"/>
              </w:rPr>
              <w:t xml:space="preserve"> przepisu </w:t>
            </w:r>
            <w:r w:rsidR="004E0239" w:rsidRPr="00154E08">
              <w:rPr>
                <w:rFonts w:eastAsia="Calibri" w:cs="Times New Roman"/>
                <w:spacing w:val="-2"/>
                <w:sz w:val="22"/>
                <w:szCs w:val="22"/>
              </w:rPr>
              <w:t>p</w:t>
            </w:r>
            <w:r w:rsidR="00F61276" w:rsidRPr="00154E08">
              <w:rPr>
                <w:rFonts w:eastAsia="Calibri" w:cs="Times New Roman"/>
                <w:spacing w:val="-2"/>
                <w:sz w:val="22"/>
                <w:szCs w:val="22"/>
              </w:rPr>
              <w:t>odmiot, który w danym roku kalendarzowym dokonał czynności skutkującej powstaniem obowiązku realizacji NCW jest zobowiązany powiadomić o tym Prezesa URE w terminie 14 dni od dokonania tej czynności.</w:t>
            </w:r>
            <w:r w:rsidR="00C91750" w:rsidRPr="00154E08">
              <w:rPr>
                <w:rFonts w:eastAsia="Calibri" w:cs="Times New Roman"/>
                <w:spacing w:val="-2"/>
                <w:sz w:val="22"/>
                <w:szCs w:val="22"/>
              </w:rPr>
              <w:t xml:space="preserve"> </w:t>
            </w:r>
            <w:r w:rsidR="00F61276" w:rsidRPr="00154E08">
              <w:rPr>
                <w:rFonts w:eastAsia="Calibri" w:cs="Times New Roman"/>
                <w:spacing w:val="-2"/>
                <w:sz w:val="22"/>
                <w:szCs w:val="22"/>
              </w:rPr>
              <w:t>Wykaz podmiotów obowiązanych do</w:t>
            </w:r>
            <w:r w:rsidR="00BD4FD9" w:rsidRPr="00154E08">
              <w:rPr>
                <w:rFonts w:eastAsia="Calibri" w:cs="Times New Roman"/>
                <w:spacing w:val="-2"/>
                <w:sz w:val="22"/>
                <w:szCs w:val="22"/>
              </w:rPr>
              <w:t> </w:t>
            </w:r>
            <w:r w:rsidR="00F61276" w:rsidRPr="00154E08">
              <w:rPr>
                <w:rFonts w:eastAsia="Calibri" w:cs="Times New Roman"/>
                <w:spacing w:val="-2"/>
                <w:sz w:val="22"/>
                <w:szCs w:val="22"/>
              </w:rPr>
              <w:t>realizacji NCW jest publicznie dostępny w</w:t>
            </w:r>
            <w:r w:rsidR="005A6094" w:rsidRPr="00154E08">
              <w:rPr>
                <w:rFonts w:eastAsia="Calibri" w:cs="Times New Roman"/>
                <w:spacing w:val="-2"/>
                <w:sz w:val="22"/>
                <w:szCs w:val="22"/>
              </w:rPr>
              <w:t> </w:t>
            </w:r>
            <w:r w:rsidR="00F61276" w:rsidRPr="00154E08">
              <w:rPr>
                <w:rFonts w:eastAsia="Calibri" w:cs="Times New Roman"/>
                <w:spacing w:val="-2"/>
                <w:sz w:val="22"/>
                <w:szCs w:val="22"/>
              </w:rPr>
              <w:t xml:space="preserve">Biuletynie Informacji Publicznej URE. </w:t>
            </w:r>
            <w:r w:rsidR="00453884" w:rsidRPr="00154E08">
              <w:rPr>
                <w:rFonts w:eastAsia="Calibri" w:cs="Times New Roman"/>
                <w:spacing w:val="-2"/>
                <w:sz w:val="22"/>
                <w:szCs w:val="22"/>
              </w:rPr>
              <w:t xml:space="preserve">W wykazie </w:t>
            </w:r>
            <w:r w:rsidR="00583645" w:rsidRPr="00154E08">
              <w:rPr>
                <w:rFonts w:eastAsia="Calibri" w:cs="Times New Roman"/>
                <w:spacing w:val="-2"/>
                <w:sz w:val="22"/>
                <w:szCs w:val="22"/>
              </w:rPr>
              <w:t>o</w:t>
            </w:r>
            <w:r w:rsidR="00453884" w:rsidRPr="00154E08">
              <w:rPr>
                <w:rFonts w:eastAsia="Calibri" w:cs="Times New Roman"/>
                <w:spacing w:val="-2"/>
                <w:sz w:val="22"/>
                <w:szCs w:val="22"/>
              </w:rPr>
              <w:t>becnie zarejestrowanych</w:t>
            </w:r>
            <w:r w:rsidR="00A445F0" w:rsidRPr="00154E08">
              <w:rPr>
                <w:rFonts w:eastAsia="Calibri" w:cs="Times New Roman"/>
                <w:spacing w:val="-2"/>
                <w:sz w:val="22"/>
                <w:szCs w:val="22"/>
              </w:rPr>
              <w:t xml:space="preserve"> jest</w:t>
            </w:r>
            <w:r w:rsidR="00453884" w:rsidRPr="00154E08">
              <w:rPr>
                <w:rFonts w:eastAsia="Calibri" w:cs="Times New Roman"/>
                <w:spacing w:val="-2"/>
                <w:sz w:val="22"/>
                <w:szCs w:val="22"/>
              </w:rPr>
              <w:t xml:space="preserve"> 1</w:t>
            </w:r>
            <w:r w:rsidR="00A445F0" w:rsidRPr="00154E08">
              <w:rPr>
                <w:rFonts w:eastAsia="Calibri" w:cs="Times New Roman"/>
                <w:spacing w:val="-2"/>
                <w:sz w:val="22"/>
                <w:szCs w:val="22"/>
              </w:rPr>
              <w:t>5</w:t>
            </w:r>
            <w:r w:rsidR="00453884" w:rsidRPr="00154E08">
              <w:rPr>
                <w:rFonts w:eastAsia="Calibri" w:cs="Times New Roman"/>
                <w:spacing w:val="-2"/>
                <w:sz w:val="22"/>
                <w:szCs w:val="22"/>
              </w:rPr>
              <w:t xml:space="preserve"> przedsiębiorców</w:t>
            </w:r>
            <w:r w:rsidR="00C92779" w:rsidRPr="00154E08">
              <w:rPr>
                <w:rStyle w:val="Odwoanieprzypisudolnego"/>
                <w:rFonts w:eastAsia="Calibri" w:cs="Times New Roman"/>
                <w:spacing w:val="-2"/>
                <w:sz w:val="22"/>
                <w:szCs w:val="22"/>
              </w:rPr>
              <w:footnoteReference w:id="2"/>
            </w:r>
            <w:r w:rsidR="00611062" w:rsidRPr="00154E08">
              <w:rPr>
                <w:rFonts w:eastAsia="Calibri" w:cs="Times New Roman"/>
                <w:spacing w:val="-2"/>
                <w:sz w:val="22"/>
                <w:szCs w:val="22"/>
                <w:vertAlign w:val="superscript"/>
              </w:rPr>
              <w:t>)</w:t>
            </w:r>
            <w:r w:rsidR="00C92779" w:rsidRPr="00154E08">
              <w:rPr>
                <w:rFonts w:eastAsia="Calibri" w:cs="Times New Roman"/>
                <w:spacing w:val="-2"/>
                <w:sz w:val="22"/>
                <w:szCs w:val="22"/>
              </w:rPr>
              <w:t>.</w:t>
            </w:r>
          </w:p>
          <w:p w14:paraId="02B0F775" w14:textId="61B72B4D" w:rsidR="00F025AB" w:rsidRPr="00154E08" w:rsidRDefault="00453884" w:rsidP="00B279FD">
            <w:pPr>
              <w:shd w:val="clear" w:color="auto" w:fill="FFFFFF" w:themeFill="background1"/>
              <w:spacing w:after="120" w:line="240" w:lineRule="auto"/>
              <w:jc w:val="both"/>
              <w:rPr>
                <w:rFonts w:cs="Times New Roman"/>
                <w:sz w:val="22"/>
                <w:szCs w:val="22"/>
              </w:rPr>
            </w:pPr>
            <w:r w:rsidRPr="00154E08">
              <w:rPr>
                <w:rFonts w:eastAsia="Calibri" w:cs="Times New Roman"/>
                <w:spacing w:val="-2"/>
                <w:sz w:val="22"/>
                <w:szCs w:val="22"/>
              </w:rPr>
              <w:t xml:space="preserve">Zgodnie z obowiązującymi przepisami łańcuch dostaw biokomponentów </w:t>
            </w:r>
            <w:r w:rsidR="004E0239" w:rsidRPr="00154E08">
              <w:rPr>
                <w:rFonts w:eastAsia="Calibri" w:cs="Times New Roman"/>
                <w:spacing w:val="-2"/>
                <w:sz w:val="22"/>
                <w:szCs w:val="22"/>
              </w:rPr>
              <w:t xml:space="preserve">służących do realizacji NCW </w:t>
            </w:r>
            <w:r w:rsidRPr="00154E08">
              <w:rPr>
                <w:rFonts w:eastAsia="Calibri" w:cs="Times New Roman"/>
                <w:spacing w:val="-2"/>
                <w:sz w:val="22"/>
                <w:szCs w:val="22"/>
              </w:rPr>
              <w:t>podlega nadzorowi Dyrektora Generalnego Krajowego Ośrodka Wsparcia Rolnictwa</w:t>
            </w:r>
            <w:r w:rsidR="00FA5A0E" w:rsidRPr="00154E08">
              <w:rPr>
                <w:rFonts w:eastAsia="Calibri" w:cs="Times New Roman"/>
                <w:spacing w:val="-2"/>
                <w:sz w:val="22"/>
                <w:szCs w:val="22"/>
              </w:rPr>
              <w:t>, zwanego</w:t>
            </w:r>
            <w:r w:rsidR="006711A9" w:rsidRPr="00154E08">
              <w:rPr>
                <w:rFonts w:eastAsia="Calibri" w:cs="Times New Roman"/>
                <w:spacing w:val="-2"/>
                <w:sz w:val="22"/>
                <w:szCs w:val="22"/>
              </w:rPr>
              <w:t xml:space="preserve"> </w:t>
            </w:r>
            <w:r w:rsidR="004E0239" w:rsidRPr="00154E08">
              <w:rPr>
                <w:rFonts w:eastAsia="Calibri" w:cs="Times New Roman"/>
                <w:spacing w:val="-2"/>
                <w:sz w:val="22"/>
                <w:szCs w:val="22"/>
              </w:rPr>
              <w:t xml:space="preserve">dalej </w:t>
            </w:r>
            <w:r w:rsidR="00C92779" w:rsidRPr="00154E08">
              <w:rPr>
                <w:rFonts w:eastAsia="Calibri" w:cs="Times New Roman"/>
                <w:spacing w:val="-2"/>
                <w:sz w:val="22"/>
                <w:szCs w:val="22"/>
              </w:rPr>
              <w:t>„</w:t>
            </w:r>
            <w:r w:rsidR="004E0239" w:rsidRPr="00154E08">
              <w:rPr>
                <w:rFonts w:eastAsia="Calibri" w:cs="Times New Roman"/>
                <w:spacing w:val="-2"/>
                <w:sz w:val="22"/>
                <w:szCs w:val="22"/>
              </w:rPr>
              <w:t>KOWR</w:t>
            </w:r>
            <w:r w:rsidR="00C92779" w:rsidRPr="00154E08">
              <w:rPr>
                <w:rFonts w:eastAsia="Calibri" w:cs="Times New Roman"/>
                <w:spacing w:val="-2"/>
                <w:sz w:val="22"/>
                <w:szCs w:val="22"/>
              </w:rPr>
              <w:t>”</w:t>
            </w:r>
            <w:r w:rsidRPr="00154E08">
              <w:rPr>
                <w:rFonts w:eastAsia="Calibri" w:cs="Times New Roman"/>
                <w:spacing w:val="-2"/>
                <w:sz w:val="22"/>
                <w:szCs w:val="22"/>
              </w:rPr>
              <w:t xml:space="preserve">. Wytwórcy biokomponentów i biopaliw są obowiązani do wpisania się do dedykowanego rejestru </w:t>
            </w:r>
            <w:r w:rsidR="004C6BB3" w:rsidRPr="00154E08">
              <w:rPr>
                <w:rFonts w:eastAsia="Calibri" w:cs="Times New Roman"/>
                <w:spacing w:val="-2"/>
                <w:sz w:val="22"/>
                <w:szCs w:val="22"/>
              </w:rPr>
              <w:t>prowadzon</w:t>
            </w:r>
            <w:r w:rsidRPr="00154E08">
              <w:rPr>
                <w:rFonts w:eastAsia="Calibri" w:cs="Times New Roman"/>
                <w:spacing w:val="-2"/>
                <w:sz w:val="22"/>
                <w:szCs w:val="22"/>
              </w:rPr>
              <w:t>ego</w:t>
            </w:r>
            <w:r w:rsidR="004C6BB3" w:rsidRPr="00154E08">
              <w:rPr>
                <w:rFonts w:eastAsia="Calibri" w:cs="Times New Roman"/>
                <w:spacing w:val="-2"/>
                <w:sz w:val="22"/>
                <w:szCs w:val="22"/>
              </w:rPr>
              <w:t xml:space="preserve"> przez </w:t>
            </w:r>
            <w:r w:rsidR="00ED3C85" w:rsidRPr="00154E08">
              <w:rPr>
                <w:rFonts w:eastAsia="Calibri" w:cs="Times New Roman"/>
                <w:spacing w:val="-2"/>
                <w:sz w:val="22"/>
                <w:szCs w:val="22"/>
              </w:rPr>
              <w:t xml:space="preserve">Dyrektora Generalnego </w:t>
            </w:r>
            <w:r w:rsidR="004E0239" w:rsidRPr="00154E08">
              <w:rPr>
                <w:rFonts w:eastAsia="Calibri" w:cs="Times New Roman"/>
                <w:spacing w:val="-2"/>
                <w:sz w:val="22"/>
                <w:szCs w:val="22"/>
              </w:rPr>
              <w:t>KOWR</w:t>
            </w:r>
            <w:r w:rsidRPr="00154E08">
              <w:rPr>
                <w:rFonts w:eastAsia="Calibri" w:cs="Times New Roman"/>
                <w:spacing w:val="-2"/>
                <w:sz w:val="22"/>
                <w:szCs w:val="22"/>
              </w:rPr>
              <w:t xml:space="preserve">. Zgodnie z ww. rejestrem </w:t>
            </w:r>
            <w:r w:rsidR="005671A5" w:rsidRPr="00154E08">
              <w:rPr>
                <w:rFonts w:eastAsia="Calibri" w:cs="Times New Roman"/>
                <w:spacing w:val="-2"/>
                <w:sz w:val="22"/>
                <w:szCs w:val="22"/>
              </w:rPr>
              <w:t>b</w:t>
            </w:r>
            <w:r w:rsidR="004C6BB3" w:rsidRPr="00154E08">
              <w:rPr>
                <w:rFonts w:eastAsia="Calibri" w:cs="Times New Roman"/>
                <w:spacing w:val="-2"/>
                <w:sz w:val="22"/>
                <w:szCs w:val="22"/>
              </w:rPr>
              <w:t xml:space="preserve">ranżę krajowych </w:t>
            </w:r>
            <w:r w:rsidR="00ED3C85" w:rsidRPr="00154E08">
              <w:rPr>
                <w:rFonts w:eastAsia="Calibri" w:cs="Times New Roman"/>
                <w:spacing w:val="-2"/>
                <w:sz w:val="22"/>
                <w:szCs w:val="22"/>
              </w:rPr>
              <w:t>producentów</w:t>
            </w:r>
            <w:r w:rsidR="004C6BB3" w:rsidRPr="00154E08">
              <w:rPr>
                <w:rFonts w:eastAsia="Calibri" w:cs="Times New Roman"/>
                <w:spacing w:val="-2"/>
                <w:sz w:val="22"/>
                <w:szCs w:val="22"/>
              </w:rPr>
              <w:t xml:space="preserve"> biokomponentów tworz</w:t>
            </w:r>
            <w:r w:rsidR="004D06D1" w:rsidRPr="00154E08">
              <w:rPr>
                <w:rFonts w:eastAsia="Calibri" w:cs="Times New Roman"/>
                <w:spacing w:val="-2"/>
                <w:sz w:val="22"/>
                <w:szCs w:val="22"/>
              </w:rPr>
              <w:t>y</w:t>
            </w:r>
            <w:r w:rsidRPr="00154E08">
              <w:rPr>
                <w:rFonts w:eastAsia="Calibri" w:cs="Times New Roman"/>
                <w:spacing w:val="-2"/>
                <w:sz w:val="22"/>
                <w:szCs w:val="22"/>
              </w:rPr>
              <w:t xml:space="preserve"> obecnie </w:t>
            </w:r>
            <w:r w:rsidR="00963F0F" w:rsidRPr="00154E08">
              <w:rPr>
                <w:rFonts w:eastAsia="Calibri" w:cs="Times New Roman"/>
                <w:spacing w:val="-2"/>
                <w:sz w:val="22"/>
                <w:szCs w:val="22"/>
              </w:rPr>
              <w:t>2</w:t>
            </w:r>
            <w:r w:rsidR="00A43381" w:rsidRPr="00154E08">
              <w:rPr>
                <w:rFonts w:eastAsia="Calibri" w:cs="Times New Roman"/>
                <w:spacing w:val="-2"/>
                <w:sz w:val="22"/>
                <w:szCs w:val="22"/>
              </w:rPr>
              <w:t>2</w:t>
            </w:r>
            <w:r w:rsidR="00963F0F" w:rsidRPr="00154E08">
              <w:rPr>
                <w:rFonts w:eastAsia="Calibri" w:cs="Times New Roman"/>
                <w:spacing w:val="-2"/>
                <w:sz w:val="22"/>
                <w:szCs w:val="22"/>
              </w:rPr>
              <w:t xml:space="preserve"> </w:t>
            </w:r>
            <w:r w:rsidR="00ED3C85" w:rsidRPr="00154E08">
              <w:rPr>
                <w:rFonts w:eastAsia="Calibri" w:cs="Times New Roman"/>
                <w:spacing w:val="-2"/>
                <w:sz w:val="22"/>
                <w:szCs w:val="22"/>
              </w:rPr>
              <w:t>podmiot</w:t>
            </w:r>
            <w:r w:rsidR="004D06D1" w:rsidRPr="00154E08">
              <w:rPr>
                <w:rFonts w:eastAsia="Calibri" w:cs="Times New Roman"/>
                <w:spacing w:val="-2"/>
                <w:sz w:val="22"/>
                <w:szCs w:val="22"/>
              </w:rPr>
              <w:t>ów</w:t>
            </w:r>
            <w:r w:rsidR="00C92779" w:rsidRPr="00154E08">
              <w:rPr>
                <w:rStyle w:val="Odwoanieprzypisudolnego"/>
                <w:rFonts w:cs="Times New Roman"/>
                <w:sz w:val="22"/>
                <w:szCs w:val="22"/>
              </w:rPr>
              <w:footnoteReference w:id="3"/>
            </w:r>
            <w:r w:rsidR="00611062" w:rsidRPr="00154E08">
              <w:rPr>
                <w:rFonts w:eastAsia="Calibri" w:cs="Times New Roman"/>
                <w:spacing w:val="-2"/>
                <w:sz w:val="22"/>
                <w:szCs w:val="22"/>
                <w:vertAlign w:val="superscript"/>
              </w:rPr>
              <w:t>)</w:t>
            </w:r>
            <w:r w:rsidR="00ED3C85" w:rsidRPr="00154E08">
              <w:rPr>
                <w:rFonts w:eastAsia="Calibri" w:cs="Times New Roman"/>
                <w:spacing w:val="-2"/>
                <w:sz w:val="22"/>
                <w:szCs w:val="22"/>
              </w:rPr>
              <w:t>.</w:t>
            </w:r>
          </w:p>
          <w:p w14:paraId="4392A613" w14:textId="28CFE2F6" w:rsidR="00ED3C85" w:rsidRPr="00154E08" w:rsidRDefault="00F025AB" w:rsidP="002E5A17">
            <w:pPr>
              <w:spacing w:after="120" w:line="240" w:lineRule="auto"/>
              <w:jc w:val="both"/>
              <w:rPr>
                <w:rFonts w:cs="Times New Roman"/>
                <w:sz w:val="22"/>
                <w:szCs w:val="22"/>
              </w:rPr>
            </w:pPr>
            <w:r w:rsidRPr="00154E08">
              <w:rPr>
                <w:rFonts w:cs="Times New Roman"/>
                <w:sz w:val="22"/>
                <w:szCs w:val="22"/>
              </w:rPr>
              <w:t xml:space="preserve">W ustawie </w:t>
            </w:r>
            <w:r w:rsidR="00FA5A0E" w:rsidRPr="00154E08">
              <w:rPr>
                <w:rFonts w:cs="Times New Roman"/>
                <w:sz w:val="22"/>
                <w:szCs w:val="22"/>
              </w:rPr>
              <w:t>z dnia 25 sierpnia 2006 r. o biokomponentach i biopaliwach ciekłych</w:t>
            </w:r>
            <w:r w:rsidR="00FA5A0E" w:rsidRPr="00154E08">
              <w:rPr>
                <w:rFonts w:cs="Times New Roman"/>
                <w:i/>
                <w:iCs/>
                <w:sz w:val="22"/>
                <w:szCs w:val="22"/>
              </w:rPr>
              <w:t xml:space="preserve"> </w:t>
            </w:r>
            <w:r w:rsidRPr="00154E08">
              <w:rPr>
                <w:rFonts w:cs="Times New Roman"/>
                <w:sz w:val="22"/>
                <w:szCs w:val="22"/>
              </w:rPr>
              <w:t>przyjęto przepisy mające na celu zapewnieni</w:t>
            </w:r>
            <w:r w:rsidR="00EC73FE" w:rsidRPr="00154E08">
              <w:rPr>
                <w:rFonts w:cs="Times New Roman"/>
                <w:sz w:val="22"/>
                <w:szCs w:val="22"/>
              </w:rPr>
              <w:t>e</w:t>
            </w:r>
            <w:r w:rsidRPr="00154E08">
              <w:rPr>
                <w:rFonts w:cs="Times New Roman"/>
                <w:sz w:val="22"/>
                <w:szCs w:val="22"/>
              </w:rPr>
              <w:t xml:space="preserve"> realizacji NCW za pomocą biokomponentów pochodzących</w:t>
            </w:r>
            <w:r w:rsidR="00A54C58" w:rsidRPr="00154E08">
              <w:rPr>
                <w:rFonts w:cs="Times New Roman"/>
                <w:sz w:val="22"/>
                <w:szCs w:val="22"/>
              </w:rPr>
              <w:t xml:space="preserve"> </w:t>
            </w:r>
            <w:r w:rsidR="005A6094" w:rsidRPr="00154E08">
              <w:rPr>
                <w:rFonts w:cs="Times New Roman"/>
                <w:sz w:val="22"/>
                <w:szCs w:val="22"/>
              </w:rPr>
              <w:t xml:space="preserve">głównie </w:t>
            </w:r>
            <w:r w:rsidRPr="00154E08">
              <w:rPr>
                <w:rFonts w:cs="Times New Roman"/>
                <w:sz w:val="22"/>
                <w:szCs w:val="22"/>
              </w:rPr>
              <w:t xml:space="preserve">z krajowej </w:t>
            </w:r>
            <w:r w:rsidR="005A6094" w:rsidRPr="00154E08">
              <w:rPr>
                <w:rFonts w:cs="Times New Roman"/>
                <w:sz w:val="22"/>
                <w:szCs w:val="22"/>
              </w:rPr>
              <w:t xml:space="preserve">zrównoważonej </w:t>
            </w:r>
            <w:r w:rsidRPr="00154E08">
              <w:rPr>
                <w:rFonts w:cs="Times New Roman"/>
                <w:sz w:val="22"/>
                <w:szCs w:val="22"/>
              </w:rPr>
              <w:t>produkcji.</w:t>
            </w:r>
            <w:r w:rsidR="00EC0E0F" w:rsidRPr="00154E08">
              <w:rPr>
                <w:rFonts w:cs="Times New Roman"/>
                <w:sz w:val="22"/>
                <w:szCs w:val="22"/>
              </w:rPr>
              <w:t xml:space="preserve"> </w:t>
            </w:r>
            <w:r w:rsidR="00EC73FE" w:rsidRPr="00154E08">
              <w:rPr>
                <w:rFonts w:cs="Times New Roman"/>
                <w:sz w:val="22"/>
                <w:szCs w:val="22"/>
              </w:rPr>
              <w:t xml:space="preserve">W </w:t>
            </w:r>
            <w:r w:rsidR="00453884" w:rsidRPr="00154E08">
              <w:rPr>
                <w:rFonts w:cs="Times New Roman"/>
                <w:sz w:val="22"/>
                <w:szCs w:val="22"/>
              </w:rPr>
              <w:t xml:space="preserve">ww. </w:t>
            </w:r>
            <w:r w:rsidR="00ED3C85" w:rsidRPr="00154E08">
              <w:rPr>
                <w:rFonts w:cs="Times New Roman"/>
                <w:sz w:val="22"/>
                <w:szCs w:val="22"/>
              </w:rPr>
              <w:t>rejestr</w:t>
            </w:r>
            <w:r w:rsidR="00EC73FE" w:rsidRPr="00154E08">
              <w:rPr>
                <w:rFonts w:cs="Times New Roman"/>
                <w:sz w:val="22"/>
                <w:szCs w:val="22"/>
              </w:rPr>
              <w:t>ze</w:t>
            </w:r>
            <w:r w:rsidR="0041477C" w:rsidRPr="00154E08">
              <w:rPr>
                <w:rFonts w:cs="Times New Roman"/>
                <w:sz w:val="22"/>
                <w:szCs w:val="22"/>
              </w:rPr>
              <w:t xml:space="preserve"> Dyrektora KOWR</w:t>
            </w:r>
            <w:r w:rsidR="00ED3C85" w:rsidRPr="00154E08">
              <w:rPr>
                <w:rFonts w:cs="Times New Roman"/>
                <w:sz w:val="22"/>
                <w:szCs w:val="22"/>
              </w:rPr>
              <w:t xml:space="preserve"> </w:t>
            </w:r>
            <w:r w:rsidR="00611062" w:rsidRPr="00154E08">
              <w:rPr>
                <w:rFonts w:cs="Times New Roman"/>
                <w:sz w:val="22"/>
                <w:szCs w:val="22"/>
              </w:rPr>
              <w:t xml:space="preserve">jest </w:t>
            </w:r>
            <w:r w:rsidR="00C92779" w:rsidRPr="00154E08">
              <w:rPr>
                <w:rFonts w:cs="Times New Roman"/>
                <w:sz w:val="22"/>
                <w:szCs w:val="22"/>
              </w:rPr>
              <w:t xml:space="preserve">obecnie </w:t>
            </w:r>
            <w:r w:rsidR="00EC73FE" w:rsidRPr="00154E08">
              <w:rPr>
                <w:rFonts w:cs="Times New Roman"/>
                <w:sz w:val="22"/>
                <w:szCs w:val="22"/>
              </w:rPr>
              <w:t xml:space="preserve">zarejestrowanych </w:t>
            </w:r>
            <w:r w:rsidR="00840299" w:rsidRPr="00154E08">
              <w:rPr>
                <w:rFonts w:cs="Times New Roman"/>
                <w:sz w:val="22"/>
                <w:szCs w:val="22"/>
              </w:rPr>
              <w:t>7</w:t>
            </w:r>
            <w:r w:rsidR="00C92779" w:rsidRPr="00154E08">
              <w:rPr>
                <w:rFonts w:cs="Times New Roman"/>
                <w:sz w:val="22"/>
                <w:szCs w:val="22"/>
              </w:rPr>
              <w:t xml:space="preserve"> </w:t>
            </w:r>
            <w:r w:rsidR="00ED3C85" w:rsidRPr="00154E08">
              <w:rPr>
                <w:rFonts w:cs="Times New Roman"/>
                <w:sz w:val="22"/>
                <w:szCs w:val="22"/>
              </w:rPr>
              <w:t>wytwórc</w:t>
            </w:r>
            <w:r w:rsidR="00EC73FE" w:rsidRPr="00154E08">
              <w:rPr>
                <w:rFonts w:cs="Times New Roman"/>
                <w:sz w:val="22"/>
                <w:szCs w:val="22"/>
              </w:rPr>
              <w:t>ów</w:t>
            </w:r>
            <w:r w:rsidR="00ED3C85" w:rsidRPr="00154E08">
              <w:rPr>
                <w:rFonts w:cs="Times New Roman"/>
                <w:sz w:val="22"/>
                <w:szCs w:val="22"/>
              </w:rPr>
              <w:t xml:space="preserve"> estrów </w:t>
            </w:r>
            <w:r w:rsidR="00EC0E0F" w:rsidRPr="00154E08">
              <w:rPr>
                <w:rFonts w:cs="Times New Roman"/>
                <w:sz w:val="22"/>
                <w:szCs w:val="22"/>
              </w:rPr>
              <w:t>metylowych</w:t>
            </w:r>
            <w:r w:rsidR="00EC0E0F" w:rsidRPr="00154E08">
              <w:rPr>
                <w:rFonts w:cs="Times New Roman"/>
                <w:b/>
                <w:bCs/>
                <w:sz w:val="22"/>
                <w:szCs w:val="22"/>
              </w:rPr>
              <w:t xml:space="preserve"> </w:t>
            </w:r>
            <w:r w:rsidR="005A6094" w:rsidRPr="00154E08">
              <w:rPr>
                <w:rFonts w:cs="Times New Roman"/>
                <w:sz w:val="22"/>
                <w:szCs w:val="22"/>
              </w:rPr>
              <w:t>wykorzystywanych</w:t>
            </w:r>
            <w:r w:rsidR="005A6094" w:rsidRPr="00154E08">
              <w:rPr>
                <w:rFonts w:cs="Times New Roman"/>
                <w:b/>
                <w:bCs/>
                <w:sz w:val="22"/>
                <w:szCs w:val="22"/>
              </w:rPr>
              <w:t xml:space="preserve"> </w:t>
            </w:r>
            <w:r w:rsidR="00ED3C85" w:rsidRPr="00154E08">
              <w:rPr>
                <w:rFonts w:cs="Times New Roman"/>
                <w:sz w:val="22"/>
                <w:szCs w:val="22"/>
              </w:rPr>
              <w:t>na cele transportowe</w:t>
            </w:r>
            <w:r w:rsidR="00580259" w:rsidRPr="00154E08">
              <w:rPr>
                <w:rFonts w:cs="Times New Roman"/>
                <w:sz w:val="22"/>
                <w:szCs w:val="22"/>
              </w:rPr>
              <w:t>.</w:t>
            </w:r>
          </w:p>
          <w:p w14:paraId="450182B1" w14:textId="4A42B230" w:rsidR="00C96124" w:rsidRPr="00154E08" w:rsidRDefault="00D94D37" w:rsidP="002E5A17">
            <w:pPr>
              <w:spacing w:after="120" w:line="240" w:lineRule="auto"/>
              <w:jc w:val="both"/>
              <w:rPr>
                <w:rFonts w:cs="Times New Roman"/>
                <w:sz w:val="22"/>
                <w:szCs w:val="22"/>
              </w:rPr>
            </w:pPr>
            <w:r w:rsidRPr="00154E08">
              <w:rPr>
                <w:rFonts w:cs="Times New Roman"/>
                <w:sz w:val="22"/>
                <w:szCs w:val="22"/>
              </w:rPr>
              <w:t>Z</w:t>
            </w:r>
            <w:r w:rsidR="00ED3C85" w:rsidRPr="00154E08">
              <w:rPr>
                <w:rFonts w:cs="Times New Roman"/>
                <w:sz w:val="22"/>
                <w:szCs w:val="22"/>
              </w:rPr>
              <w:t xml:space="preserve">e względów ekonomicznych </w:t>
            </w:r>
            <w:r w:rsidR="0060419B" w:rsidRPr="00154E08">
              <w:rPr>
                <w:rFonts w:cs="Times New Roman"/>
                <w:sz w:val="22"/>
                <w:szCs w:val="22"/>
              </w:rPr>
              <w:t>do realizacji NCW wykorzyst</w:t>
            </w:r>
            <w:r w:rsidR="001D7837" w:rsidRPr="00154E08">
              <w:rPr>
                <w:rFonts w:cs="Times New Roman"/>
                <w:sz w:val="22"/>
                <w:szCs w:val="22"/>
              </w:rPr>
              <w:t xml:space="preserve">ywane są </w:t>
            </w:r>
            <w:r w:rsidR="0060419B" w:rsidRPr="00154E08">
              <w:rPr>
                <w:rFonts w:cs="Times New Roman"/>
                <w:sz w:val="22"/>
                <w:szCs w:val="22"/>
              </w:rPr>
              <w:t>przede wszystkim biokomponenty wyprodukowane z roślin spożywczych i pastewnych tzw. biopaliwa I</w:t>
            </w:r>
            <w:r w:rsidR="005A6094" w:rsidRPr="00154E08">
              <w:rPr>
                <w:rFonts w:cs="Times New Roman"/>
                <w:sz w:val="22"/>
                <w:szCs w:val="22"/>
              </w:rPr>
              <w:t> </w:t>
            </w:r>
            <w:r w:rsidR="0060419B" w:rsidRPr="00154E08">
              <w:rPr>
                <w:rFonts w:cs="Times New Roman"/>
                <w:sz w:val="22"/>
                <w:szCs w:val="22"/>
              </w:rPr>
              <w:t>generacji</w:t>
            </w:r>
            <w:r w:rsidR="00EC0E0F" w:rsidRPr="00154E08">
              <w:rPr>
                <w:rFonts w:cs="Times New Roman"/>
                <w:sz w:val="22"/>
                <w:szCs w:val="22"/>
              </w:rPr>
              <w:t>.</w:t>
            </w:r>
            <w:r w:rsidR="0060419B" w:rsidRPr="00154E08">
              <w:rPr>
                <w:rFonts w:cs="Times New Roman"/>
                <w:sz w:val="22"/>
                <w:szCs w:val="22"/>
              </w:rPr>
              <w:t xml:space="preserve"> W</w:t>
            </w:r>
            <w:r w:rsidRPr="00154E08">
              <w:rPr>
                <w:rFonts w:cs="Times New Roman"/>
                <w:sz w:val="22"/>
                <w:szCs w:val="22"/>
              </w:rPr>
              <w:t> </w:t>
            </w:r>
            <w:r w:rsidR="0060419B" w:rsidRPr="00154E08">
              <w:rPr>
                <w:rFonts w:cs="Times New Roman"/>
                <w:sz w:val="22"/>
                <w:szCs w:val="22"/>
              </w:rPr>
              <w:t xml:space="preserve">przypadku oleju napędowego </w:t>
            </w:r>
            <w:r w:rsidR="00ED3C85" w:rsidRPr="00154E08">
              <w:rPr>
                <w:rFonts w:cs="Times New Roman"/>
                <w:sz w:val="22"/>
                <w:szCs w:val="22"/>
              </w:rPr>
              <w:t xml:space="preserve">wykorzystuje się </w:t>
            </w:r>
            <w:r w:rsidR="00A04665" w:rsidRPr="00154E08">
              <w:rPr>
                <w:rFonts w:cs="Times New Roman"/>
                <w:sz w:val="22"/>
                <w:szCs w:val="22"/>
              </w:rPr>
              <w:t>estry</w:t>
            </w:r>
            <w:r w:rsidR="004040DA" w:rsidRPr="00154E08">
              <w:rPr>
                <w:rFonts w:cs="Times New Roman"/>
                <w:sz w:val="22"/>
                <w:szCs w:val="22"/>
              </w:rPr>
              <w:t xml:space="preserve"> metylowe</w:t>
            </w:r>
            <w:r w:rsidR="008036F9" w:rsidRPr="00154E08">
              <w:rPr>
                <w:rFonts w:cs="Times New Roman"/>
                <w:sz w:val="22"/>
                <w:szCs w:val="22"/>
              </w:rPr>
              <w:t xml:space="preserve"> kwasów tłuszczowych</w:t>
            </w:r>
            <w:r w:rsidR="00256290" w:rsidRPr="00154E08">
              <w:rPr>
                <w:rFonts w:cs="Times New Roman"/>
                <w:sz w:val="22"/>
                <w:szCs w:val="22"/>
              </w:rPr>
              <w:t>, które są</w:t>
            </w:r>
            <w:r w:rsidR="00A04665" w:rsidRPr="00154E08">
              <w:rPr>
                <w:rFonts w:cs="Times New Roman"/>
                <w:sz w:val="22"/>
                <w:szCs w:val="22"/>
              </w:rPr>
              <w:t xml:space="preserve"> </w:t>
            </w:r>
            <w:r w:rsidR="0065681B" w:rsidRPr="00154E08">
              <w:rPr>
                <w:rFonts w:cs="Times New Roman"/>
                <w:sz w:val="22"/>
                <w:szCs w:val="22"/>
              </w:rPr>
              <w:t>wytwarzane z</w:t>
            </w:r>
            <w:r w:rsidR="00ED3C85" w:rsidRPr="00154E08">
              <w:rPr>
                <w:rFonts w:cs="Times New Roman"/>
                <w:sz w:val="22"/>
                <w:szCs w:val="22"/>
              </w:rPr>
              <w:t xml:space="preserve"> olej</w:t>
            </w:r>
            <w:r w:rsidR="00E27FA6" w:rsidRPr="00154E08">
              <w:rPr>
                <w:rFonts w:cs="Times New Roman"/>
                <w:sz w:val="22"/>
                <w:szCs w:val="22"/>
              </w:rPr>
              <w:t>ów</w:t>
            </w:r>
            <w:r w:rsidR="00ED3C85" w:rsidRPr="00154E08">
              <w:rPr>
                <w:rFonts w:cs="Times New Roman"/>
                <w:sz w:val="22"/>
                <w:szCs w:val="22"/>
              </w:rPr>
              <w:t xml:space="preserve"> </w:t>
            </w:r>
            <w:r w:rsidR="00AF4E26" w:rsidRPr="00154E08">
              <w:rPr>
                <w:rFonts w:cs="Times New Roman"/>
                <w:sz w:val="22"/>
                <w:szCs w:val="22"/>
              </w:rPr>
              <w:t>roślinn</w:t>
            </w:r>
            <w:r w:rsidR="00E27FA6" w:rsidRPr="00154E08">
              <w:rPr>
                <w:rFonts w:cs="Times New Roman"/>
                <w:sz w:val="22"/>
                <w:szCs w:val="22"/>
              </w:rPr>
              <w:t>ych</w:t>
            </w:r>
            <w:r w:rsidR="00256290" w:rsidRPr="00154E08">
              <w:rPr>
                <w:rFonts w:cs="Times New Roman"/>
                <w:sz w:val="22"/>
                <w:szCs w:val="22"/>
              </w:rPr>
              <w:t>, wytworzo</w:t>
            </w:r>
            <w:r w:rsidR="00E27FA6" w:rsidRPr="00154E08">
              <w:rPr>
                <w:rFonts w:cs="Times New Roman"/>
                <w:sz w:val="22"/>
                <w:szCs w:val="22"/>
              </w:rPr>
              <w:t>nych</w:t>
            </w:r>
            <w:r w:rsidR="00256290" w:rsidRPr="00154E08">
              <w:rPr>
                <w:rFonts w:cs="Times New Roman"/>
                <w:sz w:val="22"/>
                <w:szCs w:val="22"/>
              </w:rPr>
              <w:t xml:space="preserve"> </w:t>
            </w:r>
            <w:r w:rsidR="00AF4E26" w:rsidRPr="00154E08">
              <w:rPr>
                <w:rFonts w:cs="Times New Roman"/>
                <w:sz w:val="22"/>
                <w:szCs w:val="22"/>
              </w:rPr>
              <w:t>np.</w:t>
            </w:r>
            <w:r w:rsidR="008036F9" w:rsidRPr="00154E08">
              <w:rPr>
                <w:rFonts w:cs="Times New Roman"/>
                <w:sz w:val="22"/>
                <w:szCs w:val="22"/>
              </w:rPr>
              <w:t xml:space="preserve"> z</w:t>
            </w:r>
            <w:r w:rsidR="00AF4E26" w:rsidRPr="00154E08">
              <w:rPr>
                <w:rFonts w:cs="Times New Roman"/>
                <w:sz w:val="22"/>
                <w:szCs w:val="22"/>
              </w:rPr>
              <w:t xml:space="preserve"> rzepaku, </w:t>
            </w:r>
            <w:r w:rsidR="00EC0E0F" w:rsidRPr="00154E08">
              <w:rPr>
                <w:rFonts w:cs="Times New Roman"/>
                <w:sz w:val="22"/>
                <w:szCs w:val="22"/>
              </w:rPr>
              <w:t>spełniają</w:t>
            </w:r>
            <w:r w:rsidR="00E27FA6" w:rsidRPr="00154E08">
              <w:rPr>
                <w:rFonts w:cs="Times New Roman"/>
                <w:sz w:val="22"/>
                <w:szCs w:val="22"/>
              </w:rPr>
              <w:t xml:space="preserve">cego </w:t>
            </w:r>
            <w:r w:rsidR="00EC0E0F" w:rsidRPr="00154E08">
              <w:rPr>
                <w:rFonts w:cs="Times New Roman"/>
                <w:sz w:val="22"/>
                <w:szCs w:val="22"/>
              </w:rPr>
              <w:t>kryteria zrównoważonego rozwoju, zwane dalej „KZR”</w:t>
            </w:r>
            <w:r w:rsidR="00EC0E0F" w:rsidRPr="00154E08">
              <w:rPr>
                <w:rStyle w:val="Odwoanieprzypisudolnego"/>
                <w:rFonts w:cs="Times New Roman"/>
                <w:sz w:val="22"/>
                <w:szCs w:val="22"/>
              </w:rPr>
              <w:footnoteReference w:id="4"/>
            </w:r>
            <w:r w:rsidR="00611062" w:rsidRPr="00154E08">
              <w:rPr>
                <w:rFonts w:cs="Times New Roman"/>
                <w:sz w:val="22"/>
                <w:szCs w:val="22"/>
                <w:vertAlign w:val="superscript"/>
              </w:rPr>
              <w:t>)</w:t>
            </w:r>
            <w:r w:rsidR="00EC0E0F" w:rsidRPr="00154E08">
              <w:rPr>
                <w:rFonts w:cs="Times New Roman"/>
                <w:sz w:val="22"/>
                <w:szCs w:val="22"/>
              </w:rPr>
              <w:t>.</w:t>
            </w:r>
            <w:r w:rsidR="00E27FA6" w:rsidRPr="00154E08">
              <w:rPr>
                <w:rFonts w:cs="Times New Roman"/>
                <w:sz w:val="22"/>
                <w:szCs w:val="22"/>
              </w:rPr>
              <w:t xml:space="preserve"> </w:t>
            </w:r>
          </w:p>
          <w:p w14:paraId="57A6E7C1" w14:textId="123205C5" w:rsidR="00ED3C85" w:rsidRPr="00154E08" w:rsidRDefault="00BC28A7" w:rsidP="002E5A17">
            <w:pPr>
              <w:spacing w:after="120" w:line="240" w:lineRule="auto"/>
              <w:jc w:val="both"/>
              <w:rPr>
                <w:rFonts w:cs="Times New Roman"/>
                <w:i/>
                <w:iCs/>
                <w:sz w:val="22"/>
                <w:szCs w:val="22"/>
              </w:rPr>
            </w:pPr>
            <w:r w:rsidRPr="00154E08">
              <w:rPr>
                <w:rFonts w:cs="Times New Roman"/>
                <w:sz w:val="22"/>
                <w:szCs w:val="22"/>
              </w:rPr>
              <w:t>Innymi surowcami</w:t>
            </w:r>
            <w:r w:rsidR="00A71F9B" w:rsidRPr="00154E08">
              <w:rPr>
                <w:rFonts w:cs="Times New Roman"/>
                <w:sz w:val="22"/>
                <w:szCs w:val="22"/>
              </w:rPr>
              <w:t xml:space="preserve"> do produkcji estrów, </w:t>
            </w:r>
            <w:r w:rsidRPr="00154E08">
              <w:rPr>
                <w:rFonts w:cs="Times New Roman"/>
                <w:sz w:val="22"/>
                <w:szCs w:val="22"/>
              </w:rPr>
              <w:t xml:space="preserve">należącymi do grupy </w:t>
            </w:r>
            <w:r w:rsidR="009647C9" w:rsidRPr="00154E08">
              <w:rPr>
                <w:rFonts w:cs="Times New Roman"/>
                <w:sz w:val="22"/>
                <w:szCs w:val="22"/>
              </w:rPr>
              <w:t>biokomponentów zaawansowanych, uprawniające do podwójnego zaliczania ich energii przy realizacji NCW</w:t>
            </w:r>
            <w:r w:rsidRPr="00154E08">
              <w:rPr>
                <w:rFonts w:cs="Times New Roman"/>
                <w:sz w:val="22"/>
                <w:szCs w:val="22"/>
              </w:rPr>
              <w:t xml:space="preserve"> są</w:t>
            </w:r>
            <w:r w:rsidR="005A6094" w:rsidRPr="00154E08">
              <w:rPr>
                <w:rFonts w:cs="Times New Roman"/>
                <w:sz w:val="22"/>
                <w:szCs w:val="22"/>
              </w:rPr>
              <w:t>:</w:t>
            </w:r>
            <w:r w:rsidRPr="00154E08">
              <w:rPr>
                <w:rFonts w:cs="Times New Roman"/>
                <w:sz w:val="22"/>
                <w:szCs w:val="22"/>
              </w:rPr>
              <w:t xml:space="preserve"> </w:t>
            </w:r>
            <w:r w:rsidR="00ED3C85" w:rsidRPr="00154E08">
              <w:rPr>
                <w:rFonts w:cs="Times New Roman"/>
                <w:sz w:val="22"/>
                <w:szCs w:val="22"/>
              </w:rPr>
              <w:t>zużyty olej kuchenny</w:t>
            </w:r>
            <w:r w:rsidR="009647C9" w:rsidRPr="00154E08">
              <w:rPr>
                <w:rFonts w:cs="Times New Roman"/>
                <w:sz w:val="22"/>
                <w:szCs w:val="22"/>
              </w:rPr>
              <w:t xml:space="preserve"> (UCO)</w:t>
            </w:r>
            <w:r w:rsidR="0045276A" w:rsidRPr="00154E08">
              <w:rPr>
                <w:rFonts w:cs="Times New Roman"/>
                <w:sz w:val="22"/>
                <w:szCs w:val="22"/>
              </w:rPr>
              <w:t xml:space="preserve">, </w:t>
            </w:r>
            <w:r w:rsidR="00ED3C85" w:rsidRPr="00154E08">
              <w:rPr>
                <w:rFonts w:cs="Times New Roman"/>
                <w:sz w:val="22"/>
                <w:szCs w:val="22"/>
              </w:rPr>
              <w:t>a</w:t>
            </w:r>
            <w:r w:rsidR="00540AFD" w:rsidRPr="00154E08">
              <w:rPr>
                <w:rFonts w:cs="Times New Roman"/>
                <w:sz w:val="22"/>
                <w:szCs w:val="22"/>
              </w:rPr>
              <w:t> </w:t>
            </w:r>
            <w:r w:rsidR="00ED3C85" w:rsidRPr="00154E08">
              <w:rPr>
                <w:rFonts w:cs="Times New Roman"/>
                <w:sz w:val="22"/>
                <w:szCs w:val="22"/>
              </w:rPr>
              <w:t>także odpad</w:t>
            </w:r>
            <w:r w:rsidR="00A71F9B" w:rsidRPr="00154E08">
              <w:rPr>
                <w:rFonts w:cs="Times New Roman"/>
                <w:sz w:val="22"/>
                <w:szCs w:val="22"/>
              </w:rPr>
              <w:t>y</w:t>
            </w:r>
            <w:r w:rsidR="00ED3C85" w:rsidRPr="00154E08">
              <w:rPr>
                <w:rFonts w:cs="Times New Roman"/>
                <w:sz w:val="22"/>
                <w:szCs w:val="22"/>
              </w:rPr>
              <w:t xml:space="preserve"> i pozostałości</w:t>
            </w:r>
            <w:r w:rsidR="007967D7" w:rsidRPr="00154E08">
              <w:rPr>
                <w:rFonts w:cs="Times New Roman"/>
                <w:sz w:val="22"/>
                <w:szCs w:val="22"/>
              </w:rPr>
              <w:t xml:space="preserve"> roślinne lub</w:t>
            </w:r>
            <w:r w:rsidR="00ED3C85" w:rsidRPr="00154E08">
              <w:rPr>
                <w:rFonts w:cs="Times New Roman"/>
                <w:sz w:val="22"/>
                <w:szCs w:val="22"/>
              </w:rPr>
              <w:t xml:space="preserve"> </w:t>
            </w:r>
            <w:r w:rsidR="00275F34" w:rsidRPr="00154E08">
              <w:rPr>
                <w:rFonts w:cs="Times New Roman"/>
                <w:sz w:val="22"/>
                <w:szCs w:val="22"/>
              </w:rPr>
              <w:t>tłuszcze zwierzęce</w:t>
            </w:r>
            <w:r w:rsidR="00ED3C85" w:rsidRPr="00154E08">
              <w:rPr>
                <w:rFonts w:cs="Times New Roman"/>
                <w:sz w:val="22"/>
                <w:szCs w:val="22"/>
              </w:rPr>
              <w:t xml:space="preserve">. </w:t>
            </w:r>
            <w:r w:rsidR="00EC0E0F" w:rsidRPr="00154E08">
              <w:rPr>
                <w:rFonts w:cs="Times New Roman"/>
                <w:sz w:val="22"/>
                <w:szCs w:val="22"/>
              </w:rPr>
              <w:t>Do</w:t>
            </w:r>
            <w:r w:rsidR="00275F34" w:rsidRPr="00154E08">
              <w:rPr>
                <w:rFonts w:cs="Times New Roman"/>
                <w:sz w:val="22"/>
                <w:szCs w:val="22"/>
              </w:rPr>
              <w:t> </w:t>
            </w:r>
            <w:r w:rsidR="00EC0E0F" w:rsidRPr="00154E08">
              <w:rPr>
                <w:rFonts w:cs="Times New Roman"/>
                <w:sz w:val="22"/>
                <w:szCs w:val="22"/>
              </w:rPr>
              <w:t>produkcji estrów</w:t>
            </w:r>
            <w:r w:rsidR="004F58C9" w:rsidRPr="00154E08">
              <w:rPr>
                <w:rFonts w:cs="Times New Roman"/>
                <w:sz w:val="22"/>
                <w:szCs w:val="22"/>
              </w:rPr>
              <w:t xml:space="preserve"> metylowych</w:t>
            </w:r>
            <w:r w:rsidR="00EC0E0F" w:rsidRPr="00154E08">
              <w:rPr>
                <w:rStyle w:val="Odwoanieprzypisudolnego"/>
                <w:rFonts w:cs="Times New Roman"/>
                <w:sz w:val="22"/>
                <w:szCs w:val="22"/>
              </w:rPr>
              <w:footnoteReference w:id="5"/>
            </w:r>
            <w:r w:rsidR="00611062" w:rsidRPr="00154E08">
              <w:rPr>
                <w:rFonts w:cs="Times New Roman"/>
                <w:sz w:val="22"/>
                <w:szCs w:val="22"/>
                <w:vertAlign w:val="superscript"/>
              </w:rPr>
              <w:t>)</w:t>
            </w:r>
            <w:r w:rsidR="004F58C9" w:rsidRPr="00154E08">
              <w:rPr>
                <w:rFonts w:cs="Times New Roman"/>
                <w:sz w:val="22"/>
                <w:szCs w:val="22"/>
              </w:rPr>
              <w:t xml:space="preserve"> </w:t>
            </w:r>
            <w:r w:rsidR="00BE55A4" w:rsidRPr="00154E08">
              <w:rPr>
                <w:rFonts w:cs="Times New Roman"/>
                <w:sz w:val="22"/>
                <w:szCs w:val="22"/>
              </w:rPr>
              <w:t>zużywa</w:t>
            </w:r>
            <w:r w:rsidR="004F58C9" w:rsidRPr="00154E08">
              <w:rPr>
                <w:rFonts w:cs="Times New Roman"/>
                <w:sz w:val="22"/>
                <w:szCs w:val="22"/>
              </w:rPr>
              <w:t>nych w transporcie</w:t>
            </w:r>
            <w:r w:rsidR="00EC0E0F" w:rsidRPr="00154E08">
              <w:rPr>
                <w:rFonts w:cs="Times New Roman"/>
                <w:sz w:val="22"/>
                <w:szCs w:val="22"/>
              </w:rPr>
              <w:t xml:space="preserve"> wykorzyst</w:t>
            </w:r>
            <w:r w:rsidR="00275F34" w:rsidRPr="00154E08">
              <w:rPr>
                <w:rFonts w:cs="Times New Roman"/>
                <w:sz w:val="22"/>
                <w:szCs w:val="22"/>
              </w:rPr>
              <w:t>uje się</w:t>
            </w:r>
            <w:r w:rsidR="009647C9" w:rsidRPr="00154E08">
              <w:rPr>
                <w:rFonts w:cs="Times New Roman"/>
                <w:sz w:val="22"/>
                <w:szCs w:val="22"/>
              </w:rPr>
              <w:t xml:space="preserve"> </w:t>
            </w:r>
            <w:r w:rsidR="00BE55A4" w:rsidRPr="00154E08">
              <w:rPr>
                <w:rFonts w:cs="Times New Roman"/>
                <w:sz w:val="22"/>
                <w:szCs w:val="22"/>
              </w:rPr>
              <w:t>głównie</w:t>
            </w:r>
            <w:r w:rsidR="009647C9" w:rsidRPr="00154E08">
              <w:rPr>
                <w:rFonts w:cs="Times New Roman"/>
                <w:sz w:val="22"/>
                <w:szCs w:val="22"/>
              </w:rPr>
              <w:t>, wspomniane powyżej,</w:t>
            </w:r>
            <w:r w:rsidR="00EC0E0F" w:rsidRPr="00154E08">
              <w:rPr>
                <w:rFonts w:cs="Times New Roman"/>
                <w:sz w:val="22"/>
                <w:szCs w:val="22"/>
              </w:rPr>
              <w:t xml:space="preserve"> oleje roślinne (</w:t>
            </w:r>
            <w:r w:rsidR="002F004B" w:rsidRPr="00154E08">
              <w:rPr>
                <w:rFonts w:cs="Times New Roman"/>
                <w:sz w:val="22"/>
                <w:szCs w:val="22"/>
              </w:rPr>
              <w:t>92</w:t>
            </w:r>
            <w:r w:rsidR="00EC0E0F" w:rsidRPr="00154E08">
              <w:rPr>
                <w:rFonts w:cs="Times New Roman"/>
                <w:sz w:val="22"/>
                <w:szCs w:val="22"/>
              </w:rPr>
              <w:t>% ogółu surowców wykorzystanych</w:t>
            </w:r>
            <w:r w:rsidR="004F58C9" w:rsidRPr="00154E08">
              <w:rPr>
                <w:rFonts w:cs="Times New Roman"/>
                <w:sz w:val="22"/>
                <w:szCs w:val="22"/>
              </w:rPr>
              <w:t xml:space="preserve"> </w:t>
            </w:r>
            <w:r w:rsidR="00EC0E0F" w:rsidRPr="00154E08">
              <w:rPr>
                <w:rFonts w:cs="Times New Roman"/>
                <w:sz w:val="22"/>
                <w:szCs w:val="22"/>
              </w:rPr>
              <w:t>do produkcji estrów</w:t>
            </w:r>
            <w:r w:rsidR="009E0191" w:rsidRPr="00154E08">
              <w:rPr>
                <w:rFonts w:cs="Times New Roman"/>
                <w:sz w:val="22"/>
                <w:szCs w:val="22"/>
              </w:rPr>
              <w:t>: GENI i zaawansowanych</w:t>
            </w:r>
            <w:r w:rsidR="00EC0E0F" w:rsidRPr="00154E08">
              <w:rPr>
                <w:rFonts w:cs="Times New Roman"/>
                <w:sz w:val="22"/>
                <w:szCs w:val="22"/>
              </w:rPr>
              <w:t xml:space="preserve">) </w:t>
            </w:r>
            <w:r w:rsidR="009647C9" w:rsidRPr="00154E08">
              <w:rPr>
                <w:rFonts w:cs="Times New Roman"/>
                <w:sz w:val="22"/>
                <w:szCs w:val="22"/>
              </w:rPr>
              <w:t xml:space="preserve">oraz </w:t>
            </w:r>
            <w:r w:rsidR="00EC0E0F" w:rsidRPr="00154E08">
              <w:rPr>
                <w:rFonts w:cs="Times New Roman"/>
                <w:sz w:val="22"/>
                <w:szCs w:val="22"/>
              </w:rPr>
              <w:t xml:space="preserve">zużyty olej kuchenny </w:t>
            </w:r>
            <w:r w:rsidR="004F4CB6" w:rsidRPr="00154E08">
              <w:rPr>
                <w:rFonts w:cs="Times New Roman"/>
                <w:sz w:val="22"/>
                <w:szCs w:val="22"/>
              </w:rPr>
              <w:t xml:space="preserve">i tłuszcze </w:t>
            </w:r>
            <w:r w:rsidR="00EC0E0F" w:rsidRPr="00154E08">
              <w:rPr>
                <w:rFonts w:cs="Times New Roman"/>
                <w:sz w:val="22"/>
                <w:szCs w:val="22"/>
              </w:rPr>
              <w:t>(</w:t>
            </w:r>
            <w:r w:rsidR="004F0EF0" w:rsidRPr="00154E08">
              <w:rPr>
                <w:rFonts w:cs="Times New Roman"/>
                <w:sz w:val="22"/>
                <w:szCs w:val="22"/>
              </w:rPr>
              <w:t>8</w:t>
            </w:r>
            <w:r w:rsidR="00EC0E0F" w:rsidRPr="00154E08">
              <w:rPr>
                <w:rFonts w:cs="Times New Roman"/>
                <w:sz w:val="22"/>
                <w:szCs w:val="22"/>
              </w:rPr>
              <w:t>%)</w:t>
            </w:r>
            <w:r w:rsidR="00ED3C85" w:rsidRPr="00154E08">
              <w:rPr>
                <w:rFonts w:cs="Times New Roman"/>
                <w:sz w:val="22"/>
                <w:szCs w:val="22"/>
              </w:rPr>
              <w:t>.</w:t>
            </w:r>
            <w:r w:rsidR="004F58C9" w:rsidRPr="00154E08">
              <w:rPr>
                <w:rFonts w:cs="Times New Roman"/>
                <w:sz w:val="22"/>
                <w:szCs w:val="22"/>
              </w:rPr>
              <w:t xml:space="preserve"> </w:t>
            </w:r>
          </w:p>
          <w:p w14:paraId="6DD10920" w14:textId="24140313" w:rsidR="004F58C9" w:rsidRPr="00154E08" w:rsidRDefault="004F58C9" w:rsidP="002E5A17">
            <w:pPr>
              <w:spacing w:after="120" w:line="240" w:lineRule="auto"/>
              <w:jc w:val="both"/>
              <w:rPr>
                <w:rFonts w:cs="Times New Roman"/>
                <w:sz w:val="22"/>
                <w:szCs w:val="22"/>
              </w:rPr>
            </w:pPr>
            <w:r w:rsidRPr="00154E08">
              <w:rPr>
                <w:rFonts w:cs="Times New Roman"/>
                <w:sz w:val="22"/>
                <w:szCs w:val="22"/>
              </w:rPr>
              <w:t>W 202</w:t>
            </w:r>
            <w:r w:rsidR="008A5BEA" w:rsidRPr="00154E08">
              <w:rPr>
                <w:rFonts w:cs="Times New Roman"/>
                <w:sz w:val="22"/>
                <w:szCs w:val="22"/>
              </w:rPr>
              <w:t>3</w:t>
            </w:r>
            <w:r w:rsidRPr="00154E08">
              <w:rPr>
                <w:rFonts w:cs="Times New Roman"/>
                <w:sz w:val="22"/>
                <w:szCs w:val="22"/>
              </w:rPr>
              <w:t xml:space="preserve"> r. wytwor</w:t>
            </w:r>
            <w:r w:rsidR="00931695" w:rsidRPr="00154E08">
              <w:rPr>
                <w:rFonts w:cs="Times New Roman"/>
                <w:sz w:val="22"/>
                <w:szCs w:val="22"/>
              </w:rPr>
              <w:t>zono</w:t>
            </w:r>
            <w:r w:rsidRPr="00154E08">
              <w:rPr>
                <w:rFonts w:cs="Times New Roman"/>
                <w:sz w:val="22"/>
                <w:szCs w:val="22"/>
              </w:rPr>
              <w:t xml:space="preserve"> </w:t>
            </w:r>
            <w:r w:rsidR="008A5BEA" w:rsidRPr="00154E08">
              <w:rPr>
                <w:rFonts w:cs="Times New Roman"/>
                <w:sz w:val="22"/>
                <w:szCs w:val="22"/>
              </w:rPr>
              <w:t>900</w:t>
            </w:r>
            <w:r w:rsidRPr="00154E08">
              <w:rPr>
                <w:rFonts w:cs="Times New Roman"/>
                <w:sz w:val="22"/>
                <w:szCs w:val="22"/>
              </w:rPr>
              <w:t>,</w:t>
            </w:r>
            <w:r w:rsidR="00002364" w:rsidRPr="00154E08">
              <w:rPr>
                <w:rFonts w:cs="Times New Roman"/>
                <w:sz w:val="22"/>
                <w:szCs w:val="22"/>
              </w:rPr>
              <w:t>6</w:t>
            </w:r>
            <w:r w:rsidRPr="00154E08">
              <w:rPr>
                <w:rFonts w:cs="Times New Roman"/>
                <w:sz w:val="22"/>
                <w:szCs w:val="22"/>
              </w:rPr>
              <w:t xml:space="preserve"> tys. ton estrów metylowych</w:t>
            </w:r>
            <w:r w:rsidR="00613FDD" w:rsidRPr="00154E08">
              <w:rPr>
                <w:rFonts w:cs="Times New Roman"/>
                <w:sz w:val="22"/>
                <w:szCs w:val="22"/>
              </w:rPr>
              <w:t xml:space="preserve">, </w:t>
            </w:r>
            <w:r w:rsidRPr="00154E08">
              <w:rPr>
                <w:rFonts w:cs="Times New Roman"/>
                <w:sz w:val="22"/>
                <w:szCs w:val="22"/>
              </w:rPr>
              <w:t xml:space="preserve">w tym </w:t>
            </w:r>
            <w:r w:rsidR="008A5BEA" w:rsidRPr="00154E08">
              <w:rPr>
                <w:rFonts w:cs="Times New Roman"/>
                <w:sz w:val="22"/>
                <w:szCs w:val="22"/>
              </w:rPr>
              <w:t>70,5</w:t>
            </w:r>
            <w:r w:rsidRPr="00154E08">
              <w:rPr>
                <w:rFonts w:cs="Times New Roman"/>
                <w:sz w:val="22"/>
                <w:szCs w:val="22"/>
              </w:rPr>
              <w:t xml:space="preserve"> tys. t</w:t>
            </w:r>
            <w:r w:rsidR="00611062" w:rsidRPr="00154E08">
              <w:rPr>
                <w:rFonts w:cs="Times New Roman"/>
                <w:sz w:val="22"/>
                <w:szCs w:val="22"/>
              </w:rPr>
              <w:t>on</w:t>
            </w:r>
            <w:r w:rsidRPr="00154E08">
              <w:rPr>
                <w:rFonts w:cs="Times New Roman"/>
                <w:sz w:val="22"/>
                <w:szCs w:val="22"/>
              </w:rPr>
              <w:t xml:space="preserve"> estrów stanowiły biokomponenty </w:t>
            </w:r>
            <w:r w:rsidR="009647C9" w:rsidRPr="00154E08">
              <w:rPr>
                <w:rFonts w:cs="Times New Roman"/>
                <w:sz w:val="22"/>
                <w:szCs w:val="22"/>
              </w:rPr>
              <w:t>zaawansowane. Warto wskazać, że wy</w:t>
            </w:r>
            <w:r w:rsidR="002518EC" w:rsidRPr="00154E08">
              <w:rPr>
                <w:rFonts w:cs="Times New Roman"/>
                <w:sz w:val="22"/>
                <w:szCs w:val="22"/>
              </w:rPr>
              <w:t>korzystanie odpadów UCO do</w:t>
            </w:r>
            <w:r w:rsidR="00D70ED9" w:rsidRPr="00154E08">
              <w:rPr>
                <w:rFonts w:cs="Times New Roman"/>
                <w:sz w:val="22"/>
                <w:szCs w:val="22"/>
              </w:rPr>
              <w:t> </w:t>
            </w:r>
            <w:r w:rsidR="002518EC" w:rsidRPr="00154E08">
              <w:rPr>
                <w:rFonts w:cs="Times New Roman"/>
                <w:sz w:val="22"/>
                <w:szCs w:val="22"/>
              </w:rPr>
              <w:t>wytworzenia estrów systematycznie wzrasta</w:t>
            </w:r>
            <w:r w:rsidR="00070296" w:rsidRPr="00154E08">
              <w:rPr>
                <w:rFonts w:cs="Times New Roman"/>
                <w:sz w:val="22"/>
                <w:szCs w:val="22"/>
              </w:rPr>
              <w:t>,</w:t>
            </w:r>
            <w:r w:rsidR="002518EC" w:rsidRPr="00154E08">
              <w:rPr>
                <w:rFonts w:cs="Times New Roman"/>
                <w:sz w:val="22"/>
                <w:szCs w:val="22"/>
              </w:rPr>
              <w:t xml:space="preserve"> z poziomu ok. 22 tys. ton w 2018 r. do stanu obecnego</w:t>
            </w:r>
            <w:r w:rsidR="005D0015" w:rsidRPr="00154E08">
              <w:rPr>
                <w:rFonts w:cs="Times New Roman"/>
                <w:sz w:val="22"/>
                <w:szCs w:val="22"/>
              </w:rPr>
              <w:t xml:space="preserve"> ok 74,5 tys</w:t>
            </w:r>
            <w:r w:rsidR="00EF02BC" w:rsidRPr="00154E08">
              <w:rPr>
                <w:rFonts w:cs="Times New Roman"/>
                <w:sz w:val="22"/>
                <w:szCs w:val="22"/>
              </w:rPr>
              <w:t>.</w:t>
            </w:r>
            <w:r w:rsidR="005D0015" w:rsidRPr="00154E08">
              <w:rPr>
                <w:rFonts w:cs="Times New Roman"/>
                <w:sz w:val="22"/>
                <w:szCs w:val="22"/>
              </w:rPr>
              <w:t xml:space="preserve"> t </w:t>
            </w:r>
            <w:r w:rsidR="00C604FD" w:rsidRPr="00154E08">
              <w:rPr>
                <w:rFonts w:cs="Times New Roman"/>
                <w:sz w:val="22"/>
                <w:szCs w:val="22"/>
              </w:rPr>
              <w:t xml:space="preserve">w </w:t>
            </w:r>
            <w:r w:rsidR="005D0015" w:rsidRPr="00154E08">
              <w:rPr>
                <w:rFonts w:cs="Times New Roman"/>
                <w:sz w:val="22"/>
                <w:szCs w:val="22"/>
              </w:rPr>
              <w:t>2023 r.</w:t>
            </w:r>
          </w:p>
          <w:p w14:paraId="3FA18D21" w14:textId="2EC6C5B2" w:rsidR="00ED3C85" w:rsidRPr="00154E08" w:rsidRDefault="004F58C9" w:rsidP="00B279FD">
            <w:pPr>
              <w:spacing w:after="120" w:line="240" w:lineRule="auto"/>
              <w:jc w:val="both"/>
              <w:rPr>
                <w:rFonts w:eastAsia="Calibri" w:cs="Times New Roman"/>
                <w:spacing w:val="-2"/>
                <w:sz w:val="22"/>
                <w:szCs w:val="22"/>
              </w:rPr>
            </w:pPr>
            <w:r w:rsidRPr="00154E08">
              <w:rPr>
                <w:rFonts w:cs="Times New Roman"/>
                <w:sz w:val="22"/>
                <w:szCs w:val="22"/>
              </w:rPr>
              <w:t>Produkcja estrów na cele transportowe generowała zapotrzebowanie na surowce rolne w</w:t>
            </w:r>
            <w:r w:rsidR="00B12CB8" w:rsidRPr="00154E08">
              <w:rPr>
                <w:rFonts w:cs="Times New Roman"/>
                <w:sz w:val="22"/>
                <w:szCs w:val="22"/>
              </w:rPr>
              <w:t> </w:t>
            </w:r>
            <w:r w:rsidRPr="00154E08">
              <w:rPr>
                <w:rFonts w:cs="Times New Roman"/>
                <w:sz w:val="22"/>
                <w:szCs w:val="22"/>
              </w:rPr>
              <w:t>szacowanej ilości – ok. 2</w:t>
            </w:r>
            <w:r w:rsidR="00103F90" w:rsidRPr="00154E08">
              <w:rPr>
                <w:rFonts w:cs="Times New Roman"/>
                <w:sz w:val="22"/>
                <w:szCs w:val="22"/>
              </w:rPr>
              <w:t>,1</w:t>
            </w:r>
            <w:r w:rsidRPr="00154E08">
              <w:rPr>
                <w:rFonts w:cs="Times New Roman"/>
                <w:sz w:val="22"/>
                <w:szCs w:val="22"/>
              </w:rPr>
              <w:t xml:space="preserve"> mln </w:t>
            </w:r>
            <w:r w:rsidRPr="00154E08">
              <w:rPr>
                <w:rFonts w:cs="Times New Roman"/>
                <w:sz w:val="22"/>
                <w:szCs w:val="22"/>
              </w:rPr>
              <w:lastRenderedPageBreak/>
              <w:t>ton rzepaku</w:t>
            </w:r>
            <w:r w:rsidR="00B12CB8" w:rsidRPr="00154E08">
              <w:rPr>
                <w:rFonts w:cs="Times New Roman"/>
                <w:sz w:val="22"/>
                <w:szCs w:val="22"/>
              </w:rPr>
              <w:t>,</w:t>
            </w:r>
            <w:r w:rsidRPr="00154E08">
              <w:rPr>
                <w:rFonts w:cs="Times New Roman"/>
                <w:sz w:val="22"/>
                <w:szCs w:val="22"/>
              </w:rPr>
              <w:t xml:space="preserve"> </w:t>
            </w:r>
            <w:r w:rsidR="003B0220" w:rsidRPr="00154E08">
              <w:rPr>
                <w:rFonts w:cs="Times New Roman"/>
                <w:sz w:val="22"/>
                <w:szCs w:val="22"/>
              </w:rPr>
              <w:t xml:space="preserve">z którego wytworzono </w:t>
            </w:r>
            <w:r w:rsidR="006F1C58" w:rsidRPr="00154E08">
              <w:rPr>
                <w:rFonts w:cs="Times New Roman"/>
                <w:sz w:val="22"/>
                <w:szCs w:val="22"/>
              </w:rPr>
              <w:t>870</w:t>
            </w:r>
            <w:r w:rsidRPr="00154E08">
              <w:rPr>
                <w:rFonts w:cs="Times New Roman"/>
                <w:sz w:val="22"/>
                <w:szCs w:val="22"/>
              </w:rPr>
              <w:t xml:space="preserve"> tys. ton oleju rzepakowego. </w:t>
            </w:r>
          </w:p>
          <w:p w14:paraId="03FFE0A1" w14:textId="4AC1E2F5" w:rsidR="00B775D6" w:rsidRPr="00154E08" w:rsidRDefault="00801EA0" w:rsidP="00B775D6">
            <w:pPr>
              <w:spacing w:after="120" w:line="240" w:lineRule="auto"/>
              <w:jc w:val="both"/>
              <w:rPr>
                <w:rFonts w:cs="Times New Roman"/>
                <w:bCs/>
                <w:sz w:val="22"/>
                <w:szCs w:val="22"/>
              </w:rPr>
            </w:pPr>
            <w:r w:rsidRPr="00154E08">
              <w:rPr>
                <w:rFonts w:cs="Times New Roman"/>
                <w:sz w:val="22"/>
                <w:szCs w:val="22"/>
              </w:rPr>
              <w:t>Z</w:t>
            </w:r>
            <w:r w:rsidR="009556AC" w:rsidRPr="00154E08">
              <w:rPr>
                <w:rFonts w:cs="Times New Roman"/>
                <w:sz w:val="22"/>
                <w:szCs w:val="22"/>
              </w:rPr>
              <w:t>godnie z</w:t>
            </w:r>
            <w:r w:rsidR="008F3E8B" w:rsidRPr="00154E08">
              <w:rPr>
                <w:rFonts w:cs="Times New Roman"/>
                <w:sz w:val="22"/>
                <w:szCs w:val="22"/>
              </w:rPr>
              <w:t> </w:t>
            </w:r>
            <w:r w:rsidR="009556AC" w:rsidRPr="00154E08">
              <w:rPr>
                <w:rFonts w:cs="Times New Roman"/>
                <w:sz w:val="22"/>
                <w:szCs w:val="22"/>
              </w:rPr>
              <w:t>prowadzonym przez Dyrektora Generalnego K</w:t>
            </w:r>
            <w:r w:rsidR="004E0239" w:rsidRPr="00154E08">
              <w:rPr>
                <w:rFonts w:cs="Times New Roman"/>
                <w:sz w:val="22"/>
                <w:szCs w:val="22"/>
              </w:rPr>
              <w:t>OWR rejestrem</w:t>
            </w:r>
            <w:r w:rsidR="00611062" w:rsidRPr="00154E08">
              <w:rPr>
                <w:rFonts w:cs="Times New Roman"/>
                <w:sz w:val="22"/>
                <w:szCs w:val="22"/>
              </w:rPr>
              <w:t>,</w:t>
            </w:r>
            <w:r w:rsidR="004E0239" w:rsidRPr="00154E08">
              <w:rPr>
                <w:rFonts w:cs="Times New Roman"/>
                <w:sz w:val="22"/>
                <w:szCs w:val="22"/>
              </w:rPr>
              <w:t xml:space="preserve"> </w:t>
            </w:r>
            <w:r w:rsidRPr="00154E08">
              <w:rPr>
                <w:rFonts w:cs="Times New Roman"/>
                <w:sz w:val="22"/>
                <w:szCs w:val="22"/>
              </w:rPr>
              <w:t>w 202</w:t>
            </w:r>
            <w:r w:rsidR="008A5BEA" w:rsidRPr="00154E08">
              <w:rPr>
                <w:rFonts w:cs="Times New Roman"/>
                <w:sz w:val="22"/>
                <w:szCs w:val="22"/>
              </w:rPr>
              <w:t>3</w:t>
            </w:r>
            <w:r w:rsidR="000C039F" w:rsidRPr="00154E08">
              <w:rPr>
                <w:rFonts w:cs="Times New Roman"/>
                <w:sz w:val="22"/>
                <w:szCs w:val="22"/>
              </w:rPr>
              <w:t> </w:t>
            </w:r>
            <w:r w:rsidRPr="00154E08">
              <w:rPr>
                <w:rFonts w:cs="Times New Roman"/>
                <w:sz w:val="22"/>
                <w:szCs w:val="22"/>
              </w:rPr>
              <w:t>r</w:t>
            </w:r>
            <w:r w:rsidR="00374FFF" w:rsidRPr="00154E08">
              <w:rPr>
                <w:rFonts w:cs="Times New Roman"/>
                <w:sz w:val="22"/>
                <w:szCs w:val="22"/>
              </w:rPr>
              <w:t>.</w:t>
            </w:r>
            <w:r w:rsidRPr="00154E08">
              <w:rPr>
                <w:rFonts w:cs="Times New Roman"/>
                <w:sz w:val="22"/>
                <w:szCs w:val="22"/>
              </w:rPr>
              <w:t xml:space="preserve"> </w:t>
            </w:r>
            <w:r w:rsidR="00362479" w:rsidRPr="00154E08">
              <w:rPr>
                <w:rFonts w:cs="Times New Roman"/>
                <w:sz w:val="22"/>
                <w:szCs w:val="22"/>
              </w:rPr>
              <w:t>wytworz</w:t>
            </w:r>
            <w:r w:rsidR="00993EE4" w:rsidRPr="00154E08">
              <w:rPr>
                <w:rFonts w:cs="Times New Roman"/>
                <w:sz w:val="22"/>
                <w:szCs w:val="22"/>
              </w:rPr>
              <w:t>ono</w:t>
            </w:r>
            <w:r w:rsidR="00362479" w:rsidRPr="00154E08">
              <w:rPr>
                <w:rFonts w:cs="Times New Roman"/>
                <w:sz w:val="22"/>
                <w:szCs w:val="22"/>
              </w:rPr>
              <w:t xml:space="preserve"> </w:t>
            </w:r>
            <w:r w:rsidR="008A5BEA" w:rsidRPr="00154E08">
              <w:rPr>
                <w:rFonts w:cs="Times New Roman"/>
                <w:sz w:val="22"/>
                <w:szCs w:val="22"/>
              </w:rPr>
              <w:t>310,9</w:t>
            </w:r>
            <w:r w:rsidR="003274C6" w:rsidRPr="00154E08">
              <w:rPr>
                <w:rFonts w:cs="Times New Roman"/>
                <w:sz w:val="22"/>
                <w:szCs w:val="22"/>
              </w:rPr>
              <w:t xml:space="preserve"> </w:t>
            </w:r>
            <w:r w:rsidR="00362479" w:rsidRPr="00154E08">
              <w:rPr>
                <w:rFonts w:cs="Times New Roman"/>
                <w:sz w:val="22"/>
                <w:szCs w:val="22"/>
              </w:rPr>
              <w:t>tys. ton bioetanolu</w:t>
            </w:r>
            <w:r w:rsidR="00362479" w:rsidRPr="00154E08">
              <w:rPr>
                <w:rFonts w:cs="Times New Roman"/>
                <w:bCs/>
                <w:sz w:val="22"/>
                <w:szCs w:val="22"/>
              </w:rPr>
              <w:t xml:space="preserve"> </w:t>
            </w:r>
            <w:r w:rsidR="00E41758" w:rsidRPr="00154E08">
              <w:rPr>
                <w:rFonts w:cs="Times New Roman"/>
                <w:bCs/>
                <w:sz w:val="22"/>
                <w:szCs w:val="22"/>
              </w:rPr>
              <w:t xml:space="preserve">na cele transportowe </w:t>
            </w:r>
            <w:r w:rsidR="00362479" w:rsidRPr="00154E08">
              <w:rPr>
                <w:rFonts w:cs="Times New Roman"/>
                <w:bCs/>
                <w:sz w:val="22"/>
                <w:szCs w:val="22"/>
              </w:rPr>
              <w:t xml:space="preserve">(w tym </w:t>
            </w:r>
            <w:r w:rsidR="008A5BEA" w:rsidRPr="00154E08">
              <w:rPr>
                <w:rFonts w:cs="Times New Roman"/>
                <w:bCs/>
                <w:sz w:val="22"/>
                <w:szCs w:val="22"/>
              </w:rPr>
              <w:t>28,4</w:t>
            </w:r>
            <w:r w:rsidR="00362479" w:rsidRPr="00154E08">
              <w:rPr>
                <w:rFonts w:cs="Times New Roman"/>
                <w:bCs/>
                <w:sz w:val="22"/>
                <w:szCs w:val="22"/>
              </w:rPr>
              <w:t xml:space="preserve"> tys. ton bioetanolu stanowiły biokomponenty uprawniające do </w:t>
            </w:r>
            <w:r w:rsidR="0016149E" w:rsidRPr="00154E08">
              <w:rPr>
                <w:rFonts w:cs="Times New Roman"/>
                <w:bCs/>
                <w:sz w:val="22"/>
                <w:szCs w:val="22"/>
              </w:rPr>
              <w:t>i</w:t>
            </w:r>
            <w:r w:rsidR="00362479" w:rsidRPr="00154E08">
              <w:rPr>
                <w:rFonts w:cs="Times New Roman"/>
                <w:bCs/>
                <w:sz w:val="22"/>
                <w:szCs w:val="22"/>
              </w:rPr>
              <w:t>ch podwójnego zaliczenia do realizacji NCW).</w:t>
            </w:r>
          </w:p>
          <w:p w14:paraId="0BC80BD6" w14:textId="0B2CB15E" w:rsidR="00362479" w:rsidRPr="00154E08" w:rsidRDefault="00362479" w:rsidP="00B279FD">
            <w:pPr>
              <w:spacing w:after="120" w:line="240" w:lineRule="auto"/>
              <w:jc w:val="both"/>
              <w:rPr>
                <w:rFonts w:cs="Times New Roman"/>
                <w:bCs/>
                <w:sz w:val="22"/>
                <w:szCs w:val="22"/>
              </w:rPr>
            </w:pPr>
            <w:r w:rsidRPr="00154E08">
              <w:rPr>
                <w:rFonts w:cs="Times New Roman"/>
                <w:bCs/>
                <w:sz w:val="22"/>
                <w:szCs w:val="22"/>
              </w:rPr>
              <w:t xml:space="preserve">Do produkcji bioetanolu wykorzystano głównie: </w:t>
            </w:r>
          </w:p>
          <w:p w14:paraId="5337E621" w14:textId="4C9D06E4" w:rsidR="00F64B5F" w:rsidRPr="00154E08" w:rsidRDefault="00684A87">
            <w:pPr>
              <w:spacing w:after="120" w:line="240" w:lineRule="auto"/>
              <w:jc w:val="both"/>
              <w:rPr>
                <w:rFonts w:cs="Times New Roman"/>
                <w:bCs/>
                <w:sz w:val="22"/>
                <w:szCs w:val="22"/>
              </w:rPr>
            </w:pPr>
            <w:r w:rsidRPr="00154E08">
              <w:rPr>
                <w:rFonts w:cs="Times New Roman"/>
                <w:bCs/>
                <w:sz w:val="22"/>
                <w:szCs w:val="22"/>
              </w:rPr>
              <w:t xml:space="preserve"> –</w:t>
            </w:r>
            <w:r w:rsidR="00732AA3" w:rsidRPr="00154E08">
              <w:rPr>
                <w:rFonts w:cs="Times New Roman"/>
                <w:bCs/>
                <w:sz w:val="22"/>
                <w:szCs w:val="22"/>
              </w:rPr>
              <w:t> </w:t>
            </w:r>
            <w:r w:rsidR="00362479" w:rsidRPr="00154E08">
              <w:rPr>
                <w:rFonts w:cs="Times New Roman"/>
                <w:bCs/>
                <w:sz w:val="22"/>
                <w:szCs w:val="22"/>
              </w:rPr>
              <w:t>kukurydzę</w:t>
            </w:r>
            <w:r w:rsidR="00732AA3" w:rsidRPr="00154E08">
              <w:rPr>
                <w:rFonts w:cs="Times New Roman"/>
                <w:sz w:val="22"/>
                <w:szCs w:val="22"/>
              </w:rPr>
              <w:t> </w:t>
            </w:r>
            <w:r w:rsidR="00362479" w:rsidRPr="00154E08">
              <w:rPr>
                <w:rFonts w:cs="Times New Roman"/>
                <w:bCs/>
                <w:sz w:val="22"/>
                <w:szCs w:val="22"/>
              </w:rPr>
              <w:t>(</w:t>
            </w:r>
            <w:r w:rsidR="00B54A02" w:rsidRPr="00154E08">
              <w:rPr>
                <w:rFonts w:cs="Times New Roman"/>
                <w:bCs/>
                <w:sz w:val="22"/>
                <w:szCs w:val="22"/>
              </w:rPr>
              <w:t>59,1</w:t>
            </w:r>
            <w:r w:rsidR="00362479" w:rsidRPr="00154E08">
              <w:rPr>
                <w:rFonts w:cs="Times New Roman"/>
                <w:bCs/>
                <w:sz w:val="22"/>
                <w:szCs w:val="22"/>
              </w:rPr>
              <w:t>%</w:t>
            </w:r>
            <w:r w:rsidR="00732AA3" w:rsidRPr="00154E08">
              <w:rPr>
                <w:rFonts w:cs="Times New Roman"/>
                <w:bCs/>
                <w:sz w:val="22"/>
                <w:szCs w:val="22"/>
              </w:rPr>
              <w:t> </w:t>
            </w:r>
            <w:r w:rsidR="00362479" w:rsidRPr="00154E08">
              <w:rPr>
                <w:rFonts w:cs="Times New Roman"/>
                <w:bCs/>
                <w:sz w:val="22"/>
                <w:szCs w:val="22"/>
              </w:rPr>
              <w:t>ogółu</w:t>
            </w:r>
            <w:r w:rsidR="00732AA3" w:rsidRPr="00154E08">
              <w:rPr>
                <w:rFonts w:cs="Times New Roman"/>
                <w:bCs/>
                <w:sz w:val="22"/>
                <w:szCs w:val="22"/>
              </w:rPr>
              <w:t> </w:t>
            </w:r>
            <w:r w:rsidR="00362479" w:rsidRPr="00154E08">
              <w:rPr>
                <w:rFonts w:cs="Times New Roman"/>
                <w:bCs/>
                <w:sz w:val="22"/>
                <w:szCs w:val="22"/>
              </w:rPr>
              <w:t>wykorzystanych</w:t>
            </w:r>
            <w:r w:rsidR="00732AA3" w:rsidRPr="00154E08">
              <w:rPr>
                <w:rFonts w:cs="Times New Roman"/>
                <w:bCs/>
                <w:sz w:val="22"/>
                <w:szCs w:val="22"/>
              </w:rPr>
              <w:t> </w:t>
            </w:r>
            <w:r w:rsidR="00362479" w:rsidRPr="00154E08">
              <w:rPr>
                <w:rFonts w:cs="Times New Roman"/>
                <w:bCs/>
                <w:sz w:val="22"/>
                <w:szCs w:val="22"/>
              </w:rPr>
              <w:t>surowców</w:t>
            </w:r>
            <w:r w:rsidR="00C0347D" w:rsidRPr="00154E08">
              <w:rPr>
                <w:rFonts w:cs="Times New Roman"/>
                <w:bCs/>
                <w:sz w:val="22"/>
                <w:szCs w:val="22"/>
              </w:rPr>
              <w:t>:</w:t>
            </w:r>
            <w:r w:rsidR="000C039F" w:rsidRPr="00154E08">
              <w:rPr>
                <w:rFonts w:cs="Times New Roman"/>
                <w:bCs/>
                <w:sz w:val="22"/>
                <w:szCs w:val="22"/>
              </w:rPr>
              <w:t> </w:t>
            </w:r>
            <w:r w:rsidR="00C0347D" w:rsidRPr="00154E08">
              <w:rPr>
                <w:rFonts w:cs="Times New Roman"/>
                <w:bCs/>
                <w:sz w:val="22"/>
                <w:szCs w:val="22"/>
              </w:rPr>
              <w:t>GENI</w:t>
            </w:r>
            <w:r w:rsidR="000C039F" w:rsidRPr="00154E08">
              <w:rPr>
                <w:rFonts w:cs="Times New Roman"/>
                <w:bCs/>
                <w:sz w:val="22"/>
                <w:szCs w:val="22"/>
              </w:rPr>
              <w:t> </w:t>
            </w:r>
            <w:r w:rsidR="00C0347D" w:rsidRPr="00154E08">
              <w:rPr>
                <w:rFonts w:cs="Times New Roman"/>
                <w:bCs/>
                <w:sz w:val="22"/>
                <w:szCs w:val="22"/>
              </w:rPr>
              <w:t>i</w:t>
            </w:r>
            <w:r w:rsidR="000C039F" w:rsidRPr="00154E08">
              <w:rPr>
                <w:rFonts w:cs="Times New Roman"/>
                <w:bCs/>
                <w:sz w:val="22"/>
                <w:szCs w:val="22"/>
              </w:rPr>
              <w:t> </w:t>
            </w:r>
            <w:r w:rsidR="00C0347D" w:rsidRPr="00154E08">
              <w:rPr>
                <w:rFonts w:cs="Times New Roman"/>
                <w:bCs/>
                <w:sz w:val="22"/>
                <w:szCs w:val="22"/>
              </w:rPr>
              <w:t>zaawansowanych</w:t>
            </w:r>
            <w:r w:rsidR="00362479" w:rsidRPr="00154E08">
              <w:rPr>
                <w:rFonts w:cs="Times New Roman"/>
                <w:bCs/>
                <w:sz w:val="22"/>
                <w:szCs w:val="22"/>
              </w:rPr>
              <w:t xml:space="preserve">), </w:t>
            </w:r>
          </w:p>
          <w:p w14:paraId="080B1995" w14:textId="3FB30E49" w:rsidR="00362479" w:rsidRPr="00154E08" w:rsidRDefault="00684A87" w:rsidP="00B279FD">
            <w:pPr>
              <w:spacing w:after="120" w:line="240" w:lineRule="auto"/>
              <w:jc w:val="both"/>
              <w:rPr>
                <w:rFonts w:cs="Times New Roman"/>
                <w:bCs/>
                <w:sz w:val="22"/>
                <w:szCs w:val="22"/>
              </w:rPr>
            </w:pPr>
            <w:r w:rsidRPr="00154E08">
              <w:rPr>
                <w:rFonts w:cs="Times New Roman"/>
                <w:bCs/>
                <w:sz w:val="22"/>
                <w:szCs w:val="22"/>
              </w:rPr>
              <w:t xml:space="preserve"> –</w:t>
            </w:r>
            <w:r w:rsidR="00732AA3" w:rsidRPr="00154E08">
              <w:rPr>
                <w:rFonts w:cs="Times New Roman"/>
                <w:bCs/>
                <w:sz w:val="22"/>
                <w:szCs w:val="22"/>
              </w:rPr>
              <w:t xml:space="preserve"> </w:t>
            </w:r>
            <w:r w:rsidR="00362479" w:rsidRPr="00154E08">
              <w:rPr>
                <w:rFonts w:cs="Times New Roman"/>
                <w:bCs/>
                <w:sz w:val="22"/>
                <w:szCs w:val="22"/>
              </w:rPr>
              <w:t xml:space="preserve">zawiesinę </w:t>
            </w:r>
            <w:r w:rsidR="00AA098F" w:rsidRPr="00154E08">
              <w:rPr>
                <w:rFonts w:cs="Times New Roman"/>
                <w:bCs/>
                <w:sz w:val="22"/>
                <w:szCs w:val="22"/>
              </w:rPr>
              <w:t>skrobi</w:t>
            </w:r>
            <w:r w:rsidR="00362479" w:rsidRPr="00154E08">
              <w:rPr>
                <w:rFonts w:cs="Times New Roman"/>
                <w:bCs/>
                <w:sz w:val="22"/>
                <w:szCs w:val="22"/>
              </w:rPr>
              <w:t xml:space="preserve"> odpadowej o kodzie odpadu </w:t>
            </w:r>
            <w:r w:rsidR="001D4665" w:rsidRPr="00154E08">
              <w:rPr>
                <w:rFonts w:cs="Times New Roman"/>
                <w:bCs/>
                <w:sz w:val="22"/>
                <w:szCs w:val="22"/>
              </w:rPr>
              <w:t xml:space="preserve">CN </w:t>
            </w:r>
            <w:r w:rsidR="00362479" w:rsidRPr="00154E08">
              <w:rPr>
                <w:rFonts w:cs="Times New Roman"/>
                <w:bCs/>
                <w:sz w:val="22"/>
                <w:szCs w:val="22"/>
              </w:rPr>
              <w:t>02 03 80</w:t>
            </w:r>
            <w:r w:rsidR="001D4665" w:rsidRPr="00154E08">
              <w:rPr>
                <w:rFonts w:cs="Times New Roman"/>
                <w:bCs/>
                <w:sz w:val="22"/>
                <w:szCs w:val="22"/>
              </w:rPr>
              <w:t>,</w:t>
            </w:r>
            <w:r w:rsidR="00362479" w:rsidRPr="00154E08">
              <w:rPr>
                <w:rFonts w:cs="Times New Roman"/>
                <w:bCs/>
                <w:sz w:val="22"/>
                <w:szCs w:val="22"/>
              </w:rPr>
              <w:t xml:space="preserve"> </w:t>
            </w:r>
          </w:p>
          <w:p w14:paraId="182D2D2D" w14:textId="39D13305" w:rsidR="00362479" w:rsidRPr="00154E08" w:rsidRDefault="00684A87" w:rsidP="00B279FD">
            <w:pPr>
              <w:spacing w:after="120" w:line="240" w:lineRule="auto"/>
              <w:rPr>
                <w:rFonts w:cs="Times New Roman"/>
                <w:bCs/>
                <w:sz w:val="22"/>
                <w:szCs w:val="22"/>
              </w:rPr>
            </w:pPr>
            <w:r w:rsidRPr="00154E08">
              <w:rPr>
                <w:rFonts w:cs="Times New Roman"/>
                <w:bCs/>
                <w:sz w:val="22"/>
                <w:szCs w:val="22"/>
              </w:rPr>
              <w:t xml:space="preserve"> –</w:t>
            </w:r>
            <w:r w:rsidR="00362479" w:rsidRPr="00154E08">
              <w:rPr>
                <w:rFonts w:cs="Times New Roman"/>
                <w:bCs/>
                <w:sz w:val="22"/>
                <w:szCs w:val="22"/>
              </w:rPr>
              <w:t xml:space="preserve"> pozostałości produkcyjne skrobi z przetwórstwa pszenicy</w:t>
            </w:r>
            <w:r w:rsidR="001D4665" w:rsidRPr="00154E08">
              <w:rPr>
                <w:rFonts w:cs="Times New Roman"/>
                <w:bCs/>
                <w:sz w:val="22"/>
                <w:szCs w:val="22"/>
              </w:rPr>
              <w:t>,</w:t>
            </w:r>
            <w:r w:rsidR="00362479" w:rsidRPr="00154E08">
              <w:rPr>
                <w:rFonts w:cs="Times New Roman"/>
                <w:bCs/>
                <w:sz w:val="22"/>
                <w:szCs w:val="22"/>
              </w:rPr>
              <w:t xml:space="preserve"> </w:t>
            </w:r>
          </w:p>
          <w:p w14:paraId="6808C830" w14:textId="458ECBDE" w:rsidR="00833052" w:rsidRPr="00154E08" w:rsidRDefault="00684A87" w:rsidP="00B279FD">
            <w:pPr>
              <w:spacing w:after="120" w:line="240" w:lineRule="auto"/>
              <w:rPr>
                <w:rFonts w:cs="Times New Roman"/>
                <w:sz w:val="22"/>
                <w:szCs w:val="22"/>
              </w:rPr>
            </w:pPr>
            <w:r w:rsidRPr="00154E08">
              <w:rPr>
                <w:rFonts w:cs="Times New Roman"/>
                <w:bCs/>
                <w:sz w:val="22"/>
                <w:szCs w:val="22"/>
              </w:rPr>
              <w:t xml:space="preserve"> –</w:t>
            </w:r>
            <w:r w:rsidR="000C6BAC" w:rsidRPr="00154E08">
              <w:rPr>
                <w:rFonts w:cs="Times New Roman"/>
                <w:bCs/>
                <w:sz w:val="22"/>
                <w:szCs w:val="22"/>
              </w:rPr>
              <w:t xml:space="preserve"> a także</w:t>
            </w:r>
            <w:r w:rsidR="00362479" w:rsidRPr="00154E08">
              <w:rPr>
                <w:rFonts w:cs="Times New Roman"/>
                <w:bCs/>
                <w:sz w:val="22"/>
                <w:szCs w:val="22"/>
              </w:rPr>
              <w:t xml:space="preserve"> destylaty, w tym destylaty z odpadów i pozostałości</w:t>
            </w:r>
            <w:r w:rsidR="000C6BAC" w:rsidRPr="00154E08">
              <w:rPr>
                <w:rFonts w:cs="Times New Roman"/>
                <w:bCs/>
                <w:sz w:val="22"/>
                <w:szCs w:val="22"/>
              </w:rPr>
              <w:t xml:space="preserve">, </w:t>
            </w:r>
            <w:r w:rsidR="003A76EB" w:rsidRPr="00154E08">
              <w:rPr>
                <w:rFonts w:cs="Times New Roman"/>
                <w:bCs/>
                <w:sz w:val="22"/>
                <w:szCs w:val="22"/>
              </w:rPr>
              <w:t>odpady</w:t>
            </w:r>
            <w:r w:rsidR="00532CD2" w:rsidRPr="00154E08">
              <w:rPr>
                <w:rFonts w:cs="Times New Roman"/>
                <w:bCs/>
                <w:sz w:val="22"/>
                <w:szCs w:val="22"/>
              </w:rPr>
              <w:t xml:space="preserve"> spożywcze</w:t>
            </w:r>
            <w:r w:rsidR="000C6BAC" w:rsidRPr="00154E08">
              <w:rPr>
                <w:rFonts w:cs="Times New Roman"/>
                <w:bCs/>
                <w:sz w:val="22"/>
                <w:szCs w:val="22"/>
              </w:rPr>
              <w:t xml:space="preserve">, </w:t>
            </w:r>
            <w:r w:rsidR="00362479" w:rsidRPr="00154E08">
              <w:rPr>
                <w:rFonts w:cs="Times New Roman"/>
                <w:bCs/>
                <w:sz w:val="22"/>
                <w:szCs w:val="22"/>
              </w:rPr>
              <w:t>melas</w:t>
            </w:r>
            <w:r w:rsidR="000C6BAC" w:rsidRPr="00154E08">
              <w:rPr>
                <w:rFonts w:cs="Times New Roman"/>
                <w:bCs/>
                <w:sz w:val="22"/>
                <w:szCs w:val="22"/>
              </w:rPr>
              <w:t>y</w:t>
            </w:r>
            <w:r w:rsidR="00BE55A4" w:rsidRPr="00154E08">
              <w:rPr>
                <w:rFonts w:cs="Times New Roman"/>
                <w:bCs/>
                <w:sz w:val="22"/>
                <w:szCs w:val="22"/>
              </w:rPr>
              <w:t>.</w:t>
            </w:r>
          </w:p>
          <w:p w14:paraId="325F0BE1" w14:textId="122FCAFC" w:rsidR="004C6BB3" w:rsidRPr="00154E08" w:rsidRDefault="1D1D5843" w:rsidP="00B279FD">
            <w:pPr>
              <w:spacing w:after="120" w:line="240" w:lineRule="auto"/>
              <w:jc w:val="both"/>
              <w:rPr>
                <w:rFonts w:eastAsia="Calibri" w:cs="Times New Roman"/>
                <w:bCs/>
                <w:spacing w:val="-2"/>
                <w:sz w:val="22"/>
                <w:szCs w:val="22"/>
              </w:rPr>
            </w:pPr>
            <w:r w:rsidRPr="00154E08">
              <w:rPr>
                <w:rFonts w:cs="Times New Roman"/>
                <w:sz w:val="22"/>
                <w:szCs w:val="22"/>
              </w:rPr>
              <w:t xml:space="preserve">Krajowi wytwórcy bioetanolu dysponują łączną mocą wytwórczą na poziomie około 940 mln litrów rocznie, tj. ok. 733 tys. ton rocznie, której wykorzystanie zależy od wielu czynników: dostępności i cen surowców do produkcji, zapotrzebowania ze strony odbiorców, aktywności importerów. Szansą na poprawienie stopnia wykorzystania krajowych mocy wytwórczych bioetanolu jest ustanowiony od 1 stycznia 2024 r. obowiązek </w:t>
            </w:r>
            <w:r w:rsidR="001D4665" w:rsidRPr="00154E08">
              <w:rPr>
                <w:rFonts w:cs="Times New Roman"/>
                <w:sz w:val="22"/>
                <w:szCs w:val="22"/>
              </w:rPr>
              <w:t xml:space="preserve">zwiększenia udziału biokomponentów w benzynach silnikowych 95-oktanowych skutkujący efektywnym wprowadzeniem do </w:t>
            </w:r>
            <w:r w:rsidRPr="00154E08">
              <w:rPr>
                <w:rFonts w:cs="Times New Roman"/>
                <w:sz w:val="22"/>
                <w:szCs w:val="22"/>
              </w:rPr>
              <w:t xml:space="preserve">sprzedaży 95-oktanowej benzyny o oznaczeniu E10, która </w:t>
            </w:r>
            <w:r w:rsidR="00B244F3" w:rsidRPr="00154E08">
              <w:rPr>
                <w:rFonts w:cs="Times New Roman"/>
                <w:sz w:val="22"/>
                <w:szCs w:val="22"/>
              </w:rPr>
              <w:t>zawiera do</w:t>
            </w:r>
            <w:r w:rsidRPr="00154E08">
              <w:rPr>
                <w:rFonts w:cs="Times New Roman"/>
                <w:sz w:val="22"/>
                <w:szCs w:val="22"/>
              </w:rPr>
              <w:t xml:space="preserve"> 10% </w:t>
            </w:r>
            <w:r w:rsidR="00CF7526" w:rsidRPr="00154E08">
              <w:rPr>
                <w:rFonts w:cs="Times New Roman"/>
                <w:sz w:val="22"/>
                <w:szCs w:val="22"/>
              </w:rPr>
              <w:t>bio</w:t>
            </w:r>
            <w:r w:rsidRPr="00154E08">
              <w:rPr>
                <w:rFonts w:cs="Times New Roman"/>
                <w:sz w:val="22"/>
                <w:szCs w:val="22"/>
              </w:rPr>
              <w:t>etanolu.</w:t>
            </w:r>
          </w:p>
          <w:p w14:paraId="3EADF5F7" w14:textId="0C7ACE76" w:rsidR="00A63E94" w:rsidRPr="00154E08" w:rsidRDefault="00D740ED" w:rsidP="00B279FD">
            <w:pPr>
              <w:shd w:val="clear" w:color="auto" w:fill="FFFFFF" w:themeFill="background1"/>
              <w:spacing w:after="120" w:line="240" w:lineRule="auto"/>
              <w:jc w:val="both"/>
              <w:rPr>
                <w:rFonts w:eastAsia="Calibri" w:cs="Times New Roman"/>
                <w:spacing w:val="-2"/>
                <w:sz w:val="22"/>
                <w:szCs w:val="22"/>
              </w:rPr>
            </w:pPr>
            <w:r w:rsidRPr="00154E08">
              <w:rPr>
                <w:rFonts w:eastAsia="Calibri" w:cs="Times New Roman"/>
                <w:spacing w:val="-2"/>
                <w:sz w:val="22"/>
                <w:szCs w:val="22"/>
              </w:rPr>
              <w:t xml:space="preserve">Cele OZE w transporcie mogą być realizowane także poprzez </w:t>
            </w:r>
            <w:r w:rsidR="00D87D02" w:rsidRPr="00154E08">
              <w:rPr>
                <w:rFonts w:eastAsia="Calibri" w:cs="Times New Roman"/>
                <w:spacing w:val="-2"/>
                <w:sz w:val="22"/>
                <w:szCs w:val="22"/>
              </w:rPr>
              <w:t>wykorzystani</w:t>
            </w:r>
            <w:r w:rsidRPr="00154E08">
              <w:rPr>
                <w:rFonts w:eastAsia="Calibri" w:cs="Times New Roman"/>
                <w:spacing w:val="-2"/>
                <w:sz w:val="22"/>
                <w:szCs w:val="22"/>
              </w:rPr>
              <w:t>e</w:t>
            </w:r>
            <w:r w:rsidR="00D87D02" w:rsidRPr="00154E08">
              <w:rPr>
                <w:rFonts w:eastAsia="Calibri" w:cs="Times New Roman"/>
                <w:spacing w:val="-2"/>
                <w:sz w:val="22"/>
                <w:szCs w:val="22"/>
              </w:rPr>
              <w:t xml:space="preserve"> energii elektrycznej z odnawialnych źródeł energii</w:t>
            </w:r>
            <w:r w:rsidR="001615BB" w:rsidRPr="00154E08">
              <w:rPr>
                <w:rFonts w:eastAsia="Calibri" w:cs="Times New Roman"/>
                <w:spacing w:val="-2"/>
                <w:sz w:val="22"/>
                <w:szCs w:val="22"/>
              </w:rPr>
              <w:t xml:space="preserve">. </w:t>
            </w:r>
            <w:r w:rsidR="00F97284" w:rsidRPr="00154E08">
              <w:rPr>
                <w:rFonts w:eastAsia="Calibri" w:cs="Times New Roman"/>
                <w:bCs/>
                <w:spacing w:val="-2"/>
                <w:sz w:val="22"/>
                <w:szCs w:val="22"/>
              </w:rPr>
              <w:t xml:space="preserve">Polityka w zakresie zwiększenia stosowania </w:t>
            </w:r>
            <w:r w:rsidR="002C5798" w:rsidRPr="00154E08">
              <w:rPr>
                <w:rFonts w:eastAsia="Calibri" w:cs="Times New Roman"/>
                <w:bCs/>
                <w:spacing w:val="-2"/>
                <w:sz w:val="22"/>
                <w:szCs w:val="22"/>
              </w:rPr>
              <w:t>OZE w transporcie, w</w:t>
            </w:r>
            <w:r w:rsidR="004036A8" w:rsidRPr="00154E08">
              <w:rPr>
                <w:rFonts w:eastAsia="Calibri" w:cs="Times New Roman"/>
                <w:bCs/>
                <w:spacing w:val="-2"/>
                <w:sz w:val="22"/>
                <w:szCs w:val="22"/>
              </w:rPr>
              <w:t> </w:t>
            </w:r>
            <w:r w:rsidR="002C5798" w:rsidRPr="00154E08">
              <w:rPr>
                <w:rFonts w:eastAsia="Calibri" w:cs="Times New Roman"/>
                <w:bCs/>
                <w:spacing w:val="-2"/>
                <w:sz w:val="22"/>
                <w:szCs w:val="22"/>
              </w:rPr>
              <w:t xml:space="preserve">tym </w:t>
            </w:r>
            <w:r w:rsidR="00F97284" w:rsidRPr="00154E08">
              <w:rPr>
                <w:rFonts w:eastAsia="Calibri" w:cs="Times New Roman"/>
                <w:bCs/>
                <w:spacing w:val="-2"/>
                <w:sz w:val="22"/>
                <w:szCs w:val="22"/>
              </w:rPr>
              <w:t>energii elektrycznej w</w:t>
            </w:r>
            <w:r w:rsidR="00D36297" w:rsidRPr="00154E08">
              <w:rPr>
                <w:rFonts w:eastAsia="Calibri" w:cs="Times New Roman"/>
                <w:bCs/>
                <w:spacing w:val="-2"/>
                <w:sz w:val="22"/>
                <w:szCs w:val="22"/>
              </w:rPr>
              <w:t> </w:t>
            </w:r>
            <w:r w:rsidR="00F97284" w:rsidRPr="00154E08">
              <w:rPr>
                <w:rFonts w:eastAsia="Calibri" w:cs="Times New Roman"/>
                <w:bCs/>
                <w:spacing w:val="-2"/>
                <w:sz w:val="22"/>
                <w:szCs w:val="22"/>
              </w:rPr>
              <w:t xml:space="preserve">transporcie </w:t>
            </w:r>
            <w:r w:rsidR="00611062" w:rsidRPr="00154E08">
              <w:rPr>
                <w:rFonts w:eastAsia="Calibri" w:cs="Times New Roman"/>
                <w:bCs/>
                <w:spacing w:val="-2"/>
                <w:sz w:val="22"/>
                <w:szCs w:val="22"/>
              </w:rPr>
              <w:t xml:space="preserve">była </w:t>
            </w:r>
            <w:r w:rsidR="00F97284" w:rsidRPr="00154E08">
              <w:rPr>
                <w:rFonts w:eastAsia="Calibri" w:cs="Times New Roman"/>
                <w:bCs/>
                <w:spacing w:val="-2"/>
                <w:sz w:val="22"/>
                <w:szCs w:val="22"/>
              </w:rPr>
              <w:t>realizowana dotychczas gł</w:t>
            </w:r>
            <w:r w:rsidR="00CE3B51" w:rsidRPr="00154E08">
              <w:rPr>
                <w:rFonts w:eastAsia="Calibri" w:cs="Times New Roman"/>
                <w:bCs/>
                <w:spacing w:val="-2"/>
                <w:sz w:val="22"/>
                <w:szCs w:val="22"/>
              </w:rPr>
              <w:t>ó</w:t>
            </w:r>
            <w:r w:rsidR="00F97284" w:rsidRPr="00154E08">
              <w:rPr>
                <w:rFonts w:eastAsia="Calibri" w:cs="Times New Roman"/>
                <w:bCs/>
                <w:spacing w:val="-2"/>
                <w:sz w:val="22"/>
                <w:szCs w:val="22"/>
              </w:rPr>
              <w:t xml:space="preserve">wnie </w:t>
            </w:r>
            <w:r w:rsidR="00684A87" w:rsidRPr="00154E08">
              <w:rPr>
                <w:rFonts w:eastAsia="Calibri" w:cs="Times New Roman"/>
                <w:bCs/>
                <w:spacing w:val="-2"/>
                <w:sz w:val="22"/>
                <w:szCs w:val="22"/>
              </w:rPr>
              <w:t>przez</w:t>
            </w:r>
            <w:r w:rsidR="00F97284" w:rsidRPr="00154E08">
              <w:rPr>
                <w:rFonts w:eastAsia="Calibri" w:cs="Times New Roman"/>
                <w:bCs/>
                <w:spacing w:val="-2"/>
                <w:sz w:val="22"/>
                <w:szCs w:val="22"/>
              </w:rPr>
              <w:t xml:space="preserve"> implementację dyrektywy </w:t>
            </w:r>
            <w:r w:rsidR="00CE3B51" w:rsidRPr="00154E08">
              <w:rPr>
                <w:rFonts w:eastAsia="Calibri" w:cs="Times New Roman"/>
                <w:bCs/>
                <w:spacing w:val="-2"/>
                <w:sz w:val="22"/>
                <w:szCs w:val="22"/>
              </w:rPr>
              <w:t xml:space="preserve">Parlamentu Europejskiego i Rady 2014/94/UE </w:t>
            </w:r>
            <w:r w:rsidR="00F97284" w:rsidRPr="00154E08">
              <w:rPr>
                <w:rFonts w:eastAsia="Calibri" w:cs="Times New Roman"/>
                <w:bCs/>
                <w:spacing w:val="-2"/>
                <w:sz w:val="22"/>
                <w:szCs w:val="22"/>
              </w:rPr>
              <w:t>z</w:t>
            </w:r>
            <w:r w:rsidR="00A63E94" w:rsidRPr="00154E08">
              <w:rPr>
                <w:rFonts w:eastAsia="Calibri" w:cs="Times New Roman"/>
                <w:bCs/>
                <w:spacing w:val="-2"/>
                <w:sz w:val="22"/>
                <w:szCs w:val="22"/>
              </w:rPr>
              <w:t> </w:t>
            </w:r>
            <w:r w:rsidR="00F97284" w:rsidRPr="00154E08">
              <w:rPr>
                <w:rFonts w:eastAsia="Calibri" w:cs="Times New Roman"/>
                <w:bCs/>
                <w:spacing w:val="-2"/>
                <w:sz w:val="22"/>
                <w:szCs w:val="22"/>
              </w:rPr>
              <w:t>dnia</w:t>
            </w:r>
            <w:r w:rsidR="00CE3B51" w:rsidRPr="00154E08">
              <w:rPr>
                <w:rFonts w:eastAsia="Calibri" w:cs="Times New Roman"/>
                <w:bCs/>
                <w:spacing w:val="-2"/>
                <w:sz w:val="22"/>
                <w:szCs w:val="22"/>
              </w:rPr>
              <w:t xml:space="preserve"> 22 października 2014 r. </w:t>
            </w:r>
            <w:r w:rsidR="00F97284" w:rsidRPr="00154E08">
              <w:rPr>
                <w:rFonts w:eastAsia="Calibri" w:cs="Times New Roman"/>
                <w:bCs/>
                <w:spacing w:val="-2"/>
                <w:sz w:val="22"/>
                <w:szCs w:val="22"/>
              </w:rPr>
              <w:t xml:space="preserve">w sprawie </w:t>
            </w:r>
            <w:r w:rsidR="00CE3B51" w:rsidRPr="00154E08">
              <w:rPr>
                <w:rFonts w:eastAsia="Calibri" w:cs="Times New Roman"/>
                <w:bCs/>
                <w:spacing w:val="-2"/>
                <w:sz w:val="22"/>
                <w:szCs w:val="22"/>
              </w:rPr>
              <w:t xml:space="preserve">rozwoju </w:t>
            </w:r>
            <w:r w:rsidR="00F97284" w:rsidRPr="00154E08">
              <w:rPr>
                <w:rFonts w:eastAsia="Calibri" w:cs="Times New Roman"/>
                <w:bCs/>
                <w:spacing w:val="-2"/>
                <w:sz w:val="22"/>
                <w:szCs w:val="22"/>
              </w:rPr>
              <w:t xml:space="preserve">infrastruktury paliw alternatywnych </w:t>
            </w:r>
            <w:r w:rsidR="00B25A54" w:rsidRPr="00154E08">
              <w:rPr>
                <w:rFonts w:eastAsia="Calibri" w:cs="Times New Roman"/>
                <w:bCs/>
                <w:spacing w:val="-2"/>
                <w:sz w:val="22"/>
                <w:szCs w:val="22"/>
              </w:rPr>
              <w:t>(Dz. Urz. UE L 307 z 28.10.2014, str. 1</w:t>
            </w:r>
            <w:r w:rsidR="001E65B2" w:rsidRPr="00154E08">
              <w:rPr>
                <w:rFonts w:eastAsia="Calibri" w:cs="Times New Roman"/>
                <w:bCs/>
                <w:spacing w:val="-2"/>
                <w:sz w:val="22"/>
                <w:szCs w:val="22"/>
              </w:rPr>
              <w:t xml:space="preserve">, z </w:t>
            </w:r>
            <w:proofErr w:type="spellStart"/>
            <w:r w:rsidR="001E65B2" w:rsidRPr="00154E08">
              <w:rPr>
                <w:rFonts w:eastAsia="Calibri" w:cs="Times New Roman"/>
                <w:bCs/>
                <w:spacing w:val="-2"/>
                <w:sz w:val="22"/>
                <w:szCs w:val="22"/>
              </w:rPr>
              <w:t>późn</w:t>
            </w:r>
            <w:proofErr w:type="spellEnd"/>
            <w:r w:rsidR="001E65B2" w:rsidRPr="00154E08">
              <w:rPr>
                <w:rFonts w:eastAsia="Calibri" w:cs="Times New Roman"/>
                <w:bCs/>
                <w:spacing w:val="-2"/>
                <w:sz w:val="22"/>
                <w:szCs w:val="22"/>
              </w:rPr>
              <w:t>. zm.</w:t>
            </w:r>
            <w:r w:rsidR="00B25A54" w:rsidRPr="00154E08">
              <w:rPr>
                <w:rFonts w:eastAsia="Calibri" w:cs="Times New Roman"/>
                <w:bCs/>
                <w:spacing w:val="-2"/>
                <w:sz w:val="22"/>
                <w:szCs w:val="22"/>
              </w:rPr>
              <w:t>)</w:t>
            </w:r>
            <w:r w:rsidR="001E65B2" w:rsidRPr="00154E08">
              <w:rPr>
                <w:rFonts w:eastAsia="Calibri" w:cs="Times New Roman"/>
                <w:bCs/>
                <w:spacing w:val="-2"/>
                <w:sz w:val="22"/>
                <w:szCs w:val="22"/>
              </w:rPr>
              <w:t>,</w:t>
            </w:r>
            <w:r w:rsidR="00B25A54" w:rsidRPr="00154E08">
              <w:rPr>
                <w:rFonts w:eastAsia="Calibri" w:cs="Times New Roman"/>
                <w:bCs/>
                <w:spacing w:val="-2"/>
                <w:sz w:val="22"/>
                <w:szCs w:val="22"/>
              </w:rPr>
              <w:t xml:space="preserve"> </w:t>
            </w:r>
            <w:r w:rsidR="00F97284" w:rsidRPr="00154E08">
              <w:rPr>
                <w:rFonts w:eastAsia="Calibri" w:cs="Times New Roman"/>
                <w:bCs/>
                <w:spacing w:val="-2"/>
                <w:sz w:val="22"/>
                <w:szCs w:val="22"/>
              </w:rPr>
              <w:t>tj.</w:t>
            </w:r>
            <w:r w:rsidR="006E24B6" w:rsidRPr="00154E08">
              <w:rPr>
                <w:rFonts w:eastAsia="Calibri" w:cs="Times New Roman"/>
                <w:bCs/>
                <w:spacing w:val="-2"/>
                <w:sz w:val="22"/>
                <w:szCs w:val="22"/>
              </w:rPr>
              <w:t> </w:t>
            </w:r>
            <w:r w:rsidR="00F97284" w:rsidRPr="00154E08">
              <w:rPr>
                <w:rFonts w:eastAsia="Calibri" w:cs="Times New Roman"/>
                <w:bCs/>
                <w:spacing w:val="-2"/>
                <w:sz w:val="22"/>
                <w:szCs w:val="22"/>
              </w:rPr>
              <w:t>opracowanie i przyjęcie</w:t>
            </w:r>
            <w:r w:rsidR="003C3F1C" w:rsidRPr="00154E08">
              <w:rPr>
                <w:rFonts w:eastAsia="Calibri" w:cs="Times New Roman"/>
                <w:bCs/>
                <w:spacing w:val="-2"/>
                <w:sz w:val="22"/>
                <w:szCs w:val="22"/>
              </w:rPr>
              <w:t xml:space="preserve"> 29 marca 2017 r.</w:t>
            </w:r>
            <w:r w:rsidR="00F97284" w:rsidRPr="00154E08">
              <w:rPr>
                <w:rFonts w:eastAsia="Calibri" w:cs="Times New Roman"/>
                <w:bCs/>
                <w:spacing w:val="-2"/>
                <w:sz w:val="22"/>
                <w:szCs w:val="22"/>
              </w:rPr>
              <w:t xml:space="preserve"> przez R</w:t>
            </w:r>
            <w:r w:rsidR="00B25A54" w:rsidRPr="00154E08">
              <w:rPr>
                <w:rFonts w:eastAsia="Calibri" w:cs="Times New Roman"/>
                <w:bCs/>
                <w:spacing w:val="-2"/>
                <w:sz w:val="22"/>
                <w:szCs w:val="22"/>
              </w:rPr>
              <w:t xml:space="preserve">adę Ministrów </w:t>
            </w:r>
            <w:r w:rsidR="00B70BA0" w:rsidRPr="00154E08">
              <w:rPr>
                <w:rFonts w:eastAsia="Calibri" w:cs="Times New Roman"/>
                <w:bCs/>
                <w:spacing w:val="-2"/>
                <w:sz w:val="22"/>
                <w:szCs w:val="22"/>
              </w:rPr>
              <w:t>„</w:t>
            </w:r>
            <w:r w:rsidR="00F97284" w:rsidRPr="00154E08">
              <w:rPr>
                <w:rFonts w:eastAsia="Calibri" w:cs="Times New Roman"/>
                <w:bCs/>
                <w:spacing w:val="-2"/>
                <w:sz w:val="22"/>
                <w:szCs w:val="22"/>
              </w:rPr>
              <w:t xml:space="preserve">Krajowych ram </w:t>
            </w:r>
            <w:r w:rsidR="00B6383E" w:rsidRPr="00154E08">
              <w:rPr>
                <w:rFonts w:eastAsia="Calibri" w:cs="Times New Roman"/>
                <w:bCs/>
                <w:spacing w:val="-2"/>
                <w:sz w:val="22"/>
                <w:szCs w:val="22"/>
              </w:rPr>
              <w:t xml:space="preserve">polityki </w:t>
            </w:r>
            <w:r w:rsidR="00F97284" w:rsidRPr="00154E08">
              <w:rPr>
                <w:rFonts w:eastAsia="Calibri" w:cs="Times New Roman"/>
                <w:bCs/>
                <w:spacing w:val="-2"/>
                <w:sz w:val="22"/>
                <w:szCs w:val="22"/>
              </w:rPr>
              <w:t>rozwoju paliw alternatywnych w</w:t>
            </w:r>
            <w:r w:rsidR="003C3F1C" w:rsidRPr="00154E08">
              <w:rPr>
                <w:rFonts w:eastAsia="Calibri" w:cs="Times New Roman"/>
                <w:bCs/>
                <w:spacing w:val="-2"/>
                <w:sz w:val="22"/>
                <w:szCs w:val="22"/>
              </w:rPr>
              <w:t> </w:t>
            </w:r>
            <w:r w:rsidR="00F97284" w:rsidRPr="00154E08">
              <w:rPr>
                <w:rFonts w:eastAsia="Calibri" w:cs="Times New Roman"/>
                <w:bCs/>
                <w:spacing w:val="-2"/>
                <w:sz w:val="22"/>
                <w:szCs w:val="22"/>
              </w:rPr>
              <w:t>Polsce</w:t>
            </w:r>
            <w:r w:rsidR="00B70BA0" w:rsidRPr="00154E08">
              <w:rPr>
                <w:rFonts w:eastAsia="Calibri" w:cs="Times New Roman"/>
                <w:bCs/>
                <w:spacing w:val="-2"/>
                <w:sz w:val="22"/>
                <w:szCs w:val="22"/>
              </w:rPr>
              <w:t>”</w:t>
            </w:r>
            <w:r w:rsidR="00BC19A8" w:rsidRPr="00154E08">
              <w:rPr>
                <w:rFonts w:eastAsia="Calibri" w:cs="Times New Roman"/>
                <w:bCs/>
                <w:spacing w:val="-2"/>
                <w:sz w:val="22"/>
                <w:szCs w:val="22"/>
              </w:rPr>
              <w:t xml:space="preserve"> </w:t>
            </w:r>
            <w:r w:rsidR="0041477C" w:rsidRPr="00154E08">
              <w:rPr>
                <w:rFonts w:eastAsia="Calibri" w:cs="Times New Roman"/>
                <w:bCs/>
                <w:spacing w:val="-2"/>
                <w:sz w:val="22"/>
                <w:szCs w:val="22"/>
              </w:rPr>
              <w:t xml:space="preserve">oraz </w:t>
            </w:r>
            <w:r w:rsidR="00BB53A0" w:rsidRPr="00154E08">
              <w:rPr>
                <w:rFonts w:eastAsia="Calibri" w:cs="Times New Roman"/>
                <w:bCs/>
                <w:spacing w:val="-2"/>
                <w:sz w:val="22"/>
                <w:szCs w:val="22"/>
              </w:rPr>
              <w:t xml:space="preserve">uchwalenie </w:t>
            </w:r>
            <w:r w:rsidR="00095FC6" w:rsidRPr="00154E08">
              <w:rPr>
                <w:rFonts w:eastAsia="Calibri" w:cs="Times New Roman"/>
                <w:bCs/>
                <w:spacing w:val="-2"/>
                <w:sz w:val="22"/>
                <w:szCs w:val="22"/>
              </w:rPr>
              <w:t xml:space="preserve">przez Sejm </w:t>
            </w:r>
            <w:r w:rsidR="00F97284" w:rsidRPr="00154E08">
              <w:rPr>
                <w:rFonts w:eastAsia="Calibri" w:cs="Times New Roman"/>
                <w:bCs/>
                <w:spacing w:val="-2"/>
                <w:sz w:val="22"/>
                <w:szCs w:val="22"/>
              </w:rPr>
              <w:t>w dniu 1</w:t>
            </w:r>
            <w:r w:rsidR="005D23AE" w:rsidRPr="00154E08">
              <w:rPr>
                <w:rFonts w:eastAsia="Calibri" w:cs="Times New Roman"/>
                <w:bCs/>
                <w:spacing w:val="-2"/>
                <w:sz w:val="22"/>
                <w:szCs w:val="22"/>
              </w:rPr>
              <w:t>1</w:t>
            </w:r>
            <w:r w:rsidR="00F97284" w:rsidRPr="00154E08">
              <w:rPr>
                <w:rFonts w:eastAsia="Calibri" w:cs="Times New Roman"/>
                <w:bCs/>
                <w:spacing w:val="-2"/>
                <w:sz w:val="22"/>
                <w:szCs w:val="22"/>
              </w:rPr>
              <w:t xml:space="preserve"> stycznia 2018</w:t>
            </w:r>
            <w:r w:rsidR="00194E74" w:rsidRPr="00154E08">
              <w:rPr>
                <w:rFonts w:eastAsia="Calibri" w:cs="Times New Roman"/>
                <w:bCs/>
                <w:spacing w:val="-2"/>
                <w:sz w:val="22"/>
                <w:szCs w:val="22"/>
              </w:rPr>
              <w:t> </w:t>
            </w:r>
            <w:r w:rsidR="00F97284" w:rsidRPr="00154E08">
              <w:rPr>
                <w:rFonts w:eastAsia="Calibri" w:cs="Times New Roman"/>
                <w:bCs/>
                <w:spacing w:val="-2"/>
                <w:sz w:val="22"/>
                <w:szCs w:val="22"/>
              </w:rPr>
              <w:t>r.</w:t>
            </w:r>
            <w:r w:rsidR="00194E74" w:rsidRPr="00154E08">
              <w:rPr>
                <w:rFonts w:eastAsia="Calibri" w:cs="Times New Roman"/>
                <w:bCs/>
                <w:spacing w:val="-2"/>
                <w:sz w:val="22"/>
                <w:szCs w:val="22"/>
              </w:rPr>
              <w:t> </w:t>
            </w:r>
            <w:r w:rsidR="00F97284" w:rsidRPr="00154E08">
              <w:rPr>
                <w:rFonts w:eastAsia="Calibri" w:cs="Times New Roman"/>
                <w:bCs/>
                <w:spacing w:val="-2"/>
                <w:sz w:val="22"/>
                <w:szCs w:val="22"/>
              </w:rPr>
              <w:t>ustawy</w:t>
            </w:r>
            <w:r w:rsidR="006E24B6" w:rsidRPr="00154E08">
              <w:rPr>
                <w:rFonts w:eastAsia="Calibri" w:cs="Times New Roman"/>
                <w:bCs/>
                <w:spacing w:val="-2"/>
                <w:sz w:val="22"/>
                <w:szCs w:val="22"/>
              </w:rPr>
              <w:t xml:space="preserve"> </w:t>
            </w:r>
            <w:r w:rsidR="00F97284" w:rsidRPr="00154E08">
              <w:rPr>
                <w:rFonts w:eastAsia="Calibri" w:cs="Times New Roman"/>
                <w:bCs/>
                <w:spacing w:val="-2"/>
                <w:sz w:val="22"/>
                <w:szCs w:val="22"/>
              </w:rPr>
              <w:t>o</w:t>
            </w:r>
            <w:r w:rsidR="0081354A" w:rsidRPr="00154E08">
              <w:rPr>
                <w:rFonts w:eastAsia="Calibri" w:cs="Times New Roman"/>
                <w:bCs/>
                <w:spacing w:val="-2"/>
                <w:sz w:val="22"/>
                <w:szCs w:val="22"/>
              </w:rPr>
              <w:t> </w:t>
            </w:r>
            <w:proofErr w:type="spellStart"/>
            <w:r w:rsidR="00F97284" w:rsidRPr="00154E08">
              <w:rPr>
                <w:rFonts w:eastAsia="Calibri" w:cs="Times New Roman"/>
                <w:bCs/>
                <w:spacing w:val="-2"/>
                <w:sz w:val="22"/>
                <w:szCs w:val="22"/>
              </w:rPr>
              <w:t>elektromob</w:t>
            </w:r>
            <w:r w:rsidR="00580259" w:rsidRPr="00154E08">
              <w:rPr>
                <w:rFonts w:eastAsia="Calibri" w:cs="Times New Roman"/>
                <w:bCs/>
                <w:spacing w:val="-2"/>
                <w:sz w:val="22"/>
                <w:szCs w:val="22"/>
              </w:rPr>
              <w:t>i</w:t>
            </w:r>
            <w:r w:rsidR="00F97284" w:rsidRPr="00154E08">
              <w:rPr>
                <w:rFonts w:eastAsia="Calibri" w:cs="Times New Roman"/>
                <w:bCs/>
                <w:spacing w:val="-2"/>
                <w:sz w:val="22"/>
                <w:szCs w:val="22"/>
              </w:rPr>
              <w:t>lności</w:t>
            </w:r>
            <w:proofErr w:type="spellEnd"/>
            <w:r w:rsidR="00F97284" w:rsidRPr="00154E08">
              <w:rPr>
                <w:rFonts w:eastAsia="Calibri" w:cs="Times New Roman"/>
                <w:bCs/>
                <w:spacing w:val="-2"/>
                <w:sz w:val="22"/>
                <w:szCs w:val="22"/>
              </w:rPr>
              <w:t xml:space="preserve"> i paliwach alternatywnych </w:t>
            </w:r>
            <w:r w:rsidR="00B25A54" w:rsidRPr="00154E08">
              <w:rPr>
                <w:rFonts w:eastAsia="Calibri" w:cs="Times New Roman"/>
                <w:bCs/>
                <w:spacing w:val="-2"/>
                <w:sz w:val="22"/>
                <w:szCs w:val="22"/>
              </w:rPr>
              <w:t xml:space="preserve">(Dz. U. z </w:t>
            </w:r>
            <w:r w:rsidR="001E65B2" w:rsidRPr="00154E08">
              <w:rPr>
                <w:rFonts w:eastAsia="Calibri" w:cs="Times New Roman"/>
                <w:bCs/>
                <w:spacing w:val="-2"/>
                <w:sz w:val="22"/>
                <w:szCs w:val="22"/>
              </w:rPr>
              <w:t xml:space="preserve">2023 </w:t>
            </w:r>
            <w:r w:rsidR="00B25A54" w:rsidRPr="00154E08">
              <w:rPr>
                <w:rFonts w:eastAsia="Calibri" w:cs="Times New Roman"/>
                <w:bCs/>
                <w:spacing w:val="-2"/>
                <w:sz w:val="22"/>
                <w:szCs w:val="22"/>
              </w:rPr>
              <w:t>r. poz.</w:t>
            </w:r>
            <w:r w:rsidR="001E65B2" w:rsidRPr="00154E08">
              <w:rPr>
                <w:rFonts w:eastAsia="Calibri" w:cs="Times New Roman"/>
                <w:bCs/>
                <w:spacing w:val="-2"/>
                <w:sz w:val="22"/>
                <w:szCs w:val="22"/>
              </w:rPr>
              <w:t>875</w:t>
            </w:r>
            <w:r w:rsidR="000A22AD" w:rsidRPr="00154E08">
              <w:rPr>
                <w:rFonts w:eastAsia="Calibri" w:cs="Times New Roman"/>
                <w:bCs/>
                <w:spacing w:val="-2"/>
                <w:sz w:val="22"/>
                <w:szCs w:val="22"/>
              </w:rPr>
              <w:t xml:space="preserve">), zwanej </w:t>
            </w:r>
            <w:r w:rsidR="00917BAC" w:rsidRPr="00154E08">
              <w:rPr>
                <w:rFonts w:eastAsia="Calibri" w:cs="Times New Roman"/>
                <w:bCs/>
                <w:spacing w:val="-2"/>
                <w:sz w:val="22"/>
                <w:szCs w:val="22"/>
              </w:rPr>
              <w:t xml:space="preserve">dalej </w:t>
            </w:r>
            <w:r w:rsidR="00FB4DD0" w:rsidRPr="00154E08">
              <w:rPr>
                <w:rFonts w:eastAsia="Calibri" w:cs="Times New Roman"/>
                <w:bCs/>
                <w:spacing w:val="-2"/>
                <w:sz w:val="22"/>
                <w:szCs w:val="22"/>
              </w:rPr>
              <w:t>„</w:t>
            </w:r>
            <w:r w:rsidR="00917BAC" w:rsidRPr="00154E08">
              <w:rPr>
                <w:rFonts w:eastAsia="Calibri" w:cs="Times New Roman"/>
                <w:bCs/>
                <w:spacing w:val="-2"/>
                <w:sz w:val="22"/>
                <w:szCs w:val="22"/>
              </w:rPr>
              <w:t>ustaw</w:t>
            </w:r>
            <w:r w:rsidR="000A22AD" w:rsidRPr="00154E08">
              <w:rPr>
                <w:rFonts w:eastAsia="Calibri" w:cs="Times New Roman"/>
                <w:bCs/>
                <w:spacing w:val="-2"/>
                <w:sz w:val="22"/>
                <w:szCs w:val="22"/>
              </w:rPr>
              <w:t>ą</w:t>
            </w:r>
            <w:r w:rsidR="00917BAC" w:rsidRPr="00154E08">
              <w:rPr>
                <w:rFonts w:eastAsia="Calibri" w:cs="Times New Roman"/>
                <w:bCs/>
                <w:spacing w:val="-2"/>
                <w:sz w:val="22"/>
                <w:szCs w:val="22"/>
              </w:rPr>
              <w:t xml:space="preserve"> o</w:t>
            </w:r>
            <w:r w:rsidR="0081354A" w:rsidRPr="00154E08">
              <w:rPr>
                <w:rFonts w:eastAsia="Calibri" w:cs="Times New Roman"/>
                <w:bCs/>
                <w:spacing w:val="-2"/>
                <w:sz w:val="22"/>
                <w:szCs w:val="22"/>
              </w:rPr>
              <w:t> </w:t>
            </w:r>
            <w:proofErr w:type="spellStart"/>
            <w:r w:rsidR="00917BAC" w:rsidRPr="00154E08">
              <w:rPr>
                <w:rFonts w:eastAsia="Calibri" w:cs="Times New Roman"/>
                <w:bCs/>
                <w:spacing w:val="-2"/>
                <w:sz w:val="22"/>
                <w:szCs w:val="22"/>
              </w:rPr>
              <w:t>elektromobilności</w:t>
            </w:r>
            <w:proofErr w:type="spellEnd"/>
            <w:r w:rsidR="00FB4DD0" w:rsidRPr="00154E08">
              <w:rPr>
                <w:rFonts w:eastAsia="Calibri" w:cs="Times New Roman"/>
                <w:bCs/>
                <w:spacing w:val="-2"/>
                <w:sz w:val="22"/>
                <w:szCs w:val="22"/>
              </w:rPr>
              <w:t>”</w:t>
            </w:r>
            <w:r w:rsidR="001E65B2" w:rsidRPr="00154E08">
              <w:rPr>
                <w:rFonts w:eastAsia="Calibri" w:cs="Times New Roman"/>
                <w:bCs/>
                <w:spacing w:val="-2"/>
                <w:sz w:val="22"/>
                <w:szCs w:val="22"/>
              </w:rPr>
              <w:t>,</w:t>
            </w:r>
            <w:r w:rsidR="0022050D" w:rsidRPr="00154E08">
              <w:rPr>
                <w:rFonts w:eastAsia="Calibri" w:cs="Times New Roman"/>
                <w:bCs/>
                <w:spacing w:val="-2"/>
                <w:sz w:val="22"/>
                <w:szCs w:val="22"/>
              </w:rPr>
              <w:t xml:space="preserve"> </w:t>
            </w:r>
            <w:r w:rsidR="003C3F1C" w:rsidRPr="00154E08">
              <w:rPr>
                <w:rFonts w:eastAsia="Calibri" w:cs="Times New Roman"/>
                <w:bCs/>
                <w:spacing w:val="-2"/>
                <w:sz w:val="22"/>
                <w:szCs w:val="22"/>
              </w:rPr>
              <w:t xml:space="preserve">jak też </w:t>
            </w:r>
            <w:r w:rsidR="00F97284" w:rsidRPr="00154E08">
              <w:rPr>
                <w:rFonts w:eastAsia="Calibri" w:cs="Times New Roman"/>
                <w:bCs/>
                <w:spacing w:val="-2"/>
                <w:sz w:val="22"/>
                <w:szCs w:val="22"/>
              </w:rPr>
              <w:t>w dniu</w:t>
            </w:r>
            <w:r w:rsidR="000A22AD" w:rsidRPr="00154E08">
              <w:rPr>
                <w:rFonts w:eastAsia="Calibri" w:cs="Times New Roman"/>
                <w:bCs/>
                <w:spacing w:val="-2"/>
                <w:sz w:val="22"/>
                <w:szCs w:val="22"/>
              </w:rPr>
              <w:t xml:space="preserve"> 6 czerwca 2018 r.</w:t>
            </w:r>
            <w:r w:rsidR="00F97284" w:rsidRPr="00154E08">
              <w:rPr>
                <w:rFonts w:eastAsia="Calibri" w:cs="Times New Roman"/>
                <w:bCs/>
                <w:spacing w:val="-2"/>
                <w:sz w:val="22"/>
                <w:szCs w:val="22"/>
              </w:rPr>
              <w:t xml:space="preserve"> ustawy </w:t>
            </w:r>
            <w:r w:rsidR="000A22AD" w:rsidRPr="00154E08">
              <w:rPr>
                <w:rFonts w:eastAsia="Calibri" w:cs="Times New Roman"/>
                <w:bCs/>
                <w:spacing w:val="-2"/>
                <w:sz w:val="22"/>
                <w:szCs w:val="22"/>
              </w:rPr>
              <w:t xml:space="preserve">o zmianie </w:t>
            </w:r>
            <w:r w:rsidR="00F97284" w:rsidRPr="00154E08">
              <w:rPr>
                <w:rFonts w:eastAsia="Calibri" w:cs="Times New Roman"/>
                <w:bCs/>
                <w:spacing w:val="-2"/>
                <w:sz w:val="22"/>
                <w:szCs w:val="22"/>
              </w:rPr>
              <w:t>ustaw</w:t>
            </w:r>
            <w:r w:rsidR="000A22AD" w:rsidRPr="00154E08">
              <w:rPr>
                <w:rFonts w:eastAsia="Calibri" w:cs="Times New Roman"/>
                <w:bCs/>
                <w:spacing w:val="-2"/>
                <w:sz w:val="22"/>
                <w:szCs w:val="22"/>
              </w:rPr>
              <w:t>y</w:t>
            </w:r>
            <w:r w:rsidR="00F97284" w:rsidRPr="00154E08">
              <w:rPr>
                <w:rFonts w:eastAsia="Calibri" w:cs="Times New Roman"/>
                <w:bCs/>
                <w:spacing w:val="-2"/>
                <w:sz w:val="22"/>
                <w:szCs w:val="22"/>
              </w:rPr>
              <w:t xml:space="preserve"> o</w:t>
            </w:r>
            <w:r w:rsidR="006D583D" w:rsidRPr="00154E08">
              <w:rPr>
                <w:rFonts w:eastAsia="Calibri" w:cs="Times New Roman"/>
                <w:bCs/>
                <w:spacing w:val="-2"/>
                <w:sz w:val="22"/>
                <w:szCs w:val="22"/>
              </w:rPr>
              <w:t> </w:t>
            </w:r>
            <w:r w:rsidR="00F97284" w:rsidRPr="00154E08">
              <w:rPr>
                <w:rFonts w:eastAsia="Calibri" w:cs="Times New Roman"/>
                <w:bCs/>
                <w:spacing w:val="-2"/>
                <w:sz w:val="22"/>
                <w:szCs w:val="22"/>
              </w:rPr>
              <w:t>biokomponentach i</w:t>
            </w:r>
            <w:r w:rsidR="00837D94" w:rsidRPr="00154E08">
              <w:rPr>
                <w:rFonts w:eastAsia="Calibri" w:cs="Times New Roman"/>
                <w:bCs/>
                <w:spacing w:val="-2"/>
                <w:sz w:val="22"/>
                <w:szCs w:val="22"/>
              </w:rPr>
              <w:t> </w:t>
            </w:r>
            <w:r w:rsidR="00F97284" w:rsidRPr="00154E08">
              <w:rPr>
                <w:rFonts w:eastAsia="Calibri" w:cs="Times New Roman"/>
                <w:bCs/>
                <w:spacing w:val="-2"/>
                <w:sz w:val="22"/>
                <w:szCs w:val="22"/>
              </w:rPr>
              <w:t>biopaliwach ciekłych</w:t>
            </w:r>
            <w:r w:rsidR="000A22AD" w:rsidRPr="00154E08">
              <w:rPr>
                <w:rFonts w:eastAsia="Calibri" w:cs="Times New Roman"/>
                <w:bCs/>
                <w:spacing w:val="-2"/>
                <w:sz w:val="22"/>
                <w:szCs w:val="22"/>
              </w:rPr>
              <w:t xml:space="preserve"> (Dz. U. poz.</w:t>
            </w:r>
            <w:r w:rsidR="001E75CB" w:rsidRPr="00154E08">
              <w:rPr>
                <w:rFonts w:eastAsia="Calibri" w:cs="Times New Roman"/>
                <w:bCs/>
                <w:spacing w:val="-2"/>
                <w:sz w:val="22"/>
                <w:szCs w:val="22"/>
              </w:rPr>
              <w:t xml:space="preserve"> </w:t>
            </w:r>
            <w:r w:rsidR="000A22AD" w:rsidRPr="00154E08">
              <w:rPr>
                <w:rFonts w:eastAsia="Calibri" w:cs="Times New Roman"/>
                <w:bCs/>
                <w:spacing w:val="-2"/>
                <w:sz w:val="22"/>
                <w:szCs w:val="22"/>
              </w:rPr>
              <w:t>1356</w:t>
            </w:r>
            <w:r w:rsidR="008829DC" w:rsidRPr="00154E08">
              <w:rPr>
                <w:rFonts w:eastAsia="Calibri" w:cs="Times New Roman"/>
                <w:bCs/>
                <w:spacing w:val="-2"/>
                <w:sz w:val="22"/>
                <w:szCs w:val="22"/>
              </w:rPr>
              <w:t>)</w:t>
            </w:r>
            <w:r w:rsidR="00F97284" w:rsidRPr="00154E08">
              <w:rPr>
                <w:rFonts w:eastAsia="Calibri" w:cs="Times New Roman"/>
                <w:bCs/>
                <w:spacing w:val="-2"/>
                <w:sz w:val="22"/>
                <w:szCs w:val="22"/>
              </w:rPr>
              <w:t xml:space="preserve"> </w:t>
            </w:r>
            <w:r w:rsidR="0022050D" w:rsidRPr="00154E08">
              <w:rPr>
                <w:rFonts w:cs="Times New Roman"/>
                <w:bCs/>
                <w:sz w:val="22"/>
                <w:szCs w:val="22"/>
              </w:rPr>
              <w:t>–</w:t>
            </w:r>
            <w:r w:rsidR="0022050D" w:rsidRPr="00154E08">
              <w:rPr>
                <w:rFonts w:eastAsia="Calibri" w:cs="Times New Roman"/>
                <w:bCs/>
                <w:spacing w:val="-2"/>
                <w:sz w:val="22"/>
                <w:szCs w:val="22"/>
              </w:rPr>
              <w:t xml:space="preserve"> </w:t>
            </w:r>
            <w:r w:rsidR="00F97284" w:rsidRPr="00154E08">
              <w:rPr>
                <w:rFonts w:eastAsia="Calibri" w:cs="Times New Roman"/>
                <w:bCs/>
                <w:spacing w:val="-2"/>
                <w:sz w:val="22"/>
                <w:szCs w:val="22"/>
              </w:rPr>
              <w:t xml:space="preserve">realizujących </w:t>
            </w:r>
            <w:r w:rsidR="00FA7AB6" w:rsidRPr="00154E08">
              <w:rPr>
                <w:rFonts w:eastAsia="Calibri" w:cs="Times New Roman"/>
                <w:bCs/>
                <w:spacing w:val="-2"/>
                <w:sz w:val="22"/>
                <w:szCs w:val="22"/>
              </w:rPr>
              <w:t xml:space="preserve">ww. </w:t>
            </w:r>
            <w:r w:rsidR="00F97284" w:rsidRPr="00154E08">
              <w:rPr>
                <w:rFonts w:eastAsia="Calibri" w:cs="Times New Roman"/>
                <w:bCs/>
                <w:spacing w:val="-2"/>
                <w:sz w:val="22"/>
                <w:szCs w:val="22"/>
              </w:rPr>
              <w:t>cele ujęte w</w:t>
            </w:r>
            <w:r w:rsidR="0022050D" w:rsidRPr="00154E08">
              <w:rPr>
                <w:rFonts w:eastAsia="Calibri" w:cs="Times New Roman"/>
                <w:bCs/>
                <w:spacing w:val="-2"/>
                <w:sz w:val="22"/>
                <w:szCs w:val="22"/>
              </w:rPr>
              <w:t> </w:t>
            </w:r>
            <w:r w:rsidR="00F97284" w:rsidRPr="00154E08">
              <w:rPr>
                <w:rFonts w:eastAsia="Calibri" w:cs="Times New Roman"/>
                <w:bCs/>
                <w:spacing w:val="-2"/>
                <w:sz w:val="22"/>
                <w:szCs w:val="22"/>
              </w:rPr>
              <w:t>Krajowych ramac</w:t>
            </w:r>
            <w:r w:rsidR="005D23AE" w:rsidRPr="00154E08">
              <w:rPr>
                <w:rFonts w:eastAsia="Calibri" w:cs="Times New Roman"/>
                <w:bCs/>
                <w:spacing w:val="-2"/>
                <w:sz w:val="22"/>
                <w:szCs w:val="22"/>
              </w:rPr>
              <w:t>h</w:t>
            </w:r>
            <w:r w:rsidR="00254087" w:rsidRPr="00154E08">
              <w:rPr>
                <w:rFonts w:eastAsia="Calibri" w:cs="Times New Roman"/>
                <w:bCs/>
                <w:spacing w:val="-2"/>
                <w:sz w:val="22"/>
                <w:szCs w:val="22"/>
              </w:rPr>
              <w:t>.</w:t>
            </w:r>
          </w:p>
          <w:p w14:paraId="3985C377" w14:textId="48731DD1" w:rsidR="005A67D7" w:rsidRPr="00154E08" w:rsidRDefault="5F298948" w:rsidP="00B279FD">
            <w:pPr>
              <w:shd w:val="clear" w:color="auto" w:fill="FFFFFF" w:themeFill="background1"/>
              <w:spacing w:after="120" w:line="240" w:lineRule="auto"/>
              <w:jc w:val="both"/>
              <w:rPr>
                <w:rFonts w:eastAsia="Calibri" w:cs="Times New Roman"/>
                <w:spacing w:val="-2"/>
                <w:sz w:val="22"/>
                <w:szCs w:val="22"/>
              </w:rPr>
            </w:pPr>
            <w:r w:rsidRPr="00154E08">
              <w:rPr>
                <w:rFonts w:eastAsia="Calibri" w:cs="Times New Roman"/>
                <w:sz w:val="22"/>
                <w:szCs w:val="22"/>
              </w:rPr>
              <w:t>U</w:t>
            </w:r>
            <w:r w:rsidR="00A01D55" w:rsidRPr="00154E08">
              <w:rPr>
                <w:rFonts w:eastAsia="Calibri" w:cs="Times New Roman"/>
                <w:spacing w:val="-2"/>
                <w:sz w:val="22"/>
                <w:szCs w:val="22"/>
              </w:rPr>
              <w:t xml:space="preserve">stawa o </w:t>
            </w:r>
            <w:proofErr w:type="spellStart"/>
            <w:r w:rsidR="00A01D55" w:rsidRPr="00154E08">
              <w:rPr>
                <w:rFonts w:eastAsia="Calibri" w:cs="Times New Roman"/>
                <w:spacing w:val="-2"/>
                <w:sz w:val="22"/>
                <w:szCs w:val="22"/>
              </w:rPr>
              <w:t>elektromobilności</w:t>
            </w:r>
            <w:proofErr w:type="spellEnd"/>
            <w:r w:rsidR="00A01D55" w:rsidRPr="00154E08">
              <w:rPr>
                <w:rFonts w:eastAsia="Calibri" w:cs="Times New Roman"/>
                <w:spacing w:val="-2"/>
                <w:sz w:val="22"/>
                <w:szCs w:val="22"/>
              </w:rPr>
              <w:t xml:space="preserve"> </w:t>
            </w:r>
            <w:r w:rsidRPr="00154E08">
              <w:rPr>
                <w:rFonts w:eastAsia="Calibri" w:cs="Times New Roman"/>
                <w:sz w:val="22"/>
                <w:szCs w:val="22"/>
              </w:rPr>
              <w:t xml:space="preserve">i paliwach alternatywnych </w:t>
            </w:r>
            <w:r w:rsidR="00A01D55" w:rsidRPr="00154E08">
              <w:rPr>
                <w:rFonts w:eastAsia="Calibri" w:cs="Times New Roman"/>
                <w:spacing w:val="-2"/>
                <w:sz w:val="22"/>
                <w:szCs w:val="22"/>
              </w:rPr>
              <w:t xml:space="preserve">określa </w:t>
            </w:r>
            <w:r w:rsidR="00C27B6F" w:rsidRPr="00154E08">
              <w:rPr>
                <w:rFonts w:eastAsia="Calibri" w:cs="Times New Roman"/>
                <w:spacing w:val="-2"/>
                <w:sz w:val="22"/>
                <w:szCs w:val="22"/>
              </w:rPr>
              <w:t>m.in.</w:t>
            </w:r>
            <w:r w:rsidR="00A01D55" w:rsidRPr="00154E08">
              <w:rPr>
                <w:rFonts w:eastAsia="Calibri" w:cs="Times New Roman"/>
                <w:spacing w:val="-2"/>
                <w:sz w:val="22"/>
                <w:szCs w:val="22"/>
              </w:rPr>
              <w:t xml:space="preserve"> </w:t>
            </w:r>
            <w:r w:rsidR="005D23AE" w:rsidRPr="00154E08">
              <w:rPr>
                <w:rFonts w:eastAsia="Calibri" w:cs="Times New Roman"/>
                <w:spacing w:val="-2"/>
                <w:sz w:val="22"/>
                <w:szCs w:val="22"/>
              </w:rPr>
              <w:t xml:space="preserve">obowiązki jednostek samorządu terytorialnego dotyczące wymiany floty użytkowanych pojazdów oraz transportu publicznego na pojazdy nisko lub zeroemisyjne oraz </w:t>
            </w:r>
            <w:r w:rsidRPr="00154E08">
              <w:rPr>
                <w:rFonts w:eastAsia="Calibri" w:cs="Times New Roman"/>
                <w:sz w:val="22"/>
                <w:szCs w:val="22"/>
              </w:rPr>
              <w:t>cele w zakresie rozbudowy infrastruktury do zasilania pojazdów.</w:t>
            </w:r>
          </w:p>
          <w:p w14:paraId="76105E20" w14:textId="3E871A87" w:rsidR="002E64D5" w:rsidRPr="00154E08" w:rsidRDefault="005D23AE" w:rsidP="00B279FD">
            <w:pPr>
              <w:shd w:val="clear" w:color="auto" w:fill="FFFFFF" w:themeFill="background1"/>
              <w:spacing w:after="120" w:line="240" w:lineRule="auto"/>
              <w:jc w:val="both"/>
              <w:rPr>
                <w:rFonts w:eastAsia="Calibri" w:cs="Times New Roman"/>
                <w:sz w:val="22"/>
                <w:szCs w:val="22"/>
              </w:rPr>
            </w:pPr>
            <w:r w:rsidRPr="00154E08">
              <w:rPr>
                <w:rFonts w:eastAsia="Calibri" w:cs="Times New Roman"/>
                <w:spacing w:val="-2"/>
                <w:sz w:val="22"/>
                <w:szCs w:val="22"/>
              </w:rPr>
              <w:t xml:space="preserve">Zgodnie z art. 35 ustawy o </w:t>
            </w:r>
            <w:proofErr w:type="spellStart"/>
            <w:r w:rsidRPr="00154E08">
              <w:rPr>
                <w:rFonts w:eastAsia="Calibri" w:cs="Times New Roman"/>
                <w:spacing w:val="-2"/>
                <w:sz w:val="22"/>
                <w:szCs w:val="22"/>
              </w:rPr>
              <w:t>elektromobilności</w:t>
            </w:r>
            <w:proofErr w:type="spellEnd"/>
            <w:r w:rsidR="003C7C3F" w:rsidRPr="00154E08">
              <w:rPr>
                <w:rFonts w:eastAsia="Calibri" w:cs="Times New Roman"/>
                <w:spacing w:val="-2"/>
                <w:sz w:val="22"/>
                <w:szCs w:val="22"/>
              </w:rPr>
              <w:t>,</w:t>
            </w:r>
            <w:r w:rsidRPr="00154E08">
              <w:rPr>
                <w:rFonts w:eastAsia="Calibri" w:cs="Times New Roman"/>
                <w:spacing w:val="-2"/>
                <w:sz w:val="22"/>
                <w:szCs w:val="22"/>
              </w:rPr>
              <w:t xml:space="preserve"> jednostk</w:t>
            </w:r>
            <w:r w:rsidR="00D14E0C" w:rsidRPr="00154E08">
              <w:rPr>
                <w:rFonts w:eastAsia="Calibri" w:cs="Times New Roman"/>
                <w:spacing w:val="-2"/>
                <w:sz w:val="22"/>
                <w:szCs w:val="22"/>
              </w:rPr>
              <w:t>i</w:t>
            </w:r>
            <w:r w:rsidRPr="00154E08">
              <w:rPr>
                <w:rFonts w:eastAsia="Calibri" w:cs="Times New Roman"/>
                <w:spacing w:val="-2"/>
                <w:sz w:val="22"/>
                <w:szCs w:val="22"/>
              </w:rPr>
              <w:t xml:space="preserve"> samorządu terytorialnego, z wyłączeniem gmin i powiatów, których liczba mieszkańców nie przekracza 50 000, </w:t>
            </w:r>
            <w:r w:rsidR="00D14E0C" w:rsidRPr="00154E08">
              <w:rPr>
                <w:rFonts w:eastAsia="Calibri" w:cs="Times New Roman"/>
                <w:spacing w:val="-2"/>
                <w:sz w:val="22"/>
                <w:szCs w:val="22"/>
              </w:rPr>
              <w:t>zostały zobowiązane do zapewnienia</w:t>
            </w:r>
            <w:r w:rsidRPr="00154E08">
              <w:rPr>
                <w:rFonts w:eastAsia="Calibri" w:cs="Times New Roman"/>
                <w:spacing w:val="-2"/>
                <w:sz w:val="22"/>
                <w:szCs w:val="22"/>
              </w:rPr>
              <w:t xml:space="preserve"> udział</w:t>
            </w:r>
            <w:r w:rsidR="00D14E0C" w:rsidRPr="00154E08">
              <w:rPr>
                <w:rFonts w:eastAsia="Calibri" w:cs="Times New Roman"/>
                <w:spacing w:val="-2"/>
                <w:sz w:val="22"/>
                <w:szCs w:val="22"/>
              </w:rPr>
              <w:t>u</w:t>
            </w:r>
            <w:r w:rsidRPr="00154E08">
              <w:rPr>
                <w:rFonts w:eastAsia="Calibri" w:cs="Times New Roman"/>
                <w:spacing w:val="-2"/>
                <w:sz w:val="22"/>
                <w:szCs w:val="22"/>
              </w:rPr>
              <w:t xml:space="preserve"> pojazdów elektrycznych we flocie użytkowanych pojazdów</w:t>
            </w:r>
            <w:r w:rsidR="005B3C03" w:rsidRPr="00154E08">
              <w:rPr>
                <w:rFonts w:eastAsia="Calibri" w:cs="Times New Roman"/>
                <w:spacing w:val="-2"/>
                <w:sz w:val="22"/>
                <w:szCs w:val="22"/>
              </w:rPr>
              <w:t xml:space="preserve"> </w:t>
            </w:r>
            <w:r w:rsidR="0045461B" w:rsidRPr="00154E08">
              <w:rPr>
                <w:rFonts w:eastAsia="Calibri" w:cs="Times New Roman"/>
                <w:spacing w:val="-2"/>
                <w:sz w:val="22"/>
                <w:szCs w:val="22"/>
              </w:rPr>
              <w:t>w wysokości</w:t>
            </w:r>
            <w:r w:rsidR="005B3C03" w:rsidRPr="00154E08">
              <w:rPr>
                <w:rFonts w:eastAsia="Calibri" w:cs="Times New Roman"/>
                <w:spacing w:val="-2"/>
                <w:sz w:val="22"/>
                <w:szCs w:val="22"/>
              </w:rPr>
              <w:t xml:space="preserve"> co najmniej 30% liczby użytkowanych pojazdów. </w:t>
            </w:r>
          </w:p>
          <w:p w14:paraId="6B2318AB" w14:textId="66284F41" w:rsidR="5F298948" w:rsidRPr="00154E08" w:rsidRDefault="00361579" w:rsidP="00B279FD">
            <w:pPr>
              <w:spacing w:after="120" w:line="240" w:lineRule="auto"/>
              <w:jc w:val="both"/>
              <w:rPr>
                <w:rFonts w:eastAsia="Calibri" w:cs="Times New Roman"/>
                <w:sz w:val="22"/>
                <w:szCs w:val="22"/>
                <w:highlight w:val="yellow"/>
              </w:rPr>
            </w:pPr>
            <w:r w:rsidRPr="00154E08">
              <w:rPr>
                <w:rFonts w:eastAsia="Calibri" w:cs="Times New Roman"/>
                <w:spacing w:val="-2"/>
                <w:sz w:val="22"/>
                <w:szCs w:val="22"/>
              </w:rPr>
              <w:t>A</w:t>
            </w:r>
            <w:r w:rsidR="005D4855" w:rsidRPr="00154E08">
              <w:rPr>
                <w:rFonts w:eastAsia="Calibri" w:cs="Times New Roman"/>
                <w:spacing w:val="-2"/>
                <w:sz w:val="22"/>
                <w:szCs w:val="22"/>
              </w:rPr>
              <w:t>rt. 60</w:t>
            </w:r>
            <w:r w:rsidR="00684A87" w:rsidRPr="00154E08">
              <w:rPr>
                <w:rFonts w:eastAsia="Calibri" w:cs="Times New Roman"/>
                <w:spacing w:val="-2"/>
                <w:sz w:val="22"/>
                <w:szCs w:val="22"/>
              </w:rPr>
              <w:t xml:space="preserve"> </w:t>
            </w:r>
            <w:r w:rsidR="005D4855" w:rsidRPr="00154E08">
              <w:rPr>
                <w:rFonts w:eastAsia="Calibri" w:cs="Times New Roman"/>
                <w:spacing w:val="-2"/>
                <w:sz w:val="22"/>
                <w:szCs w:val="22"/>
              </w:rPr>
              <w:t xml:space="preserve">ustawy </w:t>
            </w:r>
            <w:r w:rsidR="008829DC" w:rsidRPr="00154E08">
              <w:rPr>
                <w:rFonts w:eastAsia="Calibri" w:cs="Times New Roman"/>
                <w:spacing w:val="-2"/>
                <w:sz w:val="22"/>
                <w:szCs w:val="22"/>
              </w:rPr>
              <w:t xml:space="preserve">o </w:t>
            </w:r>
            <w:proofErr w:type="spellStart"/>
            <w:r w:rsidR="008829DC" w:rsidRPr="00154E08">
              <w:rPr>
                <w:rFonts w:eastAsia="Calibri" w:cs="Times New Roman"/>
                <w:spacing w:val="-2"/>
                <w:sz w:val="22"/>
                <w:szCs w:val="22"/>
              </w:rPr>
              <w:t>elektromobilności</w:t>
            </w:r>
            <w:proofErr w:type="spellEnd"/>
            <w:r w:rsidR="008829DC" w:rsidRPr="00154E08">
              <w:rPr>
                <w:rFonts w:eastAsia="Calibri" w:cs="Times New Roman"/>
                <w:spacing w:val="-2"/>
                <w:sz w:val="22"/>
                <w:szCs w:val="22"/>
              </w:rPr>
              <w:t xml:space="preserve"> </w:t>
            </w:r>
            <w:r w:rsidR="5F298948" w:rsidRPr="00154E08">
              <w:rPr>
                <w:rFonts w:eastAsia="Calibri" w:cs="Times New Roman"/>
                <w:sz w:val="22"/>
                <w:szCs w:val="22"/>
              </w:rPr>
              <w:t>wskazuje na konieczność</w:t>
            </w:r>
            <w:r w:rsidRPr="00154E08">
              <w:rPr>
                <w:rFonts w:eastAsia="Calibri" w:cs="Times New Roman"/>
                <w:spacing w:val="-2"/>
                <w:sz w:val="22"/>
                <w:szCs w:val="22"/>
              </w:rPr>
              <w:t xml:space="preserve"> zapewnienia </w:t>
            </w:r>
            <w:r w:rsidR="005A67D7" w:rsidRPr="00154E08">
              <w:rPr>
                <w:rFonts w:eastAsia="Calibri" w:cs="Times New Roman"/>
                <w:spacing w:val="-2"/>
                <w:sz w:val="22"/>
                <w:szCs w:val="22"/>
              </w:rPr>
              <w:t xml:space="preserve">minimalnej liczby </w:t>
            </w:r>
            <w:r w:rsidRPr="00154E08">
              <w:rPr>
                <w:rFonts w:eastAsia="Calibri" w:cs="Times New Roman"/>
                <w:spacing w:val="-2"/>
                <w:sz w:val="22"/>
                <w:szCs w:val="22"/>
              </w:rPr>
              <w:t>punkt</w:t>
            </w:r>
            <w:r w:rsidR="005A67D7" w:rsidRPr="00154E08">
              <w:rPr>
                <w:rFonts w:eastAsia="Calibri" w:cs="Times New Roman"/>
                <w:spacing w:val="-2"/>
                <w:sz w:val="22"/>
                <w:szCs w:val="22"/>
              </w:rPr>
              <w:t>ów</w:t>
            </w:r>
            <w:r w:rsidRPr="00154E08">
              <w:rPr>
                <w:rFonts w:eastAsia="Calibri" w:cs="Times New Roman"/>
                <w:spacing w:val="-2"/>
                <w:sz w:val="22"/>
                <w:szCs w:val="22"/>
              </w:rPr>
              <w:t xml:space="preserve"> ładowania i tankowania gazu (CNG) zlokalizowan</w:t>
            </w:r>
            <w:r w:rsidR="005A67D7" w:rsidRPr="00154E08">
              <w:rPr>
                <w:rFonts w:eastAsia="Calibri" w:cs="Times New Roman"/>
                <w:spacing w:val="-2"/>
                <w:sz w:val="22"/>
                <w:szCs w:val="22"/>
              </w:rPr>
              <w:t>ych w</w:t>
            </w:r>
            <w:r w:rsidR="004349BD" w:rsidRPr="00154E08">
              <w:rPr>
                <w:rFonts w:eastAsia="Calibri" w:cs="Times New Roman"/>
                <w:spacing w:val="-2"/>
                <w:sz w:val="22"/>
                <w:szCs w:val="22"/>
              </w:rPr>
              <w:t xml:space="preserve"> obszarach gęsto zaludnionych za które uznano 32 aglomeracje miejskie oraz wzdłuż</w:t>
            </w:r>
            <w:r w:rsidR="5F298948" w:rsidRPr="00154E08">
              <w:rPr>
                <w:rFonts w:eastAsia="Calibri" w:cs="Times New Roman"/>
                <w:sz w:val="22"/>
                <w:szCs w:val="22"/>
              </w:rPr>
              <w:t xml:space="preserve"> </w:t>
            </w:r>
            <w:r w:rsidR="00900BF3" w:rsidRPr="00154E08">
              <w:rPr>
                <w:rFonts w:eastAsia="Calibri" w:cs="Times New Roman"/>
                <w:spacing w:val="-2"/>
                <w:sz w:val="22"/>
                <w:szCs w:val="22"/>
              </w:rPr>
              <w:t>Transeuropejskiej Sieci Transportowej (</w:t>
            </w:r>
            <w:r w:rsidRPr="00154E08">
              <w:rPr>
                <w:rFonts w:eastAsia="Calibri" w:cs="Times New Roman"/>
                <w:spacing w:val="-2"/>
                <w:sz w:val="22"/>
                <w:szCs w:val="22"/>
              </w:rPr>
              <w:t>TEN</w:t>
            </w:r>
            <w:r w:rsidR="00684A87" w:rsidRPr="00154E08">
              <w:rPr>
                <w:rFonts w:eastAsia="Calibri" w:cs="Times New Roman"/>
                <w:spacing w:val="-2"/>
                <w:sz w:val="22"/>
                <w:szCs w:val="22"/>
              </w:rPr>
              <w:t xml:space="preserve"> –</w:t>
            </w:r>
            <w:r w:rsidR="00333F2C" w:rsidRPr="00154E08">
              <w:rPr>
                <w:rFonts w:eastAsia="Calibri" w:cs="Times New Roman"/>
                <w:spacing w:val="-2"/>
                <w:sz w:val="22"/>
                <w:szCs w:val="22"/>
              </w:rPr>
              <w:t xml:space="preserve"> </w:t>
            </w:r>
            <w:r w:rsidRPr="00154E08">
              <w:rPr>
                <w:rFonts w:eastAsia="Calibri" w:cs="Times New Roman"/>
                <w:spacing w:val="-2"/>
                <w:sz w:val="22"/>
                <w:szCs w:val="22"/>
              </w:rPr>
              <w:t>T</w:t>
            </w:r>
            <w:r w:rsidR="00900BF3" w:rsidRPr="00154E08">
              <w:rPr>
                <w:rFonts w:eastAsia="Calibri" w:cs="Times New Roman"/>
                <w:spacing w:val="-2"/>
                <w:sz w:val="22"/>
                <w:szCs w:val="22"/>
              </w:rPr>
              <w:t>)</w:t>
            </w:r>
            <w:r w:rsidRPr="00154E08">
              <w:rPr>
                <w:rFonts w:eastAsia="Calibri" w:cs="Times New Roman"/>
                <w:spacing w:val="-2"/>
                <w:sz w:val="22"/>
                <w:szCs w:val="22"/>
              </w:rPr>
              <w:t>.</w:t>
            </w:r>
          </w:p>
          <w:p w14:paraId="771B1772" w14:textId="2B925D45" w:rsidR="00F97284" w:rsidRPr="00154E08" w:rsidRDefault="5F298948" w:rsidP="00B279FD">
            <w:pPr>
              <w:spacing w:after="120" w:line="240" w:lineRule="auto"/>
              <w:jc w:val="both"/>
              <w:rPr>
                <w:rFonts w:eastAsia="Calibri" w:cs="Times New Roman"/>
                <w:spacing w:val="-2"/>
                <w:sz w:val="22"/>
                <w:szCs w:val="22"/>
              </w:rPr>
            </w:pPr>
            <w:r w:rsidRPr="00154E08">
              <w:rPr>
                <w:rFonts w:eastAsia="Calibri" w:cs="Times New Roman"/>
                <w:sz w:val="22"/>
                <w:szCs w:val="22"/>
              </w:rPr>
              <w:t xml:space="preserve">Wsparcie rozwoju niskoemisyjnego transportu zapewniają także środki pochodzące z opłaty zastępczej przekazywanej </w:t>
            </w:r>
            <w:r w:rsidR="004349BD" w:rsidRPr="00154E08">
              <w:rPr>
                <w:rFonts w:eastAsia="Calibri" w:cs="Times New Roman"/>
                <w:sz w:val="22"/>
                <w:szCs w:val="22"/>
              </w:rPr>
              <w:t xml:space="preserve">przez podmioty zobowiązane do realizacji NCW </w:t>
            </w:r>
            <w:r w:rsidRPr="00154E08">
              <w:rPr>
                <w:rFonts w:eastAsia="Calibri" w:cs="Times New Roman"/>
                <w:sz w:val="22"/>
                <w:szCs w:val="22"/>
              </w:rPr>
              <w:t xml:space="preserve">zgodnie z </w:t>
            </w:r>
            <w:r w:rsidR="001147AB" w:rsidRPr="00154E08">
              <w:rPr>
                <w:rFonts w:eastAsia="Calibri" w:cs="Times New Roman"/>
                <w:sz w:val="22"/>
                <w:szCs w:val="22"/>
              </w:rPr>
              <w:t>art</w:t>
            </w:r>
            <w:r w:rsidRPr="00154E08">
              <w:rPr>
                <w:rFonts w:eastAsia="Calibri" w:cs="Times New Roman"/>
                <w:sz w:val="22"/>
                <w:szCs w:val="22"/>
              </w:rPr>
              <w:t xml:space="preserve">. 23 </w:t>
            </w:r>
            <w:r w:rsidR="008829DC" w:rsidRPr="00154E08">
              <w:rPr>
                <w:rFonts w:eastAsia="Calibri" w:cs="Times New Roman"/>
                <w:spacing w:val="-2"/>
                <w:sz w:val="22"/>
                <w:szCs w:val="22"/>
              </w:rPr>
              <w:t>ustawy o biokomponentach i</w:t>
            </w:r>
            <w:r w:rsidR="00837D94" w:rsidRPr="00154E08">
              <w:rPr>
                <w:rFonts w:eastAsia="Calibri" w:cs="Times New Roman"/>
                <w:spacing w:val="-2"/>
                <w:sz w:val="22"/>
                <w:szCs w:val="22"/>
              </w:rPr>
              <w:t> </w:t>
            </w:r>
            <w:r w:rsidR="008829DC" w:rsidRPr="00154E08">
              <w:rPr>
                <w:rFonts w:eastAsia="Calibri" w:cs="Times New Roman"/>
                <w:spacing w:val="-2"/>
                <w:sz w:val="22"/>
                <w:szCs w:val="22"/>
              </w:rPr>
              <w:t>biopaliwach ciekłych</w:t>
            </w:r>
            <w:r w:rsidR="001E75A3" w:rsidRPr="00154E08">
              <w:rPr>
                <w:rFonts w:eastAsia="Calibri" w:cs="Times New Roman"/>
                <w:spacing w:val="-2"/>
                <w:sz w:val="22"/>
                <w:szCs w:val="22"/>
              </w:rPr>
              <w:t>,</w:t>
            </w:r>
            <w:r w:rsidR="005D6E51" w:rsidRPr="00154E08">
              <w:rPr>
                <w:rFonts w:eastAsia="Calibri" w:cs="Times New Roman"/>
                <w:spacing w:val="-2"/>
                <w:sz w:val="22"/>
                <w:szCs w:val="22"/>
              </w:rPr>
              <w:t xml:space="preserve"> </w:t>
            </w:r>
            <w:r w:rsidRPr="00154E08">
              <w:rPr>
                <w:rFonts w:eastAsia="Calibri" w:cs="Times New Roman"/>
                <w:sz w:val="22"/>
                <w:szCs w:val="22"/>
              </w:rPr>
              <w:t>kierowane</w:t>
            </w:r>
            <w:r w:rsidR="001E75A3" w:rsidRPr="00154E08">
              <w:rPr>
                <w:rFonts w:eastAsia="Calibri" w:cs="Times New Roman"/>
                <w:spacing w:val="-2"/>
                <w:sz w:val="22"/>
                <w:szCs w:val="22"/>
              </w:rPr>
              <w:t xml:space="preserve"> do</w:t>
            </w:r>
            <w:r w:rsidR="005875CF" w:rsidRPr="00154E08">
              <w:rPr>
                <w:rFonts w:eastAsia="Calibri" w:cs="Times New Roman"/>
                <w:spacing w:val="-2"/>
                <w:sz w:val="22"/>
                <w:szCs w:val="22"/>
              </w:rPr>
              <w:t xml:space="preserve"> Narodowego Funduszu Ochrony Środowiska i Gospodarki Wodnej</w:t>
            </w:r>
            <w:r w:rsidR="003220E2" w:rsidRPr="00154E08">
              <w:rPr>
                <w:rFonts w:eastAsia="Calibri" w:cs="Times New Roman"/>
                <w:spacing w:val="-2"/>
                <w:sz w:val="22"/>
                <w:szCs w:val="22"/>
              </w:rPr>
              <w:t xml:space="preserve">, zwanego </w:t>
            </w:r>
            <w:r w:rsidR="00E314CC" w:rsidRPr="00154E08">
              <w:rPr>
                <w:rFonts w:eastAsia="Calibri" w:cs="Times New Roman"/>
                <w:spacing w:val="-2"/>
                <w:sz w:val="22"/>
                <w:szCs w:val="22"/>
              </w:rPr>
              <w:t>dalej „NFOŚiGW”</w:t>
            </w:r>
            <w:r w:rsidR="009C4BDC" w:rsidRPr="00154E08">
              <w:rPr>
                <w:rFonts w:eastAsia="Calibri" w:cs="Times New Roman"/>
                <w:spacing w:val="-2"/>
                <w:sz w:val="22"/>
                <w:szCs w:val="22"/>
              </w:rPr>
              <w:t xml:space="preserve">, </w:t>
            </w:r>
            <w:r w:rsidRPr="00154E08">
              <w:rPr>
                <w:rFonts w:eastAsia="Calibri" w:cs="Times New Roman"/>
                <w:sz w:val="22"/>
                <w:szCs w:val="22"/>
              </w:rPr>
              <w:t>ze wskazaniem</w:t>
            </w:r>
            <w:r w:rsidR="009C4BDC" w:rsidRPr="00154E08">
              <w:rPr>
                <w:rFonts w:eastAsia="Calibri" w:cs="Times New Roman"/>
                <w:spacing w:val="-2"/>
                <w:sz w:val="22"/>
                <w:szCs w:val="22"/>
              </w:rPr>
              <w:t xml:space="preserve"> </w:t>
            </w:r>
            <w:r w:rsidR="0041477C" w:rsidRPr="00154E08">
              <w:rPr>
                <w:rFonts w:eastAsia="Calibri" w:cs="Times New Roman"/>
                <w:spacing w:val="-2"/>
                <w:sz w:val="22"/>
                <w:szCs w:val="22"/>
              </w:rPr>
              <w:t xml:space="preserve">celów </w:t>
            </w:r>
            <w:r w:rsidR="009C4BDC" w:rsidRPr="00154E08">
              <w:rPr>
                <w:rFonts w:eastAsia="Calibri" w:cs="Times New Roman"/>
                <w:spacing w:val="-2"/>
                <w:sz w:val="22"/>
                <w:szCs w:val="22"/>
              </w:rPr>
              <w:t xml:space="preserve">dyspozycji środków, </w:t>
            </w:r>
            <w:r w:rsidRPr="00154E08">
              <w:rPr>
                <w:rFonts w:eastAsia="Calibri" w:cs="Times New Roman"/>
                <w:sz w:val="22"/>
                <w:szCs w:val="22"/>
              </w:rPr>
              <w:t xml:space="preserve">przeznaczonych na </w:t>
            </w:r>
            <w:r w:rsidR="009C4BDC" w:rsidRPr="00154E08">
              <w:rPr>
                <w:rFonts w:eastAsia="Calibri" w:cs="Times New Roman"/>
                <w:spacing w:val="-2"/>
                <w:sz w:val="22"/>
                <w:szCs w:val="22"/>
              </w:rPr>
              <w:t>rozwój rynk</w:t>
            </w:r>
            <w:r w:rsidR="005D6E51" w:rsidRPr="00154E08">
              <w:rPr>
                <w:rFonts w:eastAsia="Calibri" w:cs="Times New Roman"/>
                <w:spacing w:val="-2"/>
                <w:sz w:val="22"/>
                <w:szCs w:val="22"/>
              </w:rPr>
              <w:t>u</w:t>
            </w:r>
            <w:r w:rsidR="009C4BDC" w:rsidRPr="00154E08">
              <w:rPr>
                <w:rFonts w:eastAsia="Calibri" w:cs="Times New Roman"/>
                <w:spacing w:val="-2"/>
                <w:sz w:val="22"/>
                <w:szCs w:val="22"/>
              </w:rPr>
              <w:t xml:space="preserve"> paliw alternatywnych</w:t>
            </w:r>
            <w:r w:rsidRPr="00154E08">
              <w:rPr>
                <w:rFonts w:eastAsia="Calibri" w:cs="Times New Roman"/>
                <w:sz w:val="22"/>
                <w:szCs w:val="22"/>
              </w:rPr>
              <w:t>.</w:t>
            </w:r>
          </w:p>
          <w:p w14:paraId="543CE0B7" w14:textId="77777777" w:rsidR="00810652" w:rsidRPr="00154E08" w:rsidRDefault="00810652" w:rsidP="5F298948">
            <w:pPr>
              <w:shd w:val="clear" w:color="auto" w:fill="FFFFFF" w:themeFill="background1"/>
              <w:spacing w:line="240" w:lineRule="auto"/>
              <w:jc w:val="both"/>
              <w:rPr>
                <w:rFonts w:eastAsia="Calibri" w:cs="Times New Roman"/>
                <w:spacing w:val="-2"/>
                <w:sz w:val="22"/>
                <w:szCs w:val="22"/>
              </w:rPr>
            </w:pPr>
          </w:p>
          <w:p w14:paraId="21E13979" w14:textId="1F8DE66A" w:rsidR="00F66C86" w:rsidRPr="00154E08" w:rsidRDefault="008F4455" w:rsidP="5F298948">
            <w:pPr>
              <w:shd w:val="clear" w:color="auto" w:fill="FFFFFF" w:themeFill="background1"/>
              <w:spacing w:line="240" w:lineRule="auto"/>
              <w:jc w:val="both"/>
              <w:rPr>
                <w:rFonts w:eastAsia="Calibri" w:cs="Times New Roman"/>
                <w:spacing w:val="-2"/>
                <w:sz w:val="22"/>
                <w:szCs w:val="22"/>
              </w:rPr>
            </w:pPr>
            <w:r w:rsidRPr="00154E08">
              <w:rPr>
                <w:rFonts w:eastAsia="Calibri" w:cs="Times New Roman"/>
                <w:spacing w:val="-2"/>
                <w:sz w:val="22"/>
                <w:szCs w:val="22"/>
              </w:rPr>
              <w:t>Tabela 1. Po</w:t>
            </w:r>
            <w:r w:rsidR="00E4057B" w:rsidRPr="00154E08">
              <w:rPr>
                <w:rFonts w:eastAsia="Calibri" w:cs="Times New Roman"/>
                <w:spacing w:val="-2"/>
                <w:sz w:val="22"/>
                <w:szCs w:val="22"/>
              </w:rPr>
              <w:t xml:space="preserve">ziom realizacji przez Polskę celu OZE w transporcie w </w:t>
            </w:r>
            <w:r w:rsidR="009C4BDC" w:rsidRPr="00154E08">
              <w:rPr>
                <w:rFonts w:eastAsia="Calibri" w:cs="Times New Roman"/>
                <w:spacing w:val="-2"/>
                <w:sz w:val="22"/>
                <w:szCs w:val="22"/>
              </w:rPr>
              <w:t>latach 2019</w:t>
            </w:r>
            <w:r w:rsidR="00684A87" w:rsidRPr="00154E08">
              <w:rPr>
                <w:rFonts w:eastAsia="Calibri" w:cs="Times New Roman"/>
                <w:spacing w:val="-2"/>
                <w:sz w:val="22"/>
                <w:szCs w:val="22"/>
              </w:rPr>
              <w:t>–</w:t>
            </w:r>
            <w:r w:rsidR="00E4057B" w:rsidRPr="00154E08">
              <w:rPr>
                <w:rFonts w:eastAsia="Calibri" w:cs="Times New Roman"/>
                <w:spacing w:val="-2"/>
                <w:sz w:val="22"/>
                <w:szCs w:val="22"/>
              </w:rPr>
              <w:t>2022 r</w:t>
            </w:r>
            <w:r w:rsidR="00A63E94" w:rsidRPr="00154E08">
              <w:rPr>
                <w:rFonts w:eastAsia="Calibri" w:cs="Times New Roman"/>
                <w:spacing w:val="-2"/>
                <w:sz w:val="22"/>
                <w:szCs w:val="22"/>
              </w:rPr>
              <w:t xml:space="preserve">. </w:t>
            </w:r>
          </w:p>
          <w:tbl>
            <w:tblPr>
              <w:tblStyle w:val="Siatkatabelijasna"/>
              <w:tblW w:w="7264" w:type="dxa"/>
              <w:tblInd w:w="343" w:type="dxa"/>
              <w:tblLayout w:type="fixed"/>
              <w:tblLook w:val="0420" w:firstRow="1" w:lastRow="0" w:firstColumn="0" w:lastColumn="0" w:noHBand="0" w:noVBand="1"/>
            </w:tblPr>
            <w:tblGrid>
              <w:gridCol w:w="2065"/>
              <w:gridCol w:w="1311"/>
              <w:gridCol w:w="1387"/>
              <w:gridCol w:w="1281"/>
              <w:gridCol w:w="1220"/>
            </w:tblGrid>
            <w:tr w:rsidR="008A5BEA" w:rsidRPr="00154E08" w14:paraId="4C1B507D" w14:textId="0499104B" w:rsidTr="001D5AB2">
              <w:trPr>
                <w:trHeight w:val="605"/>
              </w:trPr>
              <w:tc>
                <w:tcPr>
                  <w:tcW w:w="2065" w:type="dxa"/>
                  <w:tcBorders>
                    <w:top w:val="double" w:sz="4" w:space="0" w:color="auto"/>
                    <w:left w:val="double" w:sz="4" w:space="0" w:color="auto"/>
                    <w:bottom w:val="double" w:sz="4" w:space="0" w:color="auto"/>
                    <w:right w:val="double" w:sz="4" w:space="0" w:color="auto"/>
                  </w:tcBorders>
                  <w:shd w:val="clear" w:color="auto" w:fill="auto"/>
                  <w:hideMark/>
                </w:tcPr>
                <w:p w14:paraId="1F89CD47" w14:textId="56436835" w:rsidR="008A5BEA" w:rsidRPr="00154E08" w:rsidRDefault="008A5BEA" w:rsidP="5F298948">
                  <w:pPr>
                    <w:shd w:val="clear" w:color="auto" w:fill="FFFFFF" w:themeFill="background1"/>
                    <w:spacing w:line="240" w:lineRule="auto"/>
                    <w:jc w:val="both"/>
                    <w:rPr>
                      <w:rFonts w:eastAsia="Calibri" w:cs="Times New Roman"/>
                      <w:b/>
                      <w:bCs/>
                      <w:spacing w:val="-2"/>
                      <w:sz w:val="22"/>
                      <w:szCs w:val="22"/>
                    </w:rPr>
                  </w:pPr>
                  <w:r w:rsidRPr="00154E08">
                    <w:rPr>
                      <w:rFonts w:eastAsia="Calibri" w:cs="Times New Roman"/>
                      <w:b/>
                      <w:bCs/>
                      <w:spacing w:val="-2"/>
                      <w:sz w:val="22"/>
                      <w:szCs w:val="22"/>
                    </w:rPr>
                    <w:t>Cel OZE w transporcie</w:t>
                  </w:r>
                </w:p>
              </w:tc>
              <w:tc>
                <w:tcPr>
                  <w:tcW w:w="1311" w:type="dxa"/>
                  <w:tcBorders>
                    <w:top w:val="double" w:sz="4" w:space="0" w:color="auto"/>
                    <w:left w:val="double" w:sz="4" w:space="0" w:color="auto"/>
                    <w:bottom w:val="double" w:sz="4" w:space="0" w:color="auto"/>
                    <w:right w:val="double" w:sz="4" w:space="0" w:color="auto"/>
                  </w:tcBorders>
                  <w:shd w:val="clear" w:color="auto" w:fill="auto"/>
                  <w:hideMark/>
                </w:tcPr>
                <w:p w14:paraId="5BC77B95" w14:textId="77777777" w:rsidR="008A5BEA" w:rsidRPr="00154E08" w:rsidRDefault="008A5BEA" w:rsidP="5F298948">
                  <w:pPr>
                    <w:shd w:val="clear" w:color="auto" w:fill="FFFFFF" w:themeFill="background1"/>
                    <w:spacing w:line="240" w:lineRule="auto"/>
                    <w:jc w:val="both"/>
                    <w:rPr>
                      <w:rFonts w:eastAsia="Calibri" w:cs="Times New Roman"/>
                      <w:b/>
                      <w:bCs/>
                      <w:spacing w:val="-2"/>
                      <w:sz w:val="22"/>
                      <w:szCs w:val="22"/>
                    </w:rPr>
                  </w:pPr>
                  <w:r w:rsidRPr="00154E08">
                    <w:rPr>
                      <w:rFonts w:eastAsia="Calibri" w:cs="Times New Roman"/>
                      <w:b/>
                      <w:bCs/>
                      <w:spacing w:val="-2"/>
                      <w:sz w:val="22"/>
                      <w:szCs w:val="22"/>
                    </w:rPr>
                    <w:t>2019</w:t>
                  </w:r>
                </w:p>
              </w:tc>
              <w:tc>
                <w:tcPr>
                  <w:tcW w:w="1387" w:type="dxa"/>
                  <w:tcBorders>
                    <w:top w:val="double" w:sz="4" w:space="0" w:color="auto"/>
                    <w:left w:val="double" w:sz="4" w:space="0" w:color="auto"/>
                    <w:bottom w:val="double" w:sz="4" w:space="0" w:color="auto"/>
                    <w:right w:val="double" w:sz="4" w:space="0" w:color="auto"/>
                  </w:tcBorders>
                  <w:shd w:val="clear" w:color="auto" w:fill="auto"/>
                  <w:hideMark/>
                </w:tcPr>
                <w:p w14:paraId="0EDCEA75" w14:textId="6CC38284" w:rsidR="008A5BEA" w:rsidRPr="00154E08" w:rsidRDefault="008A5BEA" w:rsidP="5F298948">
                  <w:pPr>
                    <w:shd w:val="clear" w:color="auto" w:fill="FFFFFF" w:themeFill="background1"/>
                    <w:spacing w:line="240" w:lineRule="auto"/>
                    <w:jc w:val="both"/>
                    <w:rPr>
                      <w:rFonts w:eastAsia="Calibri" w:cs="Times New Roman"/>
                      <w:b/>
                      <w:bCs/>
                      <w:spacing w:val="-2"/>
                      <w:sz w:val="22"/>
                      <w:szCs w:val="22"/>
                    </w:rPr>
                  </w:pPr>
                  <w:r w:rsidRPr="00154E08">
                    <w:rPr>
                      <w:rFonts w:eastAsia="Calibri" w:cs="Times New Roman"/>
                      <w:b/>
                      <w:bCs/>
                      <w:spacing w:val="-2"/>
                      <w:sz w:val="22"/>
                      <w:szCs w:val="22"/>
                    </w:rPr>
                    <w:t>2020</w:t>
                  </w:r>
                </w:p>
              </w:tc>
              <w:tc>
                <w:tcPr>
                  <w:tcW w:w="1281" w:type="dxa"/>
                  <w:tcBorders>
                    <w:top w:val="double" w:sz="4" w:space="0" w:color="auto"/>
                    <w:left w:val="double" w:sz="4" w:space="0" w:color="auto"/>
                    <w:bottom w:val="double" w:sz="4" w:space="0" w:color="auto"/>
                    <w:right w:val="double" w:sz="4" w:space="0" w:color="auto"/>
                  </w:tcBorders>
                  <w:shd w:val="clear" w:color="auto" w:fill="auto"/>
                </w:tcPr>
                <w:p w14:paraId="12C4770C" w14:textId="0E0D87C8" w:rsidR="008A5BEA" w:rsidRPr="00154E08" w:rsidRDefault="008A5BEA" w:rsidP="5F298948">
                  <w:pPr>
                    <w:shd w:val="clear" w:color="auto" w:fill="FFFFFF" w:themeFill="background1"/>
                    <w:spacing w:line="240" w:lineRule="auto"/>
                    <w:jc w:val="both"/>
                    <w:rPr>
                      <w:rFonts w:eastAsia="Calibri" w:cs="Times New Roman"/>
                      <w:b/>
                      <w:bCs/>
                      <w:sz w:val="22"/>
                      <w:szCs w:val="22"/>
                    </w:rPr>
                  </w:pPr>
                  <w:r w:rsidRPr="00154E08">
                    <w:rPr>
                      <w:rFonts w:eastAsia="Calibri" w:cs="Times New Roman"/>
                      <w:b/>
                      <w:bCs/>
                      <w:sz w:val="22"/>
                      <w:szCs w:val="22"/>
                    </w:rPr>
                    <w:t>2021</w:t>
                  </w:r>
                </w:p>
              </w:tc>
              <w:tc>
                <w:tcPr>
                  <w:tcW w:w="1220" w:type="dxa"/>
                  <w:tcBorders>
                    <w:top w:val="double" w:sz="4" w:space="0" w:color="auto"/>
                    <w:left w:val="double" w:sz="4" w:space="0" w:color="auto"/>
                    <w:bottom w:val="double" w:sz="4" w:space="0" w:color="auto"/>
                    <w:right w:val="double" w:sz="4" w:space="0" w:color="auto"/>
                  </w:tcBorders>
                  <w:shd w:val="clear" w:color="auto" w:fill="auto"/>
                </w:tcPr>
                <w:p w14:paraId="2C68A3E3" w14:textId="4DFFB1C7" w:rsidR="008A5BEA" w:rsidRPr="00154E08" w:rsidRDefault="008A5BEA" w:rsidP="5F298948">
                  <w:pPr>
                    <w:shd w:val="clear" w:color="auto" w:fill="FFFFFF" w:themeFill="background1"/>
                    <w:spacing w:line="240" w:lineRule="auto"/>
                    <w:jc w:val="both"/>
                    <w:rPr>
                      <w:rFonts w:eastAsia="Calibri" w:cs="Times New Roman"/>
                      <w:b/>
                      <w:bCs/>
                      <w:sz w:val="22"/>
                      <w:szCs w:val="22"/>
                    </w:rPr>
                  </w:pPr>
                  <w:r w:rsidRPr="00154E08">
                    <w:rPr>
                      <w:rFonts w:eastAsia="Calibri" w:cs="Times New Roman"/>
                      <w:b/>
                      <w:bCs/>
                      <w:sz w:val="22"/>
                      <w:szCs w:val="22"/>
                    </w:rPr>
                    <w:t>2022</w:t>
                  </w:r>
                </w:p>
                <w:p w14:paraId="633B6A4A" w14:textId="49D6CFF6" w:rsidR="008A5BEA" w:rsidRPr="00154E08" w:rsidRDefault="008A5BEA" w:rsidP="5F298948">
                  <w:pPr>
                    <w:spacing w:line="240" w:lineRule="auto"/>
                    <w:jc w:val="both"/>
                    <w:rPr>
                      <w:rFonts w:eastAsia="Calibri" w:cs="Times New Roman"/>
                      <w:b/>
                      <w:bCs/>
                      <w:sz w:val="22"/>
                      <w:szCs w:val="22"/>
                    </w:rPr>
                  </w:pPr>
                </w:p>
              </w:tc>
            </w:tr>
            <w:tr w:rsidR="008A5BEA" w:rsidRPr="00154E08" w14:paraId="0A5D3845" w14:textId="34B893B5" w:rsidTr="001D5AB2">
              <w:trPr>
                <w:trHeight w:val="605"/>
              </w:trPr>
              <w:tc>
                <w:tcPr>
                  <w:tcW w:w="2065" w:type="dxa"/>
                  <w:tcBorders>
                    <w:top w:val="double" w:sz="4" w:space="0" w:color="auto"/>
                    <w:left w:val="double" w:sz="4" w:space="0" w:color="auto"/>
                    <w:bottom w:val="double" w:sz="4" w:space="0" w:color="auto"/>
                    <w:right w:val="double" w:sz="4" w:space="0" w:color="auto"/>
                  </w:tcBorders>
                  <w:shd w:val="clear" w:color="auto" w:fill="auto"/>
                  <w:hideMark/>
                </w:tcPr>
                <w:p w14:paraId="4EEB97E9" w14:textId="0B41574E" w:rsidR="008A5BEA" w:rsidRPr="00154E08" w:rsidRDefault="008A5BEA" w:rsidP="004C05BA">
                  <w:pPr>
                    <w:shd w:val="clear" w:color="auto" w:fill="FFFFFF" w:themeFill="background1"/>
                    <w:spacing w:line="240" w:lineRule="auto"/>
                    <w:jc w:val="both"/>
                    <w:rPr>
                      <w:rFonts w:eastAsia="Calibri" w:cs="Times New Roman"/>
                      <w:spacing w:val="-2"/>
                      <w:sz w:val="22"/>
                      <w:szCs w:val="22"/>
                    </w:rPr>
                  </w:pPr>
                  <w:r w:rsidRPr="00154E08">
                    <w:rPr>
                      <w:rFonts w:eastAsia="Calibri" w:cs="Times New Roman"/>
                      <w:spacing w:val="-2"/>
                      <w:sz w:val="22"/>
                      <w:szCs w:val="22"/>
                    </w:rPr>
                    <w:t>Realizacja RES –T (UE PL)</w:t>
                  </w:r>
                </w:p>
              </w:tc>
              <w:tc>
                <w:tcPr>
                  <w:tcW w:w="1311" w:type="dxa"/>
                  <w:tcBorders>
                    <w:top w:val="double" w:sz="4" w:space="0" w:color="auto"/>
                    <w:left w:val="double" w:sz="4" w:space="0" w:color="auto"/>
                    <w:bottom w:val="double" w:sz="4" w:space="0" w:color="auto"/>
                    <w:right w:val="double" w:sz="4" w:space="0" w:color="auto"/>
                  </w:tcBorders>
                  <w:hideMark/>
                </w:tcPr>
                <w:p w14:paraId="23A3EB96" w14:textId="5F90E17B" w:rsidR="008A5BEA" w:rsidRPr="00154E08" w:rsidRDefault="008A5BEA" w:rsidP="5F298948">
                  <w:pPr>
                    <w:shd w:val="clear" w:color="auto" w:fill="FFFFFF" w:themeFill="background1"/>
                    <w:spacing w:line="240" w:lineRule="auto"/>
                    <w:jc w:val="both"/>
                    <w:rPr>
                      <w:rFonts w:eastAsia="Calibri" w:cs="Times New Roman"/>
                      <w:spacing w:val="-2"/>
                      <w:sz w:val="22"/>
                      <w:szCs w:val="22"/>
                    </w:rPr>
                  </w:pPr>
                  <w:r w:rsidRPr="00154E08">
                    <w:rPr>
                      <w:rFonts w:eastAsia="Calibri" w:cs="Times New Roman"/>
                      <w:spacing w:val="-2"/>
                      <w:sz w:val="22"/>
                      <w:szCs w:val="22"/>
                    </w:rPr>
                    <w:t>5,4</w:t>
                  </w:r>
                  <w:r w:rsidRPr="00154E08">
                    <w:rPr>
                      <w:rFonts w:eastAsia="Calibri" w:cs="Times New Roman"/>
                      <w:sz w:val="22"/>
                      <w:szCs w:val="22"/>
                    </w:rPr>
                    <w:t>2</w:t>
                  </w:r>
                  <w:r w:rsidRPr="00154E08">
                    <w:rPr>
                      <w:rFonts w:eastAsia="Calibri" w:cs="Times New Roman"/>
                      <w:spacing w:val="-2"/>
                      <w:sz w:val="22"/>
                      <w:szCs w:val="22"/>
                    </w:rPr>
                    <w:t>%</w:t>
                  </w:r>
                </w:p>
              </w:tc>
              <w:tc>
                <w:tcPr>
                  <w:tcW w:w="1387" w:type="dxa"/>
                  <w:tcBorders>
                    <w:top w:val="double" w:sz="4" w:space="0" w:color="auto"/>
                    <w:left w:val="double" w:sz="4" w:space="0" w:color="auto"/>
                    <w:bottom w:val="double" w:sz="4" w:space="0" w:color="auto"/>
                    <w:right w:val="double" w:sz="4" w:space="0" w:color="auto"/>
                  </w:tcBorders>
                  <w:hideMark/>
                </w:tcPr>
                <w:p w14:paraId="6291B1C2" w14:textId="60C6AF2A" w:rsidR="008A5BEA" w:rsidRPr="00154E08" w:rsidRDefault="008A5BEA" w:rsidP="5F298948">
                  <w:pPr>
                    <w:shd w:val="clear" w:color="auto" w:fill="FFFFFF" w:themeFill="background1"/>
                    <w:spacing w:line="240" w:lineRule="auto"/>
                    <w:jc w:val="both"/>
                    <w:rPr>
                      <w:rFonts w:eastAsia="Calibri" w:cs="Times New Roman"/>
                      <w:spacing w:val="-2"/>
                      <w:sz w:val="22"/>
                      <w:szCs w:val="22"/>
                    </w:rPr>
                  </w:pPr>
                  <w:r w:rsidRPr="00154E08">
                    <w:rPr>
                      <w:rFonts w:eastAsia="Calibri" w:cs="Times New Roman"/>
                      <w:spacing w:val="-2"/>
                      <w:sz w:val="22"/>
                      <w:szCs w:val="22"/>
                    </w:rPr>
                    <w:t xml:space="preserve">5,77% </w:t>
                  </w:r>
                </w:p>
              </w:tc>
              <w:tc>
                <w:tcPr>
                  <w:tcW w:w="1281" w:type="dxa"/>
                  <w:tcBorders>
                    <w:top w:val="double" w:sz="4" w:space="0" w:color="auto"/>
                    <w:left w:val="double" w:sz="4" w:space="0" w:color="auto"/>
                    <w:bottom w:val="double" w:sz="4" w:space="0" w:color="auto"/>
                    <w:right w:val="double" w:sz="4" w:space="0" w:color="auto"/>
                  </w:tcBorders>
                </w:tcPr>
                <w:p w14:paraId="513EF998" w14:textId="1A45A7BE" w:rsidR="008A5BEA" w:rsidRPr="00154E08" w:rsidRDefault="008A5BEA" w:rsidP="35E2803C">
                  <w:pPr>
                    <w:shd w:val="clear" w:color="auto" w:fill="FFFFFF" w:themeFill="background1"/>
                    <w:spacing w:line="240" w:lineRule="auto"/>
                    <w:jc w:val="both"/>
                    <w:rPr>
                      <w:rFonts w:eastAsia="Calibri" w:cs="Times New Roman"/>
                      <w:sz w:val="22"/>
                      <w:szCs w:val="22"/>
                    </w:rPr>
                  </w:pPr>
                  <w:r w:rsidRPr="00154E08">
                    <w:rPr>
                      <w:rFonts w:eastAsia="Calibri" w:cs="Times New Roman"/>
                      <w:sz w:val="22"/>
                      <w:szCs w:val="22"/>
                    </w:rPr>
                    <w:t>5,68%</w:t>
                  </w:r>
                </w:p>
                <w:p w14:paraId="2E255603" w14:textId="36054CA9" w:rsidR="008A5BEA" w:rsidRPr="00154E08" w:rsidRDefault="008A5BEA" w:rsidP="265D07EB">
                  <w:pPr>
                    <w:spacing w:line="240" w:lineRule="auto"/>
                    <w:jc w:val="both"/>
                    <w:rPr>
                      <w:rFonts w:eastAsia="Calibri" w:cs="Times New Roman"/>
                      <w:sz w:val="22"/>
                      <w:szCs w:val="22"/>
                    </w:rPr>
                  </w:pPr>
                </w:p>
              </w:tc>
              <w:tc>
                <w:tcPr>
                  <w:tcW w:w="1220" w:type="dxa"/>
                  <w:tcBorders>
                    <w:top w:val="double" w:sz="4" w:space="0" w:color="auto"/>
                    <w:left w:val="double" w:sz="4" w:space="0" w:color="auto"/>
                    <w:bottom w:val="double" w:sz="4" w:space="0" w:color="auto"/>
                    <w:right w:val="double" w:sz="4" w:space="0" w:color="auto"/>
                  </w:tcBorders>
                </w:tcPr>
                <w:p w14:paraId="60595FCE" w14:textId="18793D84" w:rsidR="008A5BEA" w:rsidRPr="00154E08" w:rsidRDefault="008A5BEA" w:rsidP="35E2803C">
                  <w:pPr>
                    <w:shd w:val="clear" w:color="auto" w:fill="FFFFFF" w:themeFill="background1"/>
                    <w:spacing w:line="240" w:lineRule="auto"/>
                    <w:jc w:val="both"/>
                    <w:rPr>
                      <w:rFonts w:eastAsia="Calibri" w:cs="Times New Roman"/>
                      <w:sz w:val="22"/>
                      <w:szCs w:val="22"/>
                    </w:rPr>
                  </w:pPr>
                  <w:r w:rsidRPr="00154E08">
                    <w:rPr>
                      <w:rFonts w:eastAsia="Calibri" w:cs="Times New Roman"/>
                      <w:sz w:val="22"/>
                      <w:szCs w:val="22"/>
                    </w:rPr>
                    <w:t>5,79%</w:t>
                  </w:r>
                </w:p>
                <w:p w14:paraId="0C08F9C4" w14:textId="47452F77" w:rsidR="008A5BEA" w:rsidRPr="00154E08" w:rsidRDefault="008A5BEA" w:rsidP="3369EA36">
                  <w:pPr>
                    <w:spacing w:line="240" w:lineRule="auto"/>
                    <w:jc w:val="both"/>
                    <w:rPr>
                      <w:rFonts w:eastAsia="Calibri" w:cs="Times New Roman"/>
                      <w:sz w:val="22"/>
                      <w:szCs w:val="22"/>
                    </w:rPr>
                  </w:pPr>
                </w:p>
              </w:tc>
            </w:tr>
            <w:tr w:rsidR="008A5BEA" w:rsidRPr="00154E08" w14:paraId="7C37D84D" w14:textId="2E940EA2" w:rsidTr="001D5AB2">
              <w:trPr>
                <w:trHeight w:val="605"/>
              </w:trPr>
              <w:tc>
                <w:tcPr>
                  <w:tcW w:w="2065" w:type="dxa"/>
                  <w:tcBorders>
                    <w:top w:val="double" w:sz="4" w:space="0" w:color="auto"/>
                    <w:left w:val="double" w:sz="4" w:space="0" w:color="auto"/>
                    <w:bottom w:val="double" w:sz="4" w:space="0" w:color="auto"/>
                    <w:right w:val="double" w:sz="4" w:space="0" w:color="auto"/>
                  </w:tcBorders>
                  <w:shd w:val="clear" w:color="auto" w:fill="auto"/>
                  <w:hideMark/>
                </w:tcPr>
                <w:p w14:paraId="35446BE9" w14:textId="06255834" w:rsidR="008A5BEA" w:rsidRPr="00154E08" w:rsidRDefault="008A5BEA" w:rsidP="004C05BA">
                  <w:pPr>
                    <w:shd w:val="clear" w:color="auto" w:fill="FFFFFF" w:themeFill="background1"/>
                    <w:spacing w:line="240" w:lineRule="auto"/>
                    <w:jc w:val="both"/>
                    <w:rPr>
                      <w:rFonts w:eastAsia="Calibri" w:cs="Times New Roman"/>
                      <w:spacing w:val="-2"/>
                      <w:sz w:val="22"/>
                      <w:szCs w:val="22"/>
                    </w:rPr>
                  </w:pPr>
                  <w:r w:rsidRPr="00154E08">
                    <w:rPr>
                      <w:rFonts w:eastAsia="Calibri" w:cs="Times New Roman"/>
                      <w:spacing w:val="-2"/>
                      <w:sz w:val="22"/>
                      <w:szCs w:val="22"/>
                    </w:rPr>
                    <w:t xml:space="preserve">Udział energii elektrycznej z OZE w transporcie </w:t>
                  </w:r>
                </w:p>
              </w:tc>
              <w:tc>
                <w:tcPr>
                  <w:tcW w:w="1311" w:type="dxa"/>
                  <w:tcBorders>
                    <w:top w:val="double" w:sz="4" w:space="0" w:color="auto"/>
                    <w:left w:val="double" w:sz="4" w:space="0" w:color="auto"/>
                    <w:bottom w:val="double" w:sz="4" w:space="0" w:color="auto"/>
                    <w:right w:val="double" w:sz="4" w:space="0" w:color="auto"/>
                  </w:tcBorders>
                  <w:hideMark/>
                </w:tcPr>
                <w:p w14:paraId="3A5D3F58" w14:textId="0AE9760C" w:rsidR="008A5BEA" w:rsidRPr="00154E08" w:rsidRDefault="008A5BEA" w:rsidP="008A5BEA">
                  <w:pPr>
                    <w:shd w:val="clear" w:color="auto" w:fill="FFFFFF" w:themeFill="background1"/>
                    <w:spacing w:line="240" w:lineRule="auto"/>
                    <w:jc w:val="both"/>
                    <w:rPr>
                      <w:rFonts w:eastAsia="Calibri" w:cs="Times New Roman"/>
                      <w:sz w:val="22"/>
                      <w:szCs w:val="22"/>
                    </w:rPr>
                  </w:pPr>
                  <w:r w:rsidRPr="00154E08">
                    <w:rPr>
                      <w:rFonts w:eastAsia="Calibri" w:cs="Times New Roman"/>
                      <w:sz w:val="22"/>
                      <w:szCs w:val="22"/>
                    </w:rPr>
                    <w:t>0,87</w:t>
                  </w:r>
                  <w:r w:rsidRPr="00154E08">
                    <w:rPr>
                      <w:rFonts w:eastAsia="Calibri" w:cs="Times New Roman"/>
                      <w:spacing w:val="-2"/>
                      <w:sz w:val="22"/>
                      <w:szCs w:val="22"/>
                    </w:rPr>
                    <w:t>%</w:t>
                  </w:r>
                </w:p>
              </w:tc>
              <w:tc>
                <w:tcPr>
                  <w:tcW w:w="1387" w:type="dxa"/>
                  <w:tcBorders>
                    <w:top w:val="double" w:sz="4" w:space="0" w:color="auto"/>
                    <w:left w:val="double" w:sz="4" w:space="0" w:color="auto"/>
                    <w:bottom w:val="double" w:sz="4" w:space="0" w:color="auto"/>
                    <w:right w:val="double" w:sz="4" w:space="0" w:color="auto"/>
                  </w:tcBorders>
                  <w:hideMark/>
                </w:tcPr>
                <w:p w14:paraId="2653E9AA" w14:textId="0D0A342D" w:rsidR="008A5BEA" w:rsidRPr="00154E08" w:rsidRDefault="008A5BEA" w:rsidP="008A5BEA">
                  <w:pPr>
                    <w:shd w:val="clear" w:color="auto" w:fill="FFFFFF" w:themeFill="background1"/>
                    <w:spacing w:line="240" w:lineRule="auto"/>
                    <w:jc w:val="both"/>
                    <w:rPr>
                      <w:rFonts w:eastAsia="Calibri" w:cs="Times New Roman"/>
                      <w:sz w:val="22"/>
                      <w:szCs w:val="22"/>
                    </w:rPr>
                  </w:pPr>
                  <w:r w:rsidRPr="00154E08">
                    <w:rPr>
                      <w:rFonts w:eastAsia="Calibri" w:cs="Times New Roman"/>
                      <w:sz w:val="22"/>
                      <w:szCs w:val="22"/>
                    </w:rPr>
                    <w:t>0,67</w:t>
                  </w:r>
                  <w:r w:rsidRPr="00154E08">
                    <w:rPr>
                      <w:rFonts w:eastAsia="Calibri" w:cs="Times New Roman"/>
                      <w:spacing w:val="-2"/>
                      <w:sz w:val="22"/>
                      <w:szCs w:val="22"/>
                    </w:rPr>
                    <w:t>%</w:t>
                  </w:r>
                </w:p>
              </w:tc>
              <w:tc>
                <w:tcPr>
                  <w:tcW w:w="1281" w:type="dxa"/>
                  <w:tcBorders>
                    <w:top w:val="double" w:sz="4" w:space="0" w:color="auto"/>
                    <w:left w:val="double" w:sz="4" w:space="0" w:color="auto"/>
                    <w:bottom w:val="double" w:sz="4" w:space="0" w:color="auto"/>
                    <w:right w:val="double" w:sz="4" w:space="0" w:color="auto"/>
                  </w:tcBorders>
                </w:tcPr>
                <w:p w14:paraId="4A947062" w14:textId="7B8232DC" w:rsidR="008A5BEA" w:rsidRPr="00154E08" w:rsidRDefault="008A5BEA" w:rsidP="5F298948">
                  <w:pPr>
                    <w:shd w:val="clear" w:color="auto" w:fill="FFFFFF" w:themeFill="background1"/>
                    <w:spacing w:line="240" w:lineRule="auto"/>
                    <w:jc w:val="both"/>
                    <w:rPr>
                      <w:rFonts w:eastAsia="Calibri" w:cs="Times New Roman"/>
                      <w:sz w:val="22"/>
                      <w:szCs w:val="22"/>
                    </w:rPr>
                  </w:pPr>
                  <w:r w:rsidRPr="00154E08">
                    <w:rPr>
                      <w:rFonts w:eastAsia="Calibri" w:cs="Times New Roman"/>
                      <w:sz w:val="22"/>
                      <w:szCs w:val="22"/>
                    </w:rPr>
                    <w:t>0,75%</w:t>
                  </w:r>
                </w:p>
                <w:p w14:paraId="12274B66" w14:textId="6B8ECE80" w:rsidR="008A5BEA" w:rsidRPr="00154E08" w:rsidRDefault="008A5BEA" w:rsidP="265D07EB">
                  <w:pPr>
                    <w:spacing w:line="240" w:lineRule="auto"/>
                    <w:jc w:val="both"/>
                    <w:rPr>
                      <w:rFonts w:eastAsia="Calibri" w:cs="Times New Roman"/>
                      <w:sz w:val="22"/>
                      <w:szCs w:val="22"/>
                    </w:rPr>
                  </w:pPr>
                </w:p>
              </w:tc>
              <w:tc>
                <w:tcPr>
                  <w:tcW w:w="1220" w:type="dxa"/>
                  <w:tcBorders>
                    <w:top w:val="double" w:sz="4" w:space="0" w:color="auto"/>
                    <w:left w:val="double" w:sz="4" w:space="0" w:color="auto"/>
                    <w:bottom w:val="double" w:sz="4" w:space="0" w:color="auto"/>
                    <w:right w:val="double" w:sz="4" w:space="0" w:color="auto"/>
                  </w:tcBorders>
                </w:tcPr>
                <w:p w14:paraId="4774C9F8" w14:textId="5B806675" w:rsidR="008A5BEA" w:rsidRPr="00154E08" w:rsidRDefault="008A5BEA" w:rsidP="5F298948">
                  <w:pPr>
                    <w:shd w:val="clear" w:color="auto" w:fill="FFFFFF" w:themeFill="background1"/>
                    <w:spacing w:line="240" w:lineRule="auto"/>
                    <w:jc w:val="both"/>
                    <w:rPr>
                      <w:rFonts w:eastAsia="Calibri" w:cs="Times New Roman"/>
                      <w:sz w:val="22"/>
                      <w:szCs w:val="22"/>
                    </w:rPr>
                  </w:pPr>
                  <w:r w:rsidRPr="00154E08">
                    <w:rPr>
                      <w:rFonts w:eastAsia="Calibri" w:cs="Times New Roman"/>
                      <w:sz w:val="22"/>
                      <w:szCs w:val="22"/>
                    </w:rPr>
                    <w:t>0,87%</w:t>
                  </w:r>
                </w:p>
                <w:p w14:paraId="28B3F386" w14:textId="0E94CB24" w:rsidR="008A5BEA" w:rsidRPr="00154E08" w:rsidRDefault="008A5BEA" w:rsidP="3369EA36">
                  <w:pPr>
                    <w:spacing w:line="240" w:lineRule="auto"/>
                    <w:jc w:val="both"/>
                    <w:rPr>
                      <w:rFonts w:eastAsia="Calibri" w:cs="Times New Roman"/>
                      <w:sz w:val="22"/>
                      <w:szCs w:val="22"/>
                    </w:rPr>
                  </w:pPr>
                </w:p>
              </w:tc>
            </w:tr>
            <w:tr w:rsidR="008A5BEA" w:rsidRPr="00B73770" w14:paraId="6FC6DBEB" w14:textId="377E86A7" w:rsidTr="001D5AB2">
              <w:trPr>
                <w:trHeight w:val="705"/>
              </w:trPr>
              <w:tc>
                <w:tcPr>
                  <w:tcW w:w="2065" w:type="dxa"/>
                  <w:tcBorders>
                    <w:top w:val="double" w:sz="4" w:space="0" w:color="auto"/>
                    <w:left w:val="double" w:sz="4" w:space="0" w:color="auto"/>
                    <w:bottom w:val="double" w:sz="4" w:space="0" w:color="auto"/>
                    <w:right w:val="double" w:sz="4" w:space="0" w:color="auto"/>
                  </w:tcBorders>
                  <w:shd w:val="clear" w:color="auto" w:fill="auto"/>
                  <w:hideMark/>
                </w:tcPr>
                <w:p w14:paraId="0571EEFF" w14:textId="05B15814" w:rsidR="008A5BEA" w:rsidRPr="00154E08" w:rsidRDefault="008A5BEA" w:rsidP="004C05BA">
                  <w:pPr>
                    <w:shd w:val="clear" w:color="auto" w:fill="FFFFFF" w:themeFill="background1"/>
                    <w:spacing w:line="240" w:lineRule="auto"/>
                    <w:jc w:val="both"/>
                    <w:rPr>
                      <w:rFonts w:eastAsia="Calibri" w:cs="Times New Roman"/>
                      <w:spacing w:val="-2"/>
                      <w:sz w:val="22"/>
                      <w:szCs w:val="22"/>
                    </w:rPr>
                  </w:pPr>
                  <w:r w:rsidRPr="00154E08">
                    <w:rPr>
                      <w:rFonts w:eastAsia="Calibri" w:cs="Times New Roman"/>
                      <w:b/>
                      <w:spacing w:val="-2"/>
                      <w:sz w:val="22"/>
                      <w:szCs w:val="22"/>
                    </w:rPr>
                    <w:t xml:space="preserve">Udział biopaliw </w:t>
                  </w:r>
                  <w:r w:rsidRPr="00154E08">
                    <w:rPr>
                      <w:rFonts w:eastAsia="Calibri" w:cs="Times New Roman"/>
                      <w:spacing w:val="-2"/>
                      <w:sz w:val="22"/>
                      <w:szCs w:val="22"/>
                    </w:rPr>
                    <w:t xml:space="preserve">(w tym Gen. II – bez </w:t>
                  </w:r>
                  <w:r w:rsidRPr="00154E08">
                    <w:rPr>
                      <w:rFonts w:eastAsia="Calibri" w:cs="Times New Roman"/>
                      <w:spacing w:val="-2"/>
                      <w:sz w:val="22"/>
                      <w:szCs w:val="22"/>
                    </w:rPr>
                    <w:lastRenderedPageBreak/>
                    <w:t>uwzględnienia mnożnika)</w:t>
                  </w:r>
                </w:p>
              </w:tc>
              <w:tc>
                <w:tcPr>
                  <w:tcW w:w="1311" w:type="dxa"/>
                  <w:tcBorders>
                    <w:top w:val="double" w:sz="4" w:space="0" w:color="auto"/>
                    <w:left w:val="double" w:sz="4" w:space="0" w:color="auto"/>
                    <w:bottom w:val="double" w:sz="4" w:space="0" w:color="auto"/>
                    <w:right w:val="double" w:sz="4" w:space="0" w:color="auto"/>
                  </w:tcBorders>
                  <w:hideMark/>
                </w:tcPr>
                <w:p w14:paraId="0C27A49D" w14:textId="6A1F8F1C" w:rsidR="008A5BEA" w:rsidRPr="00154E08" w:rsidRDefault="008A5BEA" w:rsidP="5F298948">
                  <w:pPr>
                    <w:shd w:val="clear" w:color="auto" w:fill="FFFFFF" w:themeFill="background1"/>
                    <w:spacing w:line="240" w:lineRule="auto"/>
                    <w:jc w:val="both"/>
                    <w:rPr>
                      <w:rFonts w:eastAsia="Calibri" w:cs="Times New Roman"/>
                      <w:b/>
                      <w:bCs/>
                      <w:spacing w:val="-2"/>
                      <w:sz w:val="22"/>
                      <w:szCs w:val="22"/>
                      <w:lang w:val="en-US"/>
                    </w:rPr>
                  </w:pPr>
                  <w:r w:rsidRPr="00154E08">
                    <w:rPr>
                      <w:rFonts w:eastAsia="Calibri" w:cs="Times New Roman"/>
                      <w:b/>
                      <w:bCs/>
                      <w:spacing w:val="-2"/>
                      <w:sz w:val="22"/>
                      <w:szCs w:val="22"/>
                      <w:lang w:val="en-US"/>
                    </w:rPr>
                    <w:lastRenderedPageBreak/>
                    <w:t>4,55%</w:t>
                  </w:r>
                </w:p>
                <w:p w14:paraId="6C67B34C" w14:textId="60E334F3" w:rsidR="008A5BEA" w:rsidRPr="00154E08" w:rsidRDefault="008A5BEA" w:rsidP="5F298948">
                  <w:pPr>
                    <w:shd w:val="clear" w:color="auto" w:fill="FFFFFF" w:themeFill="background1"/>
                    <w:spacing w:line="240" w:lineRule="auto"/>
                    <w:jc w:val="both"/>
                    <w:rPr>
                      <w:rFonts w:eastAsia="Calibri" w:cs="Times New Roman"/>
                      <w:b/>
                      <w:bCs/>
                      <w:sz w:val="22"/>
                      <w:szCs w:val="22"/>
                      <w:lang w:val="en-US"/>
                    </w:rPr>
                  </w:pPr>
                </w:p>
                <w:p w14:paraId="71A990FE" w14:textId="72E420AF" w:rsidR="008A5BEA" w:rsidRPr="00154E08" w:rsidRDefault="008A5BEA" w:rsidP="5F298948">
                  <w:pPr>
                    <w:shd w:val="clear" w:color="auto" w:fill="FFFFFF" w:themeFill="background1"/>
                    <w:spacing w:line="240" w:lineRule="auto"/>
                    <w:jc w:val="both"/>
                    <w:rPr>
                      <w:rFonts w:eastAsia="Calibri" w:cs="Times New Roman"/>
                      <w:sz w:val="22"/>
                      <w:szCs w:val="22"/>
                      <w:lang w:val="en-US"/>
                    </w:rPr>
                  </w:pPr>
                  <w:r w:rsidRPr="00154E08">
                    <w:rPr>
                      <w:rFonts w:eastAsia="Calibri" w:cs="Times New Roman"/>
                      <w:sz w:val="22"/>
                      <w:szCs w:val="22"/>
                      <w:lang w:val="en-US"/>
                    </w:rPr>
                    <w:lastRenderedPageBreak/>
                    <w:t>(Gen. II 0,16%)</w:t>
                  </w:r>
                </w:p>
                <w:p w14:paraId="67E2E1EB" w14:textId="08A28669" w:rsidR="008A5BEA" w:rsidRPr="00154E08" w:rsidRDefault="008A5BEA" w:rsidP="004C05BA">
                  <w:pPr>
                    <w:shd w:val="clear" w:color="auto" w:fill="FFFFFF" w:themeFill="background1"/>
                    <w:spacing w:line="240" w:lineRule="auto"/>
                    <w:jc w:val="both"/>
                    <w:rPr>
                      <w:rFonts w:eastAsia="Calibri" w:cs="Times New Roman"/>
                      <w:spacing w:val="-2"/>
                      <w:sz w:val="22"/>
                      <w:szCs w:val="22"/>
                      <w:lang w:val="en-US"/>
                    </w:rPr>
                  </w:pPr>
                </w:p>
              </w:tc>
              <w:tc>
                <w:tcPr>
                  <w:tcW w:w="1387" w:type="dxa"/>
                  <w:tcBorders>
                    <w:top w:val="double" w:sz="4" w:space="0" w:color="auto"/>
                    <w:left w:val="double" w:sz="4" w:space="0" w:color="auto"/>
                    <w:bottom w:val="double" w:sz="4" w:space="0" w:color="auto"/>
                    <w:right w:val="double" w:sz="4" w:space="0" w:color="auto"/>
                  </w:tcBorders>
                  <w:hideMark/>
                </w:tcPr>
                <w:p w14:paraId="1C09D80C" w14:textId="5E0B1BBF" w:rsidR="008A5BEA" w:rsidRPr="00154E08" w:rsidRDefault="008A5BEA" w:rsidP="5F298948">
                  <w:pPr>
                    <w:shd w:val="clear" w:color="auto" w:fill="FFFFFF" w:themeFill="background1"/>
                    <w:spacing w:line="240" w:lineRule="auto"/>
                    <w:jc w:val="both"/>
                    <w:rPr>
                      <w:rFonts w:eastAsia="Calibri" w:cs="Times New Roman"/>
                      <w:b/>
                      <w:bCs/>
                      <w:spacing w:val="-2"/>
                      <w:sz w:val="22"/>
                      <w:szCs w:val="22"/>
                      <w:lang w:val="en-US"/>
                    </w:rPr>
                  </w:pPr>
                  <w:r w:rsidRPr="00154E08">
                    <w:rPr>
                      <w:rFonts w:eastAsia="Calibri" w:cs="Times New Roman"/>
                      <w:b/>
                      <w:bCs/>
                      <w:spacing w:val="-2"/>
                      <w:sz w:val="22"/>
                      <w:szCs w:val="22"/>
                      <w:lang w:val="en-US"/>
                    </w:rPr>
                    <w:lastRenderedPageBreak/>
                    <w:t>5,10%</w:t>
                  </w:r>
                </w:p>
                <w:p w14:paraId="60DA250E" w14:textId="5F546B05" w:rsidR="008A5BEA" w:rsidRPr="00154E08" w:rsidRDefault="008A5BEA" w:rsidP="5F298948">
                  <w:pPr>
                    <w:shd w:val="clear" w:color="auto" w:fill="FFFFFF" w:themeFill="background1"/>
                    <w:spacing w:line="240" w:lineRule="auto"/>
                    <w:jc w:val="both"/>
                    <w:rPr>
                      <w:rFonts w:eastAsia="Calibri" w:cs="Times New Roman"/>
                      <w:b/>
                      <w:bCs/>
                      <w:sz w:val="22"/>
                      <w:szCs w:val="22"/>
                      <w:lang w:val="en-US"/>
                    </w:rPr>
                  </w:pPr>
                </w:p>
                <w:p w14:paraId="35041E3F" w14:textId="5B4A93B5" w:rsidR="008A5BEA" w:rsidRPr="00154E08" w:rsidRDefault="008A5BEA" w:rsidP="5F298948">
                  <w:pPr>
                    <w:shd w:val="clear" w:color="auto" w:fill="FFFFFF" w:themeFill="background1"/>
                    <w:spacing w:line="240" w:lineRule="auto"/>
                    <w:jc w:val="both"/>
                    <w:rPr>
                      <w:rFonts w:eastAsia="Calibri" w:cs="Times New Roman"/>
                      <w:sz w:val="22"/>
                      <w:szCs w:val="22"/>
                      <w:lang w:val="en-US"/>
                    </w:rPr>
                  </w:pPr>
                  <w:r w:rsidRPr="00154E08">
                    <w:rPr>
                      <w:rFonts w:eastAsia="Calibri" w:cs="Times New Roman"/>
                      <w:sz w:val="22"/>
                      <w:szCs w:val="22"/>
                      <w:lang w:val="en-US"/>
                    </w:rPr>
                    <w:lastRenderedPageBreak/>
                    <w:t>(Gen. II 0,36%)</w:t>
                  </w:r>
                </w:p>
                <w:p w14:paraId="10CBA6B3" w14:textId="672232A2" w:rsidR="008A5BEA" w:rsidRPr="00154E08" w:rsidRDefault="008A5BEA" w:rsidP="004C05BA">
                  <w:pPr>
                    <w:shd w:val="clear" w:color="auto" w:fill="FFFFFF" w:themeFill="background1"/>
                    <w:spacing w:line="240" w:lineRule="auto"/>
                    <w:jc w:val="both"/>
                    <w:rPr>
                      <w:rFonts w:eastAsia="Calibri" w:cs="Times New Roman"/>
                      <w:spacing w:val="-2"/>
                      <w:sz w:val="22"/>
                      <w:szCs w:val="22"/>
                      <w:lang w:val="en-US"/>
                    </w:rPr>
                  </w:pPr>
                </w:p>
              </w:tc>
              <w:tc>
                <w:tcPr>
                  <w:tcW w:w="1281" w:type="dxa"/>
                  <w:tcBorders>
                    <w:top w:val="double" w:sz="4" w:space="0" w:color="auto"/>
                    <w:left w:val="double" w:sz="4" w:space="0" w:color="auto"/>
                    <w:bottom w:val="double" w:sz="4" w:space="0" w:color="auto"/>
                    <w:right w:val="double" w:sz="4" w:space="0" w:color="auto"/>
                  </w:tcBorders>
                </w:tcPr>
                <w:p w14:paraId="3DA6A3EA" w14:textId="2EFCC263" w:rsidR="008A5BEA" w:rsidRPr="00154E08" w:rsidRDefault="008A5BEA" w:rsidP="5F298948">
                  <w:pPr>
                    <w:shd w:val="clear" w:color="auto" w:fill="FFFFFF" w:themeFill="background1"/>
                    <w:spacing w:line="240" w:lineRule="auto"/>
                    <w:jc w:val="both"/>
                    <w:rPr>
                      <w:rFonts w:eastAsia="Calibri" w:cs="Times New Roman"/>
                      <w:b/>
                      <w:bCs/>
                      <w:sz w:val="22"/>
                      <w:szCs w:val="22"/>
                      <w:lang w:val="en-US"/>
                    </w:rPr>
                  </w:pPr>
                  <w:r w:rsidRPr="00154E08">
                    <w:rPr>
                      <w:rFonts w:eastAsia="Calibri" w:cs="Times New Roman"/>
                      <w:b/>
                      <w:bCs/>
                      <w:sz w:val="22"/>
                      <w:szCs w:val="22"/>
                      <w:lang w:val="en-US"/>
                    </w:rPr>
                    <w:lastRenderedPageBreak/>
                    <w:t>4,92%</w:t>
                  </w:r>
                </w:p>
                <w:p w14:paraId="05940B74" w14:textId="7A7BF38F" w:rsidR="008A5BEA" w:rsidRPr="00154E08" w:rsidRDefault="008A5BEA" w:rsidP="5F298948">
                  <w:pPr>
                    <w:spacing w:line="240" w:lineRule="auto"/>
                    <w:jc w:val="both"/>
                    <w:rPr>
                      <w:rFonts w:eastAsia="Calibri" w:cs="Times New Roman"/>
                      <w:b/>
                      <w:bCs/>
                      <w:sz w:val="22"/>
                      <w:szCs w:val="22"/>
                      <w:lang w:val="en-US"/>
                    </w:rPr>
                  </w:pPr>
                </w:p>
                <w:p w14:paraId="57E59561" w14:textId="78BACB07" w:rsidR="008A5BEA" w:rsidRPr="00154E08" w:rsidRDefault="008A5BEA" w:rsidP="5F298948">
                  <w:pPr>
                    <w:shd w:val="clear" w:color="auto" w:fill="FFFFFF" w:themeFill="background1"/>
                    <w:spacing w:line="240" w:lineRule="auto"/>
                    <w:jc w:val="both"/>
                    <w:rPr>
                      <w:rFonts w:eastAsia="Calibri" w:cs="Times New Roman"/>
                      <w:sz w:val="22"/>
                      <w:szCs w:val="22"/>
                      <w:lang w:val="en-US"/>
                    </w:rPr>
                  </w:pPr>
                  <w:r w:rsidRPr="00154E08">
                    <w:rPr>
                      <w:rFonts w:eastAsia="Calibri" w:cs="Times New Roman"/>
                      <w:sz w:val="22"/>
                      <w:szCs w:val="22"/>
                      <w:lang w:val="en-US"/>
                    </w:rPr>
                    <w:lastRenderedPageBreak/>
                    <w:t>(Gen. II 0,14%)</w:t>
                  </w:r>
                </w:p>
              </w:tc>
              <w:tc>
                <w:tcPr>
                  <w:tcW w:w="1220" w:type="dxa"/>
                  <w:tcBorders>
                    <w:top w:val="double" w:sz="4" w:space="0" w:color="auto"/>
                    <w:left w:val="double" w:sz="4" w:space="0" w:color="auto"/>
                    <w:bottom w:val="double" w:sz="4" w:space="0" w:color="auto"/>
                    <w:right w:val="double" w:sz="4" w:space="0" w:color="auto"/>
                  </w:tcBorders>
                </w:tcPr>
                <w:p w14:paraId="3077BDCD" w14:textId="5E529DA9" w:rsidR="008A5BEA" w:rsidRPr="00154E08" w:rsidRDefault="008A5BEA" w:rsidP="5F298948">
                  <w:pPr>
                    <w:shd w:val="clear" w:color="auto" w:fill="FFFFFF" w:themeFill="background1"/>
                    <w:spacing w:line="240" w:lineRule="auto"/>
                    <w:jc w:val="both"/>
                    <w:rPr>
                      <w:rFonts w:eastAsia="Calibri" w:cs="Times New Roman"/>
                      <w:b/>
                      <w:bCs/>
                      <w:sz w:val="22"/>
                      <w:szCs w:val="22"/>
                      <w:lang w:val="en-US"/>
                    </w:rPr>
                  </w:pPr>
                  <w:r w:rsidRPr="00154E08">
                    <w:rPr>
                      <w:rFonts w:eastAsia="Calibri" w:cs="Times New Roman"/>
                      <w:b/>
                      <w:bCs/>
                      <w:sz w:val="22"/>
                      <w:szCs w:val="22"/>
                      <w:lang w:val="en-US"/>
                    </w:rPr>
                    <w:lastRenderedPageBreak/>
                    <w:t>4,93%</w:t>
                  </w:r>
                </w:p>
                <w:p w14:paraId="0E498DFA" w14:textId="47E376DB" w:rsidR="008A5BEA" w:rsidRPr="00154E08" w:rsidRDefault="008A5BEA" w:rsidP="5F298948">
                  <w:pPr>
                    <w:spacing w:line="240" w:lineRule="auto"/>
                    <w:jc w:val="both"/>
                    <w:rPr>
                      <w:rFonts w:eastAsia="Calibri" w:cs="Times New Roman"/>
                      <w:b/>
                      <w:bCs/>
                      <w:sz w:val="22"/>
                      <w:szCs w:val="22"/>
                      <w:lang w:val="en-US"/>
                    </w:rPr>
                  </w:pPr>
                </w:p>
                <w:p w14:paraId="5D0F9C64" w14:textId="58F65652" w:rsidR="008A5BEA" w:rsidRPr="00154E08" w:rsidRDefault="008A5BEA" w:rsidP="5F298948">
                  <w:pPr>
                    <w:spacing w:line="240" w:lineRule="auto"/>
                    <w:jc w:val="both"/>
                    <w:rPr>
                      <w:rFonts w:eastAsia="Calibri" w:cs="Times New Roman"/>
                      <w:sz w:val="22"/>
                      <w:szCs w:val="22"/>
                      <w:lang w:val="en-US"/>
                    </w:rPr>
                  </w:pPr>
                  <w:r w:rsidRPr="00154E08">
                    <w:rPr>
                      <w:rFonts w:eastAsia="Calibri" w:cs="Times New Roman"/>
                      <w:sz w:val="22"/>
                      <w:szCs w:val="22"/>
                      <w:lang w:val="en-US"/>
                    </w:rPr>
                    <w:lastRenderedPageBreak/>
                    <w:t>(Gen. II 0,15%)</w:t>
                  </w:r>
                </w:p>
              </w:tc>
            </w:tr>
          </w:tbl>
          <w:p w14:paraId="13E7FEEB" w14:textId="261E9CAB" w:rsidR="005D6E51" w:rsidRPr="00154E08" w:rsidRDefault="5F298948" w:rsidP="008A5BEA">
            <w:pPr>
              <w:shd w:val="clear" w:color="auto" w:fill="FFFFFF" w:themeFill="background1"/>
              <w:spacing w:line="240" w:lineRule="auto"/>
              <w:jc w:val="both"/>
              <w:rPr>
                <w:rFonts w:eastAsia="Calibri" w:cs="Times New Roman"/>
                <w:sz w:val="22"/>
                <w:szCs w:val="22"/>
                <w:lang w:val="en-US"/>
              </w:rPr>
            </w:pPr>
            <w:proofErr w:type="spellStart"/>
            <w:r w:rsidRPr="00154E08">
              <w:rPr>
                <w:rFonts w:cs="Times New Roman"/>
                <w:sz w:val="22"/>
                <w:szCs w:val="22"/>
                <w:lang w:val="en-US"/>
              </w:rPr>
              <w:lastRenderedPageBreak/>
              <w:t>Źródło</w:t>
            </w:r>
            <w:proofErr w:type="spellEnd"/>
            <w:r w:rsidRPr="00154E08">
              <w:rPr>
                <w:rFonts w:cs="Times New Roman"/>
                <w:sz w:val="22"/>
                <w:szCs w:val="22"/>
                <w:lang w:val="en-US"/>
              </w:rPr>
              <w:t>: SHARES, 02.2024 r.</w:t>
            </w:r>
          </w:p>
          <w:p w14:paraId="1320BF5A" w14:textId="594403EB" w:rsidR="00E4057B" w:rsidRPr="00154E08" w:rsidRDefault="00E4057B" w:rsidP="00F44C8C">
            <w:pPr>
              <w:shd w:val="clear" w:color="auto" w:fill="FFFFFF" w:themeFill="background1"/>
              <w:spacing w:line="240" w:lineRule="auto"/>
              <w:jc w:val="both"/>
              <w:rPr>
                <w:rFonts w:eastAsia="Calibri" w:cs="Times New Roman"/>
                <w:spacing w:val="-2"/>
                <w:sz w:val="22"/>
                <w:szCs w:val="22"/>
                <w:lang w:val="en-US"/>
              </w:rPr>
            </w:pPr>
          </w:p>
          <w:p w14:paraId="38D73AB5" w14:textId="0D75B705" w:rsidR="00B775D6" w:rsidRPr="00154E08" w:rsidRDefault="5F298948" w:rsidP="00B279FD">
            <w:pPr>
              <w:spacing w:line="240" w:lineRule="auto"/>
              <w:jc w:val="both"/>
              <w:rPr>
                <w:rFonts w:eastAsia="Calibri" w:cs="Times New Roman"/>
                <w:spacing w:val="-2"/>
                <w:sz w:val="22"/>
                <w:szCs w:val="22"/>
              </w:rPr>
            </w:pPr>
            <w:bookmarkStart w:id="3" w:name="_Hlk78373523"/>
            <w:r w:rsidRPr="00154E08">
              <w:rPr>
                <w:rFonts w:eastAsia="Calibri" w:cs="Times New Roman"/>
                <w:sz w:val="22"/>
                <w:szCs w:val="22"/>
              </w:rPr>
              <w:t>Obecnie</w:t>
            </w:r>
            <w:r w:rsidR="00406FBF" w:rsidRPr="00154E08">
              <w:rPr>
                <w:rFonts w:eastAsia="Calibri" w:cs="Times New Roman"/>
                <w:spacing w:val="-2"/>
                <w:sz w:val="22"/>
                <w:szCs w:val="22"/>
              </w:rPr>
              <w:t xml:space="preserve"> cel OZE w transporcie w </w:t>
            </w:r>
            <w:r w:rsidR="0016251F" w:rsidRPr="00154E08">
              <w:rPr>
                <w:rFonts w:eastAsia="Calibri" w:cs="Times New Roman"/>
                <w:spacing w:val="-2"/>
                <w:sz w:val="22"/>
                <w:szCs w:val="22"/>
              </w:rPr>
              <w:t xml:space="preserve">Rzeczypospolitej </w:t>
            </w:r>
            <w:r w:rsidR="0041477C" w:rsidRPr="00154E08">
              <w:rPr>
                <w:rFonts w:eastAsia="Calibri" w:cs="Times New Roman"/>
                <w:spacing w:val="-2"/>
                <w:sz w:val="22"/>
                <w:szCs w:val="22"/>
              </w:rPr>
              <w:t>Pols</w:t>
            </w:r>
            <w:r w:rsidR="0016251F" w:rsidRPr="00154E08">
              <w:rPr>
                <w:rFonts w:eastAsia="Calibri" w:cs="Times New Roman"/>
                <w:spacing w:val="-2"/>
                <w:sz w:val="22"/>
                <w:szCs w:val="22"/>
              </w:rPr>
              <w:t>kiej</w:t>
            </w:r>
            <w:r w:rsidR="0041477C" w:rsidRPr="00154E08">
              <w:rPr>
                <w:rFonts w:eastAsia="Calibri" w:cs="Times New Roman"/>
                <w:spacing w:val="-2"/>
                <w:sz w:val="22"/>
                <w:szCs w:val="22"/>
              </w:rPr>
              <w:t xml:space="preserve"> jest </w:t>
            </w:r>
            <w:r w:rsidR="008E3D3A" w:rsidRPr="00154E08">
              <w:rPr>
                <w:rFonts w:eastAsia="Calibri" w:cs="Times New Roman"/>
                <w:spacing w:val="-2"/>
                <w:sz w:val="22"/>
                <w:szCs w:val="22"/>
              </w:rPr>
              <w:t xml:space="preserve">realizowany przede wszystkim </w:t>
            </w:r>
            <w:r w:rsidR="005D6E51" w:rsidRPr="00154E08">
              <w:rPr>
                <w:rFonts w:eastAsia="Calibri" w:cs="Times New Roman"/>
                <w:spacing w:val="-2"/>
                <w:sz w:val="22"/>
                <w:szCs w:val="22"/>
              </w:rPr>
              <w:t>przy wykorzystaniu</w:t>
            </w:r>
            <w:r w:rsidR="008E3D3A" w:rsidRPr="00154E08">
              <w:rPr>
                <w:rFonts w:eastAsia="Calibri" w:cs="Times New Roman"/>
                <w:spacing w:val="-2"/>
                <w:sz w:val="22"/>
                <w:szCs w:val="22"/>
              </w:rPr>
              <w:t xml:space="preserve"> biopaliw I</w:t>
            </w:r>
            <w:r w:rsidR="003C7C3F" w:rsidRPr="00154E08">
              <w:rPr>
                <w:rFonts w:eastAsia="Calibri" w:cs="Times New Roman"/>
                <w:spacing w:val="-2"/>
                <w:sz w:val="22"/>
                <w:szCs w:val="22"/>
              </w:rPr>
              <w:t xml:space="preserve"> generacji</w:t>
            </w:r>
            <w:r w:rsidR="008E3D3A" w:rsidRPr="00154E08">
              <w:rPr>
                <w:rFonts w:eastAsia="Calibri" w:cs="Times New Roman"/>
                <w:spacing w:val="-2"/>
                <w:sz w:val="22"/>
                <w:szCs w:val="22"/>
              </w:rPr>
              <w:t xml:space="preserve">. </w:t>
            </w:r>
            <w:r w:rsidR="006454B9" w:rsidRPr="00154E08">
              <w:rPr>
                <w:rFonts w:eastAsia="Calibri" w:cs="Times New Roman"/>
                <w:spacing w:val="-2"/>
                <w:sz w:val="22"/>
                <w:szCs w:val="22"/>
              </w:rPr>
              <w:t>Realizacja ww.</w:t>
            </w:r>
            <w:r w:rsidR="00BC28A7" w:rsidRPr="00154E08">
              <w:rPr>
                <w:rFonts w:eastAsia="Calibri" w:cs="Times New Roman"/>
                <w:spacing w:val="-2"/>
                <w:sz w:val="22"/>
                <w:szCs w:val="22"/>
              </w:rPr>
              <w:t xml:space="preserve"> </w:t>
            </w:r>
            <w:r w:rsidR="006454B9" w:rsidRPr="00154E08">
              <w:rPr>
                <w:rFonts w:eastAsia="Calibri" w:cs="Times New Roman"/>
                <w:spacing w:val="-2"/>
                <w:sz w:val="22"/>
                <w:szCs w:val="22"/>
              </w:rPr>
              <w:t xml:space="preserve">celów </w:t>
            </w:r>
            <w:r w:rsidR="00237EA4" w:rsidRPr="00154E08">
              <w:rPr>
                <w:rFonts w:eastAsia="Calibri" w:cs="Times New Roman"/>
                <w:spacing w:val="-2"/>
                <w:sz w:val="22"/>
                <w:szCs w:val="22"/>
              </w:rPr>
              <w:t>NCW w 202</w:t>
            </w:r>
            <w:r w:rsidR="00F93583" w:rsidRPr="00154E08">
              <w:rPr>
                <w:rFonts w:eastAsia="Calibri" w:cs="Times New Roman"/>
                <w:spacing w:val="-2"/>
                <w:sz w:val="22"/>
                <w:szCs w:val="22"/>
              </w:rPr>
              <w:t>2</w:t>
            </w:r>
            <w:r w:rsidR="0016251F" w:rsidRPr="00154E08">
              <w:rPr>
                <w:rFonts w:eastAsia="Calibri" w:cs="Times New Roman"/>
                <w:spacing w:val="-2"/>
                <w:sz w:val="22"/>
                <w:szCs w:val="22"/>
              </w:rPr>
              <w:t xml:space="preserve"> r.</w:t>
            </w:r>
            <w:r w:rsidR="00237EA4" w:rsidRPr="00154E08">
              <w:rPr>
                <w:rFonts w:eastAsia="Calibri" w:cs="Times New Roman"/>
                <w:spacing w:val="-2"/>
                <w:sz w:val="22"/>
                <w:szCs w:val="22"/>
              </w:rPr>
              <w:t xml:space="preserve"> </w:t>
            </w:r>
            <w:r w:rsidR="008E3D3A" w:rsidRPr="00154E08">
              <w:rPr>
                <w:rFonts w:eastAsia="Calibri" w:cs="Times New Roman"/>
                <w:color w:val="000000"/>
                <w:spacing w:val="-2"/>
                <w:sz w:val="22"/>
                <w:szCs w:val="22"/>
              </w:rPr>
              <w:t>wymagał</w:t>
            </w:r>
            <w:r w:rsidR="0086727F" w:rsidRPr="00154E08">
              <w:rPr>
                <w:rFonts w:eastAsia="Calibri" w:cs="Times New Roman"/>
                <w:color w:val="000000"/>
                <w:spacing w:val="-2"/>
                <w:sz w:val="22"/>
                <w:szCs w:val="22"/>
              </w:rPr>
              <w:t>a</w:t>
            </w:r>
            <w:r w:rsidR="008E3D3A" w:rsidRPr="00154E08">
              <w:rPr>
                <w:rFonts w:eastAsia="Calibri" w:cs="Times New Roman"/>
                <w:color w:val="000000"/>
                <w:spacing w:val="-2"/>
                <w:sz w:val="22"/>
                <w:szCs w:val="22"/>
              </w:rPr>
              <w:t xml:space="preserve"> dodawania do </w:t>
            </w:r>
            <w:r w:rsidR="008E3D3A" w:rsidRPr="00154E08">
              <w:rPr>
                <w:rFonts w:eastAsia="Calibri" w:cs="Times New Roman"/>
                <w:iCs/>
                <w:color w:val="000000"/>
                <w:spacing w:val="-2"/>
                <w:sz w:val="22"/>
                <w:szCs w:val="22"/>
              </w:rPr>
              <w:t>oleju napędowego</w:t>
            </w:r>
            <w:r w:rsidR="008E3D3A" w:rsidRPr="00154E08">
              <w:rPr>
                <w:rFonts w:eastAsia="Calibri" w:cs="Times New Roman"/>
                <w:color w:val="000000"/>
                <w:spacing w:val="-2"/>
                <w:sz w:val="22"/>
                <w:szCs w:val="22"/>
              </w:rPr>
              <w:t xml:space="preserve"> lub </w:t>
            </w:r>
            <w:r w:rsidR="008E3D3A" w:rsidRPr="00154E08">
              <w:rPr>
                <w:rFonts w:eastAsia="Calibri" w:cs="Times New Roman"/>
                <w:iCs/>
                <w:color w:val="000000"/>
                <w:spacing w:val="-2"/>
                <w:sz w:val="22"/>
                <w:szCs w:val="22"/>
              </w:rPr>
              <w:t>benzyn</w:t>
            </w:r>
            <w:r w:rsidR="008E3D3A" w:rsidRPr="00154E08">
              <w:rPr>
                <w:rFonts w:eastAsia="Calibri" w:cs="Times New Roman"/>
                <w:i/>
                <w:iCs/>
                <w:color w:val="000000"/>
                <w:spacing w:val="-2"/>
                <w:sz w:val="22"/>
                <w:szCs w:val="22"/>
              </w:rPr>
              <w:t xml:space="preserve"> </w:t>
            </w:r>
            <w:r w:rsidR="008E3D3A" w:rsidRPr="00154E08">
              <w:rPr>
                <w:rFonts w:eastAsia="Calibri" w:cs="Times New Roman"/>
                <w:color w:val="000000"/>
                <w:spacing w:val="-2"/>
                <w:sz w:val="22"/>
                <w:szCs w:val="22"/>
              </w:rPr>
              <w:t>biokomponentów w ilości: 1,</w:t>
            </w:r>
            <w:r w:rsidR="00324125" w:rsidRPr="00154E08">
              <w:rPr>
                <w:rFonts w:eastAsia="Calibri" w:cs="Times New Roman"/>
                <w:color w:val="000000"/>
                <w:spacing w:val="-2"/>
                <w:sz w:val="22"/>
                <w:szCs w:val="22"/>
              </w:rPr>
              <w:t>378</w:t>
            </w:r>
            <w:r w:rsidR="008E3D3A" w:rsidRPr="00154E08">
              <w:rPr>
                <w:rFonts w:eastAsia="Calibri" w:cs="Times New Roman"/>
                <w:color w:val="000000"/>
                <w:spacing w:val="-2"/>
                <w:sz w:val="22"/>
                <w:szCs w:val="22"/>
              </w:rPr>
              <w:t xml:space="preserve"> mln ton estrów </w:t>
            </w:r>
            <w:r w:rsidR="005D4855" w:rsidRPr="00154E08">
              <w:rPr>
                <w:rFonts w:eastAsia="Calibri" w:cs="Times New Roman"/>
                <w:color w:val="000000"/>
                <w:spacing w:val="-2"/>
                <w:sz w:val="22"/>
                <w:szCs w:val="22"/>
              </w:rPr>
              <w:t>(w tym</w:t>
            </w:r>
            <w:r w:rsidR="00E14125" w:rsidRPr="00154E08">
              <w:rPr>
                <w:rFonts w:eastAsia="Calibri" w:cs="Times New Roman"/>
                <w:color w:val="000000"/>
                <w:spacing w:val="-2"/>
                <w:sz w:val="22"/>
                <w:szCs w:val="22"/>
              </w:rPr>
              <w:t xml:space="preserve"> 2</w:t>
            </w:r>
            <w:r w:rsidR="00476028" w:rsidRPr="00154E08">
              <w:rPr>
                <w:rFonts w:eastAsia="Calibri" w:cs="Times New Roman"/>
                <w:color w:val="000000"/>
                <w:spacing w:val="-2"/>
                <w:sz w:val="22"/>
                <w:szCs w:val="22"/>
              </w:rPr>
              <w:t>74</w:t>
            </w:r>
            <w:r w:rsidR="005D4855" w:rsidRPr="00154E08">
              <w:rPr>
                <w:rFonts w:eastAsia="Calibri" w:cs="Times New Roman"/>
                <w:color w:val="000000"/>
                <w:spacing w:val="-2"/>
                <w:sz w:val="22"/>
                <w:szCs w:val="22"/>
              </w:rPr>
              <w:t xml:space="preserve"> tys. t</w:t>
            </w:r>
            <w:r w:rsidR="00E14125" w:rsidRPr="00154E08">
              <w:rPr>
                <w:rFonts w:eastAsia="Calibri" w:cs="Times New Roman"/>
                <w:color w:val="000000"/>
                <w:spacing w:val="-2"/>
                <w:sz w:val="22"/>
                <w:szCs w:val="22"/>
              </w:rPr>
              <w:t>on</w:t>
            </w:r>
            <w:r w:rsidR="005D4855" w:rsidRPr="00154E08">
              <w:rPr>
                <w:rFonts w:eastAsia="Calibri" w:cs="Times New Roman"/>
                <w:color w:val="000000"/>
                <w:spacing w:val="-2"/>
                <w:sz w:val="22"/>
                <w:szCs w:val="22"/>
              </w:rPr>
              <w:t xml:space="preserve"> B100</w:t>
            </w:r>
            <w:r w:rsidR="001E75A3" w:rsidRPr="00154E08">
              <w:rPr>
                <w:rFonts w:eastAsia="Calibri" w:cs="Times New Roman"/>
                <w:color w:val="000000"/>
                <w:spacing w:val="-2"/>
                <w:sz w:val="22"/>
                <w:szCs w:val="22"/>
              </w:rPr>
              <w:t xml:space="preserve">) </w:t>
            </w:r>
            <w:r w:rsidR="008E3D3A" w:rsidRPr="00154E08">
              <w:rPr>
                <w:rFonts w:eastAsia="Calibri" w:cs="Times New Roman"/>
                <w:color w:val="000000"/>
                <w:spacing w:val="-2"/>
                <w:sz w:val="22"/>
                <w:szCs w:val="22"/>
              </w:rPr>
              <w:t>oraz 0,</w:t>
            </w:r>
            <w:r w:rsidR="00476028" w:rsidRPr="00154E08">
              <w:rPr>
                <w:rFonts w:eastAsia="Calibri" w:cs="Times New Roman"/>
                <w:color w:val="000000"/>
                <w:spacing w:val="-2"/>
                <w:sz w:val="22"/>
                <w:szCs w:val="22"/>
              </w:rPr>
              <w:t>306</w:t>
            </w:r>
            <w:r w:rsidR="008E3D3A" w:rsidRPr="00154E08">
              <w:rPr>
                <w:rFonts w:eastAsia="Calibri" w:cs="Times New Roman"/>
                <w:color w:val="000000"/>
                <w:spacing w:val="-2"/>
                <w:sz w:val="22"/>
                <w:szCs w:val="22"/>
              </w:rPr>
              <w:t xml:space="preserve"> mln ton bioetanolu </w:t>
            </w:r>
            <w:r w:rsidR="0061538D" w:rsidRPr="00154E08">
              <w:rPr>
                <w:rFonts w:eastAsia="Calibri" w:cs="Times New Roman"/>
                <w:color w:val="000000"/>
                <w:spacing w:val="-2"/>
                <w:sz w:val="22"/>
                <w:szCs w:val="22"/>
              </w:rPr>
              <w:t>oraz</w:t>
            </w:r>
            <w:r w:rsidR="008E3D3A" w:rsidRPr="00154E08">
              <w:rPr>
                <w:rFonts w:eastAsia="Calibri" w:cs="Times New Roman"/>
                <w:color w:val="000000"/>
                <w:spacing w:val="-2"/>
                <w:sz w:val="22"/>
                <w:szCs w:val="22"/>
              </w:rPr>
              <w:t xml:space="preserve"> </w:t>
            </w:r>
            <w:r w:rsidR="005D6E51" w:rsidRPr="00154E08">
              <w:rPr>
                <w:rFonts w:eastAsia="Calibri" w:cs="Times New Roman"/>
                <w:color w:val="000000"/>
                <w:spacing w:val="-2"/>
                <w:sz w:val="22"/>
                <w:szCs w:val="22"/>
              </w:rPr>
              <w:t xml:space="preserve">ok. </w:t>
            </w:r>
            <w:r w:rsidR="00D57CEF" w:rsidRPr="00154E08">
              <w:rPr>
                <w:rFonts w:eastAsia="Calibri" w:cs="Times New Roman"/>
                <w:color w:val="000000"/>
                <w:spacing w:val="-2"/>
                <w:sz w:val="22"/>
                <w:szCs w:val="22"/>
              </w:rPr>
              <w:t>9,7</w:t>
            </w:r>
            <w:r w:rsidR="008E3D3A" w:rsidRPr="00154E08">
              <w:rPr>
                <w:rFonts w:eastAsia="Calibri" w:cs="Times New Roman"/>
                <w:color w:val="000000"/>
                <w:spacing w:val="-2"/>
                <w:sz w:val="22"/>
                <w:szCs w:val="22"/>
              </w:rPr>
              <w:t xml:space="preserve"> </w:t>
            </w:r>
            <w:r w:rsidR="00E14125" w:rsidRPr="00154E08">
              <w:rPr>
                <w:rFonts w:eastAsia="Calibri" w:cs="Times New Roman"/>
                <w:color w:val="000000"/>
                <w:spacing w:val="-2"/>
                <w:sz w:val="22"/>
                <w:szCs w:val="22"/>
              </w:rPr>
              <w:t xml:space="preserve">tys. </w:t>
            </w:r>
            <w:r w:rsidR="008E3D3A" w:rsidRPr="00154E08">
              <w:rPr>
                <w:rFonts w:eastAsia="Calibri" w:cs="Times New Roman"/>
                <w:color w:val="000000"/>
                <w:spacing w:val="-2"/>
                <w:sz w:val="22"/>
                <w:szCs w:val="22"/>
              </w:rPr>
              <w:t xml:space="preserve">ton </w:t>
            </w:r>
            <w:proofErr w:type="spellStart"/>
            <w:r w:rsidR="008E3D3A" w:rsidRPr="00154E08">
              <w:rPr>
                <w:rFonts w:eastAsia="Calibri" w:cs="Times New Roman"/>
                <w:color w:val="000000"/>
                <w:spacing w:val="-2"/>
                <w:sz w:val="22"/>
                <w:szCs w:val="22"/>
              </w:rPr>
              <w:t>biowęglowodorów</w:t>
            </w:r>
            <w:proofErr w:type="spellEnd"/>
            <w:r w:rsidR="008E3D3A" w:rsidRPr="00154E08">
              <w:rPr>
                <w:rFonts w:eastAsia="Calibri" w:cs="Times New Roman"/>
                <w:color w:val="000000"/>
                <w:spacing w:val="-2"/>
                <w:sz w:val="22"/>
                <w:szCs w:val="22"/>
              </w:rPr>
              <w:t xml:space="preserve"> ciekłych</w:t>
            </w:r>
            <w:r w:rsidR="008E3D3A" w:rsidRPr="00154E08">
              <w:rPr>
                <w:rFonts w:eastAsia="Calibri" w:cs="Times New Roman"/>
                <w:b/>
                <w:bCs/>
                <w:color w:val="000000"/>
                <w:spacing w:val="-2"/>
                <w:sz w:val="22"/>
                <w:szCs w:val="22"/>
              </w:rPr>
              <w:t xml:space="preserve"> </w:t>
            </w:r>
            <w:r w:rsidR="005D6E51" w:rsidRPr="00154E08">
              <w:rPr>
                <w:rFonts w:eastAsia="Calibri" w:cs="Times New Roman"/>
                <w:color w:val="000000"/>
                <w:spacing w:val="-2"/>
                <w:sz w:val="22"/>
                <w:szCs w:val="22"/>
              </w:rPr>
              <w:t>–</w:t>
            </w:r>
            <w:r w:rsidR="00453884" w:rsidRPr="00154E08">
              <w:rPr>
                <w:rFonts w:eastAsia="Calibri" w:cs="Times New Roman"/>
                <w:color w:val="000000"/>
                <w:spacing w:val="-2"/>
                <w:sz w:val="22"/>
                <w:szCs w:val="22"/>
              </w:rPr>
              <w:t xml:space="preserve"> pochodzących gł</w:t>
            </w:r>
            <w:r w:rsidR="005513A1" w:rsidRPr="00154E08">
              <w:rPr>
                <w:rFonts w:eastAsia="Calibri" w:cs="Times New Roman"/>
                <w:color w:val="000000"/>
                <w:spacing w:val="-2"/>
                <w:sz w:val="22"/>
                <w:szCs w:val="22"/>
              </w:rPr>
              <w:t>ó</w:t>
            </w:r>
            <w:r w:rsidR="00453884" w:rsidRPr="00154E08">
              <w:rPr>
                <w:rFonts w:eastAsia="Calibri" w:cs="Times New Roman"/>
                <w:color w:val="000000"/>
                <w:spacing w:val="-2"/>
                <w:sz w:val="22"/>
                <w:szCs w:val="22"/>
              </w:rPr>
              <w:t>wnie z</w:t>
            </w:r>
            <w:r w:rsidR="005D6E51" w:rsidRPr="00154E08">
              <w:rPr>
                <w:rFonts w:eastAsia="Calibri" w:cs="Times New Roman"/>
                <w:color w:val="000000"/>
                <w:spacing w:val="-2"/>
                <w:sz w:val="22"/>
                <w:szCs w:val="22"/>
              </w:rPr>
              <w:t>e zrównoważonej</w:t>
            </w:r>
            <w:r w:rsidR="00453884" w:rsidRPr="00154E08">
              <w:rPr>
                <w:rFonts w:eastAsia="Calibri" w:cs="Times New Roman"/>
                <w:color w:val="000000"/>
                <w:spacing w:val="-2"/>
                <w:sz w:val="22"/>
                <w:szCs w:val="22"/>
              </w:rPr>
              <w:t xml:space="preserve"> </w:t>
            </w:r>
            <w:r w:rsidR="00237EA4" w:rsidRPr="00154E08">
              <w:rPr>
                <w:rFonts w:eastAsia="Calibri" w:cs="Times New Roman"/>
                <w:color w:val="000000"/>
                <w:spacing w:val="-2"/>
                <w:sz w:val="22"/>
                <w:szCs w:val="22"/>
              </w:rPr>
              <w:t xml:space="preserve">krajowej </w:t>
            </w:r>
            <w:r w:rsidR="00453884" w:rsidRPr="00154E08">
              <w:rPr>
                <w:rFonts w:eastAsia="Calibri" w:cs="Times New Roman"/>
                <w:color w:val="000000"/>
                <w:spacing w:val="-2"/>
                <w:sz w:val="22"/>
                <w:szCs w:val="22"/>
              </w:rPr>
              <w:t>produkcji</w:t>
            </w:r>
            <w:r w:rsidR="0044739B" w:rsidRPr="00154E08">
              <w:rPr>
                <w:rFonts w:eastAsia="Calibri" w:cs="Times New Roman"/>
                <w:color w:val="000000"/>
                <w:spacing w:val="-2"/>
                <w:sz w:val="22"/>
                <w:szCs w:val="22"/>
              </w:rPr>
              <w:t xml:space="preserve"> (dane URE, 2022 r.)</w:t>
            </w:r>
            <w:r w:rsidR="008E3D3A" w:rsidRPr="00154E08">
              <w:rPr>
                <w:rFonts w:eastAsia="Calibri" w:cs="Times New Roman"/>
                <w:color w:val="000000"/>
                <w:spacing w:val="-2"/>
                <w:sz w:val="22"/>
                <w:szCs w:val="22"/>
              </w:rPr>
              <w:t xml:space="preserve">. </w:t>
            </w:r>
            <w:bookmarkEnd w:id="3"/>
          </w:p>
          <w:p w14:paraId="5CC15BD1" w14:textId="77B547D1" w:rsidR="003A0922" w:rsidRPr="00154E08" w:rsidRDefault="003A0922" w:rsidP="00F44C8C">
            <w:pPr>
              <w:shd w:val="clear" w:color="auto" w:fill="FFFFFF" w:themeFill="background1"/>
              <w:spacing w:line="240" w:lineRule="auto"/>
              <w:jc w:val="both"/>
              <w:rPr>
                <w:rFonts w:eastAsia="Calibri" w:cs="Times New Roman"/>
                <w:spacing w:val="-2"/>
                <w:sz w:val="22"/>
                <w:szCs w:val="22"/>
              </w:rPr>
            </w:pPr>
            <w:r w:rsidRPr="00154E08">
              <w:rPr>
                <w:rFonts w:eastAsia="Calibri" w:cs="Times New Roman"/>
                <w:spacing w:val="-2"/>
                <w:sz w:val="22"/>
                <w:szCs w:val="22"/>
              </w:rPr>
              <w:t xml:space="preserve">Udział biopaliw </w:t>
            </w:r>
            <w:r w:rsidR="009C0215" w:rsidRPr="00154E08">
              <w:rPr>
                <w:rFonts w:eastAsia="Calibri" w:cs="Times New Roman"/>
                <w:spacing w:val="-2"/>
                <w:sz w:val="22"/>
                <w:szCs w:val="22"/>
              </w:rPr>
              <w:t>zaawansowanych</w:t>
            </w:r>
            <w:r w:rsidRPr="00154E08">
              <w:rPr>
                <w:rFonts w:eastAsia="Calibri" w:cs="Times New Roman"/>
                <w:spacing w:val="-2"/>
                <w:sz w:val="22"/>
                <w:szCs w:val="22"/>
              </w:rPr>
              <w:t xml:space="preserve"> </w:t>
            </w:r>
            <w:r w:rsidR="00BC28A7" w:rsidRPr="00154E08">
              <w:rPr>
                <w:rFonts w:eastAsia="Calibri" w:cs="Times New Roman"/>
                <w:spacing w:val="-2"/>
                <w:sz w:val="22"/>
                <w:szCs w:val="22"/>
              </w:rPr>
              <w:t xml:space="preserve">tj. paliw z </w:t>
            </w:r>
            <w:r w:rsidR="00097136" w:rsidRPr="00154E08">
              <w:rPr>
                <w:rFonts w:eastAsia="Calibri" w:cs="Times New Roman"/>
                <w:spacing w:val="-2"/>
                <w:sz w:val="22"/>
                <w:szCs w:val="22"/>
              </w:rPr>
              <w:t>surowców wskazanych w załączniku nr 1</w:t>
            </w:r>
            <w:r w:rsidR="00AA6703" w:rsidRPr="00154E08">
              <w:rPr>
                <w:rFonts w:eastAsia="Calibri" w:cs="Times New Roman"/>
                <w:spacing w:val="-2"/>
                <w:sz w:val="22"/>
                <w:szCs w:val="22"/>
              </w:rPr>
              <w:t xml:space="preserve"> do</w:t>
            </w:r>
            <w:r w:rsidR="00097136" w:rsidRPr="00154E08">
              <w:rPr>
                <w:rFonts w:eastAsia="Calibri" w:cs="Times New Roman"/>
                <w:spacing w:val="-2"/>
                <w:sz w:val="22"/>
                <w:szCs w:val="22"/>
              </w:rPr>
              <w:t xml:space="preserve"> ustawy</w:t>
            </w:r>
            <w:r w:rsidR="001E15B7" w:rsidRPr="00154E08">
              <w:rPr>
                <w:rFonts w:eastAsia="Calibri" w:cs="Times New Roman"/>
                <w:spacing w:val="-2"/>
                <w:sz w:val="22"/>
                <w:szCs w:val="22"/>
              </w:rPr>
              <w:t xml:space="preserve"> z</w:t>
            </w:r>
            <w:r w:rsidR="009A0957" w:rsidRPr="00154E08">
              <w:rPr>
                <w:rFonts w:eastAsia="Calibri" w:cs="Times New Roman"/>
                <w:spacing w:val="-2"/>
                <w:sz w:val="22"/>
                <w:szCs w:val="22"/>
              </w:rPr>
              <w:t> </w:t>
            </w:r>
            <w:r w:rsidR="00854DA8" w:rsidRPr="00154E08">
              <w:rPr>
                <w:rFonts w:cs="Times New Roman"/>
                <w:sz w:val="22"/>
                <w:szCs w:val="22"/>
              </w:rPr>
              <w:t>dnia 25 sierpnia 2006 r. o biokomponentach i biopaliwach ciekłych</w:t>
            </w:r>
            <w:r w:rsidR="00BC28A7" w:rsidRPr="00154E08">
              <w:rPr>
                <w:rFonts w:eastAsia="Calibri" w:cs="Times New Roman"/>
                <w:spacing w:val="-2"/>
                <w:sz w:val="22"/>
                <w:szCs w:val="22"/>
              </w:rPr>
              <w:t xml:space="preserve"> </w:t>
            </w:r>
            <w:r w:rsidR="00E14125" w:rsidRPr="00154E08">
              <w:rPr>
                <w:rFonts w:eastAsia="Calibri" w:cs="Times New Roman"/>
                <w:spacing w:val="-2"/>
                <w:sz w:val="22"/>
                <w:szCs w:val="22"/>
              </w:rPr>
              <w:t xml:space="preserve">w </w:t>
            </w:r>
            <w:r w:rsidR="008170DA" w:rsidRPr="00154E08">
              <w:rPr>
                <w:rFonts w:eastAsia="Calibri" w:cs="Times New Roman"/>
                <w:spacing w:val="-2"/>
                <w:sz w:val="22"/>
                <w:szCs w:val="22"/>
              </w:rPr>
              <w:t xml:space="preserve">2022 </w:t>
            </w:r>
            <w:r w:rsidR="00E14125" w:rsidRPr="00154E08">
              <w:rPr>
                <w:rFonts w:eastAsia="Calibri" w:cs="Times New Roman"/>
                <w:spacing w:val="-2"/>
                <w:sz w:val="22"/>
                <w:szCs w:val="22"/>
              </w:rPr>
              <w:t xml:space="preserve">r. </w:t>
            </w:r>
            <w:r w:rsidRPr="00154E08">
              <w:rPr>
                <w:rFonts w:eastAsia="Calibri" w:cs="Times New Roman"/>
                <w:spacing w:val="-2"/>
                <w:sz w:val="22"/>
                <w:szCs w:val="22"/>
              </w:rPr>
              <w:t>był minimalny i obejmował przede wszystki</w:t>
            </w:r>
            <w:r w:rsidR="00E14125" w:rsidRPr="00154E08">
              <w:rPr>
                <w:rFonts w:eastAsia="Calibri" w:cs="Times New Roman"/>
                <w:spacing w:val="-2"/>
                <w:sz w:val="22"/>
                <w:szCs w:val="22"/>
              </w:rPr>
              <w:t>m zużyty olej kuchenny</w:t>
            </w:r>
            <w:r w:rsidR="00E25599" w:rsidRPr="00154E08">
              <w:rPr>
                <w:rFonts w:eastAsia="Calibri" w:cs="Times New Roman"/>
                <w:spacing w:val="-2"/>
                <w:sz w:val="22"/>
                <w:szCs w:val="22"/>
              </w:rPr>
              <w:t xml:space="preserve"> (UCO)</w:t>
            </w:r>
            <w:r w:rsidR="00E14125" w:rsidRPr="00154E08">
              <w:rPr>
                <w:rFonts w:eastAsia="Calibri" w:cs="Times New Roman"/>
                <w:spacing w:val="-2"/>
                <w:sz w:val="22"/>
                <w:szCs w:val="22"/>
              </w:rPr>
              <w:t xml:space="preserve">. </w:t>
            </w:r>
          </w:p>
          <w:p w14:paraId="7C655609" w14:textId="1A437C7D" w:rsidR="00237EA4" w:rsidRPr="00154E08" w:rsidRDefault="001E75A3" w:rsidP="00F44C8C">
            <w:pPr>
              <w:shd w:val="clear" w:color="auto" w:fill="FFFFFF" w:themeFill="background1"/>
              <w:spacing w:line="240" w:lineRule="auto"/>
              <w:jc w:val="both"/>
              <w:rPr>
                <w:rFonts w:eastAsia="Calibri" w:cs="Times New Roman"/>
                <w:spacing w:val="-2"/>
                <w:sz w:val="22"/>
                <w:szCs w:val="22"/>
              </w:rPr>
            </w:pPr>
            <w:r w:rsidRPr="00154E08">
              <w:rPr>
                <w:rFonts w:eastAsia="Calibri" w:cs="Times New Roman"/>
                <w:spacing w:val="-2"/>
                <w:sz w:val="22"/>
                <w:szCs w:val="22"/>
              </w:rPr>
              <w:t>Udział energii elektrycznej</w:t>
            </w:r>
            <w:r w:rsidR="003A0922" w:rsidRPr="00154E08">
              <w:rPr>
                <w:rFonts w:eastAsia="Calibri" w:cs="Times New Roman"/>
                <w:spacing w:val="-2"/>
                <w:sz w:val="22"/>
                <w:szCs w:val="22"/>
              </w:rPr>
              <w:t xml:space="preserve"> z OZE wykorzystanej w pojazdach </w:t>
            </w:r>
            <w:r w:rsidRPr="00154E08">
              <w:rPr>
                <w:rFonts w:eastAsia="Calibri" w:cs="Times New Roman"/>
                <w:spacing w:val="-2"/>
                <w:sz w:val="22"/>
                <w:szCs w:val="22"/>
              </w:rPr>
              <w:t xml:space="preserve">wynosi ok. </w:t>
            </w:r>
            <w:r w:rsidR="001D5AB2" w:rsidRPr="00154E08">
              <w:rPr>
                <w:rFonts w:eastAsia="Calibri" w:cs="Times New Roman"/>
                <w:spacing w:val="-2"/>
                <w:sz w:val="22"/>
                <w:szCs w:val="22"/>
              </w:rPr>
              <w:t>0,9</w:t>
            </w:r>
            <w:r w:rsidRPr="00154E08">
              <w:rPr>
                <w:rFonts w:eastAsia="Calibri" w:cs="Times New Roman"/>
                <w:spacing w:val="-2"/>
                <w:sz w:val="22"/>
                <w:szCs w:val="22"/>
              </w:rPr>
              <w:t xml:space="preserve">%, w dominującej </w:t>
            </w:r>
            <w:r w:rsidR="009C4BDC" w:rsidRPr="00154E08">
              <w:rPr>
                <w:rFonts w:eastAsia="Calibri" w:cs="Times New Roman"/>
                <w:spacing w:val="-2"/>
                <w:sz w:val="22"/>
                <w:szCs w:val="22"/>
              </w:rPr>
              <w:t>części</w:t>
            </w:r>
            <w:r w:rsidRPr="00154E08">
              <w:rPr>
                <w:rFonts w:eastAsia="Calibri" w:cs="Times New Roman"/>
                <w:spacing w:val="-2"/>
                <w:sz w:val="22"/>
                <w:szCs w:val="22"/>
              </w:rPr>
              <w:t xml:space="preserve"> </w:t>
            </w:r>
            <w:r w:rsidR="5F298948" w:rsidRPr="00154E08">
              <w:rPr>
                <w:rFonts w:eastAsia="Calibri" w:cs="Times New Roman"/>
                <w:sz w:val="22"/>
                <w:szCs w:val="22"/>
              </w:rPr>
              <w:t>wynika z</w:t>
            </w:r>
            <w:r w:rsidRPr="00154E08">
              <w:rPr>
                <w:rFonts w:eastAsia="Calibri" w:cs="Times New Roman"/>
                <w:spacing w:val="-2"/>
                <w:sz w:val="22"/>
                <w:szCs w:val="22"/>
              </w:rPr>
              <w:t xml:space="preserve"> jej wykorzystania w transporcie kolejowym.</w:t>
            </w:r>
            <w:r w:rsidR="00E17083" w:rsidRPr="00154E08">
              <w:rPr>
                <w:rFonts w:eastAsia="Calibri" w:cs="Times New Roman"/>
                <w:spacing w:val="-2"/>
                <w:sz w:val="22"/>
                <w:szCs w:val="22"/>
              </w:rPr>
              <w:t xml:space="preserve"> Flotę </w:t>
            </w:r>
            <w:r w:rsidR="5F298948" w:rsidRPr="00154E08">
              <w:rPr>
                <w:rFonts w:eastAsia="Calibri" w:cs="Times New Roman"/>
                <w:sz w:val="22"/>
                <w:szCs w:val="22"/>
              </w:rPr>
              <w:t xml:space="preserve">pojazdów </w:t>
            </w:r>
            <w:r w:rsidR="00084681" w:rsidRPr="00154E08">
              <w:rPr>
                <w:rFonts w:eastAsia="Calibri" w:cs="Times New Roman"/>
                <w:sz w:val="22"/>
                <w:szCs w:val="22"/>
              </w:rPr>
              <w:t xml:space="preserve">z napędem </w:t>
            </w:r>
            <w:r w:rsidR="5F298948" w:rsidRPr="00154E08">
              <w:rPr>
                <w:rFonts w:eastAsia="Calibri" w:cs="Times New Roman"/>
                <w:sz w:val="22"/>
                <w:szCs w:val="22"/>
              </w:rPr>
              <w:t>elektryczny</w:t>
            </w:r>
            <w:r w:rsidR="00084681" w:rsidRPr="00154E08">
              <w:rPr>
                <w:rFonts w:eastAsia="Calibri" w:cs="Times New Roman"/>
                <w:sz w:val="22"/>
                <w:szCs w:val="22"/>
              </w:rPr>
              <w:t>m</w:t>
            </w:r>
            <w:r w:rsidR="00E17083" w:rsidRPr="00154E08">
              <w:rPr>
                <w:rFonts w:eastAsia="Calibri" w:cs="Times New Roman"/>
                <w:spacing w:val="-2"/>
                <w:sz w:val="22"/>
                <w:szCs w:val="22"/>
              </w:rPr>
              <w:t xml:space="preserve"> stanowi</w:t>
            </w:r>
            <w:r w:rsidR="00084681" w:rsidRPr="00154E08">
              <w:rPr>
                <w:rFonts w:eastAsia="Calibri" w:cs="Times New Roman"/>
                <w:spacing w:val="-2"/>
                <w:sz w:val="22"/>
                <w:szCs w:val="22"/>
              </w:rPr>
              <w:t xml:space="preserve"> 100,7 tys. aut, w</w:t>
            </w:r>
            <w:r w:rsidR="00837D94" w:rsidRPr="00154E08">
              <w:rPr>
                <w:rFonts w:eastAsia="Calibri" w:cs="Times New Roman"/>
                <w:spacing w:val="-2"/>
                <w:sz w:val="22"/>
                <w:szCs w:val="22"/>
              </w:rPr>
              <w:t> </w:t>
            </w:r>
            <w:r w:rsidR="00084681" w:rsidRPr="00154E08">
              <w:rPr>
                <w:rFonts w:eastAsia="Calibri" w:cs="Times New Roman"/>
                <w:spacing w:val="-2"/>
                <w:sz w:val="22"/>
                <w:szCs w:val="22"/>
              </w:rPr>
              <w:t>tym</w:t>
            </w:r>
            <w:r w:rsidR="00E17083" w:rsidRPr="00154E08">
              <w:rPr>
                <w:rFonts w:eastAsia="Calibri" w:cs="Times New Roman"/>
                <w:spacing w:val="-2"/>
                <w:sz w:val="22"/>
                <w:szCs w:val="22"/>
              </w:rPr>
              <w:t xml:space="preserve"> 5</w:t>
            </w:r>
            <w:r w:rsidR="00084681" w:rsidRPr="00154E08">
              <w:rPr>
                <w:rFonts w:eastAsia="Calibri" w:cs="Times New Roman"/>
                <w:spacing w:val="-2"/>
                <w:sz w:val="22"/>
                <w:szCs w:val="22"/>
              </w:rPr>
              <w:t>2,4</w:t>
            </w:r>
            <w:r w:rsidR="00E17083" w:rsidRPr="00154E08">
              <w:rPr>
                <w:rFonts w:eastAsia="Calibri" w:cs="Times New Roman"/>
                <w:spacing w:val="-2"/>
                <w:sz w:val="22"/>
                <w:szCs w:val="22"/>
              </w:rPr>
              <w:t xml:space="preserve"> tys. </w:t>
            </w:r>
            <w:r w:rsidR="5F298948" w:rsidRPr="00154E08">
              <w:rPr>
                <w:rFonts w:eastAsia="Calibri" w:cs="Times New Roman"/>
                <w:sz w:val="22"/>
                <w:szCs w:val="22"/>
              </w:rPr>
              <w:t>z napędem</w:t>
            </w:r>
            <w:r w:rsidR="00084681" w:rsidRPr="00154E08">
              <w:rPr>
                <w:rFonts w:eastAsia="Calibri" w:cs="Times New Roman"/>
                <w:sz w:val="22"/>
                <w:szCs w:val="22"/>
              </w:rPr>
              <w:t xml:space="preserve"> wyłącznie</w:t>
            </w:r>
            <w:r w:rsidR="5F298948" w:rsidRPr="00154E08">
              <w:rPr>
                <w:rFonts w:eastAsia="Calibri" w:cs="Times New Roman"/>
                <w:sz w:val="22"/>
                <w:szCs w:val="22"/>
              </w:rPr>
              <w:t xml:space="preserve"> elektrycznym</w:t>
            </w:r>
            <w:r w:rsidR="00084681" w:rsidRPr="00154E08">
              <w:rPr>
                <w:rFonts w:eastAsia="Calibri" w:cs="Times New Roman"/>
                <w:sz w:val="22"/>
                <w:szCs w:val="22"/>
              </w:rPr>
              <w:t xml:space="preserve"> - </w:t>
            </w:r>
            <w:proofErr w:type="spellStart"/>
            <w:r w:rsidR="00084681" w:rsidRPr="00154E08">
              <w:rPr>
                <w:rFonts w:eastAsia="Calibri" w:cs="Times New Roman"/>
                <w:sz w:val="22"/>
                <w:szCs w:val="22"/>
              </w:rPr>
              <w:t>BeV</w:t>
            </w:r>
            <w:proofErr w:type="spellEnd"/>
            <w:r w:rsidR="5F298948" w:rsidRPr="00154E08">
              <w:rPr>
                <w:rFonts w:eastAsia="Calibri" w:cs="Times New Roman"/>
                <w:sz w:val="22"/>
                <w:szCs w:val="22"/>
              </w:rPr>
              <w:t xml:space="preserve"> (202</w:t>
            </w:r>
            <w:r w:rsidR="00084681" w:rsidRPr="00154E08">
              <w:rPr>
                <w:rFonts w:eastAsia="Calibri" w:cs="Times New Roman"/>
                <w:sz w:val="22"/>
                <w:szCs w:val="22"/>
              </w:rPr>
              <w:t>4</w:t>
            </w:r>
            <w:r w:rsidR="00084681" w:rsidRPr="00154E08">
              <w:rPr>
                <w:rStyle w:val="Odwoanieprzypisudolnego"/>
                <w:rFonts w:eastAsia="Calibri" w:cs="Times New Roman"/>
                <w:sz w:val="22"/>
                <w:szCs w:val="22"/>
              </w:rPr>
              <w:footnoteReference w:id="6"/>
            </w:r>
            <w:r w:rsidR="5F298948" w:rsidRPr="00154E08">
              <w:rPr>
                <w:rFonts w:eastAsia="Calibri" w:cs="Times New Roman"/>
                <w:sz w:val="22"/>
                <w:szCs w:val="22"/>
              </w:rPr>
              <w:t xml:space="preserve">), jednak </w:t>
            </w:r>
            <w:r w:rsidR="00E17083" w:rsidRPr="00154E08">
              <w:rPr>
                <w:rFonts w:eastAsia="Calibri" w:cs="Times New Roman"/>
                <w:spacing w:val="-2"/>
                <w:sz w:val="22"/>
                <w:szCs w:val="22"/>
              </w:rPr>
              <w:t xml:space="preserve">ich </w:t>
            </w:r>
            <w:r w:rsidR="5F298948" w:rsidRPr="00154E08">
              <w:rPr>
                <w:rFonts w:eastAsia="Calibri" w:cs="Times New Roman"/>
                <w:sz w:val="22"/>
                <w:szCs w:val="22"/>
              </w:rPr>
              <w:t xml:space="preserve">udział </w:t>
            </w:r>
            <w:r w:rsidR="00E17083" w:rsidRPr="00154E08">
              <w:rPr>
                <w:rFonts w:eastAsia="Calibri" w:cs="Times New Roman"/>
                <w:spacing w:val="-2"/>
                <w:sz w:val="22"/>
                <w:szCs w:val="22"/>
              </w:rPr>
              <w:t>w krajowej flocie pozostaje znikomy</w:t>
            </w:r>
            <w:r w:rsidR="003A0922" w:rsidRPr="00154E08">
              <w:rPr>
                <w:rFonts w:eastAsia="Calibri" w:cs="Times New Roman"/>
                <w:spacing w:val="-2"/>
                <w:sz w:val="22"/>
                <w:szCs w:val="22"/>
              </w:rPr>
              <w:t>.</w:t>
            </w:r>
            <w:r w:rsidR="5F298948" w:rsidRPr="00154E08">
              <w:rPr>
                <w:rFonts w:eastAsia="Calibri" w:cs="Times New Roman"/>
                <w:sz w:val="22"/>
                <w:szCs w:val="22"/>
              </w:rPr>
              <w:t xml:space="preserve"> </w:t>
            </w:r>
          </w:p>
          <w:p w14:paraId="360FD4EA" w14:textId="6C870454" w:rsidR="00237EA4" w:rsidRPr="00154E08" w:rsidRDefault="00226D00" w:rsidP="00F44C8C">
            <w:pPr>
              <w:shd w:val="clear" w:color="auto" w:fill="FFFFFF" w:themeFill="background1"/>
              <w:spacing w:line="240" w:lineRule="auto"/>
              <w:jc w:val="both"/>
              <w:rPr>
                <w:rFonts w:eastAsia="Calibri" w:cs="Times New Roman"/>
                <w:spacing w:val="-2"/>
                <w:sz w:val="22"/>
                <w:szCs w:val="22"/>
              </w:rPr>
            </w:pPr>
            <w:r w:rsidRPr="00154E08">
              <w:rPr>
                <w:rFonts w:eastAsia="Calibri" w:cs="Times New Roman"/>
                <w:spacing w:val="-2"/>
                <w:sz w:val="22"/>
                <w:szCs w:val="22"/>
              </w:rPr>
              <w:t>U</w:t>
            </w:r>
            <w:r w:rsidR="003A0922" w:rsidRPr="00154E08">
              <w:rPr>
                <w:rFonts w:eastAsia="Calibri" w:cs="Times New Roman"/>
                <w:spacing w:val="-2"/>
                <w:sz w:val="22"/>
                <w:szCs w:val="22"/>
              </w:rPr>
              <w:t xml:space="preserve">dział energii elektrycznej wykorzystanej w transporcie obliczany </w:t>
            </w:r>
            <w:r w:rsidR="0069549F" w:rsidRPr="00154E08">
              <w:rPr>
                <w:rFonts w:eastAsia="Calibri" w:cs="Times New Roman"/>
                <w:spacing w:val="-2"/>
                <w:sz w:val="22"/>
                <w:szCs w:val="22"/>
              </w:rPr>
              <w:t>jest</w:t>
            </w:r>
            <w:r w:rsidRPr="00154E08">
              <w:rPr>
                <w:rFonts w:eastAsia="Calibri" w:cs="Times New Roman"/>
                <w:spacing w:val="-2"/>
                <w:sz w:val="22"/>
                <w:szCs w:val="22"/>
              </w:rPr>
              <w:t xml:space="preserve"> </w:t>
            </w:r>
            <w:r w:rsidR="00A217A6" w:rsidRPr="00154E08">
              <w:rPr>
                <w:rFonts w:eastAsia="Calibri" w:cs="Times New Roman"/>
                <w:spacing w:val="-2"/>
                <w:sz w:val="22"/>
                <w:szCs w:val="22"/>
              </w:rPr>
              <w:t>z</w:t>
            </w:r>
            <w:r w:rsidR="003A0922" w:rsidRPr="00154E08">
              <w:rPr>
                <w:rFonts w:eastAsia="Calibri" w:cs="Times New Roman"/>
                <w:spacing w:val="-2"/>
                <w:sz w:val="22"/>
                <w:szCs w:val="22"/>
              </w:rPr>
              <w:t xml:space="preserve"> uwzględni</w:t>
            </w:r>
            <w:r w:rsidR="00A217A6" w:rsidRPr="00154E08">
              <w:rPr>
                <w:rFonts w:eastAsia="Calibri" w:cs="Times New Roman"/>
                <w:spacing w:val="-2"/>
                <w:sz w:val="22"/>
                <w:szCs w:val="22"/>
              </w:rPr>
              <w:t>eniem</w:t>
            </w:r>
            <w:r w:rsidR="003A0922" w:rsidRPr="00154E08">
              <w:rPr>
                <w:rFonts w:eastAsia="Calibri" w:cs="Times New Roman"/>
                <w:spacing w:val="-2"/>
                <w:sz w:val="22"/>
                <w:szCs w:val="22"/>
              </w:rPr>
              <w:t xml:space="preserve"> instrument</w:t>
            </w:r>
            <w:r w:rsidR="00A217A6" w:rsidRPr="00154E08">
              <w:rPr>
                <w:rFonts w:eastAsia="Calibri" w:cs="Times New Roman"/>
                <w:spacing w:val="-2"/>
                <w:sz w:val="22"/>
                <w:szCs w:val="22"/>
              </w:rPr>
              <w:t>u</w:t>
            </w:r>
            <w:r w:rsidR="009A033F" w:rsidRPr="00154E08">
              <w:rPr>
                <w:rFonts w:eastAsia="Calibri" w:cs="Times New Roman"/>
                <w:spacing w:val="-2"/>
                <w:sz w:val="22"/>
                <w:szCs w:val="22"/>
              </w:rPr>
              <w:t xml:space="preserve"> istotnie </w:t>
            </w:r>
            <w:r w:rsidR="003A0922" w:rsidRPr="00154E08">
              <w:rPr>
                <w:rFonts w:eastAsia="Calibri" w:cs="Times New Roman"/>
                <w:spacing w:val="-2"/>
                <w:sz w:val="22"/>
                <w:szCs w:val="22"/>
              </w:rPr>
              <w:t>zachęcające</w:t>
            </w:r>
            <w:r w:rsidR="009A033F" w:rsidRPr="00154E08">
              <w:rPr>
                <w:rFonts w:eastAsia="Calibri" w:cs="Times New Roman"/>
                <w:spacing w:val="-2"/>
                <w:sz w:val="22"/>
                <w:szCs w:val="22"/>
              </w:rPr>
              <w:t>go</w:t>
            </w:r>
            <w:r w:rsidR="003A0922" w:rsidRPr="00154E08">
              <w:rPr>
                <w:rFonts w:eastAsia="Calibri" w:cs="Times New Roman"/>
                <w:spacing w:val="-2"/>
                <w:sz w:val="22"/>
                <w:szCs w:val="22"/>
              </w:rPr>
              <w:t xml:space="preserve"> do rozwoju</w:t>
            </w:r>
            <w:r w:rsidR="0098486D" w:rsidRPr="00154E08">
              <w:rPr>
                <w:rFonts w:eastAsia="Calibri" w:cs="Times New Roman"/>
                <w:spacing w:val="-2"/>
                <w:sz w:val="22"/>
                <w:szCs w:val="22"/>
              </w:rPr>
              <w:t xml:space="preserve"> </w:t>
            </w:r>
            <w:proofErr w:type="spellStart"/>
            <w:r w:rsidR="0098486D" w:rsidRPr="00154E08">
              <w:rPr>
                <w:rFonts w:eastAsia="Calibri" w:cs="Times New Roman"/>
                <w:spacing w:val="-2"/>
                <w:sz w:val="22"/>
                <w:szCs w:val="22"/>
              </w:rPr>
              <w:t>elektromobilności</w:t>
            </w:r>
            <w:proofErr w:type="spellEnd"/>
            <w:r w:rsidR="0098486D" w:rsidRPr="00154E08">
              <w:rPr>
                <w:rFonts w:eastAsia="Calibri" w:cs="Times New Roman"/>
                <w:spacing w:val="-2"/>
                <w:sz w:val="22"/>
                <w:szCs w:val="22"/>
              </w:rPr>
              <w:t>, poprzez</w:t>
            </w:r>
            <w:r w:rsidR="006E7151" w:rsidRPr="00154E08">
              <w:rPr>
                <w:rFonts w:eastAsia="Calibri" w:cs="Times New Roman"/>
                <w:spacing w:val="-2"/>
                <w:sz w:val="22"/>
                <w:szCs w:val="22"/>
              </w:rPr>
              <w:t>:</w:t>
            </w:r>
          </w:p>
          <w:p w14:paraId="296C853D" w14:textId="015232C2" w:rsidR="00A63E94" w:rsidRPr="00154E08" w:rsidRDefault="003B16C4" w:rsidP="00F44C8C">
            <w:pPr>
              <w:shd w:val="clear" w:color="auto" w:fill="FFFFFF" w:themeFill="background1"/>
              <w:spacing w:line="240" w:lineRule="auto"/>
              <w:jc w:val="both"/>
              <w:rPr>
                <w:rFonts w:eastAsia="Calibri" w:cs="Times New Roman"/>
                <w:spacing w:val="-2"/>
                <w:sz w:val="22"/>
                <w:szCs w:val="22"/>
              </w:rPr>
            </w:pPr>
            <w:r w:rsidRPr="00154E08">
              <w:rPr>
                <w:rFonts w:eastAsia="Calibri" w:cs="Times New Roman"/>
                <w:spacing w:val="-2"/>
                <w:sz w:val="22"/>
                <w:szCs w:val="22"/>
              </w:rPr>
              <w:t xml:space="preserve"> </w:t>
            </w:r>
            <w:r w:rsidR="00684A87" w:rsidRPr="00154E08">
              <w:rPr>
                <w:rFonts w:eastAsia="Calibri" w:cs="Times New Roman"/>
                <w:spacing w:val="-2"/>
                <w:sz w:val="22"/>
                <w:szCs w:val="22"/>
              </w:rPr>
              <w:t>–</w:t>
            </w:r>
            <w:r w:rsidR="00A63E94" w:rsidRPr="00154E08">
              <w:rPr>
                <w:rFonts w:eastAsia="Calibri" w:cs="Times New Roman"/>
                <w:spacing w:val="-2"/>
                <w:sz w:val="22"/>
                <w:szCs w:val="22"/>
              </w:rPr>
              <w:t xml:space="preserve"> </w:t>
            </w:r>
            <w:r w:rsidRPr="00154E08">
              <w:rPr>
                <w:rFonts w:eastAsia="Calibri" w:cs="Times New Roman"/>
                <w:spacing w:val="-2"/>
                <w:sz w:val="22"/>
                <w:szCs w:val="22"/>
              </w:rPr>
              <w:t>możliwość zastosowania w</w:t>
            </w:r>
            <w:r w:rsidR="006E7151" w:rsidRPr="00154E08">
              <w:rPr>
                <w:rFonts w:eastAsia="Calibri" w:cs="Times New Roman"/>
                <w:spacing w:val="-2"/>
                <w:sz w:val="22"/>
                <w:szCs w:val="22"/>
              </w:rPr>
              <w:t> </w:t>
            </w:r>
            <w:r w:rsidRPr="00154E08">
              <w:rPr>
                <w:rFonts w:eastAsia="Calibri" w:cs="Times New Roman"/>
                <w:spacing w:val="-2"/>
                <w:sz w:val="22"/>
                <w:szCs w:val="22"/>
              </w:rPr>
              <w:t>obliczeniach mnożnika dla energii elektrycznej zużytej w transporcie kolejowym</w:t>
            </w:r>
            <w:r w:rsidR="006E7151" w:rsidRPr="00154E08">
              <w:rPr>
                <w:rFonts w:eastAsia="Calibri" w:cs="Times New Roman"/>
                <w:spacing w:val="-2"/>
                <w:sz w:val="22"/>
                <w:szCs w:val="22"/>
              </w:rPr>
              <w:t xml:space="preserve"> (</w:t>
            </w:r>
            <w:r w:rsidR="0053302C" w:rsidRPr="00154E08">
              <w:rPr>
                <w:rFonts w:eastAsia="Calibri" w:cs="Times New Roman"/>
                <w:spacing w:val="-2"/>
                <w:sz w:val="22"/>
                <w:szCs w:val="22"/>
              </w:rPr>
              <w:t xml:space="preserve">do 2020 r. </w:t>
            </w:r>
            <w:r w:rsidR="006E7151" w:rsidRPr="00154E08">
              <w:rPr>
                <w:rFonts w:eastAsia="Calibri" w:cs="Times New Roman"/>
                <w:spacing w:val="-2"/>
                <w:sz w:val="22"/>
                <w:szCs w:val="22"/>
              </w:rPr>
              <w:t>w wysokości x</w:t>
            </w:r>
            <w:r w:rsidR="00226D00" w:rsidRPr="00154E08">
              <w:rPr>
                <w:rFonts w:eastAsia="Calibri" w:cs="Times New Roman"/>
                <w:spacing w:val="-2"/>
                <w:sz w:val="22"/>
                <w:szCs w:val="22"/>
              </w:rPr>
              <w:t>2,5; od 2021 r</w:t>
            </w:r>
            <w:r w:rsidR="00AA6703" w:rsidRPr="00154E08">
              <w:rPr>
                <w:rFonts w:eastAsia="Calibri" w:cs="Times New Roman"/>
                <w:spacing w:val="-2"/>
                <w:sz w:val="22"/>
                <w:szCs w:val="22"/>
              </w:rPr>
              <w:t xml:space="preserve">. </w:t>
            </w:r>
            <w:r w:rsidR="00E17B56" w:rsidRPr="00154E08">
              <w:rPr>
                <w:rFonts w:eastAsia="Calibri" w:cs="Times New Roman"/>
                <w:spacing w:val="-2"/>
                <w:sz w:val="22"/>
                <w:szCs w:val="22"/>
              </w:rPr>
              <w:t xml:space="preserve">mnożnik wynosi </w:t>
            </w:r>
            <w:r w:rsidR="00226D00" w:rsidRPr="00154E08">
              <w:rPr>
                <w:rFonts w:eastAsia="Calibri" w:cs="Times New Roman"/>
                <w:spacing w:val="-2"/>
                <w:sz w:val="22"/>
                <w:szCs w:val="22"/>
              </w:rPr>
              <w:t>x1,5</w:t>
            </w:r>
            <w:r w:rsidR="006E7151" w:rsidRPr="00154E08">
              <w:rPr>
                <w:rFonts w:eastAsia="Calibri" w:cs="Times New Roman"/>
                <w:spacing w:val="-2"/>
                <w:sz w:val="22"/>
                <w:szCs w:val="22"/>
              </w:rPr>
              <w:t>)</w:t>
            </w:r>
            <w:r w:rsidR="004B0F62" w:rsidRPr="00154E08">
              <w:rPr>
                <w:rFonts w:eastAsia="Calibri" w:cs="Times New Roman"/>
                <w:spacing w:val="-2"/>
                <w:sz w:val="22"/>
                <w:szCs w:val="22"/>
              </w:rPr>
              <w:t>, oraz</w:t>
            </w:r>
          </w:p>
          <w:p w14:paraId="3FD0BA74" w14:textId="43EA99CA" w:rsidR="00A63E94" w:rsidRPr="00154E08" w:rsidRDefault="00684A87" w:rsidP="00F44C8C">
            <w:pPr>
              <w:shd w:val="clear" w:color="auto" w:fill="FFFFFF" w:themeFill="background1"/>
              <w:spacing w:line="240" w:lineRule="auto"/>
              <w:jc w:val="both"/>
              <w:rPr>
                <w:rFonts w:eastAsia="Calibri" w:cs="Times New Roman"/>
                <w:spacing w:val="-2"/>
                <w:sz w:val="22"/>
                <w:szCs w:val="22"/>
              </w:rPr>
            </w:pPr>
            <w:r w:rsidRPr="00154E08">
              <w:rPr>
                <w:rFonts w:eastAsia="Calibri" w:cs="Times New Roman"/>
                <w:spacing w:val="-2"/>
                <w:sz w:val="22"/>
                <w:szCs w:val="22"/>
              </w:rPr>
              <w:t xml:space="preserve"> –</w:t>
            </w:r>
            <w:r w:rsidR="004B0F62" w:rsidRPr="00154E08">
              <w:rPr>
                <w:rFonts w:eastAsia="Calibri" w:cs="Times New Roman"/>
                <w:spacing w:val="-2"/>
                <w:sz w:val="22"/>
                <w:szCs w:val="22"/>
              </w:rPr>
              <w:t xml:space="preserve"> </w:t>
            </w:r>
            <w:r w:rsidR="003B16C4" w:rsidRPr="00154E08">
              <w:rPr>
                <w:rFonts w:eastAsia="Calibri" w:cs="Times New Roman"/>
                <w:spacing w:val="-2"/>
                <w:sz w:val="22"/>
                <w:szCs w:val="22"/>
              </w:rPr>
              <w:t>mnożnika dla energii elektrycznej zużytej w transporcie drogowym</w:t>
            </w:r>
            <w:r w:rsidR="006E7151" w:rsidRPr="00154E08">
              <w:rPr>
                <w:rFonts w:eastAsia="Calibri" w:cs="Times New Roman"/>
                <w:spacing w:val="-2"/>
                <w:sz w:val="22"/>
                <w:szCs w:val="22"/>
              </w:rPr>
              <w:t xml:space="preserve"> (</w:t>
            </w:r>
            <w:proofErr w:type="spellStart"/>
            <w:r w:rsidR="00F4434C" w:rsidRPr="00154E08">
              <w:rPr>
                <w:rFonts w:eastAsia="Calibri" w:cs="Times New Roman"/>
                <w:spacing w:val="-2"/>
                <w:sz w:val="22"/>
                <w:szCs w:val="22"/>
              </w:rPr>
              <w:t>j.w</w:t>
            </w:r>
            <w:proofErr w:type="spellEnd"/>
            <w:r w:rsidR="00F4434C" w:rsidRPr="00154E08">
              <w:rPr>
                <w:rFonts w:eastAsia="Calibri" w:cs="Times New Roman"/>
                <w:spacing w:val="-2"/>
                <w:sz w:val="22"/>
                <w:szCs w:val="22"/>
              </w:rPr>
              <w:t>.</w:t>
            </w:r>
            <w:r w:rsidR="00021176" w:rsidRPr="00154E08">
              <w:rPr>
                <w:rFonts w:eastAsia="Calibri" w:cs="Times New Roman"/>
                <w:spacing w:val="-2"/>
                <w:sz w:val="22"/>
                <w:szCs w:val="22"/>
              </w:rPr>
              <w:t xml:space="preserve"> </w:t>
            </w:r>
            <w:r w:rsidR="006E7151" w:rsidRPr="00154E08">
              <w:rPr>
                <w:rFonts w:eastAsia="Calibri" w:cs="Times New Roman"/>
                <w:spacing w:val="-2"/>
                <w:sz w:val="22"/>
                <w:szCs w:val="22"/>
              </w:rPr>
              <w:t>x5</w:t>
            </w:r>
            <w:r w:rsidR="00226D00" w:rsidRPr="00154E08">
              <w:rPr>
                <w:rFonts w:eastAsia="Calibri" w:cs="Times New Roman"/>
                <w:spacing w:val="-2"/>
                <w:sz w:val="22"/>
                <w:szCs w:val="22"/>
              </w:rPr>
              <w:t xml:space="preserve">; </w:t>
            </w:r>
            <w:r w:rsidR="00FB6A1B" w:rsidRPr="00154E08">
              <w:rPr>
                <w:rFonts w:eastAsia="Calibri" w:cs="Times New Roman"/>
                <w:spacing w:val="-2"/>
                <w:sz w:val="22"/>
                <w:szCs w:val="22"/>
              </w:rPr>
              <w:t>od 2021 r</w:t>
            </w:r>
            <w:r w:rsidR="00C25A2B" w:rsidRPr="00154E08">
              <w:rPr>
                <w:rFonts w:eastAsia="Calibri" w:cs="Times New Roman"/>
                <w:spacing w:val="-2"/>
                <w:sz w:val="22"/>
                <w:szCs w:val="22"/>
              </w:rPr>
              <w:t>.</w:t>
            </w:r>
            <w:r w:rsidR="00FB6A1B" w:rsidRPr="00154E08">
              <w:rPr>
                <w:rFonts w:eastAsia="Calibri" w:cs="Times New Roman"/>
                <w:spacing w:val="-2"/>
                <w:sz w:val="22"/>
                <w:szCs w:val="22"/>
              </w:rPr>
              <w:t xml:space="preserve"> </w:t>
            </w:r>
            <w:r w:rsidR="00226D00" w:rsidRPr="00154E08">
              <w:rPr>
                <w:rFonts w:eastAsia="Calibri" w:cs="Times New Roman"/>
                <w:spacing w:val="-2"/>
                <w:sz w:val="22"/>
                <w:szCs w:val="22"/>
              </w:rPr>
              <w:t>x4</w:t>
            </w:r>
            <w:r w:rsidR="006E7151" w:rsidRPr="00154E08">
              <w:rPr>
                <w:rFonts w:eastAsia="Calibri" w:cs="Times New Roman"/>
                <w:spacing w:val="-2"/>
                <w:sz w:val="22"/>
                <w:szCs w:val="22"/>
              </w:rPr>
              <w:t>)</w:t>
            </w:r>
            <w:r w:rsidR="003B16C4" w:rsidRPr="00154E08">
              <w:rPr>
                <w:rFonts w:eastAsia="Calibri" w:cs="Times New Roman"/>
                <w:color w:val="C00000"/>
                <w:spacing w:val="-2"/>
                <w:sz w:val="22"/>
                <w:szCs w:val="22"/>
              </w:rPr>
              <w:t xml:space="preserve"> </w:t>
            </w:r>
          </w:p>
          <w:p w14:paraId="1FD5AFBC" w14:textId="387C0B73" w:rsidR="003F19A5" w:rsidRPr="00154E08" w:rsidRDefault="1D1D5843" w:rsidP="0056027A">
            <w:pPr>
              <w:shd w:val="clear" w:color="auto" w:fill="FFFFFF" w:themeFill="background1"/>
              <w:spacing w:line="240" w:lineRule="auto"/>
              <w:jc w:val="both"/>
              <w:rPr>
                <w:rFonts w:eastAsia="Calibri" w:cs="Times New Roman"/>
                <w:spacing w:val="-2"/>
                <w:sz w:val="22"/>
                <w:szCs w:val="22"/>
              </w:rPr>
            </w:pPr>
            <w:r w:rsidRPr="00154E08">
              <w:rPr>
                <w:rFonts w:eastAsia="Calibri" w:cs="Times New Roman"/>
                <w:sz w:val="22"/>
                <w:szCs w:val="22"/>
              </w:rPr>
              <w:t xml:space="preserve">Do 2020 r. była </w:t>
            </w:r>
            <w:r w:rsidR="003B16C4" w:rsidRPr="00154E08">
              <w:rPr>
                <w:rFonts w:eastAsia="Calibri" w:cs="Times New Roman"/>
                <w:spacing w:val="-2"/>
                <w:sz w:val="22"/>
                <w:szCs w:val="22"/>
              </w:rPr>
              <w:t>możliwoś</w:t>
            </w:r>
            <w:r w:rsidRPr="00154E08">
              <w:rPr>
                <w:rFonts w:eastAsia="Calibri" w:cs="Times New Roman"/>
                <w:sz w:val="22"/>
                <w:szCs w:val="22"/>
              </w:rPr>
              <w:t>ć</w:t>
            </w:r>
            <w:r w:rsidR="003B16C4" w:rsidRPr="00154E08">
              <w:rPr>
                <w:rFonts w:eastAsia="Calibri" w:cs="Times New Roman"/>
                <w:spacing w:val="-2"/>
                <w:sz w:val="22"/>
                <w:szCs w:val="22"/>
              </w:rPr>
              <w:t xml:space="preserve"> stosowania </w:t>
            </w:r>
            <w:r w:rsidRPr="00154E08">
              <w:rPr>
                <w:rFonts w:eastAsia="Calibri" w:cs="Times New Roman"/>
                <w:sz w:val="22"/>
                <w:szCs w:val="22"/>
              </w:rPr>
              <w:t xml:space="preserve">w </w:t>
            </w:r>
            <w:r w:rsidR="003B16C4" w:rsidRPr="00154E08">
              <w:rPr>
                <w:rFonts w:eastAsia="Calibri" w:cs="Times New Roman"/>
                <w:spacing w:val="-2"/>
                <w:sz w:val="22"/>
                <w:szCs w:val="22"/>
              </w:rPr>
              <w:t xml:space="preserve">obliczeniach współczynnika określającego średni udział energii elektrycznej wytworzonej z OZE </w:t>
            </w:r>
            <w:r w:rsidR="00CE42BA" w:rsidRPr="00154E08">
              <w:rPr>
                <w:rFonts w:eastAsia="Calibri" w:cs="Times New Roman"/>
                <w:spacing w:val="-2"/>
                <w:sz w:val="22"/>
                <w:szCs w:val="22"/>
              </w:rPr>
              <w:t xml:space="preserve">w Unii Europejskiej, który </w:t>
            </w:r>
            <w:r w:rsidR="00E17B56" w:rsidRPr="00154E08">
              <w:rPr>
                <w:rFonts w:eastAsia="Calibri" w:cs="Times New Roman"/>
                <w:spacing w:val="-2"/>
                <w:sz w:val="22"/>
                <w:szCs w:val="22"/>
              </w:rPr>
              <w:t>był</w:t>
            </w:r>
            <w:r w:rsidR="00CE42BA" w:rsidRPr="00154E08">
              <w:rPr>
                <w:rFonts w:eastAsia="Calibri" w:cs="Times New Roman"/>
                <w:spacing w:val="-2"/>
                <w:sz w:val="22"/>
                <w:szCs w:val="22"/>
              </w:rPr>
              <w:t xml:space="preserve"> korzystniejszy</w:t>
            </w:r>
            <w:r w:rsidR="00E314CC" w:rsidRPr="00154E08">
              <w:rPr>
                <w:rFonts w:eastAsia="Calibri" w:cs="Times New Roman"/>
                <w:spacing w:val="-2"/>
                <w:sz w:val="22"/>
                <w:szCs w:val="22"/>
              </w:rPr>
              <w:t xml:space="preserve"> </w:t>
            </w:r>
            <w:r w:rsidR="00CE42BA" w:rsidRPr="00154E08">
              <w:rPr>
                <w:rFonts w:eastAsia="Calibri" w:cs="Times New Roman"/>
                <w:spacing w:val="-2"/>
                <w:sz w:val="22"/>
                <w:szCs w:val="22"/>
              </w:rPr>
              <w:t xml:space="preserve">od </w:t>
            </w:r>
            <w:r w:rsidR="00A63E94" w:rsidRPr="00154E08">
              <w:rPr>
                <w:rFonts w:eastAsia="Calibri" w:cs="Times New Roman"/>
                <w:spacing w:val="-2"/>
                <w:sz w:val="22"/>
                <w:szCs w:val="22"/>
              </w:rPr>
              <w:t xml:space="preserve">rzeczywistego </w:t>
            </w:r>
            <w:r w:rsidR="00CE42BA" w:rsidRPr="00154E08">
              <w:rPr>
                <w:rFonts w:eastAsia="Calibri" w:cs="Times New Roman"/>
                <w:spacing w:val="-2"/>
                <w:sz w:val="22"/>
                <w:szCs w:val="22"/>
              </w:rPr>
              <w:t xml:space="preserve">współczynnika krajowego. </w:t>
            </w:r>
            <w:r w:rsidR="004349BD" w:rsidRPr="00154E08">
              <w:rPr>
                <w:rFonts w:eastAsia="Calibri" w:cs="Times New Roman"/>
                <w:spacing w:val="-2"/>
                <w:sz w:val="22"/>
                <w:szCs w:val="22"/>
              </w:rPr>
              <w:t>O</w:t>
            </w:r>
            <w:r w:rsidRPr="00154E08">
              <w:rPr>
                <w:rFonts w:eastAsia="Calibri" w:cs="Times New Roman"/>
                <w:sz w:val="22"/>
                <w:szCs w:val="22"/>
              </w:rPr>
              <w:t xml:space="preserve">becnie w obliczeniach realizacji celu OZE w transporcie należy stosować krajowy współczynnik udziału energii OZE zawartej w energii elektrycznej, co oznacza, że </w:t>
            </w:r>
            <w:r w:rsidR="00E17B56" w:rsidRPr="00154E08">
              <w:rPr>
                <w:rFonts w:eastAsia="Calibri" w:cs="Times New Roman"/>
                <w:spacing w:val="-2"/>
                <w:sz w:val="22"/>
                <w:szCs w:val="22"/>
              </w:rPr>
              <w:t>wykonanie celu jest trudniejsze</w:t>
            </w:r>
            <w:r w:rsidR="0099348E" w:rsidRPr="00154E08">
              <w:rPr>
                <w:rFonts w:eastAsia="Calibri" w:cs="Times New Roman"/>
                <w:spacing w:val="-2"/>
                <w:sz w:val="22"/>
                <w:szCs w:val="22"/>
              </w:rPr>
              <w:t xml:space="preserve">: </w:t>
            </w:r>
            <w:r w:rsidR="00E17B56" w:rsidRPr="00154E08">
              <w:rPr>
                <w:rFonts w:eastAsia="Calibri" w:cs="Times New Roman"/>
                <w:spacing w:val="-2"/>
                <w:sz w:val="22"/>
                <w:szCs w:val="22"/>
              </w:rPr>
              <w:t>niższy poziom stosowan</w:t>
            </w:r>
            <w:r w:rsidR="008C4F93" w:rsidRPr="00154E08">
              <w:rPr>
                <w:rFonts w:eastAsia="Calibri" w:cs="Times New Roman"/>
                <w:spacing w:val="-2"/>
                <w:sz w:val="22"/>
                <w:szCs w:val="22"/>
              </w:rPr>
              <w:t>ych</w:t>
            </w:r>
            <w:r w:rsidR="00E17B56" w:rsidRPr="00154E08">
              <w:rPr>
                <w:rFonts w:eastAsia="Calibri" w:cs="Times New Roman"/>
                <w:spacing w:val="-2"/>
                <w:sz w:val="22"/>
                <w:szCs w:val="22"/>
              </w:rPr>
              <w:t xml:space="preserve"> mnożników oraz </w:t>
            </w:r>
            <w:r w:rsidR="00BB3C8A" w:rsidRPr="00154E08">
              <w:rPr>
                <w:rFonts w:eastAsia="Calibri" w:cs="Times New Roman"/>
                <w:spacing w:val="-2"/>
                <w:sz w:val="22"/>
                <w:szCs w:val="22"/>
              </w:rPr>
              <w:t>niższe wartości</w:t>
            </w:r>
            <w:r w:rsidR="00E17B56" w:rsidRPr="00154E08">
              <w:rPr>
                <w:rFonts w:eastAsia="Calibri" w:cs="Times New Roman"/>
                <w:spacing w:val="-2"/>
                <w:sz w:val="22"/>
                <w:szCs w:val="22"/>
              </w:rPr>
              <w:t xml:space="preserve"> rzeczywistych współczynników</w:t>
            </w:r>
            <w:r w:rsidR="001C1EC7" w:rsidRPr="00154E08">
              <w:rPr>
                <w:rFonts w:eastAsia="Calibri" w:cs="Times New Roman"/>
                <w:spacing w:val="-2"/>
                <w:sz w:val="22"/>
                <w:szCs w:val="22"/>
              </w:rPr>
              <w:t xml:space="preserve"> udziału</w:t>
            </w:r>
            <w:r w:rsidR="00C10932" w:rsidRPr="00154E08">
              <w:rPr>
                <w:rFonts w:eastAsia="Calibri" w:cs="Times New Roman"/>
                <w:spacing w:val="-2"/>
                <w:sz w:val="22"/>
                <w:szCs w:val="22"/>
              </w:rPr>
              <w:t xml:space="preserve"> energii</w:t>
            </w:r>
            <w:r w:rsidR="002105D3" w:rsidRPr="00154E08">
              <w:rPr>
                <w:rFonts w:eastAsia="Calibri" w:cs="Times New Roman"/>
                <w:spacing w:val="-2"/>
                <w:sz w:val="22"/>
                <w:szCs w:val="22"/>
              </w:rPr>
              <w:t xml:space="preserve"> </w:t>
            </w:r>
            <w:r w:rsidR="00C10932" w:rsidRPr="00154E08">
              <w:rPr>
                <w:rFonts w:eastAsia="Calibri" w:cs="Times New Roman"/>
                <w:spacing w:val="-2"/>
                <w:sz w:val="22"/>
                <w:szCs w:val="22"/>
              </w:rPr>
              <w:t>OZE</w:t>
            </w:r>
            <w:r w:rsidR="00E17B56" w:rsidRPr="00154E08" w:rsidDel="0099348E">
              <w:rPr>
                <w:rFonts w:eastAsia="Calibri" w:cs="Times New Roman"/>
                <w:spacing w:val="-2"/>
                <w:sz w:val="22"/>
                <w:szCs w:val="22"/>
              </w:rPr>
              <w:t xml:space="preserve"> </w:t>
            </w:r>
            <w:r w:rsidR="000F6E9E" w:rsidRPr="00154E08">
              <w:rPr>
                <w:rFonts w:eastAsia="Calibri" w:cs="Times New Roman"/>
                <w:spacing w:val="-2"/>
                <w:sz w:val="22"/>
                <w:szCs w:val="22"/>
              </w:rPr>
              <w:t>w</w:t>
            </w:r>
            <w:r w:rsidR="00837D94" w:rsidRPr="00154E08">
              <w:rPr>
                <w:rFonts w:eastAsia="Calibri" w:cs="Times New Roman"/>
                <w:spacing w:val="-2"/>
                <w:sz w:val="22"/>
                <w:szCs w:val="22"/>
              </w:rPr>
              <w:t> </w:t>
            </w:r>
            <w:r w:rsidR="000F6E9E" w:rsidRPr="00154E08">
              <w:rPr>
                <w:rFonts w:eastAsia="Calibri" w:cs="Times New Roman"/>
                <w:spacing w:val="-2"/>
                <w:sz w:val="22"/>
                <w:szCs w:val="22"/>
              </w:rPr>
              <w:t>PL</w:t>
            </w:r>
            <w:r w:rsidR="00E17B56" w:rsidRPr="00154E08">
              <w:rPr>
                <w:rFonts w:eastAsia="Calibri" w:cs="Times New Roman"/>
                <w:spacing w:val="-2"/>
                <w:sz w:val="22"/>
                <w:szCs w:val="22"/>
              </w:rPr>
              <w:t>.</w:t>
            </w:r>
          </w:p>
          <w:p w14:paraId="31385DC6" w14:textId="4B750171" w:rsidR="001E75A3" w:rsidRPr="00154E08" w:rsidRDefault="00A63E94" w:rsidP="00F44C8C">
            <w:pPr>
              <w:shd w:val="clear" w:color="auto" w:fill="FFFFFF" w:themeFill="background1"/>
              <w:spacing w:line="240" w:lineRule="auto"/>
              <w:jc w:val="both"/>
              <w:rPr>
                <w:rFonts w:eastAsia="Calibri" w:cs="Times New Roman"/>
                <w:spacing w:val="-2"/>
                <w:sz w:val="22"/>
                <w:szCs w:val="22"/>
              </w:rPr>
            </w:pPr>
            <w:bookmarkStart w:id="4" w:name="_Hlk78373720"/>
            <w:r w:rsidRPr="00154E08">
              <w:rPr>
                <w:rFonts w:eastAsia="Calibri" w:cs="Times New Roman"/>
                <w:spacing w:val="-2"/>
                <w:sz w:val="22"/>
                <w:szCs w:val="22"/>
              </w:rPr>
              <w:t>Cz</w:t>
            </w:r>
            <w:r w:rsidR="004C05BA" w:rsidRPr="00154E08">
              <w:rPr>
                <w:rFonts w:eastAsia="Calibri" w:cs="Times New Roman"/>
                <w:spacing w:val="-2"/>
                <w:sz w:val="22"/>
                <w:szCs w:val="22"/>
              </w:rPr>
              <w:t xml:space="preserve">ynniki </w:t>
            </w:r>
            <w:r w:rsidR="007E7E4D" w:rsidRPr="00154E08">
              <w:rPr>
                <w:rFonts w:eastAsia="Calibri" w:cs="Times New Roman"/>
                <w:spacing w:val="-2"/>
                <w:sz w:val="22"/>
                <w:szCs w:val="22"/>
              </w:rPr>
              <w:t xml:space="preserve">utrudniające </w:t>
            </w:r>
            <w:r w:rsidR="004C05BA" w:rsidRPr="00154E08">
              <w:rPr>
                <w:rFonts w:eastAsia="Calibri" w:cs="Times New Roman"/>
                <w:spacing w:val="-2"/>
                <w:sz w:val="22"/>
                <w:szCs w:val="22"/>
              </w:rPr>
              <w:t>realizacj</w:t>
            </w:r>
            <w:r w:rsidR="00F53997" w:rsidRPr="00154E08">
              <w:rPr>
                <w:rFonts w:eastAsia="Calibri" w:cs="Times New Roman"/>
                <w:spacing w:val="-2"/>
                <w:sz w:val="22"/>
                <w:szCs w:val="22"/>
              </w:rPr>
              <w:t>ę</w:t>
            </w:r>
            <w:r w:rsidR="004C05BA" w:rsidRPr="00154E08">
              <w:rPr>
                <w:rFonts w:eastAsia="Calibri" w:cs="Times New Roman"/>
                <w:spacing w:val="-2"/>
                <w:sz w:val="22"/>
                <w:szCs w:val="22"/>
              </w:rPr>
              <w:t xml:space="preserve"> przez </w:t>
            </w:r>
            <w:r w:rsidR="00A95FF9" w:rsidRPr="00154E08">
              <w:rPr>
                <w:rFonts w:eastAsia="Calibri" w:cs="Times New Roman"/>
                <w:spacing w:val="-2"/>
                <w:sz w:val="22"/>
                <w:szCs w:val="22"/>
              </w:rPr>
              <w:t xml:space="preserve">Rzeczpospolitą </w:t>
            </w:r>
            <w:r w:rsidR="004C05BA" w:rsidRPr="00154E08">
              <w:rPr>
                <w:rFonts w:eastAsia="Calibri" w:cs="Times New Roman"/>
                <w:spacing w:val="-2"/>
                <w:sz w:val="22"/>
                <w:szCs w:val="22"/>
              </w:rPr>
              <w:t>Polsk</w:t>
            </w:r>
            <w:r w:rsidR="00A95FF9" w:rsidRPr="00154E08">
              <w:rPr>
                <w:rFonts w:eastAsia="Calibri" w:cs="Times New Roman"/>
                <w:spacing w:val="-2"/>
                <w:sz w:val="22"/>
                <w:szCs w:val="22"/>
              </w:rPr>
              <w:t>ą</w:t>
            </w:r>
            <w:r w:rsidR="004C05BA" w:rsidRPr="00154E08">
              <w:rPr>
                <w:rFonts w:eastAsia="Calibri" w:cs="Times New Roman"/>
                <w:spacing w:val="-2"/>
                <w:sz w:val="22"/>
                <w:szCs w:val="22"/>
              </w:rPr>
              <w:t xml:space="preserve"> celu OZE w transporcie:</w:t>
            </w:r>
          </w:p>
          <w:p w14:paraId="199DCFAF" w14:textId="4E85D7DE" w:rsidR="00234BF7" w:rsidRPr="00154E08" w:rsidRDefault="00234BF7" w:rsidP="00A346AB">
            <w:pPr>
              <w:pStyle w:val="Akapitzlist"/>
              <w:numPr>
                <w:ilvl w:val="0"/>
                <w:numId w:val="8"/>
              </w:numPr>
              <w:shd w:val="clear" w:color="auto" w:fill="FFFFFF" w:themeFill="background1"/>
              <w:spacing w:line="240" w:lineRule="auto"/>
              <w:jc w:val="both"/>
              <w:rPr>
                <w:rFonts w:ascii="Times New Roman" w:eastAsia="Calibri" w:hAnsi="Times New Roman"/>
                <w:spacing w:val="-2"/>
                <w:sz w:val="22"/>
                <w:szCs w:val="22"/>
              </w:rPr>
            </w:pPr>
            <w:r w:rsidRPr="00154E08">
              <w:rPr>
                <w:rFonts w:ascii="Times New Roman" w:eastAsia="Calibri" w:hAnsi="Times New Roman"/>
                <w:spacing w:val="-2"/>
                <w:sz w:val="22"/>
                <w:szCs w:val="22"/>
              </w:rPr>
              <w:t xml:space="preserve">ujawnienie części rynku paliwowego w związku z walką z szarą strefą – wskutek podjętych działań legislacyjnych zwiększających kontrolę oraz porządkujących obrót paliwami transportowymi, </w:t>
            </w:r>
            <w:r w:rsidR="007E7E4D" w:rsidRPr="00154E08">
              <w:rPr>
                <w:rFonts w:ascii="Times New Roman" w:eastAsia="Calibri" w:hAnsi="Times New Roman"/>
                <w:spacing w:val="-2"/>
                <w:sz w:val="22"/>
                <w:szCs w:val="22"/>
              </w:rPr>
              <w:t xml:space="preserve">odnotowano </w:t>
            </w:r>
            <w:r w:rsidRPr="00154E08">
              <w:rPr>
                <w:rFonts w:ascii="Times New Roman" w:eastAsia="Calibri" w:hAnsi="Times New Roman"/>
                <w:spacing w:val="-2"/>
                <w:sz w:val="22"/>
                <w:szCs w:val="22"/>
              </w:rPr>
              <w:t xml:space="preserve">wzrost oficjalnego zużycia paliw transportowych. </w:t>
            </w:r>
            <w:r w:rsidR="00A255BB" w:rsidRPr="00154E08">
              <w:rPr>
                <w:rFonts w:ascii="Times New Roman" w:eastAsia="Calibri" w:hAnsi="Times New Roman"/>
                <w:spacing w:val="-2"/>
                <w:sz w:val="22"/>
                <w:szCs w:val="22"/>
              </w:rPr>
              <w:t>W</w:t>
            </w:r>
            <w:r w:rsidR="002B3E8A" w:rsidRPr="00154E08">
              <w:rPr>
                <w:rFonts w:ascii="Times New Roman" w:eastAsia="Calibri" w:hAnsi="Times New Roman"/>
                <w:spacing w:val="-2"/>
                <w:sz w:val="22"/>
                <w:szCs w:val="22"/>
              </w:rPr>
              <w:t xml:space="preserve">zrost zużycia </w:t>
            </w:r>
            <w:r w:rsidRPr="00154E08">
              <w:rPr>
                <w:rFonts w:ascii="Times New Roman" w:eastAsia="Calibri" w:hAnsi="Times New Roman"/>
                <w:spacing w:val="-2"/>
                <w:sz w:val="22"/>
                <w:szCs w:val="22"/>
              </w:rPr>
              <w:t xml:space="preserve">paliw </w:t>
            </w:r>
            <w:r w:rsidR="009413FB" w:rsidRPr="00154E08">
              <w:rPr>
                <w:rFonts w:ascii="Times New Roman" w:eastAsia="Calibri" w:hAnsi="Times New Roman"/>
                <w:spacing w:val="-2"/>
                <w:sz w:val="22"/>
                <w:szCs w:val="22"/>
              </w:rPr>
              <w:t>ujawnił</w:t>
            </w:r>
            <w:r w:rsidRPr="00154E08">
              <w:rPr>
                <w:rFonts w:ascii="Times New Roman" w:eastAsia="Calibri" w:hAnsi="Times New Roman"/>
                <w:spacing w:val="-2"/>
                <w:sz w:val="22"/>
                <w:szCs w:val="22"/>
              </w:rPr>
              <w:t xml:space="preserve"> </w:t>
            </w:r>
            <w:r w:rsidR="00976D89" w:rsidRPr="00154E08">
              <w:rPr>
                <w:rFonts w:ascii="Times New Roman" w:eastAsia="Calibri" w:hAnsi="Times New Roman"/>
                <w:spacing w:val="-2"/>
                <w:sz w:val="22"/>
                <w:szCs w:val="22"/>
              </w:rPr>
              <w:t>wyzwania</w:t>
            </w:r>
            <w:r w:rsidRPr="00154E08">
              <w:rPr>
                <w:rFonts w:ascii="Times New Roman" w:eastAsia="Calibri" w:hAnsi="Times New Roman"/>
                <w:spacing w:val="-2"/>
                <w:sz w:val="22"/>
                <w:szCs w:val="22"/>
              </w:rPr>
              <w:t xml:space="preserve"> logistyczne</w:t>
            </w:r>
            <w:r w:rsidR="000C5FDA" w:rsidRPr="00154E08">
              <w:rPr>
                <w:rFonts w:ascii="Times New Roman" w:eastAsia="Calibri" w:hAnsi="Times New Roman"/>
                <w:spacing w:val="-2"/>
                <w:sz w:val="22"/>
                <w:szCs w:val="22"/>
              </w:rPr>
              <w:t xml:space="preserve"> </w:t>
            </w:r>
            <w:r w:rsidR="00976D89" w:rsidRPr="00154E08">
              <w:rPr>
                <w:rFonts w:ascii="Times New Roman" w:eastAsia="Calibri" w:hAnsi="Times New Roman"/>
                <w:spacing w:val="-2"/>
                <w:sz w:val="22"/>
                <w:szCs w:val="22"/>
              </w:rPr>
              <w:t xml:space="preserve">np. </w:t>
            </w:r>
            <w:r w:rsidRPr="00154E08">
              <w:rPr>
                <w:rFonts w:ascii="Times New Roman" w:eastAsia="Calibri" w:hAnsi="Times New Roman"/>
                <w:spacing w:val="-2"/>
                <w:sz w:val="22"/>
                <w:szCs w:val="22"/>
              </w:rPr>
              <w:t xml:space="preserve">niewystarczającą wydajność instalacji </w:t>
            </w:r>
            <w:proofErr w:type="spellStart"/>
            <w:r w:rsidRPr="00154E08">
              <w:rPr>
                <w:rFonts w:ascii="Times New Roman" w:eastAsia="Calibri" w:hAnsi="Times New Roman"/>
                <w:spacing w:val="-2"/>
                <w:sz w:val="22"/>
                <w:szCs w:val="22"/>
              </w:rPr>
              <w:t>blending</w:t>
            </w:r>
            <w:r w:rsidR="00A255BB" w:rsidRPr="00154E08">
              <w:rPr>
                <w:rFonts w:ascii="Times New Roman" w:eastAsia="Calibri" w:hAnsi="Times New Roman"/>
                <w:spacing w:val="-2"/>
                <w:sz w:val="22"/>
                <w:szCs w:val="22"/>
              </w:rPr>
              <w:t>u</w:t>
            </w:r>
            <w:proofErr w:type="spellEnd"/>
            <w:r w:rsidRPr="00154E08">
              <w:rPr>
                <w:rFonts w:ascii="Times New Roman" w:eastAsia="Calibri" w:hAnsi="Times New Roman"/>
                <w:spacing w:val="-2"/>
                <w:sz w:val="22"/>
                <w:szCs w:val="22"/>
              </w:rPr>
              <w:t xml:space="preserve"> w</w:t>
            </w:r>
            <w:r w:rsidR="00A255BB" w:rsidRPr="00154E08">
              <w:rPr>
                <w:rFonts w:ascii="Times New Roman" w:eastAsia="Calibri" w:hAnsi="Times New Roman"/>
                <w:spacing w:val="-2"/>
                <w:sz w:val="22"/>
                <w:szCs w:val="22"/>
              </w:rPr>
              <w:t> relacji</w:t>
            </w:r>
            <w:r w:rsidR="003C1C79" w:rsidRPr="00154E08">
              <w:rPr>
                <w:rFonts w:ascii="Times New Roman" w:eastAsia="Calibri" w:hAnsi="Times New Roman"/>
                <w:spacing w:val="-2"/>
                <w:sz w:val="22"/>
                <w:szCs w:val="22"/>
              </w:rPr>
              <w:t xml:space="preserve"> do zapotrzebowania</w:t>
            </w:r>
            <w:r w:rsidR="00731A20" w:rsidRPr="00154E08">
              <w:rPr>
                <w:rFonts w:ascii="Times New Roman" w:eastAsia="Calibri" w:hAnsi="Times New Roman"/>
                <w:spacing w:val="-2"/>
                <w:sz w:val="22"/>
                <w:szCs w:val="22"/>
              </w:rPr>
              <w:t xml:space="preserve">; </w:t>
            </w:r>
          </w:p>
          <w:p w14:paraId="52C63DB2" w14:textId="25F7E3DD" w:rsidR="004C05BA" w:rsidRPr="00154E08" w:rsidRDefault="004C05BA" w:rsidP="00A346AB">
            <w:pPr>
              <w:pStyle w:val="Akapitzlist"/>
              <w:numPr>
                <w:ilvl w:val="0"/>
                <w:numId w:val="8"/>
              </w:numPr>
              <w:shd w:val="clear" w:color="auto" w:fill="FFFFFF" w:themeFill="background1"/>
              <w:spacing w:line="240" w:lineRule="auto"/>
              <w:jc w:val="both"/>
              <w:rPr>
                <w:rFonts w:ascii="Times New Roman" w:eastAsia="Calibri" w:hAnsi="Times New Roman"/>
                <w:spacing w:val="-2"/>
                <w:sz w:val="22"/>
                <w:szCs w:val="22"/>
              </w:rPr>
            </w:pPr>
            <w:r w:rsidRPr="00154E08">
              <w:rPr>
                <w:rFonts w:ascii="Times New Roman" w:eastAsia="Calibri" w:hAnsi="Times New Roman"/>
                <w:spacing w:val="-2"/>
                <w:sz w:val="22"/>
                <w:szCs w:val="22"/>
              </w:rPr>
              <w:t>ograniczenia wynikające z możliwości stosowania biokomponentów I generacji w</w:t>
            </w:r>
            <w:r w:rsidR="00976D89" w:rsidRPr="00154E08">
              <w:rPr>
                <w:rFonts w:ascii="Times New Roman" w:eastAsia="Calibri" w:hAnsi="Times New Roman"/>
                <w:spacing w:val="-2"/>
                <w:sz w:val="22"/>
                <w:szCs w:val="22"/>
              </w:rPr>
              <w:t> </w:t>
            </w:r>
            <w:r w:rsidRPr="00154E08">
              <w:rPr>
                <w:rFonts w:ascii="Times New Roman" w:eastAsia="Calibri" w:hAnsi="Times New Roman"/>
                <w:spacing w:val="-2"/>
                <w:sz w:val="22"/>
                <w:szCs w:val="22"/>
              </w:rPr>
              <w:t>paliwach do wielkości określonych w normach dotyczących jakości paliw</w:t>
            </w:r>
            <w:r w:rsidR="002B75BE" w:rsidRPr="00154E08">
              <w:rPr>
                <w:rFonts w:ascii="Times New Roman" w:eastAsia="Calibri" w:hAnsi="Times New Roman"/>
                <w:spacing w:val="-2"/>
                <w:sz w:val="22"/>
                <w:szCs w:val="22"/>
              </w:rPr>
              <w:t xml:space="preserve"> – tzw</w:t>
            </w:r>
            <w:r w:rsidR="00976D89" w:rsidRPr="00154E08">
              <w:rPr>
                <w:rFonts w:ascii="Times New Roman" w:eastAsia="Calibri" w:hAnsi="Times New Roman"/>
                <w:spacing w:val="-2"/>
                <w:sz w:val="22"/>
                <w:szCs w:val="22"/>
              </w:rPr>
              <w:t>.</w:t>
            </w:r>
            <w:r w:rsidR="002B3E8A" w:rsidRPr="00154E08">
              <w:rPr>
                <w:rFonts w:ascii="Times New Roman" w:eastAsia="Calibri" w:hAnsi="Times New Roman"/>
                <w:spacing w:val="-2"/>
                <w:sz w:val="22"/>
                <w:szCs w:val="22"/>
              </w:rPr>
              <w:t> </w:t>
            </w:r>
            <w:proofErr w:type="spellStart"/>
            <w:r w:rsidR="002B75BE" w:rsidRPr="00154E08">
              <w:rPr>
                <w:rFonts w:ascii="Times New Roman" w:eastAsia="Calibri" w:hAnsi="Times New Roman"/>
                <w:spacing w:val="-2"/>
                <w:sz w:val="22"/>
                <w:szCs w:val="22"/>
              </w:rPr>
              <w:t>blending</w:t>
            </w:r>
            <w:proofErr w:type="spellEnd"/>
            <w:r w:rsidR="002B75BE" w:rsidRPr="00154E08">
              <w:rPr>
                <w:rFonts w:ascii="Times New Roman" w:eastAsia="Calibri" w:hAnsi="Times New Roman"/>
                <w:spacing w:val="-2"/>
                <w:sz w:val="22"/>
                <w:szCs w:val="22"/>
              </w:rPr>
              <w:t xml:space="preserve"> </w:t>
            </w:r>
            <w:proofErr w:type="spellStart"/>
            <w:r w:rsidR="002B75BE" w:rsidRPr="00154E08">
              <w:rPr>
                <w:rFonts w:ascii="Times New Roman" w:eastAsia="Calibri" w:hAnsi="Times New Roman"/>
                <w:spacing w:val="-2"/>
                <w:sz w:val="22"/>
                <w:szCs w:val="22"/>
              </w:rPr>
              <w:t>wall</w:t>
            </w:r>
            <w:proofErr w:type="spellEnd"/>
            <w:r w:rsidR="007E7530" w:rsidRPr="00154E08">
              <w:rPr>
                <w:rFonts w:ascii="Times New Roman" w:eastAsia="Calibri" w:hAnsi="Times New Roman"/>
                <w:spacing w:val="-2"/>
                <w:sz w:val="22"/>
                <w:szCs w:val="22"/>
              </w:rPr>
              <w:t>;</w:t>
            </w:r>
          </w:p>
          <w:p w14:paraId="3B276222" w14:textId="5DE2C0EB" w:rsidR="004C05BA" w:rsidRPr="00154E08" w:rsidRDefault="004C05BA" w:rsidP="00A346AB">
            <w:pPr>
              <w:pStyle w:val="Akapitzlist"/>
              <w:numPr>
                <w:ilvl w:val="0"/>
                <w:numId w:val="8"/>
              </w:numPr>
              <w:shd w:val="clear" w:color="auto" w:fill="FFFFFF" w:themeFill="background1"/>
              <w:spacing w:line="240" w:lineRule="auto"/>
              <w:jc w:val="both"/>
              <w:rPr>
                <w:rFonts w:ascii="Times New Roman" w:eastAsia="Calibri" w:hAnsi="Times New Roman"/>
                <w:spacing w:val="-2"/>
                <w:sz w:val="22"/>
                <w:szCs w:val="22"/>
              </w:rPr>
            </w:pPr>
            <w:r w:rsidRPr="00154E08">
              <w:rPr>
                <w:rFonts w:ascii="Times New Roman" w:eastAsia="Calibri" w:hAnsi="Times New Roman"/>
                <w:spacing w:val="-2"/>
                <w:sz w:val="22"/>
                <w:szCs w:val="22"/>
              </w:rPr>
              <w:t>niedostateczn</w:t>
            </w:r>
            <w:r w:rsidR="00DE7150" w:rsidRPr="00154E08">
              <w:rPr>
                <w:rFonts w:ascii="Times New Roman" w:eastAsia="Calibri" w:hAnsi="Times New Roman"/>
                <w:spacing w:val="-2"/>
                <w:sz w:val="22"/>
                <w:szCs w:val="22"/>
              </w:rPr>
              <w:t>a</w:t>
            </w:r>
            <w:r w:rsidR="00976D89" w:rsidRPr="00154E08">
              <w:rPr>
                <w:rFonts w:ascii="Times New Roman" w:eastAsia="Calibri" w:hAnsi="Times New Roman"/>
                <w:spacing w:val="-2"/>
                <w:sz w:val="22"/>
                <w:szCs w:val="22"/>
              </w:rPr>
              <w:t xml:space="preserve"> podaż</w:t>
            </w:r>
            <w:r w:rsidRPr="00154E08">
              <w:rPr>
                <w:rFonts w:ascii="Times New Roman" w:eastAsia="Calibri" w:hAnsi="Times New Roman"/>
                <w:spacing w:val="-2"/>
                <w:sz w:val="22"/>
                <w:szCs w:val="22"/>
              </w:rPr>
              <w:t xml:space="preserve"> bio</w:t>
            </w:r>
            <w:r w:rsidR="009C0215" w:rsidRPr="00154E08">
              <w:rPr>
                <w:rFonts w:ascii="Times New Roman" w:eastAsia="Calibri" w:hAnsi="Times New Roman"/>
                <w:spacing w:val="-2"/>
                <w:sz w:val="22"/>
                <w:szCs w:val="22"/>
              </w:rPr>
              <w:t>komponentów zaawansowanych</w:t>
            </w:r>
            <w:r w:rsidR="008D6949" w:rsidRPr="00154E08">
              <w:rPr>
                <w:rFonts w:ascii="Times New Roman" w:eastAsia="Calibri" w:hAnsi="Times New Roman"/>
                <w:spacing w:val="-2"/>
                <w:sz w:val="22"/>
                <w:szCs w:val="22"/>
              </w:rPr>
              <w:t xml:space="preserve">, </w:t>
            </w:r>
            <w:r w:rsidR="00E77F0D" w:rsidRPr="00154E08">
              <w:rPr>
                <w:rFonts w:ascii="Times New Roman" w:eastAsia="Calibri" w:hAnsi="Times New Roman"/>
                <w:spacing w:val="-2"/>
                <w:sz w:val="22"/>
                <w:szCs w:val="22"/>
              </w:rPr>
              <w:t xml:space="preserve">z powodu </w:t>
            </w:r>
            <w:r w:rsidR="004B0B40" w:rsidRPr="00154E08">
              <w:rPr>
                <w:rFonts w:ascii="Times New Roman" w:eastAsia="Calibri" w:hAnsi="Times New Roman"/>
                <w:spacing w:val="-2"/>
                <w:sz w:val="22"/>
                <w:szCs w:val="22"/>
              </w:rPr>
              <w:t>nierozwinięt</w:t>
            </w:r>
            <w:r w:rsidR="00E77F0D" w:rsidRPr="00154E08">
              <w:rPr>
                <w:rFonts w:ascii="Times New Roman" w:eastAsia="Calibri" w:hAnsi="Times New Roman"/>
                <w:spacing w:val="-2"/>
                <w:sz w:val="22"/>
                <w:szCs w:val="22"/>
              </w:rPr>
              <w:t xml:space="preserve">ych </w:t>
            </w:r>
            <w:r w:rsidR="00631970" w:rsidRPr="00154E08">
              <w:rPr>
                <w:rFonts w:ascii="Times New Roman" w:eastAsia="Calibri" w:hAnsi="Times New Roman"/>
                <w:spacing w:val="-2"/>
                <w:sz w:val="22"/>
                <w:szCs w:val="22"/>
              </w:rPr>
              <w:t>system</w:t>
            </w:r>
            <w:r w:rsidR="00E77F0D" w:rsidRPr="00154E08">
              <w:rPr>
                <w:rFonts w:ascii="Times New Roman" w:eastAsia="Calibri" w:hAnsi="Times New Roman"/>
                <w:spacing w:val="-2"/>
                <w:sz w:val="22"/>
                <w:szCs w:val="22"/>
              </w:rPr>
              <w:t>ów</w:t>
            </w:r>
            <w:r w:rsidR="00F23E23" w:rsidRPr="00154E08">
              <w:rPr>
                <w:rFonts w:ascii="Times New Roman" w:eastAsia="Calibri" w:hAnsi="Times New Roman"/>
                <w:spacing w:val="-2"/>
                <w:sz w:val="22"/>
                <w:szCs w:val="22"/>
              </w:rPr>
              <w:t xml:space="preserve"> odzyskiwania odpadów olejowych z rynku</w:t>
            </w:r>
            <w:r w:rsidR="0045276A" w:rsidRPr="00154E08">
              <w:rPr>
                <w:rFonts w:ascii="Times New Roman" w:eastAsia="Calibri" w:hAnsi="Times New Roman"/>
                <w:spacing w:val="-2"/>
                <w:sz w:val="22"/>
                <w:szCs w:val="22"/>
              </w:rPr>
              <w:t>, zarówno odpadów komunalnych</w:t>
            </w:r>
            <w:r w:rsidR="00AA6703" w:rsidRPr="00154E08">
              <w:rPr>
                <w:rFonts w:ascii="Times New Roman" w:eastAsia="Calibri" w:hAnsi="Times New Roman"/>
                <w:spacing w:val="-2"/>
                <w:sz w:val="22"/>
                <w:szCs w:val="22"/>
              </w:rPr>
              <w:t>,</w:t>
            </w:r>
            <w:r w:rsidR="0045276A" w:rsidRPr="00154E08">
              <w:rPr>
                <w:rFonts w:ascii="Times New Roman" w:eastAsia="Calibri" w:hAnsi="Times New Roman"/>
                <w:spacing w:val="-2"/>
                <w:sz w:val="22"/>
                <w:szCs w:val="22"/>
              </w:rPr>
              <w:t xml:space="preserve"> </w:t>
            </w:r>
            <w:r w:rsidR="00730ABC" w:rsidRPr="00154E08">
              <w:rPr>
                <w:rFonts w:ascii="Times New Roman" w:eastAsia="Calibri" w:hAnsi="Times New Roman"/>
                <w:spacing w:val="-2"/>
                <w:sz w:val="22"/>
                <w:szCs w:val="22"/>
              </w:rPr>
              <w:t>jak i z przemysłu spożywczego</w:t>
            </w:r>
            <w:r w:rsidR="00F97662" w:rsidRPr="00154E08">
              <w:rPr>
                <w:rFonts w:ascii="Times New Roman" w:eastAsia="Calibri" w:hAnsi="Times New Roman"/>
                <w:spacing w:val="-2"/>
                <w:sz w:val="22"/>
                <w:szCs w:val="22"/>
              </w:rPr>
              <w:t xml:space="preserve"> </w:t>
            </w:r>
            <w:r w:rsidR="00F23E23" w:rsidRPr="00154E08">
              <w:rPr>
                <w:rFonts w:ascii="Times New Roman" w:eastAsia="Calibri" w:hAnsi="Times New Roman"/>
                <w:spacing w:val="-2"/>
                <w:sz w:val="22"/>
                <w:szCs w:val="22"/>
              </w:rPr>
              <w:t xml:space="preserve">oraz </w:t>
            </w:r>
            <w:r w:rsidR="00442652" w:rsidRPr="00154E08">
              <w:rPr>
                <w:rFonts w:ascii="Times New Roman" w:eastAsia="Calibri" w:hAnsi="Times New Roman"/>
                <w:spacing w:val="-2"/>
                <w:sz w:val="22"/>
                <w:szCs w:val="22"/>
              </w:rPr>
              <w:t xml:space="preserve">niedostatecznie </w:t>
            </w:r>
            <w:r w:rsidR="00F03550" w:rsidRPr="00154E08">
              <w:rPr>
                <w:rFonts w:ascii="Times New Roman" w:eastAsia="Calibri" w:hAnsi="Times New Roman"/>
                <w:spacing w:val="-2"/>
                <w:sz w:val="22"/>
                <w:szCs w:val="22"/>
              </w:rPr>
              <w:t xml:space="preserve">wykorzystane </w:t>
            </w:r>
            <w:r w:rsidR="008D6949" w:rsidRPr="00154E08">
              <w:rPr>
                <w:rFonts w:ascii="Times New Roman" w:eastAsia="Calibri" w:hAnsi="Times New Roman"/>
                <w:spacing w:val="-2"/>
                <w:sz w:val="22"/>
                <w:szCs w:val="22"/>
              </w:rPr>
              <w:t>now</w:t>
            </w:r>
            <w:r w:rsidR="00F03550" w:rsidRPr="00154E08">
              <w:rPr>
                <w:rFonts w:ascii="Times New Roman" w:eastAsia="Calibri" w:hAnsi="Times New Roman"/>
                <w:spacing w:val="-2"/>
                <w:sz w:val="22"/>
                <w:szCs w:val="22"/>
              </w:rPr>
              <w:t>e</w:t>
            </w:r>
            <w:r w:rsidR="008D6949" w:rsidRPr="00154E08">
              <w:rPr>
                <w:rFonts w:ascii="Times New Roman" w:eastAsia="Calibri" w:hAnsi="Times New Roman"/>
                <w:spacing w:val="-2"/>
                <w:sz w:val="22"/>
                <w:szCs w:val="22"/>
              </w:rPr>
              <w:t xml:space="preserve"> technologi</w:t>
            </w:r>
            <w:r w:rsidR="00F03550" w:rsidRPr="00154E08">
              <w:rPr>
                <w:rFonts w:ascii="Times New Roman" w:eastAsia="Calibri" w:hAnsi="Times New Roman"/>
                <w:spacing w:val="-2"/>
                <w:sz w:val="22"/>
                <w:szCs w:val="22"/>
              </w:rPr>
              <w:t>e</w:t>
            </w:r>
            <w:r w:rsidR="00684A87" w:rsidRPr="00154E08">
              <w:rPr>
                <w:rFonts w:ascii="Times New Roman" w:eastAsia="Calibri" w:hAnsi="Times New Roman"/>
                <w:spacing w:val="-2"/>
                <w:sz w:val="22"/>
                <w:szCs w:val="22"/>
              </w:rPr>
              <w:t xml:space="preserve"> –</w:t>
            </w:r>
            <w:r w:rsidR="00F23E23" w:rsidRPr="00154E08">
              <w:rPr>
                <w:rFonts w:ascii="Times New Roman" w:eastAsia="Calibri" w:hAnsi="Times New Roman"/>
                <w:spacing w:val="-2"/>
                <w:sz w:val="22"/>
                <w:szCs w:val="22"/>
              </w:rPr>
              <w:t xml:space="preserve"> </w:t>
            </w:r>
            <w:r w:rsidR="00253892" w:rsidRPr="00154E08">
              <w:rPr>
                <w:rFonts w:ascii="Times New Roman" w:eastAsia="Calibri" w:hAnsi="Times New Roman"/>
                <w:spacing w:val="-2"/>
                <w:sz w:val="22"/>
                <w:szCs w:val="22"/>
              </w:rPr>
              <w:t>ze</w:t>
            </w:r>
            <w:r w:rsidR="00936BF6" w:rsidRPr="00154E08">
              <w:rPr>
                <w:rFonts w:ascii="Times New Roman" w:eastAsia="Calibri" w:hAnsi="Times New Roman"/>
                <w:spacing w:val="-2"/>
                <w:sz w:val="22"/>
                <w:szCs w:val="22"/>
              </w:rPr>
              <w:t> </w:t>
            </w:r>
            <w:r w:rsidR="00253892" w:rsidRPr="00154E08">
              <w:rPr>
                <w:rFonts w:ascii="Times New Roman" w:eastAsia="Calibri" w:hAnsi="Times New Roman"/>
                <w:spacing w:val="-2"/>
                <w:sz w:val="22"/>
                <w:szCs w:val="22"/>
              </w:rPr>
              <w:t xml:space="preserve">względu na </w:t>
            </w:r>
            <w:r w:rsidR="008D6949" w:rsidRPr="00154E08">
              <w:rPr>
                <w:rFonts w:ascii="Times New Roman" w:eastAsia="Calibri" w:hAnsi="Times New Roman"/>
                <w:spacing w:val="-2"/>
                <w:sz w:val="22"/>
                <w:szCs w:val="22"/>
              </w:rPr>
              <w:t>wysoki</w:t>
            </w:r>
            <w:r w:rsidR="00253892" w:rsidRPr="00154E08">
              <w:rPr>
                <w:rFonts w:ascii="Times New Roman" w:eastAsia="Calibri" w:hAnsi="Times New Roman"/>
                <w:spacing w:val="-2"/>
                <w:sz w:val="22"/>
                <w:szCs w:val="22"/>
              </w:rPr>
              <w:t>e</w:t>
            </w:r>
            <w:r w:rsidR="008D6949" w:rsidRPr="00154E08">
              <w:rPr>
                <w:rFonts w:ascii="Times New Roman" w:eastAsia="Calibri" w:hAnsi="Times New Roman"/>
                <w:spacing w:val="-2"/>
                <w:sz w:val="22"/>
                <w:szCs w:val="22"/>
              </w:rPr>
              <w:t xml:space="preserve"> koszt</w:t>
            </w:r>
            <w:r w:rsidR="00253892" w:rsidRPr="00154E08">
              <w:rPr>
                <w:rFonts w:ascii="Times New Roman" w:eastAsia="Calibri" w:hAnsi="Times New Roman"/>
                <w:spacing w:val="-2"/>
                <w:sz w:val="22"/>
                <w:szCs w:val="22"/>
              </w:rPr>
              <w:t>y</w:t>
            </w:r>
            <w:r w:rsidR="008D6949" w:rsidRPr="00154E08">
              <w:rPr>
                <w:rFonts w:ascii="Times New Roman" w:eastAsia="Calibri" w:hAnsi="Times New Roman"/>
                <w:spacing w:val="-2"/>
                <w:sz w:val="22"/>
                <w:szCs w:val="22"/>
              </w:rPr>
              <w:t xml:space="preserve"> </w:t>
            </w:r>
            <w:r w:rsidR="00730ABC" w:rsidRPr="00154E08">
              <w:rPr>
                <w:rFonts w:ascii="Times New Roman" w:eastAsia="Calibri" w:hAnsi="Times New Roman"/>
                <w:spacing w:val="-2"/>
                <w:sz w:val="22"/>
                <w:szCs w:val="22"/>
              </w:rPr>
              <w:t>wdrożenia</w:t>
            </w:r>
            <w:r w:rsidR="008D6949" w:rsidRPr="00154E08">
              <w:rPr>
                <w:rFonts w:ascii="Times New Roman" w:eastAsia="Calibri" w:hAnsi="Times New Roman"/>
                <w:spacing w:val="-2"/>
                <w:sz w:val="22"/>
                <w:szCs w:val="22"/>
              </w:rPr>
              <w:t xml:space="preserve"> i </w:t>
            </w:r>
            <w:r w:rsidR="00D41F37" w:rsidRPr="00154E08">
              <w:rPr>
                <w:rFonts w:ascii="Times New Roman" w:eastAsia="Calibri" w:hAnsi="Times New Roman"/>
                <w:spacing w:val="-2"/>
                <w:sz w:val="22"/>
                <w:szCs w:val="22"/>
              </w:rPr>
              <w:t>produkcji</w:t>
            </w:r>
            <w:r w:rsidRPr="00154E08">
              <w:rPr>
                <w:rFonts w:ascii="Times New Roman" w:eastAsia="Calibri" w:hAnsi="Times New Roman"/>
                <w:spacing w:val="-2"/>
                <w:sz w:val="22"/>
                <w:szCs w:val="22"/>
              </w:rPr>
              <w:t>;</w:t>
            </w:r>
          </w:p>
          <w:p w14:paraId="5A229E93" w14:textId="597A2FB5" w:rsidR="00AF4F0A" w:rsidRPr="00154E08" w:rsidRDefault="008408C1" w:rsidP="00A346AB">
            <w:pPr>
              <w:pStyle w:val="Akapitzlist"/>
              <w:numPr>
                <w:ilvl w:val="0"/>
                <w:numId w:val="8"/>
              </w:numPr>
              <w:shd w:val="clear" w:color="auto" w:fill="FFFFFF" w:themeFill="background1"/>
              <w:spacing w:line="240" w:lineRule="auto"/>
              <w:jc w:val="both"/>
              <w:rPr>
                <w:rFonts w:ascii="Times New Roman" w:eastAsia="Calibri" w:hAnsi="Times New Roman"/>
                <w:spacing w:val="-2"/>
                <w:sz w:val="22"/>
                <w:szCs w:val="22"/>
              </w:rPr>
            </w:pPr>
            <w:r w:rsidRPr="00154E08">
              <w:rPr>
                <w:rFonts w:ascii="Times New Roman" w:eastAsia="Calibri" w:hAnsi="Times New Roman"/>
                <w:spacing w:val="-2"/>
                <w:sz w:val="22"/>
                <w:szCs w:val="22"/>
              </w:rPr>
              <w:t xml:space="preserve">nieznaczny </w:t>
            </w:r>
            <w:r w:rsidR="004C05BA" w:rsidRPr="00154E08">
              <w:rPr>
                <w:rFonts w:ascii="Times New Roman" w:eastAsia="Calibri" w:hAnsi="Times New Roman"/>
                <w:spacing w:val="-2"/>
                <w:sz w:val="22"/>
                <w:szCs w:val="22"/>
              </w:rPr>
              <w:t xml:space="preserve">rozwój </w:t>
            </w:r>
            <w:proofErr w:type="spellStart"/>
            <w:r w:rsidR="004C05BA" w:rsidRPr="00154E08">
              <w:rPr>
                <w:rFonts w:ascii="Times New Roman" w:eastAsia="Calibri" w:hAnsi="Times New Roman"/>
                <w:spacing w:val="-2"/>
                <w:sz w:val="22"/>
                <w:szCs w:val="22"/>
              </w:rPr>
              <w:t>elektromobilności</w:t>
            </w:r>
            <w:proofErr w:type="spellEnd"/>
            <w:r w:rsidR="004C05BA" w:rsidRPr="00154E08">
              <w:rPr>
                <w:rFonts w:ascii="Times New Roman" w:eastAsia="Calibri" w:hAnsi="Times New Roman"/>
                <w:spacing w:val="-2"/>
                <w:sz w:val="22"/>
                <w:szCs w:val="22"/>
              </w:rPr>
              <w:t xml:space="preserve"> </w:t>
            </w:r>
            <w:r w:rsidR="008D6949" w:rsidRPr="00154E08">
              <w:rPr>
                <w:rFonts w:ascii="Times New Roman" w:eastAsia="Calibri" w:hAnsi="Times New Roman"/>
                <w:spacing w:val="-2"/>
                <w:sz w:val="22"/>
                <w:szCs w:val="22"/>
              </w:rPr>
              <w:t>wynikający z wysokich kosztów</w:t>
            </w:r>
            <w:r w:rsidR="00CE42BA" w:rsidRPr="00154E08">
              <w:rPr>
                <w:rFonts w:ascii="Times New Roman" w:eastAsia="Calibri" w:hAnsi="Times New Roman"/>
                <w:spacing w:val="-2"/>
                <w:sz w:val="22"/>
                <w:szCs w:val="22"/>
              </w:rPr>
              <w:t xml:space="preserve"> (koszty </w:t>
            </w:r>
            <w:r w:rsidR="00F77E28" w:rsidRPr="00154E08">
              <w:rPr>
                <w:rFonts w:ascii="Times New Roman" w:eastAsia="Calibri" w:hAnsi="Times New Roman"/>
                <w:spacing w:val="-2"/>
                <w:sz w:val="22"/>
                <w:szCs w:val="22"/>
              </w:rPr>
              <w:t>pojazdów</w:t>
            </w:r>
            <w:r w:rsidR="00CE42BA" w:rsidRPr="00154E08">
              <w:rPr>
                <w:rFonts w:ascii="Times New Roman" w:eastAsia="Calibri" w:hAnsi="Times New Roman"/>
                <w:spacing w:val="-2"/>
                <w:sz w:val="22"/>
                <w:szCs w:val="22"/>
              </w:rPr>
              <w:t xml:space="preserve">, koszty rozwoju sieci </w:t>
            </w:r>
            <w:r w:rsidR="00AD2A62" w:rsidRPr="00154E08">
              <w:rPr>
                <w:rFonts w:ascii="Times New Roman" w:eastAsia="Calibri" w:hAnsi="Times New Roman"/>
                <w:spacing w:val="-2"/>
                <w:sz w:val="22"/>
                <w:szCs w:val="22"/>
              </w:rPr>
              <w:t xml:space="preserve">energetycznych </w:t>
            </w:r>
            <w:r w:rsidR="00F23E23" w:rsidRPr="00154E08">
              <w:rPr>
                <w:rFonts w:ascii="Times New Roman" w:eastAsia="Calibri" w:hAnsi="Times New Roman"/>
                <w:spacing w:val="-2"/>
                <w:sz w:val="22"/>
                <w:szCs w:val="22"/>
              </w:rPr>
              <w:t xml:space="preserve">oraz </w:t>
            </w:r>
            <w:r w:rsidR="00CE42BA" w:rsidRPr="00154E08">
              <w:rPr>
                <w:rFonts w:ascii="Times New Roman" w:eastAsia="Calibri" w:hAnsi="Times New Roman"/>
                <w:spacing w:val="-2"/>
                <w:sz w:val="22"/>
                <w:szCs w:val="22"/>
              </w:rPr>
              <w:t>punktów ładowani</w:t>
            </w:r>
            <w:r w:rsidR="00614CFD" w:rsidRPr="00154E08">
              <w:rPr>
                <w:rFonts w:ascii="Times New Roman" w:eastAsia="Calibri" w:hAnsi="Times New Roman"/>
                <w:spacing w:val="-2"/>
                <w:sz w:val="22"/>
                <w:szCs w:val="22"/>
              </w:rPr>
              <w:t>a</w:t>
            </w:r>
            <w:r w:rsidR="00C42B7D" w:rsidRPr="00154E08">
              <w:rPr>
                <w:rFonts w:ascii="Times New Roman" w:eastAsia="Calibri" w:hAnsi="Times New Roman"/>
                <w:spacing w:val="-2"/>
                <w:sz w:val="22"/>
                <w:szCs w:val="22"/>
              </w:rPr>
              <w:t>)</w:t>
            </w:r>
            <w:r w:rsidR="00AF4F0A" w:rsidRPr="00154E08">
              <w:rPr>
                <w:rFonts w:ascii="Times New Roman" w:eastAsia="Calibri" w:hAnsi="Times New Roman"/>
                <w:spacing w:val="-2"/>
                <w:sz w:val="22"/>
                <w:szCs w:val="22"/>
              </w:rPr>
              <w:t>,</w:t>
            </w:r>
            <w:r w:rsidR="008D6949" w:rsidRPr="00154E08">
              <w:rPr>
                <w:rFonts w:ascii="Times New Roman" w:eastAsia="Calibri" w:hAnsi="Times New Roman"/>
                <w:spacing w:val="-2"/>
                <w:sz w:val="22"/>
                <w:szCs w:val="22"/>
              </w:rPr>
              <w:t xml:space="preserve"> </w:t>
            </w:r>
            <w:r w:rsidR="00AF4F0A" w:rsidRPr="00154E08">
              <w:rPr>
                <w:rFonts w:ascii="Times New Roman" w:eastAsia="Calibri" w:hAnsi="Times New Roman"/>
                <w:spacing w:val="-2"/>
                <w:sz w:val="22"/>
                <w:szCs w:val="22"/>
              </w:rPr>
              <w:t xml:space="preserve">braku regulacji </w:t>
            </w:r>
            <w:r w:rsidR="00CE42BA" w:rsidRPr="00154E08">
              <w:rPr>
                <w:rFonts w:ascii="Times New Roman" w:eastAsia="Calibri" w:hAnsi="Times New Roman"/>
                <w:spacing w:val="-2"/>
                <w:sz w:val="22"/>
                <w:szCs w:val="22"/>
              </w:rPr>
              <w:t xml:space="preserve">dotyczących zasad </w:t>
            </w:r>
            <w:r w:rsidR="00976D89" w:rsidRPr="00154E08">
              <w:rPr>
                <w:rFonts w:ascii="Times New Roman" w:eastAsia="Calibri" w:hAnsi="Times New Roman"/>
                <w:spacing w:val="-2"/>
                <w:sz w:val="22"/>
                <w:szCs w:val="22"/>
              </w:rPr>
              <w:t>uwzględnie</w:t>
            </w:r>
            <w:r w:rsidR="00CE42BA" w:rsidRPr="00154E08">
              <w:rPr>
                <w:rFonts w:ascii="Times New Roman" w:eastAsia="Calibri" w:hAnsi="Times New Roman"/>
                <w:spacing w:val="-2"/>
                <w:sz w:val="22"/>
                <w:szCs w:val="22"/>
              </w:rPr>
              <w:t>nia energii elektrycznej w rozliczeni</w:t>
            </w:r>
            <w:r w:rsidR="00976D89" w:rsidRPr="00154E08">
              <w:rPr>
                <w:rFonts w:ascii="Times New Roman" w:eastAsia="Calibri" w:hAnsi="Times New Roman"/>
                <w:spacing w:val="-2"/>
                <w:sz w:val="22"/>
                <w:szCs w:val="22"/>
              </w:rPr>
              <w:t>u</w:t>
            </w:r>
            <w:r w:rsidR="00CE42BA" w:rsidRPr="00154E08">
              <w:rPr>
                <w:rFonts w:ascii="Times New Roman" w:eastAsia="Calibri" w:hAnsi="Times New Roman"/>
                <w:spacing w:val="-2"/>
                <w:sz w:val="22"/>
                <w:szCs w:val="22"/>
              </w:rPr>
              <w:t xml:space="preserve"> celu</w:t>
            </w:r>
            <w:r w:rsidR="00684A87" w:rsidRPr="00154E08">
              <w:rPr>
                <w:rFonts w:ascii="Times New Roman" w:eastAsia="Calibri" w:hAnsi="Times New Roman"/>
                <w:spacing w:val="-2"/>
                <w:sz w:val="22"/>
                <w:szCs w:val="22"/>
              </w:rPr>
              <w:t xml:space="preserve"> </w:t>
            </w:r>
            <w:r w:rsidR="00CE42BA" w:rsidRPr="00154E08">
              <w:rPr>
                <w:rFonts w:ascii="Times New Roman" w:eastAsia="Calibri" w:hAnsi="Times New Roman"/>
                <w:spacing w:val="-2"/>
                <w:sz w:val="22"/>
                <w:szCs w:val="22"/>
              </w:rPr>
              <w:t>OZE w transporcie na poziomie krajowym</w:t>
            </w:r>
            <w:r w:rsidR="00AF4F0A" w:rsidRPr="00154E08">
              <w:rPr>
                <w:rFonts w:ascii="Times New Roman" w:eastAsia="Calibri" w:hAnsi="Times New Roman"/>
                <w:spacing w:val="-2"/>
                <w:sz w:val="22"/>
                <w:szCs w:val="22"/>
              </w:rPr>
              <w:t>;</w:t>
            </w:r>
          </w:p>
          <w:p w14:paraId="5B7702D1" w14:textId="59087134" w:rsidR="004C05BA" w:rsidRPr="00154E08" w:rsidRDefault="00FD6D37" w:rsidP="00A346AB">
            <w:pPr>
              <w:pStyle w:val="Akapitzlist"/>
              <w:numPr>
                <w:ilvl w:val="0"/>
                <w:numId w:val="8"/>
              </w:numPr>
              <w:shd w:val="clear" w:color="auto" w:fill="FFFFFF" w:themeFill="background1"/>
              <w:spacing w:line="240" w:lineRule="auto"/>
              <w:jc w:val="both"/>
              <w:rPr>
                <w:rFonts w:ascii="Times New Roman" w:eastAsia="Calibri" w:hAnsi="Times New Roman"/>
                <w:spacing w:val="-2"/>
                <w:sz w:val="22"/>
                <w:szCs w:val="22"/>
              </w:rPr>
            </w:pPr>
            <w:r w:rsidRPr="00154E08">
              <w:rPr>
                <w:rFonts w:ascii="Times New Roman" w:eastAsia="Calibri" w:hAnsi="Times New Roman"/>
                <w:spacing w:val="-2"/>
                <w:sz w:val="22"/>
                <w:szCs w:val="22"/>
              </w:rPr>
              <w:t xml:space="preserve">wciąż </w:t>
            </w:r>
            <w:r w:rsidR="00CE34EE" w:rsidRPr="00154E08">
              <w:rPr>
                <w:rFonts w:ascii="Times New Roman" w:eastAsia="Calibri" w:hAnsi="Times New Roman"/>
                <w:spacing w:val="-2"/>
                <w:sz w:val="22"/>
                <w:szCs w:val="22"/>
              </w:rPr>
              <w:t>w</w:t>
            </w:r>
            <w:r w:rsidR="004C05BA" w:rsidRPr="00154E08">
              <w:rPr>
                <w:rFonts w:ascii="Times New Roman" w:eastAsia="Calibri" w:hAnsi="Times New Roman"/>
                <w:spacing w:val="-2"/>
                <w:sz w:val="22"/>
                <w:szCs w:val="22"/>
              </w:rPr>
              <w:t>ysoki udział paliw kopalnych w wytwarzaniu energii elektrycznej</w:t>
            </w:r>
            <w:r w:rsidR="006F4C67" w:rsidRPr="00154E08">
              <w:rPr>
                <w:rFonts w:ascii="Times New Roman" w:eastAsia="Calibri" w:hAnsi="Times New Roman"/>
                <w:spacing w:val="-2"/>
                <w:sz w:val="22"/>
                <w:szCs w:val="22"/>
              </w:rPr>
              <w:t xml:space="preserve"> - ty</w:t>
            </w:r>
            <w:r w:rsidR="00B236C0" w:rsidRPr="00154E08">
              <w:rPr>
                <w:rFonts w:ascii="Times New Roman" w:eastAsia="Calibri" w:hAnsi="Times New Roman"/>
                <w:spacing w:val="-2"/>
                <w:sz w:val="22"/>
                <w:szCs w:val="22"/>
              </w:rPr>
              <w:t xml:space="preserve">lko </w:t>
            </w:r>
            <w:r w:rsidR="004349BD" w:rsidRPr="00154E08">
              <w:rPr>
                <w:rFonts w:ascii="Times New Roman" w:eastAsia="Calibri" w:hAnsi="Times New Roman"/>
                <w:spacing w:val="-2"/>
                <w:sz w:val="22"/>
                <w:szCs w:val="22"/>
              </w:rPr>
              <w:t>ograniczony</w:t>
            </w:r>
            <w:r w:rsidR="00B236C0" w:rsidRPr="00154E08">
              <w:rPr>
                <w:rFonts w:ascii="Times New Roman" w:eastAsia="Calibri" w:hAnsi="Times New Roman"/>
                <w:spacing w:val="-2"/>
                <w:sz w:val="22"/>
                <w:szCs w:val="22"/>
              </w:rPr>
              <w:t xml:space="preserve"> ułamek energii elektrycznej zastosowanej w transporcie</w:t>
            </w:r>
            <w:r w:rsidR="00976D89" w:rsidRPr="00154E08">
              <w:rPr>
                <w:rFonts w:ascii="Times New Roman" w:eastAsia="Calibri" w:hAnsi="Times New Roman"/>
                <w:spacing w:val="-2"/>
                <w:sz w:val="22"/>
                <w:szCs w:val="22"/>
              </w:rPr>
              <w:t xml:space="preserve"> </w:t>
            </w:r>
            <w:r w:rsidR="00976D89" w:rsidRPr="00154E08">
              <w:rPr>
                <w:rFonts w:ascii="Times New Roman" w:eastAsia="Calibri" w:hAnsi="Times New Roman"/>
                <w:color w:val="000000"/>
                <w:spacing w:val="-2"/>
                <w:sz w:val="22"/>
                <w:szCs w:val="22"/>
              </w:rPr>
              <w:t>–</w:t>
            </w:r>
            <w:r w:rsidR="00B236C0" w:rsidRPr="00154E08">
              <w:rPr>
                <w:rFonts w:ascii="Times New Roman" w:eastAsia="Calibri" w:hAnsi="Times New Roman"/>
                <w:spacing w:val="-2"/>
                <w:sz w:val="22"/>
                <w:szCs w:val="22"/>
              </w:rPr>
              <w:t xml:space="preserve"> kolejowym i drogowym</w:t>
            </w:r>
            <w:r w:rsidR="0027764F" w:rsidRPr="00154E08">
              <w:rPr>
                <w:rFonts w:ascii="Times New Roman" w:eastAsia="Calibri" w:hAnsi="Times New Roman"/>
                <w:spacing w:val="-2"/>
                <w:sz w:val="22"/>
                <w:szCs w:val="22"/>
              </w:rPr>
              <w:t xml:space="preserve"> jest</w:t>
            </w:r>
            <w:r w:rsidR="00B236C0" w:rsidRPr="00154E08">
              <w:rPr>
                <w:rFonts w:ascii="Times New Roman" w:eastAsia="Calibri" w:hAnsi="Times New Roman"/>
                <w:spacing w:val="-2"/>
                <w:sz w:val="22"/>
                <w:szCs w:val="22"/>
              </w:rPr>
              <w:t xml:space="preserve"> </w:t>
            </w:r>
            <w:r w:rsidR="00976D89" w:rsidRPr="00154E08">
              <w:rPr>
                <w:rFonts w:ascii="Times New Roman" w:eastAsia="Calibri" w:hAnsi="Times New Roman"/>
                <w:spacing w:val="-2"/>
                <w:sz w:val="22"/>
                <w:szCs w:val="22"/>
              </w:rPr>
              <w:t>uwzględni</w:t>
            </w:r>
            <w:r w:rsidR="0027764F" w:rsidRPr="00154E08">
              <w:rPr>
                <w:rFonts w:ascii="Times New Roman" w:eastAsia="Calibri" w:hAnsi="Times New Roman"/>
                <w:spacing w:val="-2"/>
                <w:sz w:val="22"/>
                <w:szCs w:val="22"/>
              </w:rPr>
              <w:t>any</w:t>
            </w:r>
            <w:r w:rsidR="00976D89" w:rsidRPr="00154E08">
              <w:rPr>
                <w:rFonts w:ascii="Times New Roman" w:eastAsia="Calibri" w:hAnsi="Times New Roman"/>
                <w:spacing w:val="-2"/>
                <w:sz w:val="22"/>
                <w:szCs w:val="22"/>
              </w:rPr>
              <w:t xml:space="preserve"> w</w:t>
            </w:r>
            <w:r w:rsidR="00837D94" w:rsidRPr="00154E08">
              <w:rPr>
                <w:rFonts w:ascii="Times New Roman" w:eastAsia="Calibri" w:hAnsi="Times New Roman"/>
                <w:spacing w:val="-2"/>
                <w:sz w:val="22"/>
                <w:szCs w:val="22"/>
              </w:rPr>
              <w:t> </w:t>
            </w:r>
            <w:r w:rsidR="00B236C0" w:rsidRPr="00154E08">
              <w:rPr>
                <w:rFonts w:ascii="Times New Roman" w:eastAsia="Calibri" w:hAnsi="Times New Roman"/>
                <w:spacing w:val="-2"/>
                <w:sz w:val="22"/>
                <w:szCs w:val="22"/>
              </w:rPr>
              <w:t>rozliczenia</w:t>
            </w:r>
            <w:r w:rsidR="00253892" w:rsidRPr="00154E08">
              <w:rPr>
                <w:rFonts w:ascii="Times New Roman" w:eastAsia="Calibri" w:hAnsi="Times New Roman"/>
                <w:spacing w:val="-2"/>
                <w:sz w:val="22"/>
                <w:szCs w:val="22"/>
              </w:rPr>
              <w:t>ch</w:t>
            </w:r>
            <w:r w:rsidR="00AF4F0A" w:rsidRPr="00154E08">
              <w:rPr>
                <w:rFonts w:ascii="Times New Roman" w:eastAsia="Calibri" w:hAnsi="Times New Roman"/>
                <w:spacing w:val="-2"/>
                <w:sz w:val="22"/>
                <w:szCs w:val="22"/>
              </w:rPr>
              <w:t>;</w:t>
            </w:r>
          </w:p>
          <w:p w14:paraId="3D745B2E" w14:textId="77700AC6" w:rsidR="00B236C0" w:rsidRPr="00154E08" w:rsidRDefault="00500060" w:rsidP="00A346AB">
            <w:pPr>
              <w:pStyle w:val="Akapitzlist"/>
              <w:numPr>
                <w:ilvl w:val="0"/>
                <w:numId w:val="8"/>
              </w:numPr>
              <w:shd w:val="clear" w:color="auto" w:fill="FFFFFF" w:themeFill="background1"/>
              <w:spacing w:line="240" w:lineRule="auto"/>
              <w:jc w:val="both"/>
              <w:rPr>
                <w:rFonts w:ascii="Times New Roman" w:eastAsia="Calibri" w:hAnsi="Times New Roman"/>
                <w:spacing w:val="-2"/>
                <w:sz w:val="22"/>
                <w:szCs w:val="22"/>
              </w:rPr>
            </w:pPr>
            <w:r w:rsidRPr="00154E08">
              <w:rPr>
                <w:rFonts w:ascii="Times New Roman" w:eastAsia="Calibri" w:hAnsi="Times New Roman"/>
                <w:spacing w:val="-2"/>
                <w:sz w:val="22"/>
                <w:szCs w:val="22"/>
              </w:rPr>
              <w:t xml:space="preserve">różnice w metodologii </w:t>
            </w:r>
            <w:r w:rsidR="00AF4F0A" w:rsidRPr="00154E08">
              <w:rPr>
                <w:rFonts w:ascii="Times New Roman" w:eastAsia="Calibri" w:hAnsi="Times New Roman"/>
                <w:spacing w:val="-2"/>
                <w:sz w:val="22"/>
                <w:szCs w:val="22"/>
              </w:rPr>
              <w:t xml:space="preserve">rozliczania celu OZE na poziomie unijnym </w:t>
            </w:r>
            <w:r w:rsidR="002A6DA0" w:rsidRPr="00154E08">
              <w:rPr>
                <w:rFonts w:ascii="Times New Roman" w:eastAsia="Calibri" w:hAnsi="Times New Roman"/>
                <w:spacing w:val="-2"/>
                <w:sz w:val="22"/>
                <w:szCs w:val="22"/>
              </w:rPr>
              <w:t>a</w:t>
            </w:r>
            <w:r w:rsidR="00AF4F0A" w:rsidRPr="00154E08">
              <w:rPr>
                <w:rFonts w:ascii="Times New Roman" w:eastAsia="Calibri" w:hAnsi="Times New Roman"/>
                <w:spacing w:val="-2"/>
                <w:sz w:val="22"/>
                <w:szCs w:val="22"/>
              </w:rPr>
              <w:t xml:space="preserve"> krajowym</w:t>
            </w:r>
            <w:r w:rsidR="00AA6703" w:rsidRPr="00154E08">
              <w:rPr>
                <w:rFonts w:ascii="Times New Roman" w:eastAsia="Calibri" w:hAnsi="Times New Roman"/>
                <w:spacing w:val="-2"/>
                <w:sz w:val="22"/>
                <w:szCs w:val="22"/>
              </w:rPr>
              <w:t>,</w:t>
            </w:r>
            <w:r w:rsidR="00AF4F0A" w:rsidRPr="00154E08">
              <w:rPr>
                <w:rFonts w:ascii="Times New Roman" w:eastAsia="Calibri" w:hAnsi="Times New Roman"/>
                <w:spacing w:val="-2"/>
                <w:sz w:val="22"/>
                <w:szCs w:val="22"/>
              </w:rPr>
              <w:t xml:space="preserve"> </w:t>
            </w:r>
            <w:r w:rsidR="00976D89" w:rsidRPr="00154E08">
              <w:rPr>
                <w:rFonts w:ascii="Times New Roman" w:eastAsia="Calibri" w:hAnsi="Times New Roman"/>
                <w:spacing w:val="-2"/>
                <w:sz w:val="22"/>
                <w:szCs w:val="22"/>
              </w:rPr>
              <w:t>np.</w:t>
            </w:r>
            <w:r w:rsidR="009010CB" w:rsidRPr="00154E08">
              <w:rPr>
                <w:rFonts w:ascii="Times New Roman" w:eastAsia="Calibri" w:hAnsi="Times New Roman"/>
                <w:spacing w:val="-2"/>
                <w:sz w:val="22"/>
                <w:szCs w:val="22"/>
              </w:rPr>
              <w:t> </w:t>
            </w:r>
            <w:r w:rsidR="00AF4F0A" w:rsidRPr="00154E08">
              <w:rPr>
                <w:rFonts w:ascii="Times New Roman" w:eastAsia="Calibri" w:hAnsi="Times New Roman"/>
                <w:spacing w:val="-2"/>
                <w:sz w:val="22"/>
                <w:szCs w:val="22"/>
              </w:rPr>
              <w:t>w</w:t>
            </w:r>
            <w:r w:rsidR="00976D89" w:rsidRPr="00154E08">
              <w:rPr>
                <w:rFonts w:ascii="Times New Roman" w:eastAsia="Calibri" w:hAnsi="Times New Roman"/>
                <w:spacing w:val="-2"/>
                <w:sz w:val="22"/>
                <w:szCs w:val="22"/>
              </w:rPr>
              <w:t> </w:t>
            </w:r>
            <w:r w:rsidR="00AF4F0A" w:rsidRPr="00154E08">
              <w:rPr>
                <w:rFonts w:ascii="Times New Roman" w:eastAsia="Calibri" w:hAnsi="Times New Roman"/>
                <w:spacing w:val="-2"/>
                <w:sz w:val="22"/>
                <w:szCs w:val="22"/>
              </w:rPr>
              <w:t>zakresie</w:t>
            </w:r>
            <w:r w:rsidR="002C14CE" w:rsidRPr="00154E08">
              <w:rPr>
                <w:rFonts w:ascii="Times New Roman" w:eastAsia="Calibri" w:hAnsi="Times New Roman"/>
                <w:spacing w:val="-2"/>
                <w:sz w:val="22"/>
                <w:szCs w:val="22"/>
              </w:rPr>
              <w:t xml:space="preserve"> </w:t>
            </w:r>
            <w:r w:rsidR="00B236C0" w:rsidRPr="00154E08">
              <w:rPr>
                <w:rFonts w:ascii="Times New Roman" w:eastAsia="Calibri" w:hAnsi="Times New Roman"/>
                <w:spacing w:val="-2"/>
                <w:sz w:val="22"/>
                <w:szCs w:val="22"/>
              </w:rPr>
              <w:t>estrów metylowych kwasów tłuszczowych</w:t>
            </w:r>
            <w:r w:rsidR="00684A87" w:rsidRPr="00154E08">
              <w:rPr>
                <w:rFonts w:ascii="Times New Roman" w:eastAsia="Calibri" w:hAnsi="Times New Roman"/>
                <w:spacing w:val="-2"/>
                <w:sz w:val="22"/>
                <w:szCs w:val="22"/>
              </w:rPr>
              <w:t xml:space="preserve"> </w:t>
            </w:r>
            <w:r w:rsidR="00AF4F0A" w:rsidRPr="00154E08">
              <w:rPr>
                <w:rFonts w:ascii="Times New Roman" w:eastAsia="Calibri" w:hAnsi="Times New Roman"/>
                <w:spacing w:val="-2"/>
                <w:sz w:val="22"/>
                <w:szCs w:val="22"/>
              </w:rPr>
              <w:t xml:space="preserve">stosowanych </w:t>
            </w:r>
            <w:r w:rsidR="00B236C0" w:rsidRPr="00154E08">
              <w:rPr>
                <w:rFonts w:ascii="Times New Roman" w:eastAsia="Calibri" w:hAnsi="Times New Roman"/>
                <w:spacing w:val="-2"/>
                <w:sz w:val="22"/>
                <w:szCs w:val="22"/>
              </w:rPr>
              <w:t>jako samodzielne paliw</w:t>
            </w:r>
            <w:r w:rsidR="00AF4F0A" w:rsidRPr="00154E08">
              <w:rPr>
                <w:rFonts w:ascii="Times New Roman" w:eastAsia="Calibri" w:hAnsi="Times New Roman"/>
                <w:spacing w:val="-2"/>
                <w:sz w:val="22"/>
                <w:szCs w:val="22"/>
              </w:rPr>
              <w:t>o</w:t>
            </w:r>
            <w:r w:rsidR="00B236C0" w:rsidRPr="00154E08">
              <w:rPr>
                <w:rFonts w:ascii="Times New Roman" w:eastAsia="Calibri" w:hAnsi="Times New Roman"/>
                <w:spacing w:val="-2"/>
                <w:sz w:val="22"/>
                <w:szCs w:val="22"/>
              </w:rPr>
              <w:t xml:space="preserve"> (tzw. B100)</w:t>
            </w:r>
            <w:r w:rsidR="00976D89" w:rsidRPr="00154E08">
              <w:rPr>
                <w:rFonts w:ascii="Times New Roman" w:eastAsia="Calibri" w:hAnsi="Times New Roman"/>
                <w:spacing w:val="-2"/>
                <w:sz w:val="22"/>
                <w:szCs w:val="22"/>
              </w:rPr>
              <w:t>;</w:t>
            </w:r>
          </w:p>
          <w:p w14:paraId="2F8674B3" w14:textId="4F399FD8" w:rsidR="00F23E23" w:rsidRPr="00154E08" w:rsidRDefault="00AC4475" w:rsidP="00A346AB">
            <w:pPr>
              <w:pStyle w:val="Akapitzlist"/>
              <w:numPr>
                <w:ilvl w:val="0"/>
                <w:numId w:val="8"/>
              </w:numPr>
              <w:shd w:val="clear" w:color="auto" w:fill="FFFFFF" w:themeFill="background1"/>
              <w:spacing w:line="240" w:lineRule="auto"/>
              <w:jc w:val="both"/>
              <w:rPr>
                <w:rFonts w:ascii="Times New Roman" w:eastAsia="Calibri" w:hAnsi="Times New Roman"/>
                <w:spacing w:val="-2"/>
                <w:sz w:val="22"/>
                <w:szCs w:val="22"/>
              </w:rPr>
            </w:pPr>
            <w:r w:rsidRPr="00154E08">
              <w:rPr>
                <w:rFonts w:ascii="Times New Roman" w:eastAsia="Calibri" w:hAnsi="Times New Roman"/>
                <w:spacing w:val="-2"/>
                <w:sz w:val="22"/>
                <w:szCs w:val="22"/>
              </w:rPr>
              <w:t>funkcjonowanie</w:t>
            </w:r>
            <w:r w:rsidR="00976D89" w:rsidRPr="00154E08">
              <w:rPr>
                <w:rFonts w:ascii="Times New Roman" w:eastAsia="Calibri" w:hAnsi="Times New Roman"/>
                <w:spacing w:val="-2"/>
                <w:sz w:val="22"/>
                <w:szCs w:val="22"/>
              </w:rPr>
              <w:t xml:space="preserve"> mechanizmu</w:t>
            </w:r>
            <w:r w:rsidR="00684A87" w:rsidRPr="00154E08">
              <w:rPr>
                <w:rFonts w:ascii="Times New Roman" w:eastAsia="Calibri" w:hAnsi="Times New Roman"/>
                <w:spacing w:val="-2"/>
                <w:sz w:val="22"/>
                <w:szCs w:val="22"/>
              </w:rPr>
              <w:t xml:space="preserve"> </w:t>
            </w:r>
            <w:r w:rsidR="002C14CE" w:rsidRPr="00154E08">
              <w:rPr>
                <w:rFonts w:ascii="Times New Roman" w:eastAsia="Calibri" w:hAnsi="Times New Roman"/>
                <w:spacing w:val="-2"/>
                <w:sz w:val="22"/>
                <w:szCs w:val="22"/>
              </w:rPr>
              <w:t>opłaty zastępczej (w latach 2020</w:t>
            </w:r>
            <w:r w:rsidR="00684A87" w:rsidRPr="00154E08">
              <w:rPr>
                <w:rFonts w:ascii="Times New Roman" w:eastAsia="Calibri" w:hAnsi="Times New Roman"/>
                <w:spacing w:val="-2"/>
                <w:sz w:val="22"/>
                <w:szCs w:val="22"/>
              </w:rPr>
              <w:t>–</w:t>
            </w:r>
            <w:r w:rsidR="002C14CE" w:rsidRPr="00154E08">
              <w:rPr>
                <w:rFonts w:ascii="Times New Roman" w:eastAsia="Calibri" w:hAnsi="Times New Roman"/>
                <w:spacing w:val="-2"/>
                <w:sz w:val="22"/>
                <w:szCs w:val="22"/>
              </w:rPr>
              <w:t xml:space="preserve">2022 </w:t>
            </w:r>
            <w:r w:rsidR="00A255BB" w:rsidRPr="00154E08">
              <w:rPr>
                <w:rFonts w:ascii="Times New Roman" w:eastAsia="Calibri" w:hAnsi="Times New Roman"/>
                <w:spacing w:val="-2"/>
                <w:sz w:val="22"/>
                <w:szCs w:val="22"/>
              </w:rPr>
              <w:t>aż</w:t>
            </w:r>
            <w:r w:rsidR="00623538" w:rsidRPr="00154E08">
              <w:rPr>
                <w:rFonts w:ascii="Times New Roman" w:eastAsia="Calibri" w:hAnsi="Times New Roman"/>
                <w:spacing w:val="-2"/>
                <w:sz w:val="22"/>
                <w:szCs w:val="22"/>
              </w:rPr>
              <w:t xml:space="preserve"> </w:t>
            </w:r>
            <w:r w:rsidR="002C14CE" w:rsidRPr="00154E08">
              <w:rPr>
                <w:rFonts w:ascii="Times New Roman" w:eastAsia="Calibri" w:hAnsi="Times New Roman"/>
                <w:spacing w:val="-2"/>
                <w:sz w:val="22"/>
                <w:szCs w:val="22"/>
              </w:rPr>
              <w:t>20%</w:t>
            </w:r>
            <w:r w:rsidR="009B6FD2" w:rsidRPr="00154E08">
              <w:rPr>
                <w:rFonts w:ascii="Times New Roman" w:eastAsia="Calibri" w:hAnsi="Times New Roman"/>
                <w:spacing w:val="-2"/>
                <w:sz w:val="22"/>
                <w:szCs w:val="22"/>
              </w:rPr>
              <w:t xml:space="preserve"> </w:t>
            </w:r>
            <w:r w:rsidR="00F97284" w:rsidRPr="00154E08">
              <w:rPr>
                <w:rFonts w:ascii="Times New Roman" w:eastAsia="Calibri" w:hAnsi="Times New Roman"/>
                <w:spacing w:val="-2"/>
                <w:sz w:val="22"/>
                <w:szCs w:val="22"/>
              </w:rPr>
              <w:t>NCW mo</w:t>
            </w:r>
            <w:r w:rsidR="00D51531" w:rsidRPr="00154E08">
              <w:rPr>
                <w:rFonts w:ascii="Times New Roman" w:eastAsia="Calibri" w:hAnsi="Times New Roman"/>
                <w:spacing w:val="-2"/>
                <w:sz w:val="22"/>
                <w:szCs w:val="22"/>
              </w:rPr>
              <w:t xml:space="preserve">gło </w:t>
            </w:r>
            <w:r w:rsidR="00F97284" w:rsidRPr="00154E08">
              <w:rPr>
                <w:rFonts w:ascii="Times New Roman" w:eastAsia="Calibri" w:hAnsi="Times New Roman"/>
                <w:spacing w:val="-2"/>
                <w:sz w:val="22"/>
                <w:szCs w:val="22"/>
              </w:rPr>
              <w:t>być realizowan</w:t>
            </w:r>
            <w:r w:rsidR="0030280F" w:rsidRPr="00154E08">
              <w:rPr>
                <w:rFonts w:ascii="Times New Roman" w:eastAsia="Calibri" w:hAnsi="Times New Roman"/>
                <w:spacing w:val="-2"/>
                <w:sz w:val="22"/>
                <w:szCs w:val="22"/>
              </w:rPr>
              <w:t>e</w:t>
            </w:r>
            <w:r w:rsidR="00F97284" w:rsidRPr="00154E08">
              <w:rPr>
                <w:rFonts w:ascii="Times New Roman" w:eastAsia="Calibri" w:hAnsi="Times New Roman"/>
                <w:spacing w:val="-2"/>
                <w:sz w:val="22"/>
                <w:szCs w:val="22"/>
              </w:rPr>
              <w:t xml:space="preserve"> </w:t>
            </w:r>
            <w:r w:rsidR="00684A87" w:rsidRPr="00154E08">
              <w:rPr>
                <w:rFonts w:ascii="Times New Roman" w:eastAsia="Calibri" w:hAnsi="Times New Roman"/>
                <w:spacing w:val="-2"/>
                <w:sz w:val="22"/>
                <w:szCs w:val="22"/>
              </w:rPr>
              <w:t>przez</w:t>
            </w:r>
            <w:r w:rsidR="00976D89" w:rsidRPr="00154E08">
              <w:rPr>
                <w:rFonts w:ascii="Times New Roman" w:eastAsia="Calibri" w:hAnsi="Times New Roman"/>
                <w:spacing w:val="-2"/>
                <w:sz w:val="22"/>
                <w:szCs w:val="22"/>
              </w:rPr>
              <w:t xml:space="preserve"> uiszczenie </w:t>
            </w:r>
            <w:r w:rsidR="00F97284" w:rsidRPr="00154E08">
              <w:rPr>
                <w:rFonts w:ascii="Times New Roman" w:eastAsia="Calibri" w:hAnsi="Times New Roman"/>
                <w:spacing w:val="-2"/>
                <w:sz w:val="22"/>
                <w:szCs w:val="22"/>
              </w:rPr>
              <w:t>opłaty zastępczej)</w:t>
            </w:r>
            <w:r w:rsidR="002C14CE" w:rsidRPr="00154E08">
              <w:rPr>
                <w:rFonts w:ascii="Times New Roman" w:eastAsia="Calibri" w:hAnsi="Times New Roman"/>
                <w:spacing w:val="-2"/>
                <w:sz w:val="22"/>
                <w:szCs w:val="22"/>
              </w:rPr>
              <w:t xml:space="preserve">, wpłacanej przez </w:t>
            </w:r>
            <w:r w:rsidR="00976D89" w:rsidRPr="00154E08">
              <w:rPr>
                <w:rFonts w:ascii="Times New Roman" w:eastAsia="Calibri" w:hAnsi="Times New Roman"/>
                <w:spacing w:val="-2"/>
                <w:sz w:val="22"/>
                <w:szCs w:val="22"/>
              </w:rPr>
              <w:t xml:space="preserve">podmioty </w:t>
            </w:r>
            <w:r w:rsidR="002C14CE" w:rsidRPr="00154E08">
              <w:rPr>
                <w:rFonts w:ascii="Times New Roman" w:eastAsia="Calibri" w:hAnsi="Times New Roman"/>
                <w:spacing w:val="-2"/>
                <w:sz w:val="22"/>
                <w:szCs w:val="22"/>
              </w:rPr>
              <w:t xml:space="preserve">zobowiązane na rzecz </w:t>
            </w:r>
            <w:r w:rsidR="00E314CC" w:rsidRPr="00154E08">
              <w:rPr>
                <w:rFonts w:ascii="Times New Roman" w:eastAsia="Calibri" w:hAnsi="Times New Roman"/>
                <w:spacing w:val="-2"/>
                <w:sz w:val="22"/>
                <w:szCs w:val="22"/>
              </w:rPr>
              <w:t>NFOŚiGW</w:t>
            </w:r>
            <w:r w:rsidR="00E314CC" w:rsidRPr="00154E08" w:rsidDel="00E314CC">
              <w:rPr>
                <w:rFonts w:ascii="Times New Roman" w:eastAsia="Calibri" w:hAnsi="Times New Roman"/>
                <w:spacing w:val="-2"/>
                <w:sz w:val="22"/>
                <w:szCs w:val="22"/>
              </w:rPr>
              <w:t xml:space="preserve"> </w:t>
            </w:r>
            <w:r w:rsidR="002C14CE" w:rsidRPr="00154E08">
              <w:rPr>
                <w:rFonts w:ascii="Times New Roman" w:eastAsia="Calibri" w:hAnsi="Times New Roman"/>
                <w:spacing w:val="-2"/>
                <w:sz w:val="22"/>
                <w:szCs w:val="22"/>
              </w:rPr>
              <w:t>oraz stosowani</w:t>
            </w:r>
            <w:r w:rsidR="007C6CDD" w:rsidRPr="00154E08">
              <w:rPr>
                <w:rFonts w:ascii="Times New Roman" w:eastAsia="Calibri" w:hAnsi="Times New Roman"/>
                <w:spacing w:val="-2"/>
                <w:sz w:val="22"/>
                <w:szCs w:val="22"/>
              </w:rPr>
              <w:t>e</w:t>
            </w:r>
            <w:r w:rsidR="002C14CE" w:rsidRPr="00154E08">
              <w:rPr>
                <w:rFonts w:ascii="Times New Roman" w:eastAsia="Calibri" w:hAnsi="Times New Roman"/>
                <w:spacing w:val="-2"/>
                <w:sz w:val="22"/>
                <w:szCs w:val="22"/>
              </w:rPr>
              <w:t xml:space="preserve"> współczynnika redukcyjnego</w:t>
            </w:r>
            <w:r w:rsidR="00623538" w:rsidRPr="00154E08">
              <w:rPr>
                <w:rFonts w:ascii="Times New Roman" w:eastAsia="Calibri" w:hAnsi="Times New Roman"/>
                <w:spacing w:val="-2"/>
                <w:sz w:val="22"/>
                <w:szCs w:val="22"/>
              </w:rPr>
              <w:t xml:space="preserve"> ograniczającego </w:t>
            </w:r>
            <w:r w:rsidR="00D76977" w:rsidRPr="00154E08">
              <w:rPr>
                <w:rFonts w:ascii="Times New Roman" w:eastAsia="Calibri" w:hAnsi="Times New Roman"/>
                <w:spacing w:val="-2"/>
                <w:sz w:val="22"/>
                <w:szCs w:val="22"/>
              </w:rPr>
              <w:t xml:space="preserve">wymagany </w:t>
            </w:r>
            <w:r w:rsidR="00623538" w:rsidRPr="00154E08">
              <w:rPr>
                <w:rFonts w:ascii="Times New Roman" w:eastAsia="Calibri" w:hAnsi="Times New Roman"/>
                <w:spacing w:val="-2"/>
                <w:sz w:val="22"/>
                <w:szCs w:val="22"/>
              </w:rPr>
              <w:t>poziom</w:t>
            </w:r>
            <w:r w:rsidR="00D76977" w:rsidRPr="00154E08">
              <w:rPr>
                <w:rFonts w:ascii="Times New Roman" w:eastAsia="Calibri" w:hAnsi="Times New Roman"/>
                <w:spacing w:val="-2"/>
                <w:sz w:val="22"/>
                <w:szCs w:val="22"/>
              </w:rPr>
              <w:t xml:space="preserve"> realizacji</w:t>
            </w:r>
            <w:r w:rsidR="00623538" w:rsidRPr="00154E08">
              <w:rPr>
                <w:rFonts w:ascii="Times New Roman" w:eastAsia="Calibri" w:hAnsi="Times New Roman"/>
                <w:spacing w:val="-2"/>
                <w:sz w:val="22"/>
                <w:szCs w:val="22"/>
              </w:rPr>
              <w:t xml:space="preserve"> NCW</w:t>
            </w:r>
            <w:r w:rsidR="00684A87" w:rsidRPr="00154E08">
              <w:rPr>
                <w:rFonts w:ascii="Times New Roman" w:eastAsia="Calibri" w:hAnsi="Times New Roman"/>
                <w:spacing w:val="-2"/>
                <w:sz w:val="22"/>
                <w:szCs w:val="22"/>
              </w:rPr>
              <w:t xml:space="preserve"> </w:t>
            </w:r>
            <w:r w:rsidR="00976D89" w:rsidRPr="00154E08">
              <w:rPr>
                <w:rFonts w:ascii="Times New Roman" w:eastAsia="Calibri" w:hAnsi="Times New Roman"/>
                <w:spacing w:val="-2"/>
                <w:sz w:val="22"/>
                <w:szCs w:val="22"/>
              </w:rPr>
              <w:t>–</w:t>
            </w:r>
            <w:r w:rsidR="00684A87" w:rsidRPr="00154E08">
              <w:rPr>
                <w:rFonts w:ascii="Times New Roman" w:eastAsia="Calibri" w:hAnsi="Times New Roman"/>
                <w:spacing w:val="-2"/>
                <w:sz w:val="22"/>
                <w:szCs w:val="22"/>
              </w:rPr>
              <w:t xml:space="preserve"> </w:t>
            </w:r>
            <w:r w:rsidR="00EB6EDA" w:rsidRPr="00154E08">
              <w:rPr>
                <w:rFonts w:ascii="Times New Roman" w:eastAsia="Calibri" w:hAnsi="Times New Roman"/>
                <w:spacing w:val="-2"/>
                <w:sz w:val="22"/>
                <w:szCs w:val="22"/>
              </w:rPr>
              <w:t xml:space="preserve">dopuszczalne </w:t>
            </w:r>
            <w:r w:rsidR="00623538" w:rsidRPr="00154E08">
              <w:rPr>
                <w:rFonts w:ascii="Times New Roman" w:eastAsia="Calibri" w:hAnsi="Times New Roman"/>
                <w:spacing w:val="-2"/>
                <w:sz w:val="22"/>
                <w:szCs w:val="22"/>
              </w:rPr>
              <w:t xml:space="preserve">w przypadku </w:t>
            </w:r>
            <w:r w:rsidR="00E314CC" w:rsidRPr="00154E08">
              <w:rPr>
                <w:rFonts w:ascii="Times New Roman" w:eastAsia="Calibri" w:hAnsi="Times New Roman"/>
                <w:spacing w:val="-2"/>
                <w:sz w:val="22"/>
                <w:szCs w:val="22"/>
              </w:rPr>
              <w:t>wykorzystania</w:t>
            </w:r>
            <w:r w:rsidR="00623538" w:rsidRPr="00154E08">
              <w:rPr>
                <w:rFonts w:ascii="Times New Roman" w:eastAsia="Calibri" w:hAnsi="Times New Roman"/>
                <w:spacing w:val="-2"/>
                <w:sz w:val="22"/>
                <w:szCs w:val="22"/>
              </w:rPr>
              <w:t xml:space="preserve"> </w:t>
            </w:r>
            <w:r w:rsidR="00E314CC" w:rsidRPr="00154E08">
              <w:rPr>
                <w:rFonts w:ascii="Times New Roman" w:eastAsia="Calibri" w:hAnsi="Times New Roman"/>
                <w:spacing w:val="-2"/>
                <w:sz w:val="22"/>
                <w:szCs w:val="22"/>
              </w:rPr>
              <w:t xml:space="preserve">przez podmioty realizujące NCW </w:t>
            </w:r>
            <w:r w:rsidR="00623538" w:rsidRPr="00154E08">
              <w:rPr>
                <w:rFonts w:ascii="Times New Roman" w:eastAsia="Calibri" w:hAnsi="Times New Roman"/>
                <w:spacing w:val="-2"/>
                <w:sz w:val="22"/>
                <w:szCs w:val="22"/>
              </w:rPr>
              <w:t>biokomponentów</w:t>
            </w:r>
            <w:r w:rsidR="00E314CC" w:rsidRPr="00154E08">
              <w:rPr>
                <w:rFonts w:ascii="Times New Roman" w:eastAsia="Calibri" w:hAnsi="Times New Roman"/>
                <w:spacing w:val="-2"/>
                <w:sz w:val="22"/>
                <w:szCs w:val="22"/>
              </w:rPr>
              <w:t xml:space="preserve"> wytworzonych z surowców</w:t>
            </w:r>
            <w:r w:rsidR="00623538" w:rsidRPr="00154E08">
              <w:rPr>
                <w:rFonts w:ascii="Times New Roman" w:eastAsia="Calibri" w:hAnsi="Times New Roman"/>
                <w:spacing w:val="-2"/>
                <w:sz w:val="22"/>
                <w:szCs w:val="22"/>
              </w:rPr>
              <w:t xml:space="preserve"> </w:t>
            </w:r>
            <w:r w:rsidR="006C3B41" w:rsidRPr="00154E08">
              <w:rPr>
                <w:rFonts w:ascii="Times New Roman" w:eastAsia="Calibri" w:hAnsi="Times New Roman"/>
                <w:spacing w:val="-2"/>
                <w:sz w:val="22"/>
                <w:szCs w:val="22"/>
              </w:rPr>
              <w:t>pochodzących</w:t>
            </w:r>
            <w:r w:rsidR="00F95828" w:rsidRPr="00154E08">
              <w:rPr>
                <w:rFonts w:ascii="Times New Roman" w:eastAsia="Calibri" w:hAnsi="Times New Roman"/>
                <w:spacing w:val="-2"/>
                <w:sz w:val="22"/>
                <w:szCs w:val="22"/>
              </w:rPr>
              <w:t> </w:t>
            </w:r>
            <w:r w:rsidR="001E5E91" w:rsidRPr="00154E08">
              <w:rPr>
                <w:rFonts w:ascii="Times New Roman" w:eastAsia="Calibri" w:hAnsi="Times New Roman"/>
                <w:spacing w:val="-2"/>
                <w:sz w:val="22"/>
                <w:szCs w:val="22"/>
              </w:rPr>
              <w:t>z</w:t>
            </w:r>
            <w:r w:rsidR="006C3B41" w:rsidRPr="00154E08">
              <w:rPr>
                <w:rFonts w:ascii="Times New Roman" w:eastAsia="Calibri" w:hAnsi="Times New Roman"/>
                <w:spacing w:val="-2"/>
                <w:sz w:val="22"/>
                <w:szCs w:val="22"/>
              </w:rPr>
              <w:t xml:space="preserve"> rynku krajowego </w:t>
            </w:r>
            <w:r w:rsidR="00623538" w:rsidRPr="00154E08">
              <w:rPr>
                <w:rFonts w:ascii="Times New Roman" w:eastAsia="Calibri" w:hAnsi="Times New Roman"/>
                <w:spacing w:val="-2"/>
                <w:sz w:val="22"/>
                <w:szCs w:val="22"/>
              </w:rPr>
              <w:t>(współczynnik redukcyjny na lata</w:t>
            </w:r>
            <w:r w:rsidR="006C4689" w:rsidRPr="00154E08">
              <w:rPr>
                <w:rFonts w:ascii="Times New Roman" w:eastAsia="Calibri" w:hAnsi="Times New Roman"/>
                <w:spacing w:val="-2"/>
                <w:sz w:val="22"/>
                <w:szCs w:val="22"/>
              </w:rPr>
              <w:t xml:space="preserve"> 2020</w:t>
            </w:r>
            <w:r w:rsidR="00684A87" w:rsidRPr="00154E08">
              <w:rPr>
                <w:rFonts w:ascii="Times New Roman" w:eastAsia="Calibri" w:hAnsi="Times New Roman"/>
                <w:spacing w:val="-2"/>
                <w:sz w:val="22"/>
                <w:szCs w:val="22"/>
              </w:rPr>
              <w:t>–</w:t>
            </w:r>
            <w:r w:rsidR="006C4689" w:rsidRPr="00154E08">
              <w:rPr>
                <w:rFonts w:ascii="Times New Roman" w:eastAsia="Calibri" w:hAnsi="Times New Roman"/>
                <w:spacing w:val="-2"/>
                <w:sz w:val="22"/>
                <w:szCs w:val="22"/>
              </w:rPr>
              <w:t xml:space="preserve">2022 </w:t>
            </w:r>
            <w:r w:rsidR="00F97284" w:rsidRPr="00154E08">
              <w:rPr>
                <w:rFonts w:ascii="Times New Roman" w:eastAsia="Calibri" w:hAnsi="Times New Roman"/>
                <w:spacing w:val="-2"/>
                <w:sz w:val="22"/>
                <w:szCs w:val="22"/>
              </w:rPr>
              <w:t>wynosi</w:t>
            </w:r>
            <w:r w:rsidR="00D12A81" w:rsidRPr="00154E08">
              <w:rPr>
                <w:rFonts w:ascii="Times New Roman" w:eastAsia="Calibri" w:hAnsi="Times New Roman"/>
                <w:spacing w:val="-2"/>
                <w:sz w:val="22"/>
                <w:szCs w:val="22"/>
              </w:rPr>
              <w:t>ł</w:t>
            </w:r>
            <w:r w:rsidR="006C4689" w:rsidRPr="00154E08">
              <w:rPr>
                <w:rFonts w:ascii="Times New Roman" w:eastAsia="Calibri" w:hAnsi="Times New Roman"/>
                <w:spacing w:val="-2"/>
                <w:sz w:val="22"/>
                <w:szCs w:val="22"/>
              </w:rPr>
              <w:t xml:space="preserve"> 0,82</w:t>
            </w:r>
            <w:r w:rsidR="001D1535" w:rsidRPr="00154E08">
              <w:rPr>
                <w:rFonts w:ascii="Times New Roman" w:eastAsia="Calibri" w:hAnsi="Times New Roman"/>
                <w:spacing w:val="-2"/>
                <w:sz w:val="22"/>
                <w:szCs w:val="22"/>
              </w:rPr>
              <w:t xml:space="preserve">; </w:t>
            </w:r>
            <w:r w:rsidR="00D12A81" w:rsidRPr="00154E08">
              <w:rPr>
                <w:rFonts w:ascii="Times New Roman" w:eastAsia="Calibri" w:hAnsi="Times New Roman"/>
                <w:spacing w:val="-2"/>
                <w:sz w:val="22"/>
                <w:szCs w:val="22"/>
              </w:rPr>
              <w:t>na lata: 2023</w:t>
            </w:r>
            <w:r w:rsidR="00DF72F5" w:rsidRPr="00154E08">
              <w:rPr>
                <w:rFonts w:ascii="Times New Roman" w:eastAsia="Calibri" w:hAnsi="Times New Roman"/>
                <w:spacing w:val="-2"/>
                <w:sz w:val="22"/>
                <w:szCs w:val="22"/>
              </w:rPr>
              <w:t>–</w:t>
            </w:r>
            <w:r w:rsidR="00C93860" w:rsidRPr="00154E08">
              <w:rPr>
                <w:rFonts w:ascii="Times New Roman" w:eastAsia="Calibri" w:hAnsi="Times New Roman"/>
                <w:spacing w:val="-2"/>
                <w:sz w:val="22"/>
                <w:szCs w:val="22"/>
              </w:rPr>
              <w:t> </w:t>
            </w:r>
            <w:r w:rsidR="00D12A81" w:rsidRPr="00154E08">
              <w:rPr>
                <w:rFonts w:ascii="Times New Roman" w:eastAsia="Calibri" w:hAnsi="Times New Roman"/>
                <w:spacing w:val="-2"/>
                <w:sz w:val="22"/>
                <w:szCs w:val="22"/>
              </w:rPr>
              <w:t xml:space="preserve">2024 wynosi </w:t>
            </w:r>
            <w:r w:rsidR="00D01863" w:rsidRPr="00154E08">
              <w:rPr>
                <w:rFonts w:ascii="Times New Roman" w:eastAsia="Calibri" w:hAnsi="Times New Roman"/>
                <w:spacing w:val="-2"/>
                <w:sz w:val="22"/>
                <w:szCs w:val="22"/>
              </w:rPr>
              <w:t>0</w:t>
            </w:r>
            <w:r w:rsidR="00D12A81" w:rsidRPr="00154E08">
              <w:rPr>
                <w:rFonts w:ascii="Times New Roman" w:eastAsia="Calibri" w:hAnsi="Times New Roman"/>
                <w:spacing w:val="-2"/>
                <w:sz w:val="22"/>
                <w:szCs w:val="22"/>
              </w:rPr>
              <w:t>,85</w:t>
            </w:r>
            <w:r w:rsidR="00623538" w:rsidRPr="00154E08">
              <w:rPr>
                <w:rFonts w:ascii="Times New Roman" w:eastAsia="Calibri" w:hAnsi="Times New Roman"/>
                <w:spacing w:val="-2"/>
                <w:sz w:val="22"/>
                <w:szCs w:val="22"/>
              </w:rPr>
              <w:t>)</w:t>
            </w:r>
            <w:r w:rsidR="00BE55A4" w:rsidRPr="00154E08">
              <w:rPr>
                <w:rFonts w:ascii="Times New Roman" w:eastAsia="Calibri" w:hAnsi="Times New Roman"/>
                <w:spacing w:val="-2"/>
                <w:sz w:val="22"/>
                <w:szCs w:val="22"/>
              </w:rPr>
              <w:t>;</w:t>
            </w:r>
          </w:p>
          <w:p w14:paraId="445E99A7" w14:textId="606E968D" w:rsidR="002C14CE" w:rsidRPr="00154E08" w:rsidRDefault="00F23E23" w:rsidP="00A346AB">
            <w:pPr>
              <w:pStyle w:val="Akapitzlist"/>
              <w:numPr>
                <w:ilvl w:val="0"/>
                <w:numId w:val="8"/>
              </w:numPr>
              <w:shd w:val="clear" w:color="auto" w:fill="FFFFFF" w:themeFill="background1"/>
              <w:spacing w:line="240" w:lineRule="auto"/>
              <w:jc w:val="both"/>
              <w:rPr>
                <w:rFonts w:ascii="Times New Roman" w:eastAsia="Calibri" w:hAnsi="Times New Roman"/>
                <w:spacing w:val="-2"/>
                <w:sz w:val="22"/>
                <w:szCs w:val="22"/>
              </w:rPr>
            </w:pPr>
            <w:r w:rsidRPr="00154E08">
              <w:rPr>
                <w:rFonts w:ascii="Times New Roman" w:eastAsia="Calibri" w:hAnsi="Times New Roman"/>
                <w:spacing w:val="-2"/>
                <w:sz w:val="22"/>
                <w:szCs w:val="22"/>
              </w:rPr>
              <w:t xml:space="preserve">wciąż rosnąca </w:t>
            </w:r>
            <w:r w:rsidR="00330389" w:rsidRPr="00154E08">
              <w:rPr>
                <w:rFonts w:ascii="Times New Roman" w:eastAsia="Calibri" w:hAnsi="Times New Roman"/>
                <w:spacing w:val="-2"/>
                <w:sz w:val="22"/>
                <w:szCs w:val="22"/>
              </w:rPr>
              <w:t xml:space="preserve">r/r </w:t>
            </w:r>
            <w:r w:rsidRPr="00154E08">
              <w:rPr>
                <w:rFonts w:ascii="Times New Roman" w:eastAsia="Calibri" w:hAnsi="Times New Roman"/>
                <w:spacing w:val="-2"/>
                <w:sz w:val="22"/>
                <w:szCs w:val="22"/>
              </w:rPr>
              <w:t xml:space="preserve">konsumpcja paliw ciekłych – wyprzedająca możliwości </w:t>
            </w:r>
            <w:proofErr w:type="spellStart"/>
            <w:r w:rsidRPr="00154E08">
              <w:rPr>
                <w:rFonts w:ascii="Times New Roman" w:eastAsia="Calibri" w:hAnsi="Times New Roman"/>
                <w:spacing w:val="-2"/>
                <w:sz w:val="22"/>
                <w:szCs w:val="22"/>
              </w:rPr>
              <w:t>blendowania</w:t>
            </w:r>
            <w:proofErr w:type="spellEnd"/>
            <w:r w:rsidRPr="00154E08">
              <w:rPr>
                <w:rFonts w:ascii="Times New Roman" w:eastAsia="Calibri" w:hAnsi="Times New Roman"/>
                <w:spacing w:val="-2"/>
                <w:sz w:val="22"/>
                <w:szCs w:val="22"/>
              </w:rPr>
              <w:t xml:space="preserve"> paliw, </w:t>
            </w:r>
            <w:r w:rsidR="00330389" w:rsidRPr="00154E08">
              <w:rPr>
                <w:rFonts w:ascii="Times New Roman" w:eastAsia="Calibri" w:hAnsi="Times New Roman"/>
                <w:spacing w:val="-2"/>
                <w:sz w:val="22"/>
                <w:szCs w:val="22"/>
              </w:rPr>
              <w:t>oraz</w:t>
            </w:r>
            <w:r w:rsidRPr="00154E08">
              <w:rPr>
                <w:rFonts w:ascii="Times New Roman" w:eastAsia="Calibri" w:hAnsi="Times New Roman"/>
                <w:spacing w:val="-2"/>
                <w:sz w:val="22"/>
                <w:szCs w:val="22"/>
              </w:rPr>
              <w:t xml:space="preserve"> ograniczenia </w:t>
            </w:r>
            <w:proofErr w:type="spellStart"/>
            <w:r w:rsidRPr="00154E08">
              <w:rPr>
                <w:rFonts w:ascii="Times New Roman" w:eastAsia="Calibri" w:hAnsi="Times New Roman"/>
                <w:spacing w:val="-2"/>
                <w:sz w:val="22"/>
                <w:szCs w:val="22"/>
              </w:rPr>
              <w:t>blendingu</w:t>
            </w:r>
            <w:proofErr w:type="spellEnd"/>
            <w:r w:rsidRPr="00154E08">
              <w:rPr>
                <w:rFonts w:ascii="Times New Roman" w:eastAsia="Calibri" w:hAnsi="Times New Roman"/>
                <w:spacing w:val="-2"/>
                <w:sz w:val="22"/>
                <w:szCs w:val="22"/>
              </w:rPr>
              <w:t xml:space="preserve"> w okresie zimy (mniejsz</w:t>
            </w:r>
            <w:r w:rsidR="00330389" w:rsidRPr="00154E08">
              <w:rPr>
                <w:rFonts w:ascii="Times New Roman" w:eastAsia="Calibri" w:hAnsi="Times New Roman"/>
                <w:spacing w:val="-2"/>
                <w:sz w:val="22"/>
                <w:szCs w:val="22"/>
              </w:rPr>
              <w:t xml:space="preserve">e wykorzystanie </w:t>
            </w:r>
            <w:r w:rsidR="00A255BB" w:rsidRPr="00154E08">
              <w:rPr>
                <w:rFonts w:ascii="Times New Roman" w:eastAsia="Calibri" w:hAnsi="Times New Roman"/>
                <w:spacing w:val="-2"/>
                <w:sz w:val="22"/>
                <w:szCs w:val="22"/>
              </w:rPr>
              <w:t>tradycyjnych biokomponentów: estrów metylowych oraz bioetanolu</w:t>
            </w:r>
            <w:r w:rsidRPr="00154E08">
              <w:rPr>
                <w:rFonts w:ascii="Times New Roman" w:eastAsia="Calibri" w:hAnsi="Times New Roman"/>
                <w:spacing w:val="-2"/>
                <w:sz w:val="22"/>
                <w:szCs w:val="22"/>
              </w:rPr>
              <w:t>)</w:t>
            </w:r>
            <w:r w:rsidR="00623538" w:rsidRPr="00154E08">
              <w:rPr>
                <w:rFonts w:ascii="Times New Roman" w:eastAsia="Calibri" w:hAnsi="Times New Roman"/>
                <w:spacing w:val="-2"/>
                <w:sz w:val="22"/>
                <w:szCs w:val="22"/>
              </w:rPr>
              <w:t>.</w:t>
            </w:r>
          </w:p>
          <w:p w14:paraId="18F73EF3" w14:textId="77777777" w:rsidR="00623538" w:rsidRPr="00154E08" w:rsidRDefault="00623538" w:rsidP="00F44C8C">
            <w:pPr>
              <w:shd w:val="clear" w:color="auto" w:fill="FFFFFF" w:themeFill="background1"/>
              <w:spacing w:line="240" w:lineRule="auto"/>
              <w:jc w:val="both"/>
              <w:rPr>
                <w:rFonts w:eastAsia="Calibri" w:cs="Times New Roman"/>
                <w:spacing w:val="-2"/>
                <w:sz w:val="22"/>
                <w:szCs w:val="22"/>
              </w:rPr>
            </w:pPr>
          </w:p>
          <w:bookmarkEnd w:id="4"/>
          <w:p w14:paraId="38B46A03" w14:textId="542FAC01" w:rsidR="006C3B41" w:rsidRPr="00154E08" w:rsidRDefault="00784A04" w:rsidP="00B279FD">
            <w:pPr>
              <w:shd w:val="clear" w:color="auto" w:fill="FFFFFF" w:themeFill="background1"/>
              <w:spacing w:after="120" w:line="240" w:lineRule="auto"/>
              <w:jc w:val="both"/>
              <w:rPr>
                <w:rFonts w:eastAsia="Calibri" w:cs="Times New Roman"/>
                <w:spacing w:val="-2"/>
                <w:sz w:val="22"/>
                <w:szCs w:val="22"/>
              </w:rPr>
            </w:pPr>
            <w:r w:rsidRPr="00154E08">
              <w:rPr>
                <w:rFonts w:eastAsia="Calibri" w:cs="Times New Roman"/>
                <w:spacing w:val="-2"/>
                <w:sz w:val="22"/>
                <w:szCs w:val="22"/>
              </w:rPr>
              <w:t>Zgodnie z</w:t>
            </w:r>
            <w:r w:rsidR="009E2D6F" w:rsidRPr="00154E08">
              <w:rPr>
                <w:rFonts w:eastAsia="Calibri" w:cs="Times New Roman"/>
                <w:spacing w:val="-2"/>
                <w:sz w:val="22"/>
                <w:szCs w:val="22"/>
              </w:rPr>
              <w:t> </w:t>
            </w:r>
            <w:r w:rsidRPr="00154E08">
              <w:rPr>
                <w:rFonts w:eastAsia="Calibri" w:cs="Times New Roman"/>
                <w:spacing w:val="-2"/>
                <w:sz w:val="22"/>
                <w:szCs w:val="22"/>
              </w:rPr>
              <w:t xml:space="preserve">przepisami </w:t>
            </w:r>
            <w:r w:rsidR="00F1557B" w:rsidRPr="00154E08">
              <w:rPr>
                <w:rFonts w:eastAsia="Calibri" w:cs="Times New Roman"/>
                <w:spacing w:val="-2"/>
                <w:sz w:val="22"/>
                <w:szCs w:val="22"/>
              </w:rPr>
              <w:t xml:space="preserve">dyrektywy </w:t>
            </w:r>
            <w:r w:rsidR="000D4622" w:rsidRPr="00154E08">
              <w:rPr>
                <w:rFonts w:eastAsia="Calibri" w:cs="Times New Roman"/>
                <w:spacing w:val="-2"/>
                <w:sz w:val="22"/>
                <w:szCs w:val="22"/>
              </w:rPr>
              <w:t>RED</w:t>
            </w:r>
            <w:r w:rsidR="00F1557B" w:rsidRPr="00154E08">
              <w:rPr>
                <w:rFonts w:eastAsia="Calibri" w:cs="Times New Roman"/>
                <w:spacing w:val="-2"/>
                <w:sz w:val="22"/>
                <w:szCs w:val="22"/>
              </w:rPr>
              <w:t xml:space="preserve"> </w:t>
            </w:r>
            <w:r w:rsidR="000D4622" w:rsidRPr="00154E08">
              <w:rPr>
                <w:rFonts w:eastAsia="Calibri" w:cs="Times New Roman"/>
                <w:spacing w:val="-2"/>
                <w:sz w:val="22"/>
                <w:szCs w:val="22"/>
              </w:rPr>
              <w:t xml:space="preserve">II </w:t>
            </w:r>
            <w:r w:rsidR="002A6DA0" w:rsidRPr="00154E08">
              <w:rPr>
                <w:rFonts w:eastAsia="Calibri" w:cs="Times New Roman"/>
                <w:spacing w:val="-2"/>
                <w:sz w:val="22"/>
                <w:szCs w:val="22"/>
              </w:rPr>
              <w:t xml:space="preserve">Rzeczpospolita </w:t>
            </w:r>
            <w:r w:rsidRPr="00154E08">
              <w:rPr>
                <w:rFonts w:eastAsia="Calibri" w:cs="Times New Roman"/>
                <w:spacing w:val="-2"/>
                <w:sz w:val="22"/>
                <w:szCs w:val="22"/>
              </w:rPr>
              <w:t>Polska</w:t>
            </w:r>
            <w:r w:rsidR="00AA6703" w:rsidRPr="00154E08">
              <w:rPr>
                <w:rFonts w:eastAsia="Calibri" w:cs="Times New Roman"/>
                <w:spacing w:val="-2"/>
                <w:sz w:val="22"/>
                <w:szCs w:val="22"/>
              </w:rPr>
              <w:t>,</w:t>
            </w:r>
            <w:r w:rsidRPr="00154E08">
              <w:rPr>
                <w:rFonts w:eastAsia="Calibri" w:cs="Times New Roman"/>
                <w:spacing w:val="-2"/>
                <w:sz w:val="22"/>
                <w:szCs w:val="22"/>
              </w:rPr>
              <w:t xml:space="preserve"> jako kraj członkowski </w:t>
            </w:r>
            <w:r w:rsidR="008D6F4D" w:rsidRPr="00154E08">
              <w:rPr>
                <w:rFonts w:eastAsia="Calibri" w:cs="Times New Roman"/>
                <w:spacing w:val="-2"/>
                <w:sz w:val="22"/>
                <w:szCs w:val="22"/>
              </w:rPr>
              <w:t>UE</w:t>
            </w:r>
            <w:r w:rsidR="00AA6703" w:rsidRPr="00154E08">
              <w:rPr>
                <w:rFonts w:eastAsia="Calibri" w:cs="Times New Roman"/>
                <w:spacing w:val="-2"/>
                <w:sz w:val="22"/>
                <w:szCs w:val="22"/>
              </w:rPr>
              <w:t>,</w:t>
            </w:r>
            <w:r w:rsidRPr="00154E08">
              <w:rPr>
                <w:rFonts w:eastAsia="Calibri" w:cs="Times New Roman"/>
                <w:spacing w:val="-2"/>
                <w:sz w:val="22"/>
                <w:szCs w:val="22"/>
              </w:rPr>
              <w:t xml:space="preserve"> jest obowiązana do osiągnięcia w</w:t>
            </w:r>
            <w:r w:rsidR="00002D52" w:rsidRPr="00154E08">
              <w:rPr>
                <w:rFonts w:eastAsia="Calibri" w:cs="Times New Roman"/>
                <w:spacing w:val="-2"/>
                <w:sz w:val="22"/>
                <w:szCs w:val="22"/>
              </w:rPr>
              <w:t> </w:t>
            </w:r>
            <w:r w:rsidRPr="00154E08">
              <w:rPr>
                <w:rFonts w:eastAsia="Calibri" w:cs="Times New Roman"/>
                <w:spacing w:val="-2"/>
                <w:sz w:val="22"/>
                <w:szCs w:val="22"/>
              </w:rPr>
              <w:t>2030 r. co najmniej 14</w:t>
            </w:r>
            <w:r w:rsidR="00FA38B5" w:rsidRPr="00154E08">
              <w:rPr>
                <w:rFonts w:eastAsia="Calibri" w:cs="Times New Roman"/>
                <w:spacing w:val="-2"/>
                <w:sz w:val="22"/>
                <w:szCs w:val="22"/>
              </w:rPr>
              <w:t xml:space="preserve">  </w:t>
            </w:r>
            <w:r w:rsidR="006C4689" w:rsidRPr="00154E08">
              <w:rPr>
                <w:rFonts w:eastAsia="Calibri" w:cs="Times New Roman"/>
                <w:spacing w:val="-2"/>
                <w:sz w:val="22"/>
                <w:szCs w:val="22"/>
              </w:rPr>
              <w:t>procentowego</w:t>
            </w:r>
            <w:r w:rsidRPr="00154E08">
              <w:rPr>
                <w:rFonts w:eastAsia="Calibri" w:cs="Times New Roman"/>
                <w:spacing w:val="-2"/>
                <w:sz w:val="22"/>
                <w:szCs w:val="22"/>
              </w:rPr>
              <w:t xml:space="preserve"> udziału OZE w</w:t>
            </w:r>
            <w:r w:rsidR="00976D89" w:rsidRPr="00154E08">
              <w:rPr>
                <w:rFonts w:eastAsia="Calibri" w:cs="Times New Roman"/>
                <w:spacing w:val="-2"/>
                <w:sz w:val="22"/>
                <w:szCs w:val="22"/>
              </w:rPr>
              <w:t> </w:t>
            </w:r>
            <w:r w:rsidRPr="00154E08">
              <w:rPr>
                <w:rFonts w:eastAsia="Calibri" w:cs="Times New Roman"/>
                <w:spacing w:val="-2"/>
                <w:sz w:val="22"/>
                <w:szCs w:val="22"/>
              </w:rPr>
              <w:t>końcowym zużyciu energii w</w:t>
            </w:r>
            <w:r w:rsidR="009E2D6F" w:rsidRPr="00154E08">
              <w:rPr>
                <w:rFonts w:eastAsia="Calibri" w:cs="Times New Roman"/>
                <w:spacing w:val="-2"/>
                <w:sz w:val="22"/>
                <w:szCs w:val="22"/>
              </w:rPr>
              <w:t> </w:t>
            </w:r>
            <w:r w:rsidRPr="00154E08">
              <w:rPr>
                <w:rFonts w:eastAsia="Calibri" w:cs="Times New Roman"/>
                <w:spacing w:val="-2"/>
                <w:sz w:val="22"/>
                <w:szCs w:val="22"/>
              </w:rPr>
              <w:t xml:space="preserve">sektorze transportu </w:t>
            </w:r>
            <w:r w:rsidR="00FA38B5" w:rsidRPr="00154E08">
              <w:rPr>
                <w:rFonts w:eastAsia="Calibri" w:cs="Times New Roman"/>
                <w:spacing w:val="-2"/>
                <w:sz w:val="22"/>
                <w:szCs w:val="22"/>
              </w:rPr>
              <w:t>–</w:t>
            </w:r>
            <w:r w:rsidR="00023C2A" w:rsidRPr="00154E08">
              <w:rPr>
                <w:rFonts w:eastAsia="Calibri" w:cs="Times New Roman"/>
                <w:spacing w:val="-2"/>
                <w:sz w:val="22"/>
                <w:szCs w:val="22"/>
              </w:rPr>
              <w:t xml:space="preserve"> </w:t>
            </w:r>
            <w:r w:rsidRPr="00154E08">
              <w:rPr>
                <w:rFonts w:eastAsia="Calibri" w:cs="Times New Roman"/>
                <w:spacing w:val="-2"/>
                <w:sz w:val="22"/>
                <w:szCs w:val="22"/>
              </w:rPr>
              <w:t>drogow</w:t>
            </w:r>
            <w:r w:rsidR="00C42B7D" w:rsidRPr="00154E08">
              <w:rPr>
                <w:rFonts w:eastAsia="Calibri" w:cs="Times New Roman"/>
                <w:spacing w:val="-2"/>
                <w:sz w:val="22"/>
                <w:szCs w:val="22"/>
              </w:rPr>
              <w:t>ego</w:t>
            </w:r>
            <w:r w:rsidRPr="00154E08">
              <w:rPr>
                <w:rFonts w:eastAsia="Calibri" w:cs="Times New Roman"/>
                <w:spacing w:val="-2"/>
                <w:sz w:val="22"/>
                <w:szCs w:val="22"/>
              </w:rPr>
              <w:t xml:space="preserve"> i </w:t>
            </w:r>
            <w:r w:rsidRPr="00154E08">
              <w:rPr>
                <w:rFonts w:eastAsia="Calibri" w:cs="Times New Roman"/>
                <w:spacing w:val="-2"/>
                <w:sz w:val="22"/>
                <w:szCs w:val="22"/>
              </w:rPr>
              <w:lastRenderedPageBreak/>
              <w:t>kolejow</w:t>
            </w:r>
            <w:r w:rsidR="00C42B7D" w:rsidRPr="00154E08">
              <w:rPr>
                <w:rFonts w:eastAsia="Calibri" w:cs="Times New Roman"/>
                <w:spacing w:val="-2"/>
                <w:sz w:val="22"/>
                <w:szCs w:val="22"/>
              </w:rPr>
              <w:t>ego</w:t>
            </w:r>
            <w:r w:rsidR="00BD20F6" w:rsidRPr="00154E08">
              <w:rPr>
                <w:rFonts w:eastAsia="Calibri" w:cs="Times New Roman"/>
                <w:spacing w:val="-2"/>
                <w:sz w:val="22"/>
                <w:szCs w:val="22"/>
              </w:rPr>
              <w:t>, zwanego</w:t>
            </w:r>
            <w:r w:rsidR="001E75CB" w:rsidRPr="00154E08">
              <w:rPr>
                <w:rFonts w:eastAsia="Calibri" w:cs="Times New Roman"/>
                <w:spacing w:val="-2"/>
                <w:sz w:val="22"/>
                <w:szCs w:val="22"/>
              </w:rPr>
              <w:t xml:space="preserve"> </w:t>
            </w:r>
            <w:r w:rsidRPr="00154E08">
              <w:rPr>
                <w:rFonts w:eastAsia="Calibri" w:cs="Times New Roman"/>
                <w:spacing w:val="-2"/>
                <w:sz w:val="22"/>
                <w:szCs w:val="22"/>
              </w:rPr>
              <w:t xml:space="preserve">dalej </w:t>
            </w:r>
            <w:r w:rsidR="006C4689" w:rsidRPr="00154E08">
              <w:rPr>
                <w:rFonts w:eastAsia="Calibri" w:cs="Times New Roman"/>
                <w:spacing w:val="-2"/>
                <w:sz w:val="22"/>
                <w:szCs w:val="22"/>
              </w:rPr>
              <w:t>„</w:t>
            </w:r>
            <w:r w:rsidRPr="00154E08">
              <w:rPr>
                <w:rFonts w:eastAsia="Calibri" w:cs="Times New Roman"/>
                <w:spacing w:val="-2"/>
                <w:sz w:val="22"/>
                <w:szCs w:val="22"/>
              </w:rPr>
              <w:t>udział</w:t>
            </w:r>
            <w:r w:rsidR="00BD20F6" w:rsidRPr="00154E08">
              <w:rPr>
                <w:rFonts w:eastAsia="Calibri" w:cs="Times New Roman"/>
                <w:spacing w:val="-2"/>
                <w:sz w:val="22"/>
                <w:szCs w:val="22"/>
              </w:rPr>
              <w:t>em</w:t>
            </w:r>
            <w:r w:rsidRPr="00154E08">
              <w:rPr>
                <w:rFonts w:eastAsia="Calibri" w:cs="Times New Roman"/>
                <w:spacing w:val="-2"/>
                <w:sz w:val="22"/>
                <w:szCs w:val="22"/>
              </w:rPr>
              <w:t xml:space="preserve"> minimalny</w:t>
            </w:r>
            <w:r w:rsidR="00BD20F6" w:rsidRPr="00154E08">
              <w:rPr>
                <w:rFonts w:eastAsia="Calibri" w:cs="Times New Roman"/>
                <w:spacing w:val="-2"/>
                <w:sz w:val="22"/>
                <w:szCs w:val="22"/>
              </w:rPr>
              <w:t>m</w:t>
            </w:r>
            <w:r w:rsidR="00A244EF" w:rsidRPr="00154E08">
              <w:rPr>
                <w:rFonts w:eastAsia="Calibri" w:cs="Times New Roman"/>
                <w:spacing w:val="-2"/>
                <w:sz w:val="22"/>
                <w:szCs w:val="22"/>
              </w:rPr>
              <w:t xml:space="preserve"> OZE w transporcie</w:t>
            </w:r>
            <w:r w:rsidRPr="00154E08">
              <w:rPr>
                <w:rFonts w:eastAsia="Calibri" w:cs="Times New Roman"/>
                <w:spacing w:val="-2"/>
                <w:sz w:val="22"/>
                <w:szCs w:val="22"/>
              </w:rPr>
              <w:t xml:space="preserve">”. </w:t>
            </w:r>
            <w:r w:rsidR="00BA69A8" w:rsidRPr="00154E08">
              <w:rPr>
                <w:rFonts w:eastAsia="Calibri" w:cs="Times New Roman"/>
                <w:spacing w:val="-2"/>
                <w:sz w:val="22"/>
                <w:szCs w:val="22"/>
              </w:rPr>
              <w:t>Jednocześnie d</w:t>
            </w:r>
            <w:r w:rsidR="00BD20F6" w:rsidRPr="00154E08">
              <w:rPr>
                <w:rFonts w:eastAsia="Calibri" w:cs="Times New Roman"/>
                <w:spacing w:val="-2"/>
                <w:sz w:val="22"/>
                <w:szCs w:val="22"/>
              </w:rPr>
              <w:t xml:space="preserve">yrektywa </w:t>
            </w:r>
            <w:r w:rsidRPr="00154E08">
              <w:rPr>
                <w:rFonts w:eastAsia="Calibri" w:cs="Times New Roman"/>
                <w:spacing w:val="-2"/>
                <w:sz w:val="22"/>
                <w:szCs w:val="22"/>
              </w:rPr>
              <w:t>RED</w:t>
            </w:r>
            <w:r w:rsidR="00F1557B" w:rsidRPr="00154E08">
              <w:rPr>
                <w:rFonts w:eastAsia="Calibri" w:cs="Times New Roman"/>
                <w:spacing w:val="-2"/>
                <w:sz w:val="22"/>
                <w:szCs w:val="22"/>
              </w:rPr>
              <w:t xml:space="preserve"> </w:t>
            </w:r>
            <w:r w:rsidRPr="00154E08">
              <w:rPr>
                <w:rFonts w:eastAsia="Calibri" w:cs="Times New Roman"/>
                <w:spacing w:val="-2"/>
                <w:sz w:val="22"/>
                <w:szCs w:val="22"/>
              </w:rPr>
              <w:t>II dla biokomponentów i biopaliw tradycyjnych</w:t>
            </w:r>
            <w:r w:rsidR="00F23E23" w:rsidRPr="00154E08">
              <w:rPr>
                <w:rFonts w:eastAsia="Calibri" w:cs="Times New Roman"/>
                <w:spacing w:val="-2"/>
                <w:sz w:val="22"/>
                <w:szCs w:val="22"/>
              </w:rPr>
              <w:t xml:space="preserve"> </w:t>
            </w:r>
            <w:r w:rsidR="00A83AFA" w:rsidRPr="00154E08">
              <w:rPr>
                <w:rFonts w:eastAsia="Calibri" w:cs="Times New Roman"/>
                <w:spacing w:val="-2"/>
                <w:sz w:val="22"/>
                <w:szCs w:val="22"/>
              </w:rPr>
              <w:t>tj. pozyskiwanych z</w:t>
            </w:r>
            <w:r w:rsidR="003B3989" w:rsidRPr="00154E08">
              <w:rPr>
                <w:rFonts w:eastAsia="Calibri" w:cs="Times New Roman"/>
                <w:spacing w:val="-2"/>
                <w:sz w:val="22"/>
                <w:szCs w:val="22"/>
              </w:rPr>
              <w:t> </w:t>
            </w:r>
            <w:r w:rsidR="00A83AFA" w:rsidRPr="00154E08">
              <w:rPr>
                <w:rFonts w:eastAsia="Calibri" w:cs="Times New Roman"/>
                <w:spacing w:val="-2"/>
                <w:sz w:val="22"/>
                <w:szCs w:val="22"/>
              </w:rPr>
              <w:t xml:space="preserve">surowców spożywczych lub paszowych, </w:t>
            </w:r>
            <w:r w:rsidR="00F23E23" w:rsidRPr="00154E08">
              <w:rPr>
                <w:rFonts w:eastAsia="Calibri" w:cs="Times New Roman"/>
                <w:spacing w:val="-2"/>
                <w:sz w:val="22"/>
                <w:szCs w:val="22"/>
              </w:rPr>
              <w:t>zawartych w paliwach stosowanych we wszystkich rodzajach transportu</w:t>
            </w:r>
            <w:r w:rsidRPr="00154E08">
              <w:rPr>
                <w:rFonts w:eastAsia="Calibri" w:cs="Times New Roman"/>
                <w:spacing w:val="-2"/>
                <w:sz w:val="22"/>
                <w:szCs w:val="22"/>
              </w:rPr>
              <w:t xml:space="preserve"> </w:t>
            </w:r>
            <w:r w:rsidR="00076304" w:rsidRPr="00154E08">
              <w:rPr>
                <w:rFonts w:eastAsia="Calibri" w:cs="Times New Roman"/>
                <w:spacing w:val="-2"/>
                <w:sz w:val="22"/>
                <w:szCs w:val="22"/>
              </w:rPr>
              <w:t>ustanowiła</w:t>
            </w:r>
            <w:r w:rsidR="00076304" w:rsidRPr="00154E08" w:rsidDel="00A83AFA">
              <w:rPr>
                <w:rFonts w:eastAsia="Calibri" w:cs="Times New Roman"/>
                <w:spacing w:val="-2"/>
                <w:sz w:val="22"/>
                <w:szCs w:val="22"/>
              </w:rPr>
              <w:t xml:space="preserve"> </w:t>
            </w:r>
            <w:r w:rsidRPr="00154E08">
              <w:rPr>
                <w:rFonts w:eastAsia="Calibri" w:cs="Times New Roman"/>
                <w:spacing w:val="-2"/>
                <w:sz w:val="22"/>
                <w:szCs w:val="22"/>
              </w:rPr>
              <w:t xml:space="preserve">limit, w ramach którego państwa członkowskie </w:t>
            </w:r>
            <w:r w:rsidR="00951B79" w:rsidRPr="00154E08">
              <w:rPr>
                <w:rFonts w:eastAsia="Calibri" w:cs="Times New Roman"/>
                <w:spacing w:val="-2"/>
                <w:sz w:val="22"/>
                <w:szCs w:val="22"/>
              </w:rPr>
              <w:t>mogą je uwzględniać w</w:t>
            </w:r>
            <w:r w:rsidR="00F23E23" w:rsidRPr="00154E08">
              <w:rPr>
                <w:rFonts w:eastAsia="Calibri" w:cs="Times New Roman"/>
                <w:spacing w:val="-2"/>
                <w:sz w:val="22"/>
                <w:szCs w:val="22"/>
              </w:rPr>
              <w:t> </w:t>
            </w:r>
            <w:r w:rsidR="00951B79" w:rsidRPr="00154E08">
              <w:rPr>
                <w:rFonts w:eastAsia="Calibri" w:cs="Times New Roman"/>
                <w:spacing w:val="-2"/>
                <w:sz w:val="22"/>
                <w:szCs w:val="22"/>
              </w:rPr>
              <w:t xml:space="preserve">realizacji minimalnego udziału. </w:t>
            </w:r>
            <w:r w:rsidR="00EC5F18" w:rsidRPr="00154E08">
              <w:rPr>
                <w:rFonts w:eastAsia="Calibri" w:cs="Times New Roman"/>
                <w:spacing w:val="-2"/>
                <w:sz w:val="22"/>
                <w:szCs w:val="22"/>
              </w:rPr>
              <w:t>Udział</w:t>
            </w:r>
            <w:r w:rsidR="00951B79" w:rsidRPr="00154E08">
              <w:rPr>
                <w:rFonts w:eastAsia="Calibri" w:cs="Times New Roman"/>
                <w:spacing w:val="-2"/>
                <w:sz w:val="22"/>
                <w:szCs w:val="22"/>
              </w:rPr>
              <w:t xml:space="preserve"> </w:t>
            </w:r>
            <w:r w:rsidR="00F9536E" w:rsidRPr="00154E08">
              <w:rPr>
                <w:rFonts w:eastAsia="Calibri" w:cs="Times New Roman"/>
                <w:spacing w:val="-2"/>
                <w:sz w:val="22"/>
                <w:szCs w:val="22"/>
              </w:rPr>
              <w:t xml:space="preserve">tradycyjnych </w:t>
            </w:r>
            <w:r w:rsidR="00951B79" w:rsidRPr="00154E08">
              <w:rPr>
                <w:rFonts w:eastAsia="Calibri" w:cs="Times New Roman"/>
                <w:spacing w:val="-2"/>
                <w:sz w:val="22"/>
                <w:szCs w:val="22"/>
              </w:rPr>
              <w:t xml:space="preserve">biokomponentów i biopaliw </w:t>
            </w:r>
            <w:r w:rsidR="00EC5F18" w:rsidRPr="00154E08">
              <w:rPr>
                <w:rFonts w:eastAsia="Calibri" w:cs="Times New Roman"/>
                <w:spacing w:val="-2"/>
                <w:sz w:val="22"/>
                <w:szCs w:val="22"/>
              </w:rPr>
              <w:t>nie może przekraczać o więcej niż o 1 punkt procentow</w:t>
            </w:r>
            <w:r w:rsidR="00976D89" w:rsidRPr="00154E08">
              <w:rPr>
                <w:rFonts w:eastAsia="Calibri" w:cs="Times New Roman"/>
                <w:spacing w:val="-2"/>
                <w:sz w:val="22"/>
                <w:szCs w:val="22"/>
              </w:rPr>
              <w:t>y</w:t>
            </w:r>
            <w:r w:rsidR="00EC5F18" w:rsidRPr="00154E08">
              <w:rPr>
                <w:rFonts w:eastAsia="Calibri" w:cs="Times New Roman"/>
                <w:spacing w:val="-2"/>
                <w:sz w:val="22"/>
                <w:szCs w:val="22"/>
              </w:rPr>
              <w:t xml:space="preserve"> </w:t>
            </w:r>
            <w:r w:rsidR="00C03620" w:rsidRPr="00154E08">
              <w:rPr>
                <w:rFonts w:eastAsia="Calibri" w:cs="Times New Roman"/>
                <w:spacing w:val="-2"/>
                <w:sz w:val="22"/>
                <w:szCs w:val="22"/>
              </w:rPr>
              <w:t xml:space="preserve">ich </w:t>
            </w:r>
            <w:r w:rsidR="00EC5F18" w:rsidRPr="00154E08">
              <w:rPr>
                <w:rFonts w:eastAsia="Calibri" w:cs="Times New Roman"/>
                <w:spacing w:val="-2"/>
                <w:sz w:val="22"/>
                <w:szCs w:val="22"/>
              </w:rPr>
              <w:t xml:space="preserve">udziału w końcowym zużyciu energii w sektorach transportu </w:t>
            </w:r>
            <w:r w:rsidR="00C03620" w:rsidRPr="00154E08">
              <w:rPr>
                <w:rFonts w:eastAsia="Calibri" w:cs="Times New Roman"/>
                <w:spacing w:val="-2"/>
                <w:sz w:val="22"/>
                <w:szCs w:val="22"/>
              </w:rPr>
              <w:t xml:space="preserve">– </w:t>
            </w:r>
            <w:r w:rsidR="00EC5F18" w:rsidRPr="00154E08">
              <w:rPr>
                <w:rFonts w:eastAsia="Calibri" w:cs="Times New Roman"/>
                <w:spacing w:val="-2"/>
                <w:sz w:val="22"/>
                <w:szCs w:val="22"/>
              </w:rPr>
              <w:t>drogowego i</w:t>
            </w:r>
            <w:r w:rsidR="009E2D6F" w:rsidRPr="00154E08">
              <w:rPr>
                <w:rFonts w:eastAsia="Calibri" w:cs="Times New Roman"/>
                <w:spacing w:val="-2"/>
                <w:sz w:val="22"/>
                <w:szCs w:val="22"/>
              </w:rPr>
              <w:t> </w:t>
            </w:r>
            <w:r w:rsidR="00EC5F18" w:rsidRPr="00154E08">
              <w:rPr>
                <w:rFonts w:eastAsia="Calibri" w:cs="Times New Roman"/>
                <w:spacing w:val="-2"/>
                <w:sz w:val="22"/>
                <w:szCs w:val="22"/>
              </w:rPr>
              <w:t xml:space="preserve">kolejowego </w:t>
            </w:r>
            <w:r w:rsidR="00976D89" w:rsidRPr="00154E08">
              <w:rPr>
                <w:rFonts w:eastAsia="Calibri" w:cs="Times New Roman"/>
                <w:spacing w:val="-2"/>
                <w:sz w:val="22"/>
                <w:szCs w:val="22"/>
              </w:rPr>
              <w:t xml:space="preserve">osiągniętego </w:t>
            </w:r>
            <w:r w:rsidR="00EC5F18" w:rsidRPr="00154E08">
              <w:rPr>
                <w:rFonts w:eastAsia="Calibri" w:cs="Times New Roman"/>
                <w:spacing w:val="-2"/>
                <w:sz w:val="22"/>
                <w:szCs w:val="22"/>
              </w:rPr>
              <w:t xml:space="preserve">w </w:t>
            </w:r>
            <w:r w:rsidR="00A255BB" w:rsidRPr="00154E08">
              <w:rPr>
                <w:rFonts w:eastAsia="Calibri" w:cs="Times New Roman"/>
                <w:spacing w:val="-2"/>
                <w:sz w:val="22"/>
                <w:szCs w:val="22"/>
              </w:rPr>
              <w:t xml:space="preserve">referencyjnym </w:t>
            </w:r>
            <w:r w:rsidR="00C03620" w:rsidRPr="00154E08">
              <w:rPr>
                <w:rFonts w:eastAsia="Calibri" w:cs="Times New Roman"/>
                <w:spacing w:val="-2"/>
                <w:sz w:val="22"/>
                <w:szCs w:val="22"/>
              </w:rPr>
              <w:t xml:space="preserve">roku </w:t>
            </w:r>
            <w:r w:rsidR="00EC5F18" w:rsidRPr="00154E08">
              <w:rPr>
                <w:rFonts w:eastAsia="Calibri" w:cs="Times New Roman"/>
                <w:spacing w:val="-2"/>
                <w:sz w:val="22"/>
                <w:szCs w:val="22"/>
              </w:rPr>
              <w:t>2020</w:t>
            </w:r>
            <w:r w:rsidR="00C03620" w:rsidRPr="00154E08">
              <w:rPr>
                <w:rFonts w:eastAsia="Calibri" w:cs="Times New Roman"/>
                <w:spacing w:val="-2"/>
                <w:sz w:val="22"/>
                <w:szCs w:val="22"/>
              </w:rPr>
              <w:t>.</w:t>
            </w:r>
          </w:p>
          <w:p w14:paraId="6E197AF2" w14:textId="7862DF05" w:rsidR="00BE55A4" w:rsidRPr="00154E08" w:rsidRDefault="00955AED" w:rsidP="00B279FD">
            <w:pPr>
              <w:shd w:val="clear" w:color="auto" w:fill="FFFFFF" w:themeFill="background1"/>
              <w:spacing w:after="120" w:line="240" w:lineRule="auto"/>
              <w:jc w:val="both"/>
              <w:rPr>
                <w:rFonts w:eastAsia="Calibri" w:cs="Times New Roman"/>
                <w:spacing w:val="-2"/>
                <w:sz w:val="22"/>
                <w:szCs w:val="22"/>
              </w:rPr>
            </w:pPr>
            <w:r w:rsidRPr="00154E08">
              <w:rPr>
                <w:rFonts w:eastAsia="Calibri" w:cs="Times New Roman"/>
                <w:spacing w:val="-2"/>
                <w:sz w:val="22"/>
                <w:szCs w:val="22"/>
              </w:rPr>
              <w:t>D</w:t>
            </w:r>
            <w:r w:rsidR="00BD20F6" w:rsidRPr="00154E08">
              <w:rPr>
                <w:rFonts w:eastAsia="Calibri" w:cs="Times New Roman"/>
                <w:spacing w:val="-2"/>
                <w:sz w:val="22"/>
                <w:szCs w:val="22"/>
              </w:rPr>
              <w:t>yrektyw</w:t>
            </w:r>
            <w:r w:rsidRPr="00154E08">
              <w:rPr>
                <w:rFonts w:eastAsia="Calibri" w:cs="Times New Roman"/>
                <w:spacing w:val="-2"/>
                <w:sz w:val="22"/>
                <w:szCs w:val="22"/>
              </w:rPr>
              <w:t>a</w:t>
            </w:r>
            <w:r w:rsidR="00BD20F6" w:rsidRPr="00154E08">
              <w:rPr>
                <w:rFonts w:eastAsia="Calibri" w:cs="Times New Roman"/>
                <w:spacing w:val="-2"/>
                <w:sz w:val="22"/>
                <w:szCs w:val="22"/>
              </w:rPr>
              <w:t xml:space="preserve"> </w:t>
            </w:r>
            <w:r w:rsidR="00951B79" w:rsidRPr="00154E08">
              <w:rPr>
                <w:rFonts w:eastAsia="Calibri" w:cs="Times New Roman"/>
                <w:spacing w:val="-2"/>
                <w:sz w:val="22"/>
                <w:szCs w:val="22"/>
              </w:rPr>
              <w:t>RED</w:t>
            </w:r>
            <w:r w:rsidR="00F1557B" w:rsidRPr="00154E08">
              <w:rPr>
                <w:rFonts w:eastAsia="Calibri" w:cs="Times New Roman"/>
                <w:spacing w:val="-2"/>
                <w:sz w:val="22"/>
                <w:szCs w:val="22"/>
              </w:rPr>
              <w:t xml:space="preserve"> </w:t>
            </w:r>
            <w:r w:rsidR="00951B79" w:rsidRPr="00154E08">
              <w:rPr>
                <w:rFonts w:eastAsia="Calibri" w:cs="Times New Roman"/>
                <w:spacing w:val="-2"/>
                <w:sz w:val="22"/>
                <w:szCs w:val="22"/>
              </w:rPr>
              <w:t xml:space="preserve">II </w:t>
            </w:r>
            <w:r w:rsidR="00FB792D" w:rsidRPr="00154E08">
              <w:rPr>
                <w:rFonts w:eastAsia="Calibri" w:cs="Times New Roman"/>
                <w:spacing w:val="-2"/>
                <w:sz w:val="22"/>
                <w:szCs w:val="22"/>
              </w:rPr>
              <w:t>określa wyższe</w:t>
            </w:r>
            <w:r w:rsidR="00951B79" w:rsidRPr="00154E08">
              <w:rPr>
                <w:rFonts w:eastAsia="Calibri" w:cs="Times New Roman"/>
                <w:spacing w:val="-2"/>
                <w:sz w:val="22"/>
                <w:szCs w:val="22"/>
              </w:rPr>
              <w:t xml:space="preserve"> cele dla stosowania </w:t>
            </w:r>
            <w:r w:rsidR="007B0476" w:rsidRPr="00154E08">
              <w:rPr>
                <w:rFonts w:eastAsia="Calibri" w:cs="Times New Roman"/>
                <w:spacing w:val="-2"/>
                <w:sz w:val="22"/>
                <w:szCs w:val="22"/>
              </w:rPr>
              <w:t>we wszystkich rodzajach transportu</w:t>
            </w:r>
            <w:r w:rsidR="007B0476" w:rsidRPr="00154E08" w:rsidDel="0019415C">
              <w:rPr>
                <w:rFonts w:eastAsia="Calibri" w:cs="Times New Roman"/>
                <w:spacing w:val="-2"/>
                <w:sz w:val="22"/>
                <w:szCs w:val="22"/>
              </w:rPr>
              <w:t xml:space="preserve"> </w:t>
            </w:r>
            <w:r w:rsidR="00951B79" w:rsidRPr="00154E08">
              <w:rPr>
                <w:rFonts w:eastAsia="Calibri" w:cs="Times New Roman"/>
                <w:spacing w:val="-2"/>
                <w:sz w:val="22"/>
                <w:szCs w:val="22"/>
              </w:rPr>
              <w:t>zaawansowanych biokomponentów i biopaliw</w:t>
            </w:r>
            <w:r w:rsidR="007F547C" w:rsidRPr="00154E08">
              <w:rPr>
                <w:rFonts w:eastAsia="Calibri" w:cs="Times New Roman"/>
                <w:spacing w:val="-2"/>
                <w:sz w:val="22"/>
                <w:szCs w:val="22"/>
              </w:rPr>
              <w:t>, których u</w:t>
            </w:r>
            <w:r w:rsidR="00951B79" w:rsidRPr="00154E08">
              <w:rPr>
                <w:rFonts w:eastAsia="Calibri" w:cs="Times New Roman"/>
                <w:spacing w:val="-2"/>
                <w:sz w:val="22"/>
                <w:szCs w:val="22"/>
              </w:rPr>
              <w:t>dział</w:t>
            </w:r>
            <w:r w:rsidR="00684A87" w:rsidRPr="00154E08">
              <w:rPr>
                <w:rFonts w:eastAsia="Calibri" w:cs="Times New Roman"/>
                <w:spacing w:val="-2"/>
                <w:sz w:val="22"/>
                <w:szCs w:val="22"/>
              </w:rPr>
              <w:t xml:space="preserve"> </w:t>
            </w:r>
            <w:r w:rsidR="00951B79" w:rsidRPr="00154E08">
              <w:rPr>
                <w:rFonts w:eastAsia="Calibri" w:cs="Times New Roman"/>
                <w:spacing w:val="-2"/>
                <w:sz w:val="22"/>
                <w:szCs w:val="22"/>
              </w:rPr>
              <w:t xml:space="preserve">liczony według wartości opałowej, </w:t>
            </w:r>
            <w:r w:rsidR="00AA6703" w:rsidRPr="00154E08">
              <w:rPr>
                <w:rFonts w:eastAsia="Calibri" w:cs="Times New Roman"/>
                <w:spacing w:val="-2"/>
                <w:sz w:val="22"/>
                <w:szCs w:val="22"/>
              </w:rPr>
              <w:t>po</w:t>
            </w:r>
            <w:r w:rsidR="00951B79" w:rsidRPr="00154E08">
              <w:rPr>
                <w:rFonts w:eastAsia="Calibri" w:cs="Times New Roman"/>
                <w:spacing w:val="-2"/>
                <w:sz w:val="22"/>
                <w:szCs w:val="22"/>
              </w:rPr>
              <w:t>winien</w:t>
            </w:r>
            <w:r w:rsidR="00684A87" w:rsidRPr="00154E08">
              <w:rPr>
                <w:rFonts w:eastAsia="Calibri" w:cs="Times New Roman"/>
                <w:spacing w:val="-2"/>
                <w:sz w:val="22"/>
                <w:szCs w:val="22"/>
              </w:rPr>
              <w:t xml:space="preserve"> </w:t>
            </w:r>
            <w:r w:rsidR="008233EF" w:rsidRPr="00154E08">
              <w:rPr>
                <w:rFonts w:eastAsia="Calibri" w:cs="Times New Roman"/>
                <w:spacing w:val="-2"/>
                <w:sz w:val="22"/>
                <w:szCs w:val="22"/>
              </w:rPr>
              <w:t>wynieść co najmniej 0,2% w 2022 r., co najmniej 1% w</w:t>
            </w:r>
            <w:r w:rsidR="009E2D6F" w:rsidRPr="00154E08">
              <w:rPr>
                <w:rFonts w:eastAsia="Calibri" w:cs="Times New Roman"/>
                <w:spacing w:val="-2"/>
                <w:sz w:val="22"/>
                <w:szCs w:val="22"/>
              </w:rPr>
              <w:t> </w:t>
            </w:r>
            <w:r w:rsidR="008233EF" w:rsidRPr="00154E08">
              <w:rPr>
                <w:rFonts w:eastAsia="Calibri" w:cs="Times New Roman"/>
                <w:spacing w:val="-2"/>
                <w:sz w:val="22"/>
                <w:szCs w:val="22"/>
              </w:rPr>
              <w:t>2025 r</w:t>
            </w:r>
            <w:r w:rsidR="007737BE" w:rsidRPr="00154E08">
              <w:rPr>
                <w:rFonts w:eastAsia="Calibri" w:cs="Times New Roman"/>
                <w:spacing w:val="-2"/>
                <w:sz w:val="22"/>
                <w:szCs w:val="22"/>
              </w:rPr>
              <w:t>.</w:t>
            </w:r>
            <w:r w:rsidR="008233EF" w:rsidRPr="00154E08">
              <w:rPr>
                <w:rFonts w:eastAsia="Calibri" w:cs="Times New Roman"/>
                <w:spacing w:val="-2"/>
                <w:sz w:val="22"/>
                <w:szCs w:val="22"/>
              </w:rPr>
              <w:t xml:space="preserve"> i </w:t>
            </w:r>
            <w:r w:rsidR="00F032FD" w:rsidRPr="00154E08">
              <w:rPr>
                <w:rFonts w:eastAsia="Calibri" w:cs="Times New Roman"/>
                <w:spacing w:val="-2"/>
                <w:sz w:val="22"/>
                <w:szCs w:val="22"/>
              </w:rPr>
              <w:t>min.</w:t>
            </w:r>
            <w:r w:rsidR="008233EF" w:rsidRPr="00154E08">
              <w:rPr>
                <w:rFonts w:eastAsia="Calibri" w:cs="Times New Roman"/>
                <w:spacing w:val="-2"/>
                <w:sz w:val="22"/>
                <w:szCs w:val="22"/>
              </w:rPr>
              <w:t xml:space="preserve"> 3,5% w</w:t>
            </w:r>
            <w:r w:rsidR="00F032FD" w:rsidRPr="00154E08">
              <w:rPr>
                <w:rFonts w:eastAsia="Calibri" w:cs="Times New Roman"/>
                <w:spacing w:val="-2"/>
                <w:sz w:val="22"/>
                <w:szCs w:val="22"/>
              </w:rPr>
              <w:t> </w:t>
            </w:r>
            <w:r w:rsidR="008233EF" w:rsidRPr="00154E08">
              <w:rPr>
                <w:rFonts w:eastAsia="Calibri" w:cs="Times New Roman"/>
                <w:spacing w:val="-2"/>
                <w:sz w:val="22"/>
                <w:szCs w:val="22"/>
              </w:rPr>
              <w:t>2030</w:t>
            </w:r>
            <w:r w:rsidR="00F032FD" w:rsidRPr="00154E08">
              <w:rPr>
                <w:rFonts w:eastAsia="Calibri" w:cs="Times New Roman"/>
                <w:spacing w:val="-2"/>
                <w:sz w:val="22"/>
                <w:szCs w:val="22"/>
              </w:rPr>
              <w:t> </w:t>
            </w:r>
            <w:r w:rsidR="008233EF" w:rsidRPr="00154E08">
              <w:rPr>
                <w:rFonts w:eastAsia="Calibri" w:cs="Times New Roman"/>
                <w:spacing w:val="-2"/>
                <w:sz w:val="22"/>
                <w:szCs w:val="22"/>
              </w:rPr>
              <w:t xml:space="preserve">r. </w:t>
            </w:r>
          </w:p>
          <w:p w14:paraId="0657FB11" w14:textId="0412CB31" w:rsidR="00784A04" w:rsidRPr="00154E08" w:rsidRDefault="00076F86" w:rsidP="00B279FD">
            <w:pPr>
              <w:shd w:val="clear" w:color="auto" w:fill="FFFFFF" w:themeFill="background1"/>
              <w:spacing w:after="120" w:line="240" w:lineRule="auto"/>
              <w:jc w:val="both"/>
              <w:rPr>
                <w:rFonts w:eastAsia="Calibri" w:cs="Times New Roman"/>
                <w:spacing w:val="-2"/>
                <w:sz w:val="22"/>
                <w:szCs w:val="22"/>
              </w:rPr>
            </w:pPr>
            <w:r w:rsidRPr="00154E08">
              <w:rPr>
                <w:rFonts w:eastAsia="Calibri" w:cs="Times New Roman"/>
                <w:spacing w:val="-2"/>
                <w:sz w:val="22"/>
                <w:szCs w:val="22"/>
              </w:rPr>
              <w:t xml:space="preserve">Dyrektywa </w:t>
            </w:r>
            <w:r w:rsidR="00964910" w:rsidRPr="00154E08">
              <w:rPr>
                <w:rFonts w:eastAsia="Calibri" w:cs="Times New Roman"/>
                <w:spacing w:val="-2"/>
                <w:sz w:val="22"/>
                <w:szCs w:val="22"/>
              </w:rPr>
              <w:t>RED</w:t>
            </w:r>
            <w:r w:rsidR="00F1557B" w:rsidRPr="00154E08">
              <w:rPr>
                <w:rFonts w:eastAsia="Calibri" w:cs="Times New Roman"/>
                <w:spacing w:val="-2"/>
                <w:sz w:val="22"/>
                <w:szCs w:val="22"/>
              </w:rPr>
              <w:t xml:space="preserve"> </w:t>
            </w:r>
            <w:r w:rsidR="00964910" w:rsidRPr="00154E08">
              <w:rPr>
                <w:rFonts w:eastAsia="Calibri" w:cs="Times New Roman"/>
                <w:spacing w:val="-2"/>
                <w:sz w:val="22"/>
                <w:szCs w:val="22"/>
              </w:rPr>
              <w:t>II</w:t>
            </w:r>
            <w:r w:rsidR="00A130AC" w:rsidRPr="00154E08">
              <w:rPr>
                <w:rFonts w:eastAsia="Calibri" w:cs="Times New Roman"/>
                <w:spacing w:val="-2"/>
                <w:sz w:val="22"/>
                <w:szCs w:val="22"/>
              </w:rPr>
              <w:t xml:space="preserve"> wprowadz</w:t>
            </w:r>
            <w:r w:rsidR="000C5484" w:rsidRPr="00154E08">
              <w:rPr>
                <w:rFonts w:eastAsia="Calibri" w:cs="Times New Roman"/>
                <w:spacing w:val="-2"/>
                <w:sz w:val="22"/>
                <w:szCs w:val="22"/>
              </w:rPr>
              <w:t>a te</w:t>
            </w:r>
            <w:r w:rsidR="00F365E1" w:rsidRPr="00154E08">
              <w:rPr>
                <w:rFonts w:eastAsia="Calibri" w:cs="Times New Roman"/>
                <w:spacing w:val="-2"/>
                <w:sz w:val="22"/>
                <w:szCs w:val="22"/>
              </w:rPr>
              <w:t>ż</w:t>
            </w:r>
            <w:r w:rsidR="000C5484" w:rsidRPr="00154E08">
              <w:rPr>
                <w:rFonts w:eastAsia="Calibri" w:cs="Times New Roman"/>
                <w:spacing w:val="-2"/>
                <w:sz w:val="22"/>
                <w:szCs w:val="22"/>
              </w:rPr>
              <w:t xml:space="preserve"> </w:t>
            </w:r>
            <w:r w:rsidR="00A130AC" w:rsidRPr="00154E08">
              <w:rPr>
                <w:rFonts w:eastAsia="Calibri" w:cs="Times New Roman"/>
                <w:spacing w:val="-2"/>
                <w:sz w:val="22"/>
                <w:szCs w:val="22"/>
              </w:rPr>
              <w:t xml:space="preserve">zmiany w zasadach rozliczenia energii elektrycznej </w:t>
            </w:r>
            <w:r w:rsidR="00EC5F18" w:rsidRPr="00154E08">
              <w:rPr>
                <w:rFonts w:eastAsia="Calibri" w:cs="Times New Roman"/>
                <w:spacing w:val="-2"/>
                <w:sz w:val="22"/>
                <w:szCs w:val="22"/>
              </w:rPr>
              <w:t>w</w:t>
            </w:r>
            <w:r w:rsidR="00517916" w:rsidRPr="00154E08">
              <w:rPr>
                <w:rFonts w:eastAsia="Calibri" w:cs="Times New Roman"/>
                <w:spacing w:val="-2"/>
                <w:sz w:val="22"/>
                <w:szCs w:val="22"/>
              </w:rPr>
              <w:t> </w:t>
            </w:r>
            <w:r w:rsidR="00EC5F18" w:rsidRPr="00154E08">
              <w:rPr>
                <w:rFonts w:eastAsia="Calibri" w:cs="Times New Roman"/>
                <w:spacing w:val="-2"/>
                <w:sz w:val="22"/>
                <w:szCs w:val="22"/>
              </w:rPr>
              <w:t xml:space="preserve">transporcie </w:t>
            </w:r>
            <w:r w:rsidR="00A130AC" w:rsidRPr="00154E08">
              <w:rPr>
                <w:rFonts w:eastAsia="Calibri" w:cs="Times New Roman"/>
                <w:spacing w:val="-2"/>
                <w:sz w:val="22"/>
                <w:szCs w:val="22"/>
              </w:rPr>
              <w:t>oraz rozszerz</w:t>
            </w:r>
            <w:r w:rsidR="008D02D2" w:rsidRPr="00154E08">
              <w:rPr>
                <w:rFonts w:eastAsia="Calibri" w:cs="Times New Roman"/>
                <w:spacing w:val="-2"/>
                <w:sz w:val="22"/>
                <w:szCs w:val="22"/>
              </w:rPr>
              <w:t>a</w:t>
            </w:r>
            <w:r w:rsidR="00A130AC" w:rsidRPr="00154E08">
              <w:rPr>
                <w:rFonts w:eastAsia="Calibri" w:cs="Times New Roman"/>
                <w:spacing w:val="-2"/>
                <w:sz w:val="22"/>
                <w:szCs w:val="22"/>
              </w:rPr>
              <w:t xml:space="preserve"> stosowanie kryteriów zrównoważonego rozwoju </w:t>
            </w:r>
            <w:r w:rsidR="007737BE" w:rsidRPr="00154E08">
              <w:rPr>
                <w:rFonts w:eastAsia="Calibri" w:cs="Times New Roman"/>
                <w:spacing w:val="-2"/>
                <w:sz w:val="22"/>
                <w:szCs w:val="22"/>
              </w:rPr>
              <w:t xml:space="preserve">(KZR) </w:t>
            </w:r>
            <w:r w:rsidR="00A130AC" w:rsidRPr="00154E08">
              <w:rPr>
                <w:rFonts w:eastAsia="Calibri" w:cs="Times New Roman"/>
                <w:spacing w:val="-2"/>
                <w:sz w:val="22"/>
                <w:szCs w:val="22"/>
              </w:rPr>
              <w:t xml:space="preserve">i </w:t>
            </w:r>
            <w:r w:rsidR="004349BD" w:rsidRPr="00154E08">
              <w:rPr>
                <w:rFonts w:eastAsia="Calibri" w:cs="Times New Roman"/>
                <w:spacing w:val="-2"/>
                <w:sz w:val="22"/>
                <w:szCs w:val="22"/>
              </w:rPr>
              <w:t xml:space="preserve">kryteriów </w:t>
            </w:r>
            <w:r w:rsidR="00A130AC" w:rsidRPr="00154E08">
              <w:rPr>
                <w:rFonts w:eastAsia="Calibri" w:cs="Times New Roman"/>
                <w:spacing w:val="-2"/>
                <w:sz w:val="22"/>
                <w:szCs w:val="22"/>
              </w:rPr>
              <w:t>ograniczenia emisji gazów cieplarnianych</w:t>
            </w:r>
            <w:r w:rsidR="007737BE" w:rsidRPr="00154E08">
              <w:rPr>
                <w:rFonts w:eastAsia="Calibri" w:cs="Times New Roman"/>
                <w:spacing w:val="-2"/>
                <w:sz w:val="22"/>
                <w:szCs w:val="22"/>
              </w:rPr>
              <w:t xml:space="preserve"> (GHG)</w:t>
            </w:r>
            <w:r w:rsidR="00A130AC" w:rsidRPr="00154E08">
              <w:rPr>
                <w:rFonts w:eastAsia="Calibri" w:cs="Times New Roman"/>
                <w:spacing w:val="-2"/>
                <w:sz w:val="22"/>
                <w:szCs w:val="22"/>
              </w:rPr>
              <w:t xml:space="preserve"> </w:t>
            </w:r>
            <w:r w:rsidR="003F2296" w:rsidRPr="00154E08">
              <w:rPr>
                <w:rFonts w:eastAsia="Calibri" w:cs="Times New Roman"/>
                <w:spacing w:val="-2"/>
                <w:sz w:val="22"/>
                <w:szCs w:val="22"/>
              </w:rPr>
              <w:t>na</w:t>
            </w:r>
            <w:r w:rsidR="00A130AC" w:rsidRPr="00154E08">
              <w:rPr>
                <w:rFonts w:eastAsia="Calibri" w:cs="Times New Roman"/>
                <w:spacing w:val="-2"/>
                <w:sz w:val="22"/>
                <w:szCs w:val="22"/>
              </w:rPr>
              <w:t xml:space="preserve"> </w:t>
            </w:r>
            <w:proofErr w:type="spellStart"/>
            <w:r w:rsidR="00A130AC" w:rsidRPr="00154E08">
              <w:rPr>
                <w:rFonts w:eastAsia="Calibri" w:cs="Times New Roman"/>
                <w:spacing w:val="-2"/>
                <w:sz w:val="22"/>
                <w:szCs w:val="22"/>
              </w:rPr>
              <w:t>biopłyn</w:t>
            </w:r>
            <w:r w:rsidR="003F2296" w:rsidRPr="00154E08">
              <w:rPr>
                <w:rFonts w:eastAsia="Calibri" w:cs="Times New Roman"/>
                <w:spacing w:val="-2"/>
                <w:sz w:val="22"/>
                <w:szCs w:val="22"/>
              </w:rPr>
              <w:t>y</w:t>
            </w:r>
            <w:proofErr w:type="spellEnd"/>
            <w:r w:rsidR="00A130AC" w:rsidRPr="00154E08">
              <w:rPr>
                <w:rFonts w:eastAsia="Calibri" w:cs="Times New Roman"/>
                <w:spacing w:val="-2"/>
                <w:sz w:val="22"/>
                <w:szCs w:val="22"/>
              </w:rPr>
              <w:t xml:space="preserve"> i paliw</w:t>
            </w:r>
            <w:r w:rsidR="003F2296" w:rsidRPr="00154E08">
              <w:rPr>
                <w:rFonts w:eastAsia="Calibri" w:cs="Times New Roman"/>
                <w:spacing w:val="-2"/>
                <w:sz w:val="22"/>
                <w:szCs w:val="22"/>
              </w:rPr>
              <w:t>a</w:t>
            </w:r>
            <w:r w:rsidR="00A130AC" w:rsidRPr="00154E08">
              <w:rPr>
                <w:rFonts w:eastAsia="Calibri" w:cs="Times New Roman"/>
                <w:spacing w:val="-2"/>
                <w:sz w:val="22"/>
                <w:szCs w:val="22"/>
              </w:rPr>
              <w:t xml:space="preserve"> z biomasy</w:t>
            </w:r>
            <w:r w:rsidR="00604139" w:rsidRPr="00154E08">
              <w:rPr>
                <w:rFonts w:eastAsia="Calibri" w:cs="Times New Roman"/>
                <w:spacing w:val="-2"/>
                <w:sz w:val="22"/>
                <w:szCs w:val="22"/>
              </w:rPr>
              <w:t>, wykorzystywane w produkcji energii elektrycznej, ciepła i chłodu w instalacjach odnawialnego źródła energii – co zostało wprowadzone w przepisach projektu</w:t>
            </w:r>
            <w:r w:rsidR="004349BD" w:rsidRPr="00154E08">
              <w:rPr>
                <w:rFonts w:eastAsia="Calibri" w:cs="Times New Roman"/>
                <w:spacing w:val="-2"/>
                <w:sz w:val="22"/>
                <w:szCs w:val="22"/>
              </w:rPr>
              <w:t xml:space="preserve"> ustawy implementującej</w:t>
            </w:r>
            <w:r w:rsidR="00A130AC" w:rsidRPr="00154E08">
              <w:rPr>
                <w:rFonts w:eastAsia="Calibri" w:cs="Times New Roman"/>
                <w:spacing w:val="-2"/>
                <w:sz w:val="22"/>
                <w:szCs w:val="22"/>
              </w:rPr>
              <w:t>.</w:t>
            </w:r>
            <w:r w:rsidR="000C5484" w:rsidRPr="00154E08">
              <w:rPr>
                <w:rFonts w:eastAsia="Calibri" w:cs="Times New Roman"/>
                <w:spacing w:val="-2"/>
                <w:sz w:val="22"/>
                <w:szCs w:val="22"/>
              </w:rPr>
              <w:t xml:space="preserve"> </w:t>
            </w:r>
            <w:r w:rsidR="00517916" w:rsidRPr="00154E08">
              <w:rPr>
                <w:rFonts w:eastAsia="Calibri" w:cs="Times New Roman"/>
                <w:spacing w:val="-2"/>
                <w:sz w:val="22"/>
                <w:szCs w:val="22"/>
              </w:rPr>
              <w:t xml:space="preserve">Działalność gospodarcza w zakresie wytwarzania energii elektrycznej, ciepła lub chłodu z paliw z biomasy w instalacjach wymagać będzie spełnienia KZR. </w:t>
            </w:r>
            <w:r w:rsidR="00AC1B44" w:rsidRPr="00154E08">
              <w:rPr>
                <w:rFonts w:eastAsia="Calibri" w:cs="Times New Roman"/>
                <w:spacing w:val="-2"/>
                <w:sz w:val="22"/>
                <w:szCs w:val="22"/>
              </w:rPr>
              <w:t>D</w:t>
            </w:r>
            <w:r w:rsidR="00DA13CA" w:rsidRPr="00154E08">
              <w:rPr>
                <w:rFonts w:eastAsia="Calibri" w:cs="Times New Roman"/>
                <w:spacing w:val="-2"/>
                <w:sz w:val="22"/>
                <w:szCs w:val="22"/>
              </w:rPr>
              <w:t>yrektyw</w:t>
            </w:r>
            <w:r w:rsidR="00AC1B44" w:rsidRPr="00154E08">
              <w:rPr>
                <w:rFonts w:eastAsia="Calibri" w:cs="Times New Roman"/>
                <w:spacing w:val="-2"/>
                <w:sz w:val="22"/>
                <w:szCs w:val="22"/>
              </w:rPr>
              <w:t>a wprowadziła też</w:t>
            </w:r>
            <w:r w:rsidR="00DA13CA" w:rsidRPr="00154E08">
              <w:rPr>
                <w:rFonts w:eastAsia="Calibri" w:cs="Times New Roman"/>
                <w:spacing w:val="-2"/>
                <w:sz w:val="22"/>
                <w:szCs w:val="22"/>
              </w:rPr>
              <w:t xml:space="preserve"> </w:t>
            </w:r>
            <w:r w:rsidR="007737BE" w:rsidRPr="00154E08">
              <w:rPr>
                <w:rFonts w:eastAsia="Calibri" w:cs="Times New Roman"/>
                <w:spacing w:val="-2"/>
                <w:sz w:val="22"/>
                <w:szCs w:val="22"/>
              </w:rPr>
              <w:t>zmian</w:t>
            </w:r>
            <w:r w:rsidR="00AC1B44" w:rsidRPr="00154E08">
              <w:rPr>
                <w:rFonts w:eastAsia="Calibri" w:cs="Times New Roman"/>
                <w:spacing w:val="-2"/>
                <w:sz w:val="22"/>
                <w:szCs w:val="22"/>
              </w:rPr>
              <w:t>y</w:t>
            </w:r>
            <w:r w:rsidR="007737BE" w:rsidRPr="00154E08">
              <w:rPr>
                <w:rFonts w:eastAsia="Calibri" w:cs="Times New Roman"/>
                <w:spacing w:val="-2"/>
                <w:sz w:val="22"/>
                <w:szCs w:val="22"/>
              </w:rPr>
              <w:t xml:space="preserve"> w</w:t>
            </w:r>
            <w:r w:rsidR="00AC1B44" w:rsidRPr="00154E08">
              <w:rPr>
                <w:rFonts w:eastAsia="Calibri" w:cs="Times New Roman"/>
                <w:spacing w:val="-2"/>
                <w:sz w:val="22"/>
                <w:szCs w:val="22"/>
              </w:rPr>
              <w:t> </w:t>
            </w:r>
            <w:r w:rsidR="007737BE" w:rsidRPr="00154E08">
              <w:rPr>
                <w:rFonts w:eastAsia="Calibri" w:cs="Times New Roman"/>
                <w:spacing w:val="-2"/>
                <w:sz w:val="22"/>
                <w:szCs w:val="22"/>
              </w:rPr>
              <w:t>załączniku IX, wskazującym</w:t>
            </w:r>
            <w:r w:rsidR="00684A87" w:rsidRPr="00154E08">
              <w:rPr>
                <w:rFonts w:eastAsia="Calibri" w:cs="Times New Roman"/>
                <w:spacing w:val="-2"/>
                <w:sz w:val="22"/>
                <w:szCs w:val="22"/>
              </w:rPr>
              <w:t xml:space="preserve"> </w:t>
            </w:r>
            <w:r w:rsidR="007737BE" w:rsidRPr="00154E08">
              <w:rPr>
                <w:rFonts w:eastAsia="Calibri" w:cs="Times New Roman"/>
                <w:spacing w:val="-2"/>
                <w:sz w:val="22"/>
                <w:szCs w:val="22"/>
              </w:rPr>
              <w:t xml:space="preserve">surowce zaawansowane uprawniające do podwójnego rozliczenia </w:t>
            </w:r>
            <w:r w:rsidR="00250EF6" w:rsidRPr="00154E08">
              <w:rPr>
                <w:rFonts w:eastAsia="Calibri" w:cs="Times New Roman"/>
                <w:spacing w:val="-2"/>
                <w:sz w:val="22"/>
                <w:szCs w:val="22"/>
              </w:rPr>
              <w:t xml:space="preserve">celu </w:t>
            </w:r>
            <w:r w:rsidR="00A255BB" w:rsidRPr="00154E08">
              <w:rPr>
                <w:rFonts w:eastAsia="Calibri" w:cs="Times New Roman"/>
                <w:spacing w:val="-2"/>
                <w:sz w:val="22"/>
                <w:szCs w:val="22"/>
              </w:rPr>
              <w:t xml:space="preserve">w transporcie </w:t>
            </w:r>
            <w:r w:rsidR="00EE38DB" w:rsidRPr="00154E08">
              <w:rPr>
                <w:rFonts w:eastAsia="Calibri" w:cs="Times New Roman"/>
                <w:spacing w:val="-2"/>
                <w:sz w:val="22"/>
                <w:szCs w:val="22"/>
              </w:rPr>
              <w:t xml:space="preserve">i </w:t>
            </w:r>
            <w:r w:rsidR="007737BE" w:rsidRPr="00154E08">
              <w:rPr>
                <w:rFonts w:eastAsia="Calibri" w:cs="Times New Roman"/>
                <w:spacing w:val="-2"/>
                <w:sz w:val="22"/>
                <w:szCs w:val="22"/>
              </w:rPr>
              <w:t>wartości energetyczne wyprodukowanych z nich biopaliw i biokomponentów.</w:t>
            </w:r>
          </w:p>
          <w:p w14:paraId="6DFD0440" w14:textId="6009BA64" w:rsidR="00F44C8C" w:rsidRPr="00154E08" w:rsidRDefault="00F44C8C" w:rsidP="00B279FD">
            <w:pPr>
              <w:shd w:val="clear" w:color="auto" w:fill="FFFFFF" w:themeFill="background1"/>
              <w:spacing w:after="120" w:line="240" w:lineRule="auto"/>
              <w:jc w:val="both"/>
              <w:rPr>
                <w:rFonts w:eastAsia="Calibri" w:cs="Times New Roman"/>
                <w:spacing w:val="-2"/>
                <w:sz w:val="22"/>
                <w:szCs w:val="22"/>
              </w:rPr>
            </w:pPr>
            <w:r w:rsidRPr="00154E08">
              <w:rPr>
                <w:rFonts w:eastAsia="Calibri" w:cs="Times New Roman"/>
                <w:spacing w:val="-2"/>
                <w:sz w:val="22"/>
                <w:szCs w:val="22"/>
              </w:rPr>
              <w:t xml:space="preserve">Działania </w:t>
            </w:r>
            <w:r w:rsidR="00FD72F0" w:rsidRPr="00154E08">
              <w:rPr>
                <w:rFonts w:eastAsia="Calibri" w:cs="Times New Roman"/>
                <w:spacing w:val="-2"/>
                <w:sz w:val="22"/>
                <w:szCs w:val="22"/>
              </w:rPr>
              <w:t xml:space="preserve">ujęte </w:t>
            </w:r>
            <w:r w:rsidRPr="00154E08">
              <w:rPr>
                <w:rFonts w:eastAsia="Calibri" w:cs="Times New Roman"/>
                <w:spacing w:val="-2"/>
                <w:sz w:val="22"/>
                <w:szCs w:val="22"/>
              </w:rPr>
              <w:t>w ramach</w:t>
            </w:r>
            <w:r w:rsidRPr="00154E08">
              <w:rPr>
                <w:rFonts w:eastAsia="Calibri" w:cs="Times New Roman"/>
                <w:i/>
                <w:iCs/>
                <w:spacing w:val="-2"/>
                <w:sz w:val="22"/>
                <w:szCs w:val="22"/>
              </w:rPr>
              <w:t xml:space="preserve"> </w:t>
            </w:r>
            <w:r w:rsidR="00076F86" w:rsidRPr="00154E08">
              <w:rPr>
                <w:rFonts w:eastAsia="Calibri" w:cs="Times New Roman"/>
                <w:spacing w:val="-2"/>
                <w:sz w:val="22"/>
                <w:szCs w:val="22"/>
              </w:rPr>
              <w:t xml:space="preserve">dyrektywy </w:t>
            </w:r>
            <w:r w:rsidRPr="00154E08">
              <w:rPr>
                <w:rFonts w:eastAsia="Calibri" w:cs="Times New Roman"/>
                <w:spacing w:val="-2"/>
                <w:sz w:val="22"/>
                <w:szCs w:val="22"/>
              </w:rPr>
              <w:t>RED</w:t>
            </w:r>
            <w:r w:rsidR="00F1557B" w:rsidRPr="00154E08">
              <w:rPr>
                <w:rFonts w:eastAsia="Calibri" w:cs="Times New Roman"/>
                <w:spacing w:val="-2"/>
                <w:sz w:val="22"/>
                <w:szCs w:val="22"/>
              </w:rPr>
              <w:t xml:space="preserve"> </w:t>
            </w:r>
            <w:r w:rsidRPr="00154E08">
              <w:rPr>
                <w:rFonts w:eastAsia="Calibri" w:cs="Times New Roman"/>
                <w:spacing w:val="-2"/>
                <w:sz w:val="22"/>
                <w:szCs w:val="22"/>
              </w:rPr>
              <w:t xml:space="preserve">II </w:t>
            </w:r>
            <w:r w:rsidR="00900BF3" w:rsidRPr="00154E08">
              <w:rPr>
                <w:rFonts w:eastAsia="Calibri" w:cs="Times New Roman"/>
                <w:spacing w:val="-2"/>
                <w:sz w:val="22"/>
                <w:szCs w:val="22"/>
              </w:rPr>
              <w:t xml:space="preserve">są </w:t>
            </w:r>
            <w:r w:rsidRPr="00154E08">
              <w:rPr>
                <w:rFonts w:eastAsia="Calibri" w:cs="Times New Roman"/>
                <w:spacing w:val="-2"/>
                <w:sz w:val="22"/>
                <w:szCs w:val="22"/>
              </w:rPr>
              <w:t>wpisane jako kolejny etap realizacji długoterminowej</w:t>
            </w:r>
            <w:r w:rsidR="00462CBA" w:rsidRPr="00154E08">
              <w:rPr>
                <w:rFonts w:eastAsia="Calibri" w:cs="Times New Roman"/>
                <w:spacing w:val="-2"/>
                <w:sz w:val="22"/>
                <w:szCs w:val="22"/>
              </w:rPr>
              <w:t>, określonej do 2050</w:t>
            </w:r>
            <w:r w:rsidR="00462CBA" w:rsidRPr="00154E08">
              <w:rPr>
                <w:rFonts w:cs="Times New Roman"/>
                <w:sz w:val="22"/>
                <w:szCs w:val="22"/>
              </w:rPr>
              <w:t xml:space="preserve"> r., </w:t>
            </w:r>
            <w:r w:rsidR="00F50B9B" w:rsidRPr="00154E08">
              <w:rPr>
                <w:rFonts w:eastAsia="Calibri" w:cs="Times New Roman"/>
                <w:spacing w:val="-2"/>
                <w:sz w:val="22"/>
                <w:szCs w:val="22"/>
              </w:rPr>
              <w:t xml:space="preserve">nadrzędnej </w:t>
            </w:r>
            <w:r w:rsidRPr="00154E08">
              <w:rPr>
                <w:rFonts w:eastAsia="Calibri" w:cs="Times New Roman"/>
                <w:spacing w:val="-2"/>
                <w:sz w:val="22"/>
                <w:szCs w:val="22"/>
              </w:rPr>
              <w:t>strategii</w:t>
            </w:r>
            <w:r w:rsidR="00EC5F18" w:rsidRPr="00154E08">
              <w:rPr>
                <w:rFonts w:eastAsia="Calibri" w:cs="Times New Roman"/>
                <w:spacing w:val="-2"/>
                <w:sz w:val="22"/>
                <w:szCs w:val="22"/>
              </w:rPr>
              <w:t xml:space="preserve"> </w:t>
            </w:r>
            <w:r w:rsidR="005D59FF" w:rsidRPr="00154E08">
              <w:rPr>
                <w:rFonts w:eastAsia="Calibri" w:cs="Times New Roman"/>
                <w:spacing w:val="-2"/>
                <w:sz w:val="22"/>
                <w:szCs w:val="22"/>
              </w:rPr>
              <w:t>„Fit for 55”</w:t>
            </w:r>
            <w:r w:rsidR="00CA25EF" w:rsidRPr="00154E08">
              <w:rPr>
                <w:rFonts w:eastAsia="Calibri" w:cs="Times New Roman"/>
                <w:spacing w:val="-2"/>
                <w:sz w:val="22"/>
                <w:szCs w:val="22"/>
              </w:rPr>
              <w:t xml:space="preserve"> </w:t>
            </w:r>
            <w:r w:rsidRPr="00154E08">
              <w:rPr>
                <w:rFonts w:eastAsia="Calibri" w:cs="Times New Roman"/>
                <w:spacing w:val="-2"/>
                <w:sz w:val="22"/>
                <w:szCs w:val="22"/>
              </w:rPr>
              <w:t>Europy neutralnej dla środowiska i klimatu</w:t>
            </w:r>
            <w:r w:rsidR="00462CBA" w:rsidRPr="00154E08">
              <w:rPr>
                <w:rFonts w:eastAsia="Calibri" w:cs="Times New Roman"/>
                <w:spacing w:val="-2"/>
                <w:sz w:val="22"/>
                <w:szCs w:val="22"/>
              </w:rPr>
              <w:t>.</w:t>
            </w:r>
            <w:r w:rsidR="00250EF6" w:rsidRPr="00154E08">
              <w:rPr>
                <w:rFonts w:eastAsia="Calibri" w:cs="Times New Roman"/>
                <w:spacing w:val="-2"/>
                <w:sz w:val="22"/>
                <w:szCs w:val="22"/>
              </w:rPr>
              <w:t xml:space="preserve"> </w:t>
            </w:r>
          </w:p>
          <w:p w14:paraId="29109BC2" w14:textId="704072E1" w:rsidR="00B775D6" w:rsidRPr="00154E08" w:rsidRDefault="00694CCC" w:rsidP="00B279FD">
            <w:pPr>
              <w:shd w:val="clear" w:color="auto" w:fill="FFFFFF" w:themeFill="background1"/>
              <w:spacing w:after="120" w:line="240" w:lineRule="auto"/>
              <w:jc w:val="both"/>
              <w:rPr>
                <w:rFonts w:cs="Times New Roman"/>
                <w:sz w:val="22"/>
                <w:szCs w:val="22"/>
              </w:rPr>
            </w:pPr>
            <w:r w:rsidRPr="00154E08">
              <w:rPr>
                <w:rFonts w:eastAsia="Calibri" w:cs="Times New Roman"/>
                <w:spacing w:val="-2"/>
                <w:sz w:val="22"/>
                <w:szCs w:val="22"/>
              </w:rPr>
              <w:t xml:space="preserve">Realizacja </w:t>
            </w:r>
            <w:r w:rsidR="000145BE" w:rsidRPr="00154E08">
              <w:rPr>
                <w:rFonts w:eastAsia="Calibri" w:cs="Times New Roman"/>
                <w:spacing w:val="-2"/>
                <w:sz w:val="22"/>
                <w:szCs w:val="22"/>
              </w:rPr>
              <w:t xml:space="preserve">celów </w:t>
            </w:r>
            <w:r w:rsidR="00F216D7" w:rsidRPr="00154E08">
              <w:rPr>
                <w:rFonts w:eastAsia="Calibri" w:cs="Times New Roman"/>
                <w:spacing w:val="-2"/>
                <w:sz w:val="22"/>
                <w:szCs w:val="22"/>
              </w:rPr>
              <w:t>z</w:t>
            </w:r>
            <w:r w:rsidR="000145BE" w:rsidRPr="00154E08">
              <w:rPr>
                <w:rFonts w:eastAsia="Calibri" w:cs="Times New Roman"/>
                <w:spacing w:val="-2"/>
                <w:sz w:val="22"/>
                <w:szCs w:val="22"/>
              </w:rPr>
              <w:t xml:space="preserve"> dyrektyw</w:t>
            </w:r>
            <w:r w:rsidR="00F216D7" w:rsidRPr="00154E08">
              <w:rPr>
                <w:rFonts w:eastAsia="Calibri" w:cs="Times New Roman"/>
                <w:spacing w:val="-2"/>
                <w:sz w:val="22"/>
                <w:szCs w:val="22"/>
              </w:rPr>
              <w:t>y</w:t>
            </w:r>
            <w:r w:rsidR="000145BE" w:rsidRPr="00154E08">
              <w:rPr>
                <w:rFonts w:eastAsia="Calibri" w:cs="Times New Roman"/>
                <w:spacing w:val="-2"/>
                <w:sz w:val="22"/>
                <w:szCs w:val="22"/>
              </w:rPr>
              <w:t xml:space="preserve"> </w:t>
            </w:r>
            <w:r w:rsidR="00462CBA" w:rsidRPr="00154E08">
              <w:rPr>
                <w:rFonts w:eastAsia="Calibri" w:cs="Times New Roman"/>
                <w:spacing w:val="-2"/>
                <w:sz w:val="22"/>
                <w:szCs w:val="22"/>
              </w:rPr>
              <w:t>RED</w:t>
            </w:r>
            <w:r w:rsidR="00F1557B" w:rsidRPr="00154E08">
              <w:rPr>
                <w:rFonts w:eastAsia="Calibri" w:cs="Times New Roman"/>
                <w:spacing w:val="-2"/>
                <w:sz w:val="22"/>
                <w:szCs w:val="22"/>
              </w:rPr>
              <w:t xml:space="preserve"> </w:t>
            </w:r>
            <w:r w:rsidR="00462CBA" w:rsidRPr="00154E08">
              <w:rPr>
                <w:rFonts w:eastAsia="Calibri" w:cs="Times New Roman"/>
                <w:spacing w:val="-2"/>
                <w:sz w:val="22"/>
                <w:szCs w:val="22"/>
              </w:rPr>
              <w:t xml:space="preserve">II </w:t>
            </w:r>
            <w:r w:rsidR="000145BE" w:rsidRPr="00154E08">
              <w:rPr>
                <w:rFonts w:eastAsia="Calibri" w:cs="Times New Roman"/>
                <w:spacing w:val="-2"/>
                <w:sz w:val="22"/>
                <w:szCs w:val="22"/>
              </w:rPr>
              <w:t xml:space="preserve">wymaga przebudowy </w:t>
            </w:r>
            <w:r w:rsidR="005A183A" w:rsidRPr="00154E08">
              <w:rPr>
                <w:rFonts w:eastAsia="Calibri" w:cs="Times New Roman"/>
                <w:spacing w:val="-2"/>
                <w:sz w:val="22"/>
                <w:szCs w:val="22"/>
              </w:rPr>
              <w:t xml:space="preserve">rynku </w:t>
            </w:r>
            <w:r w:rsidR="000145BE" w:rsidRPr="00154E08">
              <w:rPr>
                <w:rFonts w:eastAsia="Calibri" w:cs="Times New Roman"/>
                <w:spacing w:val="-2"/>
                <w:sz w:val="22"/>
                <w:szCs w:val="22"/>
              </w:rPr>
              <w:t xml:space="preserve">paliw </w:t>
            </w:r>
            <w:r w:rsidR="003F7D96" w:rsidRPr="00154E08">
              <w:rPr>
                <w:rFonts w:eastAsia="Calibri" w:cs="Times New Roman"/>
                <w:spacing w:val="-2"/>
                <w:sz w:val="22"/>
                <w:szCs w:val="22"/>
              </w:rPr>
              <w:t>wykorzystywanych w</w:t>
            </w:r>
            <w:r w:rsidR="006259CB" w:rsidRPr="00154E08">
              <w:rPr>
                <w:rFonts w:eastAsia="Calibri" w:cs="Times New Roman"/>
                <w:spacing w:val="-2"/>
                <w:sz w:val="22"/>
                <w:szCs w:val="22"/>
              </w:rPr>
              <w:t> </w:t>
            </w:r>
            <w:r w:rsidR="003F7D96" w:rsidRPr="00154E08">
              <w:rPr>
                <w:rFonts w:eastAsia="Calibri" w:cs="Times New Roman"/>
                <w:spacing w:val="-2"/>
                <w:sz w:val="22"/>
                <w:szCs w:val="22"/>
              </w:rPr>
              <w:t>sektorze transportu</w:t>
            </w:r>
            <w:r w:rsidR="00B53B99" w:rsidRPr="00154E08">
              <w:rPr>
                <w:rFonts w:eastAsia="Calibri" w:cs="Times New Roman"/>
                <w:spacing w:val="-2"/>
                <w:sz w:val="22"/>
                <w:szCs w:val="22"/>
              </w:rPr>
              <w:t>, co wymaga</w:t>
            </w:r>
            <w:r w:rsidR="00250EF6" w:rsidRPr="00154E08">
              <w:rPr>
                <w:rFonts w:eastAsia="Calibri" w:cs="Times New Roman"/>
                <w:spacing w:val="-2"/>
                <w:sz w:val="22"/>
                <w:szCs w:val="22"/>
              </w:rPr>
              <w:t xml:space="preserve"> </w:t>
            </w:r>
            <w:r w:rsidR="00B53B99" w:rsidRPr="00154E08">
              <w:rPr>
                <w:rFonts w:eastAsia="Calibri" w:cs="Times New Roman"/>
                <w:spacing w:val="-2"/>
                <w:sz w:val="22"/>
                <w:szCs w:val="22"/>
              </w:rPr>
              <w:t>aktywnej polityki państwa</w:t>
            </w:r>
            <w:r w:rsidR="00B55C8B" w:rsidRPr="00154E08">
              <w:rPr>
                <w:rFonts w:eastAsia="Calibri" w:cs="Times New Roman"/>
                <w:spacing w:val="-2"/>
                <w:sz w:val="22"/>
                <w:szCs w:val="22"/>
              </w:rPr>
              <w:t xml:space="preserve"> w zakresie regulacji oraz systemów wsparcia</w:t>
            </w:r>
            <w:r w:rsidR="000145BE" w:rsidRPr="00154E08">
              <w:rPr>
                <w:rFonts w:eastAsia="Calibri" w:cs="Times New Roman"/>
                <w:spacing w:val="-2"/>
                <w:sz w:val="22"/>
                <w:szCs w:val="22"/>
              </w:rPr>
              <w:t>.</w:t>
            </w:r>
            <w:r w:rsidR="00BB53A0" w:rsidRPr="00154E08">
              <w:rPr>
                <w:rFonts w:eastAsia="Calibri" w:cs="Times New Roman"/>
                <w:spacing w:val="-2"/>
                <w:sz w:val="22"/>
                <w:szCs w:val="22"/>
              </w:rPr>
              <w:t xml:space="preserve"> </w:t>
            </w:r>
            <w:r w:rsidR="004838CB" w:rsidRPr="00154E08">
              <w:rPr>
                <w:rFonts w:cs="Times New Roman"/>
                <w:sz w:val="22"/>
                <w:szCs w:val="22"/>
              </w:rPr>
              <w:t>F</w:t>
            </w:r>
            <w:r w:rsidR="006454B9" w:rsidRPr="00154E08">
              <w:rPr>
                <w:rFonts w:cs="Times New Roman"/>
                <w:sz w:val="22"/>
                <w:szCs w:val="22"/>
              </w:rPr>
              <w:t>lot</w:t>
            </w:r>
            <w:r w:rsidR="00F70066" w:rsidRPr="00154E08">
              <w:rPr>
                <w:rFonts w:cs="Times New Roman"/>
                <w:sz w:val="22"/>
                <w:szCs w:val="22"/>
              </w:rPr>
              <w:t>ę</w:t>
            </w:r>
            <w:r w:rsidR="006454B9" w:rsidRPr="00154E08">
              <w:rPr>
                <w:rFonts w:cs="Times New Roman"/>
                <w:sz w:val="22"/>
                <w:szCs w:val="22"/>
              </w:rPr>
              <w:t xml:space="preserve"> </w:t>
            </w:r>
            <w:r w:rsidR="004838CB" w:rsidRPr="00154E08">
              <w:rPr>
                <w:rFonts w:cs="Times New Roman"/>
                <w:sz w:val="22"/>
                <w:szCs w:val="22"/>
              </w:rPr>
              <w:t xml:space="preserve">krajowych </w:t>
            </w:r>
            <w:r w:rsidR="006454B9" w:rsidRPr="00154E08">
              <w:rPr>
                <w:rFonts w:cs="Times New Roman"/>
                <w:sz w:val="22"/>
                <w:szCs w:val="22"/>
              </w:rPr>
              <w:t xml:space="preserve">pojazdów </w:t>
            </w:r>
            <w:r w:rsidR="00F70066" w:rsidRPr="00154E08">
              <w:rPr>
                <w:rFonts w:cs="Times New Roman"/>
                <w:sz w:val="22"/>
                <w:szCs w:val="22"/>
              </w:rPr>
              <w:t xml:space="preserve">stanowią zasadniczo </w:t>
            </w:r>
            <w:r w:rsidR="005823B4" w:rsidRPr="00154E08">
              <w:rPr>
                <w:rFonts w:cs="Times New Roman"/>
                <w:sz w:val="22"/>
                <w:szCs w:val="22"/>
              </w:rPr>
              <w:t>s</w:t>
            </w:r>
            <w:r w:rsidR="006454B9" w:rsidRPr="00154E08">
              <w:rPr>
                <w:rFonts w:cs="Times New Roman"/>
                <w:sz w:val="22"/>
                <w:szCs w:val="22"/>
              </w:rPr>
              <w:t>amochody z napędem</w:t>
            </w:r>
            <w:r w:rsidR="00E66B65" w:rsidRPr="00154E08">
              <w:rPr>
                <w:rFonts w:cs="Times New Roman"/>
                <w:sz w:val="22"/>
                <w:szCs w:val="22"/>
              </w:rPr>
              <w:t xml:space="preserve"> spalinowym</w:t>
            </w:r>
            <w:r w:rsidR="006454B9" w:rsidRPr="00154E08">
              <w:rPr>
                <w:rFonts w:cs="Times New Roman"/>
                <w:sz w:val="22"/>
                <w:szCs w:val="22"/>
              </w:rPr>
              <w:t xml:space="preserve">. </w:t>
            </w:r>
            <w:r w:rsidR="00C4421E" w:rsidRPr="00154E08">
              <w:rPr>
                <w:rFonts w:cs="Times New Roman"/>
                <w:sz w:val="22"/>
                <w:szCs w:val="22"/>
              </w:rPr>
              <w:t>W końcu 2022 r. liczba zarejestrowanych samochodów wyniosła 26,5 mln i była większa o +2,3% niż rok wcześniej</w:t>
            </w:r>
            <w:r w:rsidR="007A0C8E" w:rsidRPr="00154E08">
              <w:rPr>
                <w:rFonts w:cs="Times New Roman"/>
                <w:sz w:val="22"/>
                <w:szCs w:val="22"/>
              </w:rPr>
              <w:t xml:space="preserve">. </w:t>
            </w:r>
            <w:r w:rsidR="0051021A" w:rsidRPr="00154E08">
              <w:rPr>
                <w:rFonts w:cs="Times New Roman"/>
                <w:sz w:val="22"/>
                <w:szCs w:val="22"/>
              </w:rPr>
              <w:t>N</w:t>
            </w:r>
            <w:r w:rsidR="009E43B8" w:rsidRPr="00154E08">
              <w:rPr>
                <w:rFonts w:cs="Times New Roman"/>
                <w:sz w:val="22"/>
                <w:szCs w:val="22"/>
              </w:rPr>
              <w:t>a</w:t>
            </w:r>
            <w:r w:rsidR="0051021A" w:rsidRPr="00154E08">
              <w:rPr>
                <w:rFonts w:cs="Times New Roman"/>
                <w:sz w:val="22"/>
                <w:szCs w:val="22"/>
              </w:rPr>
              <w:t> </w:t>
            </w:r>
            <w:r w:rsidR="009E43B8" w:rsidRPr="00154E08">
              <w:rPr>
                <w:rFonts w:cs="Times New Roman"/>
                <w:sz w:val="22"/>
                <w:szCs w:val="22"/>
              </w:rPr>
              <w:t xml:space="preserve">1 000 mieszkańców przypadało </w:t>
            </w:r>
            <w:r w:rsidR="0051021A" w:rsidRPr="00154E08">
              <w:rPr>
                <w:rFonts w:cs="Times New Roman"/>
                <w:sz w:val="22"/>
                <w:szCs w:val="22"/>
              </w:rPr>
              <w:t xml:space="preserve">701 </w:t>
            </w:r>
            <w:r w:rsidR="009E43B8" w:rsidRPr="00154E08">
              <w:rPr>
                <w:rFonts w:cs="Times New Roman"/>
                <w:color w:val="000000" w:themeColor="text1"/>
                <w:sz w:val="22"/>
                <w:szCs w:val="22"/>
              </w:rPr>
              <w:t>samochodów (</w:t>
            </w:r>
            <w:r w:rsidR="009E43B8" w:rsidRPr="00154E08">
              <w:rPr>
                <w:rFonts w:cs="Times New Roman"/>
                <w:iCs/>
                <w:color w:val="000000" w:themeColor="text1"/>
                <w:sz w:val="22"/>
                <w:szCs w:val="22"/>
              </w:rPr>
              <w:t xml:space="preserve">w </w:t>
            </w:r>
            <w:r w:rsidR="0051021A" w:rsidRPr="00154E08">
              <w:rPr>
                <w:rFonts w:cs="Times New Roman"/>
                <w:iCs/>
                <w:color w:val="000000" w:themeColor="text1"/>
                <w:sz w:val="22"/>
                <w:szCs w:val="22"/>
              </w:rPr>
              <w:t xml:space="preserve">2021 </w:t>
            </w:r>
            <w:r w:rsidR="009E43B8" w:rsidRPr="00154E08">
              <w:rPr>
                <w:rFonts w:cs="Times New Roman"/>
                <w:iCs/>
                <w:color w:val="000000" w:themeColor="text1"/>
                <w:sz w:val="22"/>
                <w:szCs w:val="22"/>
              </w:rPr>
              <w:t xml:space="preserve">r. </w:t>
            </w:r>
            <w:r w:rsidR="00900BF3" w:rsidRPr="00154E08">
              <w:rPr>
                <w:rFonts w:cs="Times New Roman"/>
                <w:iCs/>
                <w:color w:val="000000" w:themeColor="text1"/>
                <w:sz w:val="22"/>
                <w:szCs w:val="22"/>
              </w:rPr>
              <w:t xml:space="preserve">– </w:t>
            </w:r>
            <w:r w:rsidR="00133F6C" w:rsidRPr="00154E08">
              <w:rPr>
                <w:rFonts w:cs="Times New Roman"/>
                <w:iCs/>
                <w:color w:val="000000" w:themeColor="text1"/>
                <w:sz w:val="22"/>
                <w:szCs w:val="22"/>
              </w:rPr>
              <w:t>6</w:t>
            </w:r>
            <w:r w:rsidR="00730ABC" w:rsidRPr="00154E08">
              <w:rPr>
                <w:rFonts w:cs="Times New Roman"/>
                <w:iCs/>
                <w:color w:val="000000" w:themeColor="text1"/>
                <w:sz w:val="22"/>
                <w:szCs w:val="22"/>
              </w:rPr>
              <w:t>8</w:t>
            </w:r>
            <w:r w:rsidR="00133F6C" w:rsidRPr="00154E08">
              <w:rPr>
                <w:rFonts w:cs="Times New Roman"/>
                <w:iCs/>
                <w:color w:val="000000" w:themeColor="text1"/>
                <w:sz w:val="22"/>
                <w:szCs w:val="22"/>
              </w:rPr>
              <w:t>2</w:t>
            </w:r>
            <w:r w:rsidR="009E43B8" w:rsidRPr="00154E08">
              <w:rPr>
                <w:rFonts w:cs="Times New Roman"/>
                <w:color w:val="000000" w:themeColor="text1"/>
                <w:sz w:val="22"/>
                <w:szCs w:val="22"/>
              </w:rPr>
              <w:t>)</w:t>
            </w:r>
            <w:r w:rsidR="00730ABC" w:rsidRPr="00154E08">
              <w:rPr>
                <w:rFonts w:cs="Times New Roman"/>
                <w:color w:val="000000" w:themeColor="text1"/>
                <w:sz w:val="22"/>
                <w:szCs w:val="22"/>
              </w:rPr>
              <w:t xml:space="preserve">. </w:t>
            </w:r>
            <w:r w:rsidR="00C8347D" w:rsidRPr="00154E08">
              <w:rPr>
                <w:rFonts w:cs="Times New Roman"/>
                <w:sz w:val="22"/>
                <w:szCs w:val="22"/>
              </w:rPr>
              <w:t>S</w:t>
            </w:r>
            <w:r w:rsidR="00932401" w:rsidRPr="00154E08">
              <w:rPr>
                <w:rFonts w:cs="Times New Roman"/>
                <w:sz w:val="22"/>
                <w:szCs w:val="22"/>
              </w:rPr>
              <w:t xml:space="preserve">truktura </w:t>
            </w:r>
            <w:r w:rsidR="00C8347D" w:rsidRPr="00154E08">
              <w:rPr>
                <w:rFonts w:cs="Times New Roman"/>
                <w:sz w:val="22"/>
                <w:szCs w:val="22"/>
              </w:rPr>
              <w:t xml:space="preserve">krajowej </w:t>
            </w:r>
            <w:r w:rsidR="00932401" w:rsidRPr="00154E08">
              <w:rPr>
                <w:rFonts w:cs="Times New Roman"/>
                <w:sz w:val="22"/>
                <w:szCs w:val="22"/>
              </w:rPr>
              <w:t>floty ogranicz</w:t>
            </w:r>
            <w:r w:rsidR="00833B83" w:rsidRPr="00154E08">
              <w:rPr>
                <w:rFonts w:cs="Times New Roman"/>
                <w:sz w:val="22"/>
                <w:szCs w:val="22"/>
              </w:rPr>
              <w:t>a</w:t>
            </w:r>
            <w:r w:rsidR="00932401" w:rsidRPr="00154E08">
              <w:rPr>
                <w:rFonts w:cs="Times New Roman"/>
                <w:sz w:val="22"/>
                <w:szCs w:val="22"/>
              </w:rPr>
              <w:t xml:space="preserve"> możliwości </w:t>
            </w:r>
            <w:r w:rsidR="001A3B7A" w:rsidRPr="00154E08">
              <w:rPr>
                <w:rFonts w:cs="Times New Roman"/>
                <w:sz w:val="22"/>
                <w:szCs w:val="22"/>
              </w:rPr>
              <w:t xml:space="preserve">szybkiej </w:t>
            </w:r>
            <w:r w:rsidR="00932401" w:rsidRPr="00154E08">
              <w:rPr>
                <w:rFonts w:cs="Times New Roman"/>
                <w:sz w:val="22"/>
                <w:szCs w:val="22"/>
              </w:rPr>
              <w:t xml:space="preserve">realizacji ambitnych celów w zakresie dekarbonizacji sektora transportowego. </w:t>
            </w:r>
            <w:r w:rsidR="009E43B8" w:rsidRPr="00154E08">
              <w:rPr>
                <w:rFonts w:cs="Times New Roman"/>
                <w:sz w:val="22"/>
                <w:szCs w:val="22"/>
              </w:rPr>
              <w:t xml:space="preserve">Wielkość rynku pojazdów, niski poziom wymiany </w:t>
            </w:r>
            <w:r w:rsidR="00E12ED8" w:rsidRPr="00154E08">
              <w:rPr>
                <w:rFonts w:cs="Times New Roman"/>
                <w:sz w:val="22"/>
                <w:szCs w:val="22"/>
              </w:rPr>
              <w:t xml:space="preserve">floty </w:t>
            </w:r>
            <w:r w:rsidR="00F23E23" w:rsidRPr="00154E08">
              <w:rPr>
                <w:rFonts w:cs="Times New Roman"/>
                <w:sz w:val="22"/>
                <w:szCs w:val="22"/>
              </w:rPr>
              <w:t xml:space="preserve">oraz </w:t>
            </w:r>
            <w:r w:rsidR="009E43B8" w:rsidRPr="00154E08">
              <w:rPr>
                <w:rFonts w:cs="Times New Roman"/>
                <w:sz w:val="22"/>
                <w:szCs w:val="22"/>
              </w:rPr>
              <w:t>niewielki</w:t>
            </w:r>
            <w:r w:rsidR="00900BF3" w:rsidRPr="00154E08">
              <w:rPr>
                <w:rFonts w:cs="Times New Roman"/>
                <w:sz w:val="22"/>
                <w:szCs w:val="22"/>
              </w:rPr>
              <w:t xml:space="preserve"> </w:t>
            </w:r>
            <w:r w:rsidR="009E43B8" w:rsidRPr="00154E08">
              <w:rPr>
                <w:rFonts w:cs="Times New Roman"/>
                <w:sz w:val="22"/>
                <w:szCs w:val="22"/>
              </w:rPr>
              <w:t>udział aut elektrycznych – (</w:t>
            </w:r>
            <w:proofErr w:type="spellStart"/>
            <w:r w:rsidR="008F0D43" w:rsidRPr="00154E08">
              <w:rPr>
                <w:rFonts w:cs="Times New Roman"/>
                <w:sz w:val="22"/>
                <w:szCs w:val="22"/>
              </w:rPr>
              <w:t>B</w:t>
            </w:r>
            <w:r w:rsidR="00250EF6" w:rsidRPr="00154E08">
              <w:rPr>
                <w:rFonts w:cs="Times New Roman"/>
                <w:sz w:val="22"/>
                <w:szCs w:val="22"/>
              </w:rPr>
              <w:t>e</w:t>
            </w:r>
            <w:r w:rsidR="009E43B8" w:rsidRPr="00154E08">
              <w:rPr>
                <w:rFonts w:cs="Times New Roman"/>
                <w:sz w:val="22"/>
                <w:szCs w:val="22"/>
              </w:rPr>
              <w:t>V</w:t>
            </w:r>
            <w:proofErr w:type="spellEnd"/>
            <w:r w:rsidR="009E43B8" w:rsidRPr="00154E08">
              <w:rPr>
                <w:rFonts w:cs="Times New Roman"/>
                <w:sz w:val="22"/>
                <w:szCs w:val="22"/>
              </w:rPr>
              <w:t xml:space="preserve"> i </w:t>
            </w:r>
            <w:proofErr w:type="spellStart"/>
            <w:r w:rsidR="009E43B8" w:rsidRPr="00154E08">
              <w:rPr>
                <w:rFonts w:cs="Times New Roman"/>
                <w:sz w:val="22"/>
                <w:szCs w:val="22"/>
              </w:rPr>
              <w:t>PH</w:t>
            </w:r>
            <w:r w:rsidR="00250EF6" w:rsidRPr="00154E08">
              <w:rPr>
                <w:rFonts w:cs="Times New Roman"/>
                <w:sz w:val="22"/>
                <w:szCs w:val="22"/>
              </w:rPr>
              <w:t>e</w:t>
            </w:r>
            <w:r w:rsidR="009E43B8" w:rsidRPr="00154E08">
              <w:rPr>
                <w:rFonts w:cs="Times New Roman"/>
                <w:sz w:val="22"/>
                <w:szCs w:val="22"/>
              </w:rPr>
              <w:t>V</w:t>
            </w:r>
            <w:proofErr w:type="spellEnd"/>
            <w:r w:rsidR="009E43B8" w:rsidRPr="00154E08">
              <w:rPr>
                <w:rFonts w:cs="Times New Roman"/>
                <w:sz w:val="22"/>
                <w:szCs w:val="22"/>
              </w:rPr>
              <w:t>) determinuj</w:t>
            </w:r>
            <w:r w:rsidR="00932401" w:rsidRPr="00154E08">
              <w:rPr>
                <w:rFonts w:cs="Times New Roman"/>
                <w:sz w:val="22"/>
                <w:szCs w:val="22"/>
              </w:rPr>
              <w:t>ą</w:t>
            </w:r>
            <w:r w:rsidR="009E43B8" w:rsidRPr="00154E08">
              <w:rPr>
                <w:rFonts w:cs="Times New Roman"/>
                <w:sz w:val="22"/>
                <w:szCs w:val="22"/>
              </w:rPr>
              <w:t xml:space="preserve"> </w:t>
            </w:r>
            <w:r w:rsidR="00844BCE" w:rsidRPr="00154E08">
              <w:rPr>
                <w:rFonts w:cs="Times New Roman"/>
                <w:sz w:val="22"/>
                <w:szCs w:val="22"/>
              </w:rPr>
              <w:t xml:space="preserve">wciąż </w:t>
            </w:r>
            <w:r w:rsidR="009E43B8" w:rsidRPr="00154E08">
              <w:rPr>
                <w:rFonts w:cs="Times New Roman"/>
                <w:sz w:val="22"/>
                <w:szCs w:val="22"/>
              </w:rPr>
              <w:t xml:space="preserve">dużą konsumpcję paliw kopalnych i </w:t>
            </w:r>
            <w:r w:rsidR="00932401" w:rsidRPr="00154E08">
              <w:rPr>
                <w:rFonts w:cs="Times New Roman"/>
                <w:sz w:val="22"/>
                <w:szCs w:val="22"/>
              </w:rPr>
              <w:t>wysokie</w:t>
            </w:r>
            <w:r w:rsidR="009E43B8" w:rsidRPr="00154E08">
              <w:rPr>
                <w:rFonts w:cs="Times New Roman"/>
                <w:sz w:val="22"/>
                <w:szCs w:val="22"/>
              </w:rPr>
              <w:t xml:space="preserve"> miejsce w rankingu </w:t>
            </w:r>
            <w:r w:rsidR="005537DC" w:rsidRPr="00154E08">
              <w:rPr>
                <w:rFonts w:cs="Times New Roman"/>
                <w:sz w:val="22"/>
                <w:szCs w:val="22"/>
              </w:rPr>
              <w:t xml:space="preserve">ich </w:t>
            </w:r>
            <w:r w:rsidR="009E43B8" w:rsidRPr="00154E08">
              <w:rPr>
                <w:rFonts w:cs="Times New Roman"/>
                <w:sz w:val="22"/>
                <w:szCs w:val="22"/>
              </w:rPr>
              <w:t>zużycia wśród państw U</w:t>
            </w:r>
            <w:r w:rsidR="00076F86" w:rsidRPr="00154E08">
              <w:rPr>
                <w:rFonts w:cs="Times New Roman"/>
                <w:sz w:val="22"/>
                <w:szCs w:val="22"/>
              </w:rPr>
              <w:t xml:space="preserve">nii </w:t>
            </w:r>
            <w:r w:rsidR="009E43B8" w:rsidRPr="00154E08">
              <w:rPr>
                <w:rFonts w:cs="Times New Roman"/>
                <w:sz w:val="22"/>
                <w:szCs w:val="22"/>
              </w:rPr>
              <w:t>E</w:t>
            </w:r>
            <w:r w:rsidR="00076F86" w:rsidRPr="00154E08">
              <w:rPr>
                <w:rFonts w:cs="Times New Roman"/>
                <w:sz w:val="22"/>
                <w:szCs w:val="22"/>
              </w:rPr>
              <w:t>uropejskiej</w:t>
            </w:r>
            <w:r w:rsidR="009E43B8" w:rsidRPr="00154E08">
              <w:rPr>
                <w:rFonts w:cs="Times New Roman"/>
                <w:sz w:val="22"/>
                <w:szCs w:val="22"/>
              </w:rPr>
              <w:t xml:space="preserve">. Konsumpcja paliw </w:t>
            </w:r>
            <w:r w:rsidR="00EE38DB" w:rsidRPr="00154E08">
              <w:rPr>
                <w:rFonts w:cs="Times New Roman"/>
                <w:sz w:val="22"/>
                <w:szCs w:val="22"/>
              </w:rPr>
              <w:t xml:space="preserve">w Polsce </w:t>
            </w:r>
            <w:r w:rsidR="0086727F" w:rsidRPr="00154E08">
              <w:rPr>
                <w:rFonts w:cs="Times New Roman"/>
                <w:sz w:val="22"/>
                <w:szCs w:val="22"/>
              </w:rPr>
              <w:t>w 20</w:t>
            </w:r>
            <w:r w:rsidR="00932401" w:rsidRPr="00154E08">
              <w:rPr>
                <w:rFonts w:cs="Times New Roman"/>
                <w:sz w:val="22"/>
                <w:szCs w:val="22"/>
              </w:rPr>
              <w:t>2</w:t>
            </w:r>
            <w:r w:rsidR="00DD7A57" w:rsidRPr="00154E08">
              <w:rPr>
                <w:rFonts w:cs="Times New Roman"/>
                <w:sz w:val="22"/>
                <w:szCs w:val="22"/>
              </w:rPr>
              <w:t>3</w:t>
            </w:r>
            <w:r w:rsidR="0086727F" w:rsidRPr="00154E08">
              <w:rPr>
                <w:rFonts w:cs="Times New Roman"/>
                <w:sz w:val="22"/>
                <w:szCs w:val="22"/>
              </w:rPr>
              <w:t xml:space="preserve"> r. </w:t>
            </w:r>
            <w:r w:rsidR="009E43B8" w:rsidRPr="00154E08">
              <w:rPr>
                <w:rFonts w:cs="Times New Roman"/>
                <w:sz w:val="22"/>
                <w:szCs w:val="22"/>
              </w:rPr>
              <w:t xml:space="preserve">wyniosła ok. </w:t>
            </w:r>
            <w:r w:rsidR="0028556A" w:rsidRPr="00154E08">
              <w:rPr>
                <w:rFonts w:cs="Times New Roman"/>
                <w:sz w:val="22"/>
                <w:szCs w:val="22"/>
              </w:rPr>
              <w:t>5,</w:t>
            </w:r>
            <w:r w:rsidR="00DD7A57" w:rsidRPr="00154E08">
              <w:rPr>
                <w:rFonts w:cs="Times New Roman"/>
                <w:sz w:val="22"/>
                <w:szCs w:val="22"/>
              </w:rPr>
              <w:t xml:space="preserve">4 </w:t>
            </w:r>
            <w:r w:rsidR="009E43B8" w:rsidRPr="00154E08">
              <w:rPr>
                <w:rFonts w:cs="Times New Roman"/>
                <w:sz w:val="22"/>
                <w:szCs w:val="22"/>
              </w:rPr>
              <w:t xml:space="preserve">mln ton </w:t>
            </w:r>
            <w:r w:rsidR="009E43B8" w:rsidRPr="00154E08">
              <w:rPr>
                <w:rFonts w:cs="Times New Roman"/>
                <w:iCs/>
                <w:sz w:val="22"/>
                <w:szCs w:val="22"/>
              </w:rPr>
              <w:t>benzyn</w:t>
            </w:r>
            <w:r w:rsidR="00932401" w:rsidRPr="00154E08">
              <w:rPr>
                <w:rFonts w:cs="Times New Roman"/>
                <w:iCs/>
                <w:sz w:val="22"/>
                <w:szCs w:val="22"/>
              </w:rPr>
              <w:t xml:space="preserve"> silnikowych</w:t>
            </w:r>
            <w:r w:rsidR="009E43B8" w:rsidRPr="00154E08">
              <w:rPr>
                <w:rFonts w:cs="Times New Roman"/>
                <w:sz w:val="22"/>
                <w:szCs w:val="22"/>
              </w:rPr>
              <w:t xml:space="preserve"> i 1</w:t>
            </w:r>
            <w:r w:rsidR="005F6B8D" w:rsidRPr="00154E08">
              <w:rPr>
                <w:rFonts w:cs="Times New Roman"/>
                <w:sz w:val="22"/>
                <w:szCs w:val="22"/>
              </w:rPr>
              <w:t>9</w:t>
            </w:r>
            <w:r w:rsidR="009E43B8" w:rsidRPr="00154E08">
              <w:rPr>
                <w:rFonts w:cs="Times New Roman"/>
                <w:sz w:val="22"/>
                <w:szCs w:val="22"/>
              </w:rPr>
              <w:t>,</w:t>
            </w:r>
            <w:r w:rsidR="005F6B8D" w:rsidRPr="00154E08">
              <w:rPr>
                <w:rFonts w:cs="Times New Roman"/>
                <w:sz w:val="22"/>
                <w:szCs w:val="22"/>
              </w:rPr>
              <w:t xml:space="preserve">2 </w:t>
            </w:r>
            <w:r w:rsidR="009E43B8" w:rsidRPr="00154E08">
              <w:rPr>
                <w:rFonts w:cs="Times New Roman"/>
                <w:sz w:val="22"/>
                <w:szCs w:val="22"/>
              </w:rPr>
              <w:t xml:space="preserve">mln ton </w:t>
            </w:r>
            <w:r w:rsidR="001E1ACB" w:rsidRPr="00154E08">
              <w:rPr>
                <w:rFonts w:cs="Times New Roman"/>
                <w:iCs/>
                <w:sz w:val="22"/>
                <w:szCs w:val="22"/>
              </w:rPr>
              <w:t>oleju napędowego</w:t>
            </w:r>
            <w:r w:rsidR="009E43B8" w:rsidRPr="00154E08">
              <w:rPr>
                <w:rFonts w:cs="Times New Roman"/>
                <w:sz w:val="22"/>
                <w:szCs w:val="22"/>
              </w:rPr>
              <w:t xml:space="preserve"> </w:t>
            </w:r>
            <w:r w:rsidR="00684A87" w:rsidRPr="00154E08">
              <w:rPr>
                <w:rFonts w:cs="Times New Roman"/>
                <w:sz w:val="22"/>
                <w:szCs w:val="22"/>
              </w:rPr>
              <w:t>–</w:t>
            </w:r>
            <w:r w:rsidR="0086727F" w:rsidRPr="00154E08">
              <w:rPr>
                <w:rFonts w:cs="Times New Roman"/>
                <w:sz w:val="22"/>
                <w:szCs w:val="22"/>
              </w:rPr>
              <w:t xml:space="preserve"> produkowanych</w:t>
            </w:r>
            <w:r w:rsidR="009E43B8" w:rsidRPr="00154E08">
              <w:rPr>
                <w:rFonts w:cs="Times New Roman"/>
                <w:sz w:val="22"/>
                <w:szCs w:val="22"/>
              </w:rPr>
              <w:t xml:space="preserve"> z ropy naftowej</w:t>
            </w:r>
            <w:r w:rsidR="00BE0576" w:rsidRPr="00154E08">
              <w:rPr>
                <w:rFonts w:cs="Times New Roman"/>
                <w:sz w:val="22"/>
                <w:szCs w:val="22"/>
              </w:rPr>
              <w:t xml:space="preserve">. </w:t>
            </w:r>
          </w:p>
          <w:p w14:paraId="3F680E54" w14:textId="65D57961" w:rsidR="00B531CC" w:rsidRPr="00154E08" w:rsidRDefault="000F09A9" w:rsidP="00B279FD">
            <w:pPr>
              <w:shd w:val="clear" w:color="auto" w:fill="FFFFFF" w:themeFill="background1"/>
              <w:spacing w:after="120" w:line="240" w:lineRule="auto"/>
              <w:jc w:val="both"/>
              <w:rPr>
                <w:rFonts w:cs="Times New Roman"/>
                <w:color w:val="1F497D" w:themeColor="text2"/>
                <w:sz w:val="22"/>
                <w:szCs w:val="22"/>
              </w:rPr>
            </w:pPr>
            <w:r w:rsidRPr="00154E08">
              <w:rPr>
                <w:rFonts w:cs="Times New Roman"/>
                <w:sz w:val="22"/>
                <w:szCs w:val="22"/>
              </w:rPr>
              <w:t xml:space="preserve">Obniżenie emisyjności </w:t>
            </w:r>
            <w:r w:rsidR="0086727F" w:rsidRPr="00154E08">
              <w:rPr>
                <w:rFonts w:cs="Times New Roman"/>
                <w:sz w:val="22"/>
                <w:szCs w:val="22"/>
              </w:rPr>
              <w:t xml:space="preserve">paliw tradycyjnych </w:t>
            </w:r>
            <w:r w:rsidR="00900BF3" w:rsidRPr="00154E08">
              <w:rPr>
                <w:rFonts w:cs="Times New Roman"/>
                <w:sz w:val="22"/>
                <w:szCs w:val="22"/>
              </w:rPr>
              <w:t xml:space="preserve">jest </w:t>
            </w:r>
            <w:r w:rsidRPr="00154E08">
              <w:rPr>
                <w:rFonts w:cs="Times New Roman"/>
                <w:sz w:val="22"/>
                <w:szCs w:val="22"/>
              </w:rPr>
              <w:t xml:space="preserve">realizowane </w:t>
            </w:r>
            <w:r w:rsidR="00684A87" w:rsidRPr="00154E08">
              <w:rPr>
                <w:rFonts w:cs="Times New Roman"/>
                <w:sz w:val="22"/>
                <w:szCs w:val="22"/>
              </w:rPr>
              <w:t>przez</w:t>
            </w:r>
            <w:r w:rsidRPr="00154E08">
              <w:rPr>
                <w:rFonts w:cs="Times New Roman"/>
                <w:sz w:val="22"/>
                <w:szCs w:val="22"/>
              </w:rPr>
              <w:t xml:space="preserve"> </w:t>
            </w:r>
            <w:r w:rsidR="0086727F" w:rsidRPr="00154E08">
              <w:rPr>
                <w:rFonts w:cs="Times New Roman"/>
                <w:sz w:val="22"/>
                <w:szCs w:val="22"/>
              </w:rPr>
              <w:t>mieszanie (</w:t>
            </w:r>
            <w:proofErr w:type="spellStart"/>
            <w:r w:rsidRPr="00154E08">
              <w:rPr>
                <w:rFonts w:cs="Times New Roman"/>
                <w:sz w:val="22"/>
                <w:szCs w:val="22"/>
              </w:rPr>
              <w:t>blendowanie</w:t>
            </w:r>
            <w:proofErr w:type="spellEnd"/>
            <w:r w:rsidR="0086727F" w:rsidRPr="00154E08">
              <w:rPr>
                <w:rFonts w:cs="Times New Roman"/>
                <w:sz w:val="22"/>
                <w:szCs w:val="22"/>
              </w:rPr>
              <w:t>)</w:t>
            </w:r>
            <w:r w:rsidRPr="00154E08">
              <w:rPr>
                <w:rFonts w:cs="Times New Roman"/>
                <w:sz w:val="22"/>
                <w:szCs w:val="22"/>
              </w:rPr>
              <w:t xml:space="preserve"> paliw </w:t>
            </w:r>
            <w:r w:rsidR="00A375CD" w:rsidRPr="00154E08">
              <w:rPr>
                <w:rFonts w:cs="Times New Roman"/>
                <w:sz w:val="22"/>
                <w:szCs w:val="22"/>
              </w:rPr>
              <w:t>z</w:t>
            </w:r>
            <w:r w:rsidR="00953A87" w:rsidRPr="00154E08">
              <w:rPr>
                <w:rFonts w:cs="Times New Roman"/>
                <w:sz w:val="22"/>
                <w:szCs w:val="22"/>
              </w:rPr>
              <w:t> </w:t>
            </w:r>
            <w:r w:rsidR="00A375CD" w:rsidRPr="00154E08">
              <w:rPr>
                <w:rFonts w:cs="Times New Roman"/>
                <w:sz w:val="22"/>
                <w:szCs w:val="22"/>
              </w:rPr>
              <w:t>przerobu ropy</w:t>
            </w:r>
            <w:r w:rsidRPr="00154E08">
              <w:rPr>
                <w:rFonts w:cs="Times New Roman"/>
                <w:sz w:val="22"/>
                <w:szCs w:val="22"/>
              </w:rPr>
              <w:t xml:space="preserve"> z</w:t>
            </w:r>
            <w:r w:rsidR="00932401" w:rsidRPr="00154E08">
              <w:rPr>
                <w:rFonts w:cs="Times New Roman"/>
                <w:sz w:val="22"/>
                <w:szCs w:val="22"/>
              </w:rPr>
              <w:t> </w:t>
            </w:r>
            <w:r w:rsidRPr="00154E08">
              <w:rPr>
                <w:rFonts w:cs="Times New Roman"/>
                <w:sz w:val="22"/>
                <w:szCs w:val="22"/>
              </w:rPr>
              <w:t>biokomponentami</w:t>
            </w:r>
            <w:r w:rsidR="00AB447A" w:rsidRPr="00154E08">
              <w:rPr>
                <w:rFonts w:cs="Times New Roman"/>
                <w:sz w:val="22"/>
                <w:szCs w:val="22"/>
              </w:rPr>
              <w:t>. M</w:t>
            </w:r>
            <w:r w:rsidRPr="00154E08">
              <w:rPr>
                <w:rFonts w:cs="Times New Roman"/>
                <w:sz w:val="22"/>
                <w:szCs w:val="22"/>
              </w:rPr>
              <w:t>ożliwość dodawania biokomponentów ogranicz</w:t>
            </w:r>
            <w:r w:rsidR="006546CC" w:rsidRPr="00154E08">
              <w:rPr>
                <w:rFonts w:cs="Times New Roman"/>
                <w:sz w:val="22"/>
                <w:szCs w:val="22"/>
              </w:rPr>
              <w:t>ają</w:t>
            </w:r>
            <w:r w:rsidRPr="00154E08">
              <w:rPr>
                <w:rFonts w:cs="Times New Roman"/>
                <w:sz w:val="22"/>
                <w:szCs w:val="22"/>
              </w:rPr>
              <w:t xml:space="preserve"> </w:t>
            </w:r>
            <w:r w:rsidR="00D9463B" w:rsidRPr="00154E08">
              <w:rPr>
                <w:rFonts w:cs="Times New Roman"/>
                <w:sz w:val="22"/>
                <w:szCs w:val="22"/>
              </w:rPr>
              <w:t xml:space="preserve">m.in.: </w:t>
            </w:r>
            <w:r w:rsidRPr="00154E08">
              <w:rPr>
                <w:rFonts w:cs="Times New Roman"/>
                <w:sz w:val="22"/>
                <w:szCs w:val="22"/>
              </w:rPr>
              <w:t>nor</w:t>
            </w:r>
            <w:r w:rsidR="00816534" w:rsidRPr="00154E08">
              <w:rPr>
                <w:rFonts w:cs="Times New Roman"/>
                <w:sz w:val="22"/>
                <w:szCs w:val="22"/>
              </w:rPr>
              <w:t>m</w:t>
            </w:r>
            <w:r w:rsidR="006546CC" w:rsidRPr="00154E08">
              <w:rPr>
                <w:rFonts w:cs="Times New Roman"/>
                <w:sz w:val="22"/>
                <w:szCs w:val="22"/>
              </w:rPr>
              <w:t>y</w:t>
            </w:r>
            <w:r w:rsidR="00816534" w:rsidRPr="00154E08">
              <w:rPr>
                <w:rFonts w:cs="Times New Roman"/>
                <w:sz w:val="22"/>
                <w:szCs w:val="22"/>
              </w:rPr>
              <w:t xml:space="preserve"> jakości</w:t>
            </w:r>
            <w:r w:rsidR="00524572" w:rsidRPr="00154E08">
              <w:rPr>
                <w:rFonts w:cs="Times New Roman"/>
                <w:sz w:val="22"/>
                <w:szCs w:val="22"/>
              </w:rPr>
              <w:t xml:space="preserve"> i</w:t>
            </w:r>
            <w:r w:rsidR="00837D94" w:rsidRPr="00154E08">
              <w:rPr>
                <w:rFonts w:cs="Times New Roman"/>
                <w:sz w:val="22"/>
                <w:szCs w:val="22"/>
              </w:rPr>
              <w:t> </w:t>
            </w:r>
            <w:r w:rsidR="00524572" w:rsidRPr="00154E08">
              <w:rPr>
                <w:rFonts w:cs="Times New Roman"/>
                <w:sz w:val="22"/>
                <w:szCs w:val="22"/>
              </w:rPr>
              <w:t>wymagania</w:t>
            </w:r>
            <w:r w:rsidR="00816534" w:rsidRPr="00154E08">
              <w:rPr>
                <w:rFonts w:cs="Times New Roman"/>
                <w:sz w:val="22"/>
                <w:szCs w:val="22"/>
              </w:rPr>
              <w:t xml:space="preserve"> opracowan</w:t>
            </w:r>
            <w:r w:rsidR="00D9463B" w:rsidRPr="00154E08">
              <w:rPr>
                <w:rFonts w:cs="Times New Roman"/>
                <w:sz w:val="22"/>
                <w:szCs w:val="22"/>
              </w:rPr>
              <w:t>e</w:t>
            </w:r>
            <w:r w:rsidR="00816534" w:rsidRPr="00154E08">
              <w:rPr>
                <w:rFonts w:cs="Times New Roman"/>
                <w:sz w:val="22"/>
                <w:szCs w:val="22"/>
              </w:rPr>
              <w:t xml:space="preserve"> w celu </w:t>
            </w:r>
            <w:r w:rsidR="00A375CD" w:rsidRPr="00154E08">
              <w:rPr>
                <w:rFonts w:cs="Times New Roman"/>
                <w:sz w:val="22"/>
                <w:szCs w:val="22"/>
              </w:rPr>
              <w:t xml:space="preserve">standaryzacji i </w:t>
            </w:r>
            <w:r w:rsidR="00816534" w:rsidRPr="00154E08">
              <w:rPr>
                <w:rFonts w:cs="Times New Roman"/>
                <w:sz w:val="22"/>
                <w:szCs w:val="22"/>
              </w:rPr>
              <w:t>zapewnienia bezpieczeństwa</w:t>
            </w:r>
            <w:r w:rsidR="00524572" w:rsidRPr="00154E08">
              <w:rPr>
                <w:rFonts w:cs="Times New Roman"/>
                <w:sz w:val="22"/>
                <w:szCs w:val="22"/>
              </w:rPr>
              <w:t xml:space="preserve">. </w:t>
            </w:r>
            <w:r w:rsidR="009E43B8" w:rsidRPr="00154E08">
              <w:rPr>
                <w:rFonts w:cs="Times New Roman"/>
                <w:sz w:val="22"/>
                <w:szCs w:val="22"/>
              </w:rPr>
              <w:t xml:space="preserve">Jednocześnie postęp technologiczny i dostępność komercyjna </w:t>
            </w:r>
            <w:r w:rsidR="00952F19" w:rsidRPr="00154E08">
              <w:rPr>
                <w:rFonts w:cs="Times New Roman"/>
                <w:sz w:val="22"/>
                <w:szCs w:val="22"/>
              </w:rPr>
              <w:t xml:space="preserve">nowych </w:t>
            </w:r>
            <w:r w:rsidR="009E43B8" w:rsidRPr="00154E08">
              <w:rPr>
                <w:rFonts w:cs="Times New Roman"/>
                <w:sz w:val="22"/>
                <w:szCs w:val="22"/>
              </w:rPr>
              <w:t xml:space="preserve">innowacyjnych rozwiązań, </w:t>
            </w:r>
            <w:r w:rsidR="00C57991" w:rsidRPr="00154E08">
              <w:rPr>
                <w:rFonts w:cs="Times New Roman"/>
                <w:sz w:val="22"/>
                <w:szCs w:val="22"/>
              </w:rPr>
              <w:t xml:space="preserve">umożliwiają także </w:t>
            </w:r>
            <w:r w:rsidR="004155D1" w:rsidRPr="00154E08">
              <w:rPr>
                <w:rFonts w:cs="Times New Roman"/>
                <w:sz w:val="22"/>
                <w:szCs w:val="22"/>
              </w:rPr>
              <w:t xml:space="preserve">zastępowanie </w:t>
            </w:r>
            <w:r w:rsidR="002B04CE" w:rsidRPr="00154E08">
              <w:rPr>
                <w:rFonts w:cs="Times New Roman"/>
                <w:sz w:val="22"/>
                <w:szCs w:val="22"/>
              </w:rPr>
              <w:t xml:space="preserve">paliw tradycyjnych ich </w:t>
            </w:r>
            <w:r w:rsidR="00174566" w:rsidRPr="00154E08">
              <w:rPr>
                <w:rFonts w:cs="Times New Roman"/>
                <w:iCs/>
                <w:sz w:val="22"/>
                <w:szCs w:val="22"/>
              </w:rPr>
              <w:t xml:space="preserve">odnawialnymi </w:t>
            </w:r>
            <w:r w:rsidR="009E43B8" w:rsidRPr="00154E08">
              <w:rPr>
                <w:rFonts w:cs="Times New Roman"/>
                <w:iCs/>
                <w:sz w:val="22"/>
                <w:szCs w:val="22"/>
              </w:rPr>
              <w:t>alternatyw</w:t>
            </w:r>
            <w:r w:rsidR="00174566" w:rsidRPr="00154E08">
              <w:rPr>
                <w:rFonts w:cs="Times New Roman"/>
                <w:iCs/>
                <w:sz w:val="22"/>
                <w:szCs w:val="22"/>
              </w:rPr>
              <w:t xml:space="preserve">ami </w:t>
            </w:r>
            <w:r w:rsidR="00A255BB" w:rsidRPr="00154E08">
              <w:rPr>
                <w:rFonts w:cs="Times New Roman"/>
                <w:iCs/>
                <w:sz w:val="22"/>
                <w:szCs w:val="22"/>
              </w:rPr>
              <w:t>np. </w:t>
            </w:r>
            <w:r w:rsidR="00947FFA" w:rsidRPr="00154E08">
              <w:rPr>
                <w:rFonts w:cs="Times New Roman"/>
                <w:iCs/>
                <w:sz w:val="22"/>
                <w:szCs w:val="22"/>
              </w:rPr>
              <w:t xml:space="preserve">HVO wytwarzane z uwodornionych olejów, </w:t>
            </w:r>
            <w:proofErr w:type="spellStart"/>
            <w:r w:rsidR="00A255BB" w:rsidRPr="00154E08">
              <w:rPr>
                <w:rFonts w:cs="Times New Roman"/>
                <w:iCs/>
                <w:sz w:val="22"/>
                <w:szCs w:val="22"/>
              </w:rPr>
              <w:t>bioCNG</w:t>
            </w:r>
            <w:proofErr w:type="spellEnd"/>
            <w:r w:rsidR="00A255BB" w:rsidRPr="00154E08">
              <w:rPr>
                <w:rFonts w:cs="Times New Roman"/>
                <w:iCs/>
                <w:sz w:val="22"/>
                <w:szCs w:val="22"/>
              </w:rPr>
              <w:t xml:space="preserve">, </w:t>
            </w:r>
            <w:proofErr w:type="spellStart"/>
            <w:r w:rsidR="00A255BB" w:rsidRPr="00154E08">
              <w:rPr>
                <w:rFonts w:cs="Times New Roman"/>
                <w:iCs/>
                <w:sz w:val="22"/>
                <w:szCs w:val="22"/>
              </w:rPr>
              <w:t>bioLNG</w:t>
            </w:r>
            <w:proofErr w:type="spellEnd"/>
            <w:r w:rsidR="00A255BB" w:rsidRPr="00154E08">
              <w:rPr>
                <w:rFonts w:cs="Times New Roman"/>
                <w:iCs/>
                <w:sz w:val="22"/>
                <w:szCs w:val="22"/>
              </w:rPr>
              <w:t xml:space="preserve">, </w:t>
            </w:r>
            <w:proofErr w:type="spellStart"/>
            <w:r w:rsidR="002103DF" w:rsidRPr="00154E08">
              <w:rPr>
                <w:rFonts w:cs="Times New Roman"/>
                <w:iCs/>
                <w:sz w:val="22"/>
                <w:szCs w:val="22"/>
              </w:rPr>
              <w:t>b</w:t>
            </w:r>
            <w:r w:rsidR="009B1263" w:rsidRPr="00154E08">
              <w:rPr>
                <w:rFonts w:cs="Times New Roman"/>
                <w:iCs/>
                <w:sz w:val="22"/>
                <w:szCs w:val="22"/>
              </w:rPr>
              <w:t>io</w:t>
            </w:r>
            <w:r w:rsidR="002103DF" w:rsidRPr="00154E08">
              <w:rPr>
                <w:rFonts w:cs="Times New Roman"/>
                <w:iCs/>
                <w:sz w:val="22"/>
                <w:szCs w:val="22"/>
              </w:rPr>
              <w:t>LPG</w:t>
            </w:r>
            <w:proofErr w:type="spellEnd"/>
            <w:r w:rsidR="00900BF3" w:rsidRPr="00154E08">
              <w:rPr>
                <w:rFonts w:cs="Times New Roman"/>
                <w:iCs/>
                <w:sz w:val="22"/>
                <w:szCs w:val="22"/>
              </w:rPr>
              <w:t>,</w:t>
            </w:r>
            <w:r w:rsidR="008F0F60" w:rsidRPr="00154E08">
              <w:rPr>
                <w:rFonts w:cs="Times New Roman"/>
                <w:iCs/>
                <w:sz w:val="22"/>
                <w:szCs w:val="22"/>
              </w:rPr>
              <w:t xml:space="preserve"> </w:t>
            </w:r>
            <w:r w:rsidR="005159B9" w:rsidRPr="00154E08">
              <w:rPr>
                <w:rFonts w:cs="Times New Roman"/>
                <w:iCs/>
                <w:sz w:val="22"/>
                <w:szCs w:val="22"/>
              </w:rPr>
              <w:t xml:space="preserve">które mogą stanowić </w:t>
            </w:r>
            <w:r w:rsidR="008F0F60" w:rsidRPr="00154E08">
              <w:rPr>
                <w:rFonts w:cs="Times New Roman"/>
                <w:iCs/>
                <w:sz w:val="22"/>
                <w:szCs w:val="22"/>
              </w:rPr>
              <w:t>biopaliw</w:t>
            </w:r>
            <w:r w:rsidR="00E154A5" w:rsidRPr="00154E08">
              <w:rPr>
                <w:rFonts w:cs="Times New Roman"/>
                <w:iCs/>
                <w:sz w:val="22"/>
                <w:szCs w:val="22"/>
              </w:rPr>
              <w:t>a</w:t>
            </w:r>
            <w:r w:rsidR="008F0F60" w:rsidRPr="00154E08">
              <w:rPr>
                <w:rFonts w:cs="Times New Roman"/>
                <w:iCs/>
                <w:sz w:val="22"/>
                <w:szCs w:val="22"/>
              </w:rPr>
              <w:t xml:space="preserve"> samoistn</w:t>
            </w:r>
            <w:r w:rsidR="00E154A5" w:rsidRPr="00154E08">
              <w:rPr>
                <w:rFonts w:cs="Times New Roman"/>
                <w:iCs/>
                <w:sz w:val="22"/>
                <w:szCs w:val="22"/>
              </w:rPr>
              <w:t>e</w:t>
            </w:r>
            <w:r w:rsidR="008F0F60" w:rsidRPr="00154E08">
              <w:rPr>
                <w:rFonts w:cs="Times New Roman"/>
                <w:iCs/>
                <w:sz w:val="22"/>
                <w:szCs w:val="22"/>
              </w:rPr>
              <w:t>, nie podlega</w:t>
            </w:r>
            <w:r w:rsidR="00377198" w:rsidRPr="00154E08">
              <w:rPr>
                <w:rFonts w:cs="Times New Roman"/>
                <w:iCs/>
                <w:sz w:val="22"/>
                <w:szCs w:val="22"/>
              </w:rPr>
              <w:t>jące</w:t>
            </w:r>
            <w:r w:rsidR="008F0F60" w:rsidRPr="00154E08">
              <w:rPr>
                <w:rFonts w:cs="Times New Roman"/>
                <w:iCs/>
                <w:sz w:val="22"/>
                <w:szCs w:val="22"/>
              </w:rPr>
              <w:t xml:space="preserve"> ograniczeniom </w:t>
            </w:r>
            <w:proofErr w:type="spellStart"/>
            <w:r w:rsidR="008F0F60" w:rsidRPr="00154E08">
              <w:rPr>
                <w:rFonts w:cs="Times New Roman"/>
                <w:iCs/>
                <w:sz w:val="22"/>
                <w:szCs w:val="22"/>
              </w:rPr>
              <w:t>b</w:t>
            </w:r>
            <w:r w:rsidR="00F02B32" w:rsidRPr="00154E08">
              <w:rPr>
                <w:rFonts w:cs="Times New Roman"/>
                <w:iCs/>
                <w:sz w:val="22"/>
                <w:szCs w:val="22"/>
              </w:rPr>
              <w:t>l</w:t>
            </w:r>
            <w:r w:rsidR="008F0F60" w:rsidRPr="00154E08">
              <w:rPr>
                <w:rFonts w:cs="Times New Roman"/>
                <w:iCs/>
                <w:sz w:val="22"/>
                <w:szCs w:val="22"/>
              </w:rPr>
              <w:t>endingu</w:t>
            </w:r>
            <w:proofErr w:type="spellEnd"/>
            <w:r w:rsidR="000D73F5" w:rsidRPr="00154E08">
              <w:rPr>
                <w:rFonts w:cs="Times New Roman"/>
                <w:iCs/>
                <w:sz w:val="22"/>
                <w:szCs w:val="22"/>
              </w:rPr>
              <w:t>.</w:t>
            </w:r>
          </w:p>
          <w:p w14:paraId="5DF2B92D" w14:textId="6DAA24B5" w:rsidR="00F64886" w:rsidRPr="00154E08" w:rsidRDefault="00C93AC6" w:rsidP="00B279FD">
            <w:pPr>
              <w:spacing w:after="120" w:line="240" w:lineRule="auto"/>
              <w:jc w:val="both"/>
              <w:rPr>
                <w:rFonts w:cs="Times New Roman"/>
                <w:sz w:val="22"/>
                <w:szCs w:val="22"/>
              </w:rPr>
            </w:pPr>
            <w:r w:rsidRPr="00154E08">
              <w:rPr>
                <w:rFonts w:cs="Times New Roman"/>
                <w:sz w:val="22"/>
                <w:szCs w:val="22"/>
              </w:rPr>
              <w:t>Innym p</w:t>
            </w:r>
            <w:r w:rsidR="00A27B6E" w:rsidRPr="00154E08">
              <w:rPr>
                <w:rFonts w:cs="Times New Roman"/>
                <w:sz w:val="22"/>
                <w:szCs w:val="22"/>
              </w:rPr>
              <w:t>rzykładem innowacji jest</w:t>
            </w:r>
            <w:r w:rsidR="00A27B6E" w:rsidRPr="00154E08">
              <w:rPr>
                <w:rFonts w:cs="Times New Roman"/>
                <w:i/>
                <w:iCs/>
                <w:sz w:val="22"/>
                <w:szCs w:val="22"/>
              </w:rPr>
              <w:t xml:space="preserve"> </w:t>
            </w:r>
            <w:r w:rsidR="00A27B6E" w:rsidRPr="00154E08">
              <w:rPr>
                <w:rFonts w:cs="Times New Roman"/>
                <w:sz w:val="22"/>
                <w:szCs w:val="22"/>
              </w:rPr>
              <w:t xml:space="preserve">możliwość wykorzystania </w:t>
            </w:r>
            <w:r w:rsidR="006B1D8D" w:rsidRPr="00154E08">
              <w:rPr>
                <w:rFonts w:cs="Times New Roman"/>
                <w:sz w:val="22"/>
                <w:szCs w:val="22"/>
              </w:rPr>
              <w:t xml:space="preserve">biopaliw II generacji </w:t>
            </w:r>
            <w:r w:rsidR="005A3F0C" w:rsidRPr="00154E08">
              <w:rPr>
                <w:rFonts w:cs="Times New Roman"/>
                <w:sz w:val="22"/>
                <w:szCs w:val="22"/>
              </w:rPr>
              <w:t xml:space="preserve">wytwarzanych z biomasy odpadowej np. </w:t>
            </w:r>
            <w:r w:rsidR="00A27B6E" w:rsidRPr="00154E08">
              <w:rPr>
                <w:rFonts w:cs="Times New Roman"/>
                <w:sz w:val="22"/>
                <w:szCs w:val="22"/>
              </w:rPr>
              <w:t xml:space="preserve">niskoemisyjnego </w:t>
            </w:r>
            <w:proofErr w:type="spellStart"/>
            <w:r w:rsidR="00A27B6E" w:rsidRPr="00154E08">
              <w:rPr>
                <w:rFonts w:cs="Times New Roman"/>
                <w:iCs/>
                <w:sz w:val="22"/>
                <w:szCs w:val="22"/>
              </w:rPr>
              <w:t>biometanu</w:t>
            </w:r>
            <w:proofErr w:type="spellEnd"/>
            <w:r w:rsidR="0032422E" w:rsidRPr="00154E08">
              <w:rPr>
                <w:rFonts w:cs="Times New Roman"/>
                <w:iCs/>
                <w:sz w:val="22"/>
                <w:szCs w:val="22"/>
              </w:rPr>
              <w:t>.</w:t>
            </w:r>
            <w:r w:rsidR="00A27B6E" w:rsidRPr="00154E08">
              <w:rPr>
                <w:rFonts w:cs="Times New Roman"/>
                <w:sz w:val="22"/>
                <w:szCs w:val="22"/>
              </w:rPr>
              <w:t xml:space="preserve"> </w:t>
            </w:r>
            <w:r w:rsidR="00C05A42" w:rsidRPr="00154E08">
              <w:rPr>
                <w:rFonts w:eastAsia="Calibri" w:cs="Times New Roman"/>
                <w:spacing w:val="-2"/>
                <w:sz w:val="22"/>
                <w:szCs w:val="22"/>
              </w:rPr>
              <w:t xml:space="preserve">Polska posiada znaczący potencjał wytwórczy </w:t>
            </w:r>
            <w:proofErr w:type="spellStart"/>
            <w:r w:rsidR="00C05A42" w:rsidRPr="00154E08">
              <w:rPr>
                <w:rFonts w:eastAsia="Calibri" w:cs="Times New Roman"/>
                <w:iCs/>
                <w:spacing w:val="-2"/>
                <w:sz w:val="22"/>
                <w:szCs w:val="22"/>
              </w:rPr>
              <w:t>biometanu</w:t>
            </w:r>
            <w:proofErr w:type="spellEnd"/>
            <w:r w:rsidR="00C05A42" w:rsidRPr="00154E08">
              <w:rPr>
                <w:rFonts w:eastAsia="Calibri" w:cs="Times New Roman"/>
                <w:iCs/>
                <w:spacing w:val="-2"/>
                <w:sz w:val="22"/>
                <w:szCs w:val="22"/>
              </w:rPr>
              <w:t>,</w:t>
            </w:r>
            <w:r w:rsidR="00C05A42" w:rsidRPr="00154E08">
              <w:rPr>
                <w:rFonts w:eastAsia="Calibri" w:cs="Times New Roman"/>
                <w:spacing w:val="-2"/>
                <w:sz w:val="22"/>
                <w:szCs w:val="22"/>
              </w:rPr>
              <w:t xml:space="preserve"> wytwarzanego z biogazu w oparciu o krajowe surowce</w:t>
            </w:r>
            <w:r w:rsidR="00900BF3" w:rsidRPr="00154E08">
              <w:rPr>
                <w:rFonts w:eastAsia="Calibri" w:cs="Times New Roman"/>
                <w:spacing w:val="-2"/>
                <w:sz w:val="22"/>
                <w:szCs w:val="22"/>
              </w:rPr>
              <w:t>,</w:t>
            </w:r>
            <w:r w:rsidR="00C05A42" w:rsidRPr="00154E08">
              <w:rPr>
                <w:rFonts w:eastAsia="Calibri" w:cs="Times New Roman"/>
                <w:spacing w:val="-2"/>
                <w:sz w:val="22"/>
                <w:szCs w:val="22"/>
              </w:rPr>
              <w:t xml:space="preserve"> np. pozostałości z</w:t>
            </w:r>
            <w:r w:rsidR="00EF5410" w:rsidRPr="00154E08">
              <w:rPr>
                <w:rFonts w:eastAsia="Calibri" w:cs="Times New Roman"/>
                <w:spacing w:val="-2"/>
                <w:sz w:val="22"/>
                <w:szCs w:val="22"/>
              </w:rPr>
              <w:t> </w:t>
            </w:r>
            <w:r w:rsidR="00C05A42" w:rsidRPr="00154E08">
              <w:rPr>
                <w:rFonts w:eastAsia="Calibri" w:cs="Times New Roman"/>
                <w:spacing w:val="-2"/>
                <w:sz w:val="22"/>
                <w:szCs w:val="22"/>
              </w:rPr>
              <w:t>sektora rolno-spożywczego</w:t>
            </w:r>
            <w:r w:rsidR="00C60D53" w:rsidRPr="00154E08">
              <w:rPr>
                <w:rFonts w:eastAsia="Calibri" w:cs="Times New Roman"/>
                <w:spacing w:val="-2"/>
                <w:sz w:val="22"/>
                <w:szCs w:val="22"/>
              </w:rPr>
              <w:t>.</w:t>
            </w:r>
            <w:r w:rsidR="00C05A42" w:rsidRPr="00154E08">
              <w:rPr>
                <w:rFonts w:eastAsia="Calibri" w:cs="Times New Roman"/>
                <w:spacing w:val="-2"/>
                <w:sz w:val="22"/>
                <w:szCs w:val="22"/>
              </w:rPr>
              <w:t xml:space="preserve"> </w:t>
            </w:r>
            <w:r w:rsidR="00834FF8" w:rsidRPr="00154E08">
              <w:rPr>
                <w:rFonts w:eastAsia="Calibri" w:cs="Times New Roman"/>
                <w:spacing w:val="-2"/>
                <w:sz w:val="22"/>
                <w:szCs w:val="22"/>
              </w:rPr>
              <w:t>D</w:t>
            </w:r>
            <w:r w:rsidR="00C05A42" w:rsidRPr="00154E08">
              <w:rPr>
                <w:rFonts w:eastAsia="Calibri" w:cs="Times New Roman"/>
                <w:spacing w:val="-2"/>
                <w:sz w:val="22"/>
                <w:szCs w:val="22"/>
              </w:rPr>
              <w:t xml:space="preserve">o produkcji biogazu w kraju w największym stopniu </w:t>
            </w:r>
            <w:r w:rsidR="00900BF3" w:rsidRPr="00154E08">
              <w:rPr>
                <w:rFonts w:eastAsia="Calibri" w:cs="Times New Roman"/>
                <w:spacing w:val="-2"/>
                <w:sz w:val="22"/>
                <w:szCs w:val="22"/>
              </w:rPr>
              <w:t xml:space="preserve">są </w:t>
            </w:r>
            <w:r w:rsidR="00C05A42" w:rsidRPr="00154E08">
              <w:rPr>
                <w:rFonts w:eastAsia="Calibri" w:cs="Times New Roman"/>
                <w:spacing w:val="-2"/>
                <w:sz w:val="22"/>
                <w:szCs w:val="22"/>
              </w:rPr>
              <w:t>wykorzystywane substraty</w:t>
            </w:r>
            <w:r w:rsidR="00C05A42" w:rsidRPr="00154E08">
              <w:rPr>
                <w:rFonts w:cs="Times New Roman"/>
                <w:sz w:val="22"/>
                <w:szCs w:val="22"/>
              </w:rPr>
              <w:t xml:space="preserve"> </w:t>
            </w:r>
            <w:r w:rsidR="00C05A42" w:rsidRPr="00154E08">
              <w:rPr>
                <w:rFonts w:eastAsia="Calibri" w:cs="Times New Roman"/>
                <w:spacing w:val="-2"/>
                <w:sz w:val="22"/>
                <w:szCs w:val="22"/>
              </w:rPr>
              <w:t>nieprzydatne do produkcji żywności czy pasz: wywar gorzelniany (21%), pozostałości z</w:t>
            </w:r>
            <w:r w:rsidR="00A375CD" w:rsidRPr="00154E08">
              <w:rPr>
                <w:rFonts w:eastAsia="Calibri" w:cs="Times New Roman"/>
                <w:spacing w:val="-2"/>
                <w:sz w:val="22"/>
                <w:szCs w:val="22"/>
              </w:rPr>
              <w:t> </w:t>
            </w:r>
            <w:r w:rsidR="00C05A42" w:rsidRPr="00154E08">
              <w:rPr>
                <w:rFonts w:eastAsia="Calibri" w:cs="Times New Roman"/>
                <w:spacing w:val="-2"/>
                <w:sz w:val="22"/>
                <w:szCs w:val="22"/>
              </w:rPr>
              <w:t>przetwórstwa owoców i warzyw (21%), gnojowica (27%)</w:t>
            </w:r>
            <w:r w:rsidR="003861F9" w:rsidRPr="00154E08">
              <w:rPr>
                <w:rFonts w:eastAsia="Calibri" w:cs="Times New Roman"/>
                <w:spacing w:val="-2"/>
                <w:sz w:val="22"/>
                <w:szCs w:val="22"/>
              </w:rPr>
              <w:t xml:space="preserve">. Możliwość </w:t>
            </w:r>
            <w:r w:rsidR="00BC55C0" w:rsidRPr="00154E08">
              <w:rPr>
                <w:rFonts w:eastAsia="Calibri" w:cs="Times New Roman"/>
                <w:spacing w:val="-2"/>
                <w:sz w:val="22"/>
                <w:szCs w:val="22"/>
              </w:rPr>
              <w:t xml:space="preserve">wielkoskalowego </w:t>
            </w:r>
            <w:r w:rsidR="003861F9" w:rsidRPr="00154E08">
              <w:rPr>
                <w:rFonts w:eastAsia="Calibri" w:cs="Times New Roman"/>
                <w:spacing w:val="-2"/>
                <w:sz w:val="22"/>
                <w:szCs w:val="22"/>
              </w:rPr>
              <w:t xml:space="preserve">wykorzystania </w:t>
            </w:r>
            <w:proofErr w:type="spellStart"/>
            <w:r w:rsidR="009C035E" w:rsidRPr="00154E08">
              <w:rPr>
                <w:rFonts w:eastAsia="Calibri" w:cs="Times New Roman"/>
                <w:spacing w:val="-2"/>
                <w:sz w:val="22"/>
                <w:szCs w:val="22"/>
              </w:rPr>
              <w:t>biometanu</w:t>
            </w:r>
            <w:proofErr w:type="spellEnd"/>
            <w:r w:rsidR="009C035E" w:rsidRPr="00154E08">
              <w:rPr>
                <w:rFonts w:eastAsia="Calibri" w:cs="Times New Roman"/>
                <w:spacing w:val="-2"/>
                <w:sz w:val="22"/>
                <w:szCs w:val="22"/>
              </w:rPr>
              <w:t xml:space="preserve"> </w:t>
            </w:r>
            <w:r w:rsidR="00CF037C" w:rsidRPr="00154E08">
              <w:rPr>
                <w:rFonts w:eastAsia="Calibri" w:cs="Times New Roman"/>
                <w:spacing w:val="-2"/>
                <w:sz w:val="22"/>
                <w:szCs w:val="22"/>
              </w:rPr>
              <w:t>bez konieczności importu surowców</w:t>
            </w:r>
            <w:r w:rsidR="00C05A42" w:rsidRPr="00154E08">
              <w:rPr>
                <w:rFonts w:eastAsia="Calibri" w:cs="Times New Roman"/>
                <w:spacing w:val="-2"/>
                <w:sz w:val="22"/>
                <w:szCs w:val="22"/>
              </w:rPr>
              <w:t xml:space="preserve"> jest </w:t>
            </w:r>
            <w:r w:rsidR="00200E5E" w:rsidRPr="00154E08">
              <w:rPr>
                <w:rFonts w:eastAsia="Calibri" w:cs="Times New Roman"/>
                <w:spacing w:val="-2"/>
                <w:sz w:val="22"/>
                <w:szCs w:val="22"/>
              </w:rPr>
              <w:t>istotnym</w:t>
            </w:r>
            <w:r w:rsidR="00BC55C0" w:rsidRPr="00154E08">
              <w:rPr>
                <w:rFonts w:eastAsia="Calibri" w:cs="Times New Roman"/>
                <w:spacing w:val="-2"/>
                <w:sz w:val="22"/>
                <w:szCs w:val="22"/>
              </w:rPr>
              <w:t xml:space="preserve"> </w:t>
            </w:r>
            <w:r w:rsidR="00C44E2C" w:rsidRPr="00154E08">
              <w:rPr>
                <w:rFonts w:eastAsia="Calibri" w:cs="Times New Roman"/>
                <w:spacing w:val="-2"/>
                <w:sz w:val="22"/>
                <w:szCs w:val="22"/>
              </w:rPr>
              <w:t>atut</w:t>
            </w:r>
            <w:r w:rsidR="00200E5E" w:rsidRPr="00154E08">
              <w:rPr>
                <w:rFonts w:eastAsia="Calibri" w:cs="Times New Roman"/>
                <w:spacing w:val="-2"/>
                <w:sz w:val="22"/>
                <w:szCs w:val="22"/>
              </w:rPr>
              <w:t>em</w:t>
            </w:r>
            <w:r w:rsidR="00DB1EB4" w:rsidRPr="00154E08">
              <w:rPr>
                <w:rFonts w:eastAsia="Calibri" w:cs="Times New Roman"/>
                <w:spacing w:val="-2"/>
                <w:sz w:val="22"/>
                <w:szCs w:val="22"/>
              </w:rPr>
              <w:t xml:space="preserve"> dla rozwoju tego sektora</w:t>
            </w:r>
            <w:r w:rsidR="00F163F6" w:rsidRPr="00154E08">
              <w:rPr>
                <w:rFonts w:eastAsia="Calibri" w:cs="Times New Roman"/>
                <w:spacing w:val="-2"/>
                <w:sz w:val="22"/>
                <w:szCs w:val="22"/>
              </w:rPr>
              <w:t xml:space="preserve"> i realizacji NCW</w:t>
            </w:r>
            <w:r w:rsidR="00C05A42" w:rsidRPr="00154E08">
              <w:rPr>
                <w:rFonts w:eastAsia="Calibri" w:cs="Times New Roman"/>
                <w:spacing w:val="-2"/>
                <w:sz w:val="22"/>
                <w:szCs w:val="22"/>
              </w:rPr>
              <w:t>.</w:t>
            </w:r>
            <w:r w:rsidR="00684A87" w:rsidRPr="00154E08">
              <w:rPr>
                <w:rFonts w:eastAsia="Calibri" w:cs="Times New Roman"/>
                <w:spacing w:val="-2"/>
                <w:sz w:val="22"/>
                <w:szCs w:val="22"/>
              </w:rPr>
              <w:t xml:space="preserve"> </w:t>
            </w:r>
          </w:p>
          <w:p w14:paraId="1F772855" w14:textId="6C897CF5" w:rsidR="00B775D6" w:rsidRPr="00154E08" w:rsidRDefault="002E59F2" w:rsidP="00B279FD">
            <w:pPr>
              <w:spacing w:after="120" w:line="240" w:lineRule="auto"/>
              <w:jc w:val="both"/>
              <w:rPr>
                <w:rFonts w:cs="Times New Roman"/>
                <w:b/>
                <w:bCs/>
                <w:sz w:val="22"/>
                <w:szCs w:val="22"/>
              </w:rPr>
            </w:pPr>
            <w:r w:rsidRPr="00154E08">
              <w:rPr>
                <w:rFonts w:cs="Times New Roman"/>
                <w:sz w:val="22"/>
                <w:szCs w:val="22"/>
              </w:rPr>
              <w:t xml:space="preserve">Krajowi </w:t>
            </w:r>
            <w:r w:rsidR="00F64886" w:rsidRPr="00154E08">
              <w:rPr>
                <w:rFonts w:cs="Times New Roman"/>
                <w:sz w:val="22"/>
                <w:szCs w:val="22"/>
              </w:rPr>
              <w:t xml:space="preserve">producenci paliw prowadzą </w:t>
            </w:r>
            <w:r w:rsidRPr="00154E08">
              <w:rPr>
                <w:rFonts w:cs="Times New Roman"/>
                <w:sz w:val="22"/>
                <w:szCs w:val="22"/>
              </w:rPr>
              <w:t>inwestycje</w:t>
            </w:r>
            <w:r w:rsidR="00F64886" w:rsidRPr="00154E08">
              <w:rPr>
                <w:rFonts w:cs="Times New Roman"/>
                <w:sz w:val="22"/>
                <w:szCs w:val="22"/>
              </w:rPr>
              <w:t xml:space="preserve"> mające na celu rozwój technologii biopaliw zaawansowanych</w:t>
            </w:r>
            <w:r w:rsidR="002B7628" w:rsidRPr="00154E08">
              <w:rPr>
                <w:rFonts w:cs="Times New Roman"/>
                <w:sz w:val="22"/>
                <w:szCs w:val="22"/>
              </w:rPr>
              <w:t>, np.:</w:t>
            </w:r>
            <w:r w:rsidR="00F64886" w:rsidRPr="00154E08">
              <w:rPr>
                <w:rFonts w:cs="Times New Roman"/>
                <w:sz w:val="22"/>
                <w:szCs w:val="22"/>
              </w:rPr>
              <w:t xml:space="preserve"> produkcji biokomponentów ze zużytego oleju spożywczego </w:t>
            </w:r>
            <w:r w:rsidR="007949EB" w:rsidRPr="00154E08">
              <w:rPr>
                <w:rFonts w:cs="Times New Roman"/>
                <w:sz w:val="22"/>
                <w:szCs w:val="22"/>
              </w:rPr>
              <w:t xml:space="preserve">(UCO) </w:t>
            </w:r>
            <w:r w:rsidR="00D010F8" w:rsidRPr="00154E08">
              <w:rPr>
                <w:rFonts w:cs="Times New Roman"/>
                <w:sz w:val="22"/>
                <w:szCs w:val="22"/>
              </w:rPr>
              <w:t xml:space="preserve">lub </w:t>
            </w:r>
            <w:r w:rsidR="00900F98" w:rsidRPr="00154E08">
              <w:rPr>
                <w:rFonts w:cs="Times New Roman"/>
                <w:sz w:val="22"/>
                <w:szCs w:val="22"/>
              </w:rPr>
              <w:t xml:space="preserve">wielkoskalowego </w:t>
            </w:r>
            <w:r w:rsidR="00D50463" w:rsidRPr="00154E08">
              <w:rPr>
                <w:rFonts w:cs="Times New Roman"/>
                <w:sz w:val="22"/>
                <w:szCs w:val="22"/>
              </w:rPr>
              <w:t>wytwarzania</w:t>
            </w:r>
            <w:r w:rsidR="00EA7D4A" w:rsidRPr="00154E08">
              <w:rPr>
                <w:rFonts w:cs="Times New Roman"/>
                <w:sz w:val="22"/>
                <w:szCs w:val="22"/>
              </w:rPr>
              <w:t xml:space="preserve"> </w:t>
            </w:r>
            <w:proofErr w:type="spellStart"/>
            <w:r w:rsidR="00EA7D4A" w:rsidRPr="00154E08">
              <w:rPr>
                <w:rFonts w:cs="Times New Roman"/>
                <w:sz w:val="22"/>
                <w:szCs w:val="22"/>
              </w:rPr>
              <w:t>biometanu</w:t>
            </w:r>
            <w:proofErr w:type="spellEnd"/>
            <w:r w:rsidR="00900F98" w:rsidRPr="00154E08">
              <w:rPr>
                <w:rFonts w:cs="Times New Roman"/>
                <w:sz w:val="22"/>
                <w:szCs w:val="22"/>
              </w:rPr>
              <w:t xml:space="preserve"> – </w:t>
            </w:r>
            <w:r w:rsidR="00810A69" w:rsidRPr="00154E08">
              <w:rPr>
                <w:rFonts w:cs="Times New Roman"/>
                <w:sz w:val="22"/>
                <w:szCs w:val="22"/>
              </w:rPr>
              <w:t xml:space="preserve">jednak wciąż są to projekty na etapie wdrożenia. </w:t>
            </w:r>
          </w:p>
          <w:p w14:paraId="5FE9D04A" w14:textId="59031938" w:rsidR="00B775D6" w:rsidRPr="00154E08" w:rsidRDefault="00810A69" w:rsidP="00B279FD">
            <w:pPr>
              <w:spacing w:after="120" w:line="240" w:lineRule="auto"/>
              <w:jc w:val="both"/>
              <w:rPr>
                <w:rFonts w:cs="Times New Roman"/>
                <w:sz w:val="22"/>
                <w:szCs w:val="22"/>
              </w:rPr>
            </w:pPr>
            <w:r w:rsidRPr="00154E08">
              <w:rPr>
                <w:rFonts w:cs="Times New Roman"/>
                <w:sz w:val="22"/>
                <w:szCs w:val="22"/>
              </w:rPr>
              <w:t>R</w:t>
            </w:r>
            <w:r w:rsidR="002E1D76" w:rsidRPr="00154E08">
              <w:rPr>
                <w:rFonts w:cs="Times New Roman"/>
                <w:sz w:val="22"/>
                <w:szCs w:val="22"/>
              </w:rPr>
              <w:t>oz</w:t>
            </w:r>
            <w:r w:rsidR="00B775D6" w:rsidRPr="00154E08">
              <w:rPr>
                <w:rFonts w:cs="Times New Roman"/>
                <w:sz w:val="22"/>
                <w:szCs w:val="22"/>
              </w:rPr>
              <w:t>w</w:t>
            </w:r>
            <w:r w:rsidR="002E1D76" w:rsidRPr="00154E08">
              <w:rPr>
                <w:rFonts w:cs="Times New Roman"/>
                <w:sz w:val="22"/>
                <w:szCs w:val="22"/>
              </w:rPr>
              <w:t xml:space="preserve">ój </w:t>
            </w:r>
            <w:r w:rsidR="00435CD6" w:rsidRPr="00154E08">
              <w:rPr>
                <w:rFonts w:cs="Times New Roman"/>
                <w:sz w:val="22"/>
                <w:szCs w:val="22"/>
              </w:rPr>
              <w:t>ryn</w:t>
            </w:r>
            <w:r w:rsidR="002E1D76" w:rsidRPr="00154E08">
              <w:rPr>
                <w:rFonts w:cs="Times New Roman"/>
                <w:sz w:val="22"/>
                <w:szCs w:val="22"/>
              </w:rPr>
              <w:t>ku</w:t>
            </w:r>
            <w:r w:rsidR="00435CD6" w:rsidRPr="00154E08">
              <w:rPr>
                <w:rFonts w:cs="Times New Roman"/>
                <w:sz w:val="22"/>
                <w:szCs w:val="22"/>
              </w:rPr>
              <w:t xml:space="preserve"> pojazdów elektrycznych</w:t>
            </w:r>
            <w:r w:rsidR="001E387B" w:rsidRPr="00154E08">
              <w:rPr>
                <w:rFonts w:cs="Times New Roman"/>
                <w:sz w:val="22"/>
                <w:szCs w:val="22"/>
              </w:rPr>
              <w:t xml:space="preserve"> postępuje, jednak tempo nie jest </w:t>
            </w:r>
            <w:r w:rsidR="00615BAE" w:rsidRPr="00154E08">
              <w:rPr>
                <w:rFonts w:cs="Times New Roman"/>
                <w:sz w:val="22"/>
                <w:szCs w:val="22"/>
              </w:rPr>
              <w:t>adekwa</w:t>
            </w:r>
            <w:r w:rsidR="0005521E" w:rsidRPr="00154E08">
              <w:rPr>
                <w:rFonts w:cs="Times New Roman"/>
                <w:sz w:val="22"/>
                <w:szCs w:val="22"/>
              </w:rPr>
              <w:t>tne do potrzeb wynikających z</w:t>
            </w:r>
            <w:r w:rsidR="00837D94" w:rsidRPr="00154E08">
              <w:rPr>
                <w:rFonts w:cs="Times New Roman"/>
                <w:sz w:val="22"/>
                <w:szCs w:val="22"/>
              </w:rPr>
              <w:t> </w:t>
            </w:r>
            <w:r w:rsidR="0005521E" w:rsidRPr="00154E08">
              <w:rPr>
                <w:rFonts w:cs="Times New Roman"/>
                <w:sz w:val="22"/>
                <w:szCs w:val="22"/>
              </w:rPr>
              <w:t>celów</w:t>
            </w:r>
            <w:r w:rsidR="001E387B" w:rsidRPr="00154E08">
              <w:rPr>
                <w:rFonts w:cs="Times New Roman"/>
                <w:sz w:val="22"/>
                <w:szCs w:val="22"/>
              </w:rPr>
              <w:t xml:space="preserve"> </w:t>
            </w:r>
            <w:r w:rsidR="00A30F6E" w:rsidRPr="00154E08">
              <w:rPr>
                <w:rFonts w:cs="Times New Roman"/>
                <w:sz w:val="22"/>
                <w:szCs w:val="22"/>
              </w:rPr>
              <w:t>OZE w transporcie</w:t>
            </w:r>
            <w:r w:rsidR="00435CD6" w:rsidRPr="00154E08">
              <w:rPr>
                <w:rFonts w:cs="Times New Roman"/>
                <w:sz w:val="22"/>
                <w:szCs w:val="22"/>
              </w:rPr>
              <w:t xml:space="preserve">. </w:t>
            </w:r>
            <w:r w:rsidR="007E628F" w:rsidRPr="00154E08">
              <w:rPr>
                <w:rFonts w:cs="Times New Roman"/>
                <w:sz w:val="22"/>
                <w:szCs w:val="22"/>
              </w:rPr>
              <w:t>Jak wspomniano powyżej w Polsce zar</w:t>
            </w:r>
            <w:r w:rsidR="00B21E9B" w:rsidRPr="00154E08">
              <w:rPr>
                <w:rFonts w:cs="Times New Roman"/>
                <w:sz w:val="22"/>
                <w:szCs w:val="22"/>
              </w:rPr>
              <w:t xml:space="preserve">ejestrowanych łącznie </w:t>
            </w:r>
            <w:r w:rsidR="007E628F" w:rsidRPr="00154E08">
              <w:rPr>
                <w:rFonts w:cs="Times New Roman"/>
                <w:sz w:val="22"/>
                <w:szCs w:val="22"/>
              </w:rPr>
              <w:t xml:space="preserve">ok. 100 </w:t>
            </w:r>
            <w:r w:rsidR="00287FFD" w:rsidRPr="00154E08">
              <w:rPr>
                <w:rFonts w:cs="Times New Roman"/>
                <w:sz w:val="22"/>
                <w:szCs w:val="22"/>
              </w:rPr>
              <w:t>tys.</w:t>
            </w:r>
            <w:r w:rsidR="009E22F4" w:rsidRPr="00154E08">
              <w:rPr>
                <w:rFonts w:cs="Times New Roman"/>
                <w:sz w:val="22"/>
                <w:szCs w:val="22"/>
              </w:rPr>
              <w:t xml:space="preserve"> </w:t>
            </w:r>
            <w:r w:rsidR="00287FFD" w:rsidRPr="00154E08">
              <w:rPr>
                <w:rFonts w:cs="Times New Roman"/>
                <w:sz w:val="22"/>
                <w:szCs w:val="22"/>
              </w:rPr>
              <w:t xml:space="preserve">pojazdów </w:t>
            </w:r>
            <w:r w:rsidR="00B21E9B" w:rsidRPr="00154E08">
              <w:rPr>
                <w:rFonts w:cs="Times New Roman"/>
                <w:sz w:val="22"/>
                <w:szCs w:val="22"/>
              </w:rPr>
              <w:t xml:space="preserve">elektrycznych, w tym </w:t>
            </w:r>
            <w:r w:rsidR="00FB031F" w:rsidRPr="00154E08">
              <w:rPr>
                <w:rFonts w:cs="Times New Roman"/>
                <w:sz w:val="22"/>
                <w:szCs w:val="22"/>
              </w:rPr>
              <w:t>52</w:t>
            </w:r>
            <w:r w:rsidR="00B21E9B" w:rsidRPr="00154E08">
              <w:rPr>
                <w:rFonts w:cs="Times New Roman"/>
                <w:sz w:val="22"/>
                <w:szCs w:val="22"/>
              </w:rPr>
              <w:t>% stanowiły samochody w</w:t>
            </w:r>
            <w:r w:rsidR="00AF173B" w:rsidRPr="00154E08">
              <w:rPr>
                <w:rFonts w:cs="Times New Roman"/>
                <w:sz w:val="22"/>
                <w:szCs w:val="22"/>
              </w:rPr>
              <w:t> </w:t>
            </w:r>
            <w:r w:rsidR="00B21E9B" w:rsidRPr="00154E08">
              <w:rPr>
                <w:rFonts w:cs="Times New Roman"/>
                <w:sz w:val="22"/>
                <w:szCs w:val="22"/>
              </w:rPr>
              <w:t>pełni elektryczne (</w:t>
            </w:r>
            <w:proofErr w:type="spellStart"/>
            <w:r w:rsidR="00B21E9B" w:rsidRPr="00154E08">
              <w:rPr>
                <w:rFonts w:cs="Times New Roman"/>
                <w:sz w:val="22"/>
                <w:szCs w:val="22"/>
              </w:rPr>
              <w:t>B</w:t>
            </w:r>
            <w:r w:rsidR="002F3017" w:rsidRPr="00154E08">
              <w:rPr>
                <w:rFonts w:cs="Times New Roman"/>
                <w:sz w:val="22"/>
                <w:szCs w:val="22"/>
              </w:rPr>
              <w:t>e</w:t>
            </w:r>
            <w:r w:rsidR="00B21E9B" w:rsidRPr="00154E08">
              <w:rPr>
                <w:rFonts w:cs="Times New Roman"/>
                <w:sz w:val="22"/>
                <w:szCs w:val="22"/>
              </w:rPr>
              <w:t>V</w:t>
            </w:r>
            <w:proofErr w:type="spellEnd"/>
            <w:r w:rsidR="00B21E9B" w:rsidRPr="00154E08">
              <w:rPr>
                <w:rFonts w:cs="Times New Roman"/>
                <w:sz w:val="22"/>
                <w:szCs w:val="22"/>
              </w:rPr>
              <w:t xml:space="preserve">). Park elektrycznych autobusów </w:t>
            </w:r>
            <w:r w:rsidR="00C06B61" w:rsidRPr="00154E08">
              <w:rPr>
                <w:rFonts w:cs="Times New Roman"/>
                <w:sz w:val="22"/>
                <w:szCs w:val="22"/>
              </w:rPr>
              <w:t>(e</w:t>
            </w:r>
            <w:r w:rsidR="00684A87" w:rsidRPr="00154E08">
              <w:rPr>
                <w:rFonts w:cs="Times New Roman"/>
                <w:sz w:val="22"/>
                <w:szCs w:val="22"/>
              </w:rPr>
              <w:t>–</w:t>
            </w:r>
            <w:r w:rsidR="00C06B61" w:rsidRPr="00154E08">
              <w:rPr>
                <w:rFonts w:cs="Times New Roman"/>
                <w:sz w:val="22"/>
                <w:szCs w:val="22"/>
              </w:rPr>
              <w:t>busów</w:t>
            </w:r>
            <w:r w:rsidR="00C06B61" w:rsidRPr="00154E08">
              <w:rPr>
                <w:rStyle w:val="Odwoanieprzypisudolnego"/>
                <w:rFonts w:cs="Times New Roman"/>
                <w:sz w:val="22"/>
                <w:szCs w:val="22"/>
              </w:rPr>
              <w:footnoteReference w:id="7"/>
            </w:r>
            <w:r w:rsidR="00741C47" w:rsidRPr="00154E08">
              <w:rPr>
                <w:rFonts w:cs="Times New Roman"/>
                <w:sz w:val="22"/>
                <w:szCs w:val="22"/>
                <w:vertAlign w:val="superscript"/>
              </w:rPr>
              <w:t>)</w:t>
            </w:r>
            <w:r w:rsidR="00C06B61" w:rsidRPr="00154E08">
              <w:rPr>
                <w:rFonts w:cs="Times New Roman"/>
                <w:sz w:val="22"/>
                <w:szCs w:val="22"/>
              </w:rPr>
              <w:t xml:space="preserve">) </w:t>
            </w:r>
            <w:r w:rsidR="007E5C76" w:rsidRPr="00154E08">
              <w:rPr>
                <w:rFonts w:cs="Times New Roman"/>
                <w:sz w:val="22"/>
                <w:szCs w:val="22"/>
              </w:rPr>
              <w:t>– n</w:t>
            </w:r>
            <w:r w:rsidR="009F08DC" w:rsidRPr="00154E08">
              <w:rPr>
                <w:rFonts w:cs="Times New Roman"/>
                <w:sz w:val="22"/>
                <w:szCs w:val="22"/>
              </w:rPr>
              <w:t>a</w:t>
            </w:r>
            <w:r w:rsidR="007E5C76" w:rsidRPr="00154E08">
              <w:rPr>
                <w:rFonts w:cs="Times New Roman"/>
                <w:sz w:val="22"/>
                <w:szCs w:val="22"/>
              </w:rPr>
              <w:t> </w:t>
            </w:r>
            <w:r w:rsidR="009F08DC" w:rsidRPr="00154E08">
              <w:rPr>
                <w:rFonts w:cs="Times New Roman"/>
                <w:sz w:val="22"/>
                <w:szCs w:val="22"/>
              </w:rPr>
              <w:t xml:space="preserve">koniec </w:t>
            </w:r>
            <w:r w:rsidR="00BF38E3" w:rsidRPr="00154E08">
              <w:rPr>
                <w:rFonts w:cs="Times New Roman"/>
                <w:sz w:val="22"/>
                <w:szCs w:val="22"/>
              </w:rPr>
              <w:t>listopad</w:t>
            </w:r>
            <w:r w:rsidR="009F08DC" w:rsidRPr="00154E08">
              <w:rPr>
                <w:rFonts w:cs="Times New Roman"/>
                <w:sz w:val="22"/>
                <w:szCs w:val="22"/>
              </w:rPr>
              <w:t>a 2023</w:t>
            </w:r>
            <w:r w:rsidR="00AF173B" w:rsidRPr="00154E08">
              <w:rPr>
                <w:rFonts w:cs="Times New Roman"/>
                <w:sz w:val="22"/>
                <w:szCs w:val="22"/>
              </w:rPr>
              <w:t> </w:t>
            </w:r>
            <w:r w:rsidR="009F08DC" w:rsidRPr="00154E08">
              <w:rPr>
                <w:rFonts w:cs="Times New Roman"/>
                <w:sz w:val="22"/>
                <w:szCs w:val="22"/>
              </w:rPr>
              <w:t>r. liczy</w:t>
            </w:r>
            <w:r w:rsidR="00634BFC" w:rsidRPr="00154E08">
              <w:rPr>
                <w:rFonts w:cs="Times New Roman"/>
                <w:sz w:val="22"/>
                <w:szCs w:val="22"/>
              </w:rPr>
              <w:t>ł</w:t>
            </w:r>
            <w:r w:rsidR="00F201B1" w:rsidRPr="00154E08">
              <w:rPr>
                <w:rFonts w:cs="Times New Roman"/>
                <w:sz w:val="22"/>
                <w:szCs w:val="22"/>
              </w:rPr>
              <w:t xml:space="preserve"> ok. 1</w:t>
            </w:r>
            <w:r w:rsidR="00AA6353" w:rsidRPr="00154E08">
              <w:rPr>
                <w:rFonts w:cs="Times New Roman"/>
                <w:sz w:val="22"/>
                <w:szCs w:val="22"/>
              </w:rPr>
              <w:t>12</w:t>
            </w:r>
            <w:r w:rsidR="009F08DC" w:rsidRPr="00154E08">
              <w:rPr>
                <w:rFonts w:cs="Times New Roman"/>
                <w:sz w:val="22"/>
                <w:szCs w:val="22"/>
              </w:rPr>
              <w:t>0 pojazdów</w:t>
            </w:r>
            <w:r w:rsidR="00AA6353" w:rsidRPr="00154E08">
              <w:rPr>
                <w:rFonts w:cs="Times New Roman"/>
                <w:sz w:val="22"/>
                <w:szCs w:val="22"/>
              </w:rPr>
              <w:t xml:space="preserve">. </w:t>
            </w:r>
            <w:r w:rsidR="00641F9A" w:rsidRPr="00154E08">
              <w:rPr>
                <w:rFonts w:cs="Times New Roman"/>
                <w:sz w:val="22"/>
                <w:szCs w:val="22"/>
              </w:rPr>
              <w:t>Przez pierwsze trzy miesiące 2023</w:t>
            </w:r>
            <w:r w:rsidR="007E5C76" w:rsidRPr="00154E08">
              <w:rPr>
                <w:rFonts w:cs="Times New Roman"/>
                <w:sz w:val="22"/>
                <w:szCs w:val="22"/>
              </w:rPr>
              <w:t> </w:t>
            </w:r>
            <w:r w:rsidR="00641F9A" w:rsidRPr="00154E08">
              <w:rPr>
                <w:rFonts w:cs="Times New Roman"/>
                <w:sz w:val="22"/>
                <w:szCs w:val="22"/>
              </w:rPr>
              <w:t xml:space="preserve">r. liczba </w:t>
            </w:r>
            <w:r w:rsidR="0067106B" w:rsidRPr="00154E08">
              <w:rPr>
                <w:rFonts w:cs="Times New Roman"/>
                <w:sz w:val="22"/>
                <w:szCs w:val="22"/>
              </w:rPr>
              <w:t xml:space="preserve">aut elektrycznych </w:t>
            </w:r>
            <w:r w:rsidR="00641F9A" w:rsidRPr="00154E08">
              <w:rPr>
                <w:rFonts w:cs="Times New Roman"/>
                <w:sz w:val="22"/>
                <w:szCs w:val="22"/>
              </w:rPr>
              <w:t>zwiększyła się o</w:t>
            </w:r>
            <w:r w:rsidR="009A0BDD" w:rsidRPr="00154E08">
              <w:rPr>
                <w:rFonts w:cs="Times New Roman"/>
                <w:sz w:val="22"/>
                <w:szCs w:val="22"/>
              </w:rPr>
              <w:t> </w:t>
            </w:r>
            <w:r w:rsidR="00641F9A" w:rsidRPr="00154E08">
              <w:rPr>
                <w:rFonts w:cs="Times New Roman"/>
                <w:sz w:val="22"/>
                <w:szCs w:val="22"/>
              </w:rPr>
              <w:t>5</w:t>
            </w:r>
            <w:r w:rsidR="009A0BDD" w:rsidRPr="00154E08">
              <w:rPr>
                <w:rFonts w:cs="Times New Roman"/>
                <w:sz w:val="22"/>
                <w:szCs w:val="22"/>
              </w:rPr>
              <w:t> </w:t>
            </w:r>
            <w:r w:rsidR="00641F9A" w:rsidRPr="00154E08">
              <w:rPr>
                <w:rFonts w:cs="Times New Roman"/>
                <w:sz w:val="22"/>
                <w:szCs w:val="22"/>
              </w:rPr>
              <w:t>500 sztuk, tj. o 84% więcej niż w analogicznym okresie 2022 r.</w:t>
            </w:r>
            <w:r w:rsidR="00B1122D" w:rsidRPr="00154E08">
              <w:rPr>
                <w:rStyle w:val="Odwoanieprzypisudolnego"/>
                <w:rFonts w:cs="Times New Roman"/>
                <w:sz w:val="22"/>
                <w:szCs w:val="22"/>
              </w:rPr>
              <w:footnoteReference w:id="8"/>
            </w:r>
            <w:r w:rsidR="00741C47" w:rsidRPr="00154E08">
              <w:rPr>
                <w:rFonts w:cs="Times New Roman"/>
                <w:sz w:val="22"/>
                <w:szCs w:val="22"/>
                <w:vertAlign w:val="superscript"/>
              </w:rPr>
              <w:t>)</w:t>
            </w:r>
            <w:r w:rsidR="009E22F4" w:rsidRPr="00154E08">
              <w:rPr>
                <w:rFonts w:cs="Times New Roman"/>
                <w:sz w:val="22"/>
                <w:szCs w:val="22"/>
              </w:rPr>
              <w:t xml:space="preserve"> </w:t>
            </w:r>
            <w:r w:rsidR="00CD7171" w:rsidRPr="00154E08">
              <w:rPr>
                <w:rFonts w:cs="Times New Roman"/>
                <w:sz w:val="22"/>
                <w:szCs w:val="22"/>
              </w:rPr>
              <w:t>Równolegle do floty pojazdów z</w:t>
            </w:r>
            <w:r w:rsidR="00D35CA6" w:rsidRPr="00154E08">
              <w:rPr>
                <w:rFonts w:cs="Times New Roman"/>
                <w:sz w:val="22"/>
                <w:szCs w:val="22"/>
              </w:rPr>
              <w:t> </w:t>
            </w:r>
            <w:r w:rsidR="00CD7171" w:rsidRPr="00154E08">
              <w:rPr>
                <w:rFonts w:cs="Times New Roman"/>
                <w:sz w:val="22"/>
                <w:szCs w:val="22"/>
              </w:rPr>
              <w:t xml:space="preserve">napędem elektrycznym rozwija się również infrastruktura ładowania. Pod koniec </w:t>
            </w:r>
            <w:r w:rsidR="007E628F" w:rsidRPr="00154E08">
              <w:rPr>
                <w:rFonts w:cs="Times New Roman"/>
                <w:sz w:val="22"/>
                <w:szCs w:val="22"/>
              </w:rPr>
              <w:t>stycznia</w:t>
            </w:r>
            <w:r w:rsidR="00BC7D22" w:rsidRPr="00154E08">
              <w:rPr>
                <w:rFonts w:cs="Times New Roman"/>
                <w:sz w:val="22"/>
                <w:szCs w:val="22"/>
              </w:rPr>
              <w:t xml:space="preserve"> </w:t>
            </w:r>
            <w:r w:rsidR="00CD7171" w:rsidRPr="00154E08">
              <w:rPr>
                <w:rFonts w:cs="Times New Roman"/>
                <w:sz w:val="22"/>
                <w:szCs w:val="22"/>
              </w:rPr>
              <w:t>202</w:t>
            </w:r>
            <w:r w:rsidR="007E628F" w:rsidRPr="00154E08">
              <w:rPr>
                <w:rFonts w:cs="Times New Roman"/>
                <w:sz w:val="22"/>
                <w:szCs w:val="22"/>
              </w:rPr>
              <w:t>4</w:t>
            </w:r>
            <w:r w:rsidR="00CD7171" w:rsidRPr="00154E08">
              <w:rPr>
                <w:rFonts w:cs="Times New Roman"/>
                <w:sz w:val="22"/>
                <w:szCs w:val="22"/>
              </w:rPr>
              <w:t xml:space="preserve"> r. w Polsce funkcjonowało </w:t>
            </w:r>
            <w:r w:rsidR="00212F79" w:rsidRPr="00154E08">
              <w:rPr>
                <w:rFonts w:cs="Times New Roman"/>
                <w:sz w:val="22"/>
                <w:szCs w:val="22"/>
              </w:rPr>
              <w:t>3</w:t>
            </w:r>
            <w:r w:rsidR="007E628F" w:rsidRPr="00154E08">
              <w:rPr>
                <w:rFonts w:cs="Times New Roman"/>
                <w:sz w:val="22"/>
                <w:szCs w:val="22"/>
              </w:rPr>
              <w:t>362</w:t>
            </w:r>
            <w:r w:rsidR="00212F79" w:rsidRPr="00154E08">
              <w:rPr>
                <w:rFonts w:cs="Times New Roman"/>
                <w:sz w:val="22"/>
                <w:szCs w:val="22"/>
              </w:rPr>
              <w:t xml:space="preserve"> </w:t>
            </w:r>
            <w:r w:rsidR="00CD7171" w:rsidRPr="00154E08">
              <w:rPr>
                <w:rFonts w:cs="Times New Roman"/>
                <w:sz w:val="22"/>
                <w:szCs w:val="22"/>
              </w:rPr>
              <w:lastRenderedPageBreak/>
              <w:t>ogólnodostępnych stacji ładowania pojazdów elektrycznych (</w:t>
            </w:r>
            <w:r w:rsidR="007E628F" w:rsidRPr="00154E08">
              <w:rPr>
                <w:rFonts w:cs="Times New Roman"/>
                <w:sz w:val="22"/>
                <w:szCs w:val="22"/>
              </w:rPr>
              <w:t>6086</w:t>
            </w:r>
            <w:r w:rsidR="00CD7171" w:rsidRPr="00154E08">
              <w:rPr>
                <w:rFonts w:cs="Times New Roman"/>
                <w:sz w:val="22"/>
                <w:szCs w:val="22"/>
              </w:rPr>
              <w:t xml:space="preserve"> punktów). </w:t>
            </w:r>
            <w:r w:rsidR="000B2C81" w:rsidRPr="00154E08">
              <w:rPr>
                <w:rFonts w:cs="Times New Roman"/>
                <w:sz w:val="22"/>
                <w:szCs w:val="22"/>
              </w:rPr>
              <w:t>S</w:t>
            </w:r>
            <w:r w:rsidR="00CD7171" w:rsidRPr="00154E08">
              <w:rPr>
                <w:rFonts w:cs="Times New Roman"/>
                <w:sz w:val="22"/>
                <w:szCs w:val="22"/>
              </w:rPr>
              <w:t>zybkie stacje ładowania prądem stałym (DC)</w:t>
            </w:r>
            <w:r w:rsidR="000B2C81" w:rsidRPr="00154E08">
              <w:rPr>
                <w:rFonts w:cs="Times New Roman"/>
                <w:sz w:val="22"/>
                <w:szCs w:val="22"/>
              </w:rPr>
              <w:t xml:space="preserve"> </w:t>
            </w:r>
            <w:r w:rsidR="00B376EA" w:rsidRPr="00154E08">
              <w:rPr>
                <w:rFonts w:cs="Times New Roman"/>
                <w:sz w:val="22"/>
                <w:szCs w:val="22"/>
              </w:rPr>
              <w:t xml:space="preserve">miały </w:t>
            </w:r>
            <w:r w:rsidR="000B2C81" w:rsidRPr="00154E08">
              <w:rPr>
                <w:rFonts w:cs="Times New Roman"/>
                <w:sz w:val="22"/>
                <w:szCs w:val="22"/>
              </w:rPr>
              <w:t>2</w:t>
            </w:r>
            <w:r w:rsidR="007E628F" w:rsidRPr="00154E08">
              <w:rPr>
                <w:rFonts w:cs="Times New Roman"/>
                <w:sz w:val="22"/>
                <w:szCs w:val="22"/>
              </w:rPr>
              <w:t>6</w:t>
            </w:r>
            <w:r w:rsidR="000B2C81" w:rsidRPr="00154E08">
              <w:rPr>
                <w:rFonts w:cs="Times New Roman"/>
                <w:sz w:val="22"/>
                <w:szCs w:val="22"/>
              </w:rPr>
              <w:t xml:space="preserve">% </w:t>
            </w:r>
            <w:r w:rsidR="00B376EA" w:rsidRPr="00154E08">
              <w:rPr>
                <w:rFonts w:cs="Times New Roman"/>
                <w:sz w:val="22"/>
                <w:szCs w:val="22"/>
              </w:rPr>
              <w:t>udział w rynku</w:t>
            </w:r>
            <w:r w:rsidR="00CD7171" w:rsidRPr="00154E08">
              <w:rPr>
                <w:rFonts w:cs="Times New Roman"/>
                <w:sz w:val="22"/>
                <w:szCs w:val="22"/>
              </w:rPr>
              <w:t>, a</w:t>
            </w:r>
            <w:r w:rsidR="00837D94" w:rsidRPr="00154E08">
              <w:rPr>
                <w:rFonts w:cs="Times New Roman"/>
                <w:sz w:val="22"/>
                <w:szCs w:val="22"/>
              </w:rPr>
              <w:t> </w:t>
            </w:r>
            <w:r w:rsidR="00CD7171" w:rsidRPr="00154E08">
              <w:rPr>
                <w:rFonts w:cs="Times New Roman"/>
                <w:sz w:val="22"/>
                <w:szCs w:val="22"/>
              </w:rPr>
              <w:t>7</w:t>
            </w:r>
            <w:r w:rsidR="007E628F" w:rsidRPr="00154E08">
              <w:rPr>
                <w:rFonts w:cs="Times New Roman"/>
                <w:sz w:val="22"/>
                <w:szCs w:val="22"/>
              </w:rPr>
              <w:t>4</w:t>
            </w:r>
            <w:r w:rsidR="00CD7171" w:rsidRPr="00154E08">
              <w:rPr>
                <w:rFonts w:cs="Times New Roman"/>
                <w:sz w:val="22"/>
                <w:szCs w:val="22"/>
              </w:rPr>
              <w:t>% –</w:t>
            </w:r>
            <w:r w:rsidR="00B376EA" w:rsidRPr="00154E08">
              <w:rPr>
                <w:rFonts w:cs="Times New Roman"/>
                <w:sz w:val="22"/>
                <w:szCs w:val="22"/>
              </w:rPr>
              <w:t xml:space="preserve"> stanowiły</w:t>
            </w:r>
            <w:r w:rsidR="00EE6030" w:rsidRPr="00154E08">
              <w:rPr>
                <w:rFonts w:cs="Times New Roman"/>
                <w:sz w:val="22"/>
                <w:szCs w:val="22"/>
              </w:rPr>
              <w:t xml:space="preserve"> </w:t>
            </w:r>
            <w:r w:rsidR="00CD7171" w:rsidRPr="00154E08">
              <w:rPr>
                <w:rFonts w:cs="Times New Roman"/>
                <w:sz w:val="22"/>
                <w:szCs w:val="22"/>
              </w:rPr>
              <w:t xml:space="preserve">ładowarki prądu przemiennego (AC) o mocy mniejszej lub równej 22 </w:t>
            </w:r>
            <w:proofErr w:type="spellStart"/>
            <w:r w:rsidR="00CD7171" w:rsidRPr="00154E08">
              <w:rPr>
                <w:rFonts w:cs="Times New Roman"/>
                <w:sz w:val="22"/>
                <w:szCs w:val="22"/>
              </w:rPr>
              <w:t>kW.</w:t>
            </w:r>
            <w:proofErr w:type="spellEnd"/>
            <w:r w:rsidR="00CD7171" w:rsidRPr="00154E08">
              <w:rPr>
                <w:rFonts w:cs="Times New Roman"/>
                <w:sz w:val="22"/>
                <w:szCs w:val="22"/>
              </w:rPr>
              <w:t xml:space="preserve"> </w:t>
            </w:r>
            <w:r w:rsidR="00C86CBE" w:rsidRPr="00154E08">
              <w:rPr>
                <w:rFonts w:cs="Times New Roman"/>
                <w:sz w:val="22"/>
                <w:szCs w:val="22"/>
              </w:rPr>
              <w:t>Poza</w:t>
            </w:r>
            <w:r w:rsidR="00B376EA" w:rsidRPr="00154E08">
              <w:rPr>
                <w:rFonts w:cs="Times New Roman"/>
                <w:sz w:val="22"/>
                <w:szCs w:val="22"/>
              </w:rPr>
              <w:t> </w:t>
            </w:r>
            <w:r w:rsidR="00C86CBE" w:rsidRPr="00154E08">
              <w:rPr>
                <w:rFonts w:cs="Times New Roman"/>
                <w:sz w:val="22"/>
                <w:szCs w:val="22"/>
              </w:rPr>
              <w:t>infrastrukturą ładowania</w:t>
            </w:r>
            <w:r w:rsidR="00EE1F6A" w:rsidRPr="00154E08">
              <w:rPr>
                <w:rFonts w:cs="Times New Roman"/>
                <w:sz w:val="22"/>
                <w:szCs w:val="22"/>
              </w:rPr>
              <w:t xml:space="preserve"> r</w:t>
            </w:r>
            <w:r w:rsidR="00937327" w:rsidRPr="00154E08">
              <w:rPr>
                <w:rFonts w:cs="Times New Roman"/>
                <w:sz w:val="22"/>
                <w:szCs w:val="22"/>
              </w:rPr>
              <w:t xml:space="preserve">ozwój </w:t>
            </w:r>
            <w:proofErr w:type="spellStart"/>
            <w:r w:rsidR="00E21FBE" w:rsidRPr="00154E08">
              <w:rPr>
                <w:rFonts w:cs="Times New Roman"/>
                <w:sz w:val="22"/>
                <w:szCs w:val="22"/>
              </w:rPr>
              <w:t>elektromobilności</w:t>
            </w:r>
            <w:proofErr w:type="spellEnd"/>
            <w:r w:rsidR="005065B8" w:rsidRPr="00154E08">
              <w:rPr>
                <w:rFonts w:cs="Times New Roman"/>
                <w:sz w:val="22"/>
                <w:szCs w:val="22"/>
              </w:rPr>
              <w:t> </w:t>
            </w:r>
            <w:r w:rsidR="00937327" w:rsidRPr="00154E08">
              <w:rPr>
                <w:rFonts w:cs="Times New Roman"/>
                <w:sz w:val="22"/>
                <w:szCs w:val="22"/>
              </w:rPr>
              <w:t>w</w:t>
            </w:r>
            <w:r w:rsidR="00EE1F6A" w:rsidRPr="00154E08">
              <w:rPr>
                <w:rFonts w:cs="Times New Roman"/>
                <w:sz w:val="22"/>
                <w:szCs w:val="22"/>
              </w:rPr>
              <w:t> </w:t>
            </w:r>
            <w:r w:rsidR="00937327" w:rsidRPr="00154E08">
              <w:rPr>
                <w:rFonts w:cs="Times New Roman"/>
                <w:sz w:val="22"/>
                <w:szCs w:val="22"/>
              </w:rPr>
              <w:t>skali globalnej</w:t>
            </w:r>
            <w:r w:rsidR="00F4362D" w:rsidRPr="00154E08">
              <w:rPr>
                <w:rFonts w:cs="Times New Roman"/>
                <w:sz w:val="22"/>
                <w:szCs w:val="22"/>
              </w:rPr>
              <w:t xml:space="preserve"> </w:t>
            </w:r>
            <w:r w:rsidR="00C86CBE" w:rsidRPr="00154E08">
              <w:rPr>
                <w:rFonts w:cs="Times New Roman"/>
                <w:sz w:val="22"/>
                <w:szCs w:val="22"/>
              </w:rPr>
              <w:t>wymaga obniżenia</w:t>
            </w:r>
            <w:r w:rsidR="002C72E7" w:rsidRPr="00154E08">
              <w:rPr>
                <w:rFonts w:cs="Times New Roman"/>
                <w:sz w:val="22"/>
                <w:szCs w:val="22"/>
              </w:rPr>
              <w:t xml:space="preserve"> </w:t>
            </w:r>
            <w:r w:rsidR="00970A14" w:rsidRPr="00154E08">
              <w:rPr>
                <w:rFonts w:cs="Times New Roman"/>
                <w:sz w:val="22"/>
                <w:szCs w:val="22"/>
              </w:rPr>
              <w:t>koszt</w:t>
            </w:r>
            <w:r w:rsidR="00C86CBE" w:rsidRPr="00154E08">
              <w:rPr>
                <w:rFonts w:cs="Times New Roman"/>
                <w:sz w:val="22"/>
                <w:szCs w:val="22"/>
              </w:rPr>
              <w:t>ów</w:t>
            </w:r>
            <w:r w:rsidR="00970A14" w:rsidRPr="00154E08">
              <w:rPr>
                <w:rFonts w:cs="Times New Roman"/>
                <w:sz w:val="22"/>
                <w:szCs w:val="22"/>
              </w:rPr>
              <w:t xml:space="preserve"> </w:t>
            </w:r>
            <w:r w:rsidR="002C72E7" w:rsidRPr="00154E08">
              <w:rPr>
                <w:rFonts w:cs="Times New Roman"/>
                <w:sz w:val="22"/>
                <w:szCs w:val="22"/>
              </w:rPr>
              <w:t xml:space="preserve">zakupu </w:t>
            </w:r>
            <w:r w:rsidR="005065B8" w:rsidRPr="00154E08">
              <w:rPr>
                <w:rFonts w:cs="Times New Roman"/>
                <w:sz w:val="22"/>
                <w:szCs w:val="22"/>
              </w:rPr>
              <w:t>baterii</w:t>
            </w:r>
            <w:r w:rsidR="00F65145" w:rsidRPr="00154E08">
              <w:rPr>
                <w:rFonts w:cs="Times New Roman"/>
                <w:sz w:val="22"/>
                <w:szCs w:val="22"/>
              </w:rPr>
              <w:t xml:space="preserve">, </w:t>
            </w:r>
            <w:r w:rsidR="005065B8" w:rsidRPr="00154E08">
              <w:rPr>
                <w:rFonts w:cs="Times New Roman"/>
                <w:sz w:val="22"/>
                <w:szCs w:val="22"/>
              </w:rPr>
              <w:t xml:space="preserve">aut, </w:t>
            </w:r>
            <w:r w:rsidR="00387A0D" w:rsidRPr="00154E08">
              <w:rPr>
                <w:rFonts w:cs="Times New Roman"/>
                <w:sz w:val="22"/>
                <w:szCs w:val="22"/>
              </w:rPr>
              <w:t>o</w:t>
            </w:r>
            <w:r w:rsidR="00723A5E" w:rsidRPr="00154E08">
              <w:rPr>
                <w:rFonts w:cs="Times New Roman"/>
                <w:sz w:val="22"/>
                <w:szCs w:val="22"/>
              </w:rPr>
              <w:t>fert koncernów mo</w:t>
            </w:r>
            <w:r w:rsidR="00D572CE" w:rsidRPr="00154E08">
              <w:rPr>
                <w:rFonts w:cs="Times New Roman"/>
                <w:sz w:val="22"/>
                <w:szCs w:val="22"/>
              </w:rPr>
              <w:t>toryzacyjnych w</w:t>
            </w:r>
            <w:r w:rsidR="009B5740" w:rsidRPr="00154E08">
              <w:rPr>
                <w:rFonts w:cs="Times New Roman"/>
                <w:sz w:val="22"/>
                <w:szCs w:val="22"/>
              </w:rPr>
              <w:t> </w:t>
            </w:r>
            <w:r w:rsidR="00D572CE" w:rsidRPr="00154E08">
              <w:rPr>
                <w:rFonts w:cs="Times New Roman"/>
                <w:sz w:val="22"/>
                <w:szCs w:val="22"/>
              </w:rPr>
              <w:t xml:space="preserve">zakresie </w:t>
            </w:r>
            <w:r w:rsidR="009B5740" w:rsidRPr="00154E08">
              <w:rPr>
                <w:rFonts w:cs="Times New Roman"/>
                <w:sz w:val="22"/>
                <w:szCs w:val="22"/>
              </w:rPr>
              <w:t>dostępnych modeli</w:t>
            </w:r>
            <w:r w:rsidR="00615934" w:rsidRPr="00154E08">
              <w:rPr>
                <w:rFonts w:cs="Times New Roman"/>
                <w:sz w:val="22"/>
                <w:szCs w:val="22"/>
              </w:rPr>
              <w:t>.</w:t>
            </w:r>
            <w:r w:rsidR="00CD3D09" w:rsidRPr="00154E08">
              <w:rPr>
                <w:rFonts w:cs="Times New Roman"/>
                <w:sz w:val="22"/>
                <w:szCs w:val="22"/>
              </w:rPr>
              <w:t xml:space="preserve"> </w:t>
            </w:r>
          </w:p>
          <w:p w14:paraId="39DCD8EB" w14:textId="5BCB7A57" w:rsidR="00B775D6" w:rsidRPr="00154E08" w:rsidRDefault="00A5766D" w:rsidP="00B279FD">
            <w:pPr>
              <w:spacing w:after="120" w:line="240" w:lineRule="auto"/>
              <w:jc w:val="both"/>
              <w:rPr>
                <w:rFonts w:cs="Times New Roman"/>
                <w:sz w:val="22"/>
                <w:szCs w:val="22"/>
              </w:rPr>
            </w:pPr>
            <w:proofErr w:type="spellStart"/>
            <w:r w:rsidRPr="00154E08">
              <w:rPr>
                <w:rFonts w:cs="Times New Roman"/>
                <w:sz w:val="22"/>
                <w:szCs w:val="22"/>
              </w:rPr>
              <w:t>Elektro</w:t>
            </w:r>
            <w:r w:rsidR="00CD3D09" w:rsidRPr="00154E08">
              <w:rPr>
                <w:rFonts w:cs="Times New Roman"/>
                <w:sz w:val="22"/>
                <w:szCs w:val="22"/>
              </w:rPr>
              <w:t>mobilność</w:t>
            </w:r>
            <w:proofErr w:type="spellEnd"/>
            <w:r w:rsidR="00CD3D09" w:rsidRPr="00154E08">
              <w:rPr>
                <w:rFonts w:cs="Times New Roman"/>
                <w:sz w:val="22"/>
                <w:szCs w:val="22"/>
              </w:rPr>
              <w:t xml:space="preserve"> jest postrzegana </w:t>
            </w:r>
            <w:r w:rsidR="00EA5BC5" w:rsidRPr="00154E08">
              <w:rPr>
                <w:rFonts w:cs="Times New Roman"/>
                <w:sz w:val="22"/>
                <w:szCs w:val="22"/>
              </w:rPr>
              <w:t xml:space="preserve">w polityce </w:t>
            </w:r>
            <w:r w:rsidR="00747072" w:rsidRPr="00154E08">
              <w:rPr>
                <w:rFonts w:cs="Times New Roman"/>
                <w:sz w:val="22"/>
                <w:szCs w:val="22"/>
              </w:rPr>
              <w:t xml:space="preserve">UE </w:t>
            </w:r>
            <w:r w:rsidR="00CD3D09" w:rsidRPr="00154E08">
              <w:rPr>
                <w:rFonts w:cs="Times New Roman"/>
                <w:sz w:val="22"/>
                <w:szCs w:val="22"/>
              </w:rPr>
              <w:t>jako kluczow</w:t>
            </w:r>
            <w:r w:rsidR="00747072" w:rsidRPr="00154E08">
              <w:rPr>
                <w:rFonts w:cs="Times New Roman"/>
                <w:sz w:val="22"/>
                <w:szCs w:val="22"/>
              </w:rPr>
              <w:t>y</w:t>
            </w:r>
            <w:r w:rsidR="00CD3D09" w:rsidRPr="00154E08">
              <w:rPr>
                <w:rFonts w:cs="Times New Roman"/>
                <w:sz w:val="22"/>
                <w:szCs w:val="22"/>
              </w:rPr>
              <w:t xml:space="preserve"> instrument dekarbonizacji transport</w:t>
            </w:r>
            <w:r w:rsidR="00710064" w:rsidRPr="00154E08">
              <w:rPr>
                <w:rFonts w:cs="Times New Roman"/>
                <w:sz w:val="22"/>
                <w:szCs w:val="22"/>
              </w:rPr>
              <w:t>u</w:t>
            </w:r>
            <w:r w:rsidR="00CD3D09" w:rsidRPr="00154E08">
              <w:rPr>
                <w:rFonts w:cs="Times New Roman"/>
                <w:sz w:val="22"/>
                <w:szCs w:val="22"/>
              </w:rPr>
              <w:t xml:space="preserve">, </w:t>
            </w:r>
            <w:r w:rsidR="009B5740" w:rsidRPr="00154E08">
              <w:rPr>
                <w:rFonts w:cs="Times New Roman"/>
                <w:sz w:val="22"/>
                <w:szCs w:val="22"/>
              </w:rPr>
              <w:t xml:space="preserve">fundamentalny dla realizacji </w:t>
            </w:r>
            <w:r w:rsidR="00710064" w:rsidRPr="00154E08">
              <w:rPr>
                <w:rFonts w:cs="Times New Roman"/>
                <w:sz w:val="22"/>
                <w:szCs w:val="22"/>
              </w:rPr>
              <w:t>c</w:t>
            </w:r>
            <w:r w:rsidR="00CD3D09" w:rsidRPr="00154E08">
              <w:rPr>
                <w:rFonts w:cs="Times New Roman"/>
                <w:sz w:val="22"/>
                <w:szCs w:val="22"/>
              </w:rPr>
              <w:t>e</w:t>
            </w:r>
            <w:r w:rsidR="004B570C" w:rsidRPr="00154E08">
              <w:rPr>
                <w:rFonts w:cs="Times New Roman"/>
                <w:sz w:val="22"/>
                <w:szCs w:val="22"/>
              </w:rPr>
              <w:t>l</w:t>
            </w:r>
            <w:r w:rsidR="009B5740" w:rsidRPr="00154E08">
              <w:rPr>
                <w:rFonts w:cs="Times New Roman"/>
                <w:sz w:val="22"/>
                <w:szCs w:val="22"/>
              </w:rPr>
              <w:t>ów</w:t>
            </w:r>
            <w:r w:rsidR="00CD3D09" w:rsidRPr="00154E08">
              <w:rPr>
                <w:rFonts w:cs="Times New Roman"/>
                <w:sz w:val="22"/>
                <w:szCs w:val="22"/>
              </w:rPr>
              <w:t xml:space="preserve"> w</w:t>
            </w:r>
            <w:r w:rsidR="009B5740" w:rsidRPr="00154E08">
              <w:rPr>
                <w:rFonts w:cs="Times New Roman"/>
                <w:sz w:val="22"/>
                <w:szCs w:val="22"/>
              </w:rPr>
              <w:t> z</w:t>
            </w:r>
            <w:r w:rsidR="00CD3D09" w:rsidRPr="00154E08">
              <w:rPr>
                <w:rFonts w:cs="Times New Roman"/>
                <w:sz w:val="22"/>
                <w:szCs w:val="22"/>
              </w:rPr>
              <w:t>akresie redukcji emis</w:t>
            </w:r>
            <w:r w:rsidR="004B570C" w:rsidRPr="00154E08">
              <w:rPr>
                <w:rFonts w:cs="Times New Roman"/>
                <w:sz w:val="22"/>
                <w:szCs w:val="22"/>
              </w:rPr>
              <w:t>ji gazów cieplarnianych</w:t>
            </w:r>
            <w:r w:rsidR="00CD3D09" w:rsidRPr="00154E08">
              <w:rPr>
                <w:rFonts w:cs="Times New Roman"/>
                <w:sz w:val="22"/>
                <w:szCs w:val="22"/>
              </w:rPr>
              <w:t xml:space="preserve">. </w:t>
            </w:r>
          </w:p>
          <w:p w14:paraId="2C1E06EA" w14:textId="54C346E4" w:rsidR="00B775D6" w:rsidRPr="00154E08" w:rsidRDefault="0055762A" w:rsidP="00B279FD">
            <w:pPr>
              <w:spacing w:after="120" w:line="240" w:lineRule="auto"/>
              <w:jc w:val="both"/>
              <w:rPr>
                <w:rFonts w:cs="Times New Roman"/>
                <w:sz w:val="22"/>
                <w:szCs w:val="22"/>
              </w:rPr>
            </w:pPr>
            <w:r w:rsidRPr="00154E08">
              <w:rPr>
                <w:rFonts w:cs="Times New Roman"/>
                <w:sz w:val="22"/>
                <w:szCs w:val="22"/>
              </w:rPr>
              <w:t>W</w:t>
            </w:r>
            <w:r w:rsidR="00415568" w:rsidRPr="00154E08">
              <w:rPr>
                <w:rFonts w:cs="Times New Roman"/>
                <w:sz w:val="22"/>
                <w:szCs w:val="22"/>
              </w:rPr>
              <w:t xml:space="preserve">prowadzane </w:t>
            </w:r>
            <w:r w:rsidR="00EA5BC5" w:rsidRPr="00154E08">
              <w:rPr>
                <w:rFonts w:cs="Times New Roman"/>
                <w:sz w:val="22"/>
                <w:szCs w:val="22"/>
              </w:rPr>
              <w:t>regulac</w:t>
            </w:r>
            <w:r w:rsidR="00415568" w:rsidRPr="00154E08">
              <w:rPr>
                <w:rFonts w:cs="Times New Roman"/>
                <w:sz w:val="22"/>
                <w:szCs w:val="22"/>
              </w:rPr>
              <w:t xml:space="preserve">je </w:t>
            </w:r>
            <w:r w:rsidR="00EA5BC5" w:rsidRPr="00154E08">
              <w:rPr>
                <w:rFonts w:cs="Times New Roman"/>
                <w:sz w:val="22"/>
                <w:szCs w:val="22"/>
              </w:rPr>
              <w:t>wspierają rozwój rynku samochodów elektrycznych, w tym</w:t>
            </w:r>
            <w:r w:rsidR="00CD3D09" w:rsidRPr="00154E08">
              <w:rPr>
                <w:rFonts w:cs="Times New Roman"/>
                <w:sz w:val="22"/>
                <w:szCs w:val="22"/>
              </w:rPr>
              <w:t xml:space="preserve"> </w:t>
            </w:r>
            <w:r w:rsidR="00EE38DB" w:rsidRPr="00154E08">
              <w:rPr>
                <w:rFonts w:cs="Times New Roman"/>
                <w:sz w:val="22"/>
                <w:szCs w:val="22"/>
              </w:rPr>
              <w:t xml:space="preserve">w szczególności należy wskazać </w:t>
            </w:r>
            <w:r w:rsidR="00BB53A0" w:rsidRPr="00154E08">
              <w:rPr>
                <w:rFonts w:cs="Times New Roman"/>
                <w:sz w:val="22"/>
                <w:szCs w:val="22"/>
              </w:rPr>
              <w:t>–</w:t>
            </w:r>
            <w:r w:rsidR="00EE38DB" w:rsidRPr="00154E08">
              <w:rPr>
                <w:rFonts w:cs="Times New Roman"/>
                <w:sz w:val="22"/>
                <w:szCs w:val="22"/>
              </w:rPr>
              <w:t xml:space="preserve"> </w:t>
            </w:r>
            <w:r w:rsidR="00EA5BC5" w:rsidRPr="00154E08">
              <w:rPr>
                <w:rFonts w:cs="Times New Roman"/>
                <w:sz w:val="22"/>
                <w:szCs w:val="22"/>
              </w:rPr>
              <w:t>dyrektyw</w:t>
            </w:r>
            <w:r w:rsidR="00EE38DB" w:rsidRPr="00154E08">
              <w:rPr>
                <w:rFonts w:cs="Times New Roman"/>
                <w:sz w:val="22"/>
                <w:szCs w:val="22"/>
              </w:rPr>
              <w:t>ę</w:t>
            </w:r>
            <w:r w:rsidR="00E37F5E" w:rsidRPr="00154E08">
              <w:rPr>
                <w:rFonts w:cs="Times New Roman"/>
                <w:sz w:val="22"/>
                <w:szCs w:val="22"/>
              </w:rPr>
              <w:t xml:space="preserve"> Parlamentu Europejskiego i Rady</w:t>
            </w:r>
            <w:r w:rsidR="00EA5BC5" w:rsidRPr="00154E08">
              <w:rPr>
                <w:rFonts w:cs="Times New Roman"/>
                <w:sz w:val="22"/>
                <w:szCs w:val="22"/>
              </w:rPr>
              <w:t xml:space="preserve"> 2014/94/WE </w:t>
            </w:r>
            <w:r w:rsidR="00E37F5E" w:rsidRPr="00154E08">
              <w:rPr>
                <w:rFonts w:cs="Times New Roman"/>
                <w:sz w:val="22"/>
                <w:szCs w:val="22"/>
              </w:rPr>
              <w:t xml:space="preserve">z dnia 22 października 2014 r. </w:t>
            </w:r>
            <w:r w:rsidR="00EA5BC5" w:rsidRPr="00154E08">
              <w:rPr>
                <w:rFonts w:cs="Times New Roman"/>
                <w:sz w:val="22"/>
                <w:szCs w:val="22"/>
              </w:rPr>
              <w:t>w sp</w:t>
            </w:r>
            <w:r w:rsidR="009B5740" w:rsidRPr="00154E08">
              <w:rPr>
                <w:rFonts w:cs="Times New Roman"/>
                <w:sz w:val="22"/>
                <w:szCs w:val="22"/>
              </w:rPr>
              <w:t>r</w:t>
            </w:r>
            <w:r w:rsidR="00EA5BC5" w:rsidRPr="00154E08">
              <w:rPr>
                <w:rFonts w:cs="Times New Roman"/>
                <w:sz w:val="22"/>
                <w:szCs w:val="22"/>
              </w:rPr>
              <w:t>awie rozwoju infrastruktury paliw alternatywnych</w:t>
            </w:r>
            <w:r w:rsidR="00E37F5E" w:rsidRPr="00154E08">
              <w:rPr>
                <w:rFonts w:cs="Times New Roman"/>
                <w:sz w:val="22"/>
                <w:szCs w:val="22"/>
              </w:rPr>
              <w:t xml:space="preserve"> (Dz. Urz. UE L 307 z 28.10.2014, str. 1</w:t>
            </w:r>
            <w:r w:rsidR="00741C47" w:rsidRPr="00154E08">
              <w:rPr>
                <w:rFonts w:cs="Times New Roman"/>
                <w:sz w:val="22"/>
                <w:szCs w:val="22"/>
              </w:rPr>
              <w:t xml:space="preserve">, z </w:t>
            </w:r>
            <w:proofErr w:type="spellStart"/>
            <w:r w:rsidR="00741C47" w:rsidRPr="00154E08">
              <w:rPr>
                <w:rFonts w:cs="Times New Roman"/>
                <w:sz w:val="22"/>
                <w:szCs w:val="22"/>
              </w:rPr>
              <w:t>późn</w:t>
            </w:r>
            <w:proofErr w:type="spellEnd"/>
            <w:r w:rsidR="00741C47" w:rsidRPr="00154E08">
              <w:rPr>
                <w:rFonts w:cs="Times New Roman"/>
                <w:sz w:val="22"/>
                <w:szCs w:val="22"/>
              </w:rPr>
              <w:t xml:space="preserve">. </w:t>
            </w:r>
            <w:r w:rsidR="00BB53A0" w:rsidRPr="00154E08">
              <w:rPr>
                <w:rFonts w:cs="Times New Roman"/>
                <w:sz w:val="22"/>
                <w:szCs w:val="22"/>
              </w:rPr>
              <w:t>z</w:t>
            </w:r>
            <w:r w:rsidR="00741C47" w:rsidRPr="00154E08">
              <w:rPr>
                <w:rFonts w:cs="Times New Roman"/>
                <w:sz w:val="22"/>
                <w:szCs w:val="22"/>
              </w:rPr>
              <w:t>m.</w:t>
            </w:r>
            <w:r w:rsidR="00E37F5E" w:rsidRPr="00154E08">
              <w:rPr>
                <w:rFonts w:cs="Times New Roman"/>
                <w:sz w:val="22"/>
                <w:szCs w:val="22"/>
              </w:rPr>
              <w:t>)</w:t>
            </w:r>
            <w:r w:rsidR="00EA5BC5" w:rsidRPr="00154E08">
              <w:rPr>
                <w:rFonts w:cs="Times New Roman"/>
                <w:sz w:val="22"/>
                <w:szCs w:val="22"/>
              </w:rPr>
              <w:t>,</w:t>
            </w:r>
            <w:r w:rsidR="00684A87" w:rsidRPr="00154E08">
              <w:rPr>
                <w:rFonts w:cs="Times New Roman"/>
                <w:sz w:val="22"/>
                <w:szCs w:val="22"/>
              </w:rPr>
              <w:t xml:space="preserve"> </w:t>
            </w:r>
            <w:r w:rsidR="00741C47" w:rsidRPr="00154E08">
              <w:rPr>
                <w:rFonts w:cs="Times New Roman"/>
                <w:sz w:val="22"/>
                <w:szCs w:val="22"/>
              </w:rPr>
              <w:t>d</w:t>
            </w:r>
            <w:r w:rsidR="004B570C" w:rsidRPr="00154E08">
              <w:rPr>
                <w:rFonts w:cs="Times New Roman"/>
                <w:sz w:val="22"/>
                <w:szCs w:val="22"/>
              </w:rPr>
              <w:t>yrektyw</w:t>
            </w:r>
            <w:r w:rsidR="00EE38DB" w:rsidRPr="00154E08">
              <w:rPr>
                <w:rFonts w:cs="Times New Roman"/>
                <w:sz w:val="22"/>
                <w:szCs w:val="22"/>
              </w:rPr>
              <w:t>ę</w:t>
            </w:r>
            <w:r w:rsidR="004B570C" w:rsidRPr="00154E08">
              <w:rPr>
                <w:rFonts w:cs="Times New Roman"/>
                <w:sz w:val="22"/>
                <w:szCs w:val="22"/>
              </w:rPr>
              <w:t xml:space="preserve"> Parlamentu Europejskiego i Rady (UE) 2019/1161</w:t>
            </w:r>
            <w:r w:rsidR="00684A87" w:rsidRPr="00154E08">
              <w:rPr>
                <w:rFonts w:cs="Times New Roman"/>
                <w:sz w:val="22"/>
                <w:szCs w:val="22"/>
              </w:rPr>
              <w:t xml:space="preserve"> </w:t>
            </w:r>
            <w:r w:rsidR="00E37F5E" w:rsidRPr="00154E08">
              <w:rPr>
                <w:rFonts w:cs="Times New Roman"/>
                <w:sz w:val="22"/>
                <w:szCs w:val="22"/>
              </w:rPr>
              <w:t xml:space="preserve">z dnia 20 czerwca 2019 r. </w:t>
            </w:r>
            <w:r w:rsidR="004B570C" w:rsidRPr="00154E08">
              <w:rPr>
                <w:rFonts w:cs="Times New Roman"/>
                <w:sz w:val="22"/>
                <w:szCs w:val="22"/>
              </w:rPr>
              <w:t>zmieniając</w:t>
            </w:r>
            <w:r w:rsidR="00EE38DB" w:rsidRPr="00154E08">
              <w:rPr>
                <w:rFonts w:cs="Times New Roman"/>
                <w:sz w:val="22"/>
                <w:szCs w:val="22"/>
              </w:rPr>
              <w:t>ą</w:t>
            </w:r>
            <w:r w:rsidR="004B570C" w:rsidRPr="00154E08">
              <w:rPr>
                <w:rFonts w:cs="Times New Roman"/>
                <w:sz w:val="22"/>
                <w:szCs w:val="22"/>
              </w:rPr>
              <w:t xml:space="preserve"> dyrektywę 2009/33/WE w sprawie promowania ekologicznie czystych i energooszczędnych pojazdów transportu drogowego </w:t>
            </w:r>
            <w:r w:rsidR="00E37F5E" w:rsidRPr="00154E08">
              <w:rPr>
                <w:rFonts w:cs="Times New Roman"/>
                <w:sz w:val="22"/>
                <w:szCs w:val="22"/>
              </w:rPr>
              <w:t xml:space="preserve">(Dz. Urz. UE L 188 z </w:t>
            </w:r>
            <w:r w:rsidR="00787DC4" w:rsidRPr="00154E08">
              <w:rPr>
                <w:rFonts w:cs="Times New Roman"/>
                <w:sz w:val="22"/>
                <w:szCs w:val="22"/>
              </w:rPr>
              <w:t>12.07.2019, str. 11</w:t>
            </w:r>
            <w:r w:rsidR="00741C47" w:rsidRPr="00154E08">
              <w:rPr>
                <w:rFonts w:cs="Times New Roman"/>
                <w:sz w:val="22"/>
                <w:szCs w:val="22"/>
              </w:rPr>
              <w:t>6</w:t>
            </w:r>
            <w:r w:rsidR="00787DC4" w:rsidRPr="00154E08">
              <w:rPr>
                <w:rFonts w:cs="Times New Roman"/>
                <w:sz w:val="22"/>
                <w:szCs w:val="22"/>
              </w:rPr>
              <w:t xml:space="preserve">) </w:t>
            </w:r>
            <w:r w:rsidR="004B570C" w:rsidRPr="00154E08">
              <w:rPr>
                <w:rFonts w:cs="Times New Roman"/>
                <w:sz w:val="22"/>
                <w:szCs w:val="22"/>
              </w:rPr>
              <w:t xml:space="preserve">oraz </w:t>
            </w:r>
            <w:r w:rsidR="00741C47" w:rsidRPr="00154E08">
              <w:rPr>
                <w:rFonts w:cs="Times New Roman"/>
                <w:sz w:val="22"/>
                <w:szCs w:val="22"/>
              </w:rPr>
              <w:t>r</w:t>
            </w:r>
            <w:r w:rsidR="004B570C" w:rsidRPr="00154E08">
              <w:rPr>
                <w:rFonts w:cs="Times New Roman"/>
                <w:sz w:val="22"/>
                <w:szCs w:val="22"/>
              </w:rPr>
              <w:t>ozporządzeni</w:t>
            </w:r>
            <w:r w:rsidR="00EE38DB" w:rsidRPr="00154E08">
              <w:rPr>
                <w:rFonts w:cs="Times New Roman"/>
                <w:sz w:val="22"/>
                <w:szCs w:val="22"/>
              </w:rPr>
              <w:t>e</w:t>
            </w:r>
            <w:r w:rsidR="004B570C" w:rsidRPr="00154E08">
              <w:rPr>
                <w:rFonts w:cs="Times New Roman"/>
                <w:sz w:val="22"/>
                <w:szCs w:val="22"/>
              </w:rPr>
              <w:t xml:space="preserve"> Parlamentu Europejskiego i Rady </w:t>
            </w:r>
            <w:r w:rsidR="0054757A" w:rsidRPr="00154E08">
              <w:rPr>
                <w:rFonts w:cs="Times New Roman"/>
                <w:sz w:val="22"/>
                <w:szCs w:val="22"/>
              </w:rPr>
              <w:t>(UE) 2019/1242 z dnia 20 czerwca 2019</w:t>
            </w:r>
            <w:r w:rsidR="00331140" w:rsidRPr="00154E08">
              <w:rPr>
                <w:rFonts w:cs="Times New Roman"/>
                <w:sz w:val="22"/>
                <w:szCs w:val="22"/>
              </w:rPr>
              <w:t> </w:t>
            </w:r>
            <w:r w:rsidR="0054757A" w:rsidRPr="00154E08">
              <w:rPr>
                <w:rFonts w:cs="Times New Roman"/>
                <w:sz w:val="22"/>
                <w:szCs w:val="22"/>
              </w:rPr>
              <w:t xml:space="preserve">r. </w:t>
            </w:r>
            <w:r w:rsidR="004B570C" w:rsidRPr="00154E08">
              <w:rPr>
                <w:rFonts w:cs="Times New Roman"/>
                <w:sz w:val="22"/>
                <w:szCs w:val="22"/>
              </w:rPr>
              <w:t>określające</w:t>
            </w:r>
            <w:r w:rsidR="00B1122D" w:rsidRPr="00154E08">
              <w:rPr>
                <w:rFonts w:cs="Times New Roman"/>
                <w:sz w:val="22"/>
                <w:szCs w:val="22"/>
              </w:rPr>
              <w:t>go</w:t>
            </w:r>
            <w:r w:rsidR="004B570C" w:rsidRPr="00154E08">
              <w:rPr>
                <w:rFonts w:cs="Times New Roman"/>
                <w:sz w:val="22"/>
                <w:szCs w:val="22"/>
              </w:rPr>
              <w:t xml:space="preserve"> normy emisji CO</w:t>
            </w:r>
            <w:r w:rsidR="004B570C" w:rsidRPr="00154E08">
              <w:rPr>
                <w:rFonts w:cs="Times New Roman"/>
                <w:sz w:val="22"/>
                <w:szCs w:val="22"/>
                <w:vertAlign w:val="subscript"/>
              </w:rPr>
              <w:t>2</w:t>
            </w:r>
            <w:r w:rsidR="004B570C" w:rsidRPr="00154E08">
              <w:rPr>
                <w:rFonts w:cs="Times New Roman"/>
                <w:sz w:val="22"/>
                <w:szCs w:val="22"/>
              </w:rPr>
              <w:t xml:space="preserve"> dla nowych pojazdów ciężkich oraz </w:t>
            </w:r>
            <w:r w:rsidR="00B1122D" w:rsidRPr="00154E08">
              <w:rPr>
                <w:rFonts w:cs="Times New Roman"/>
                <w:sz w:val="22"/>
                <w:szCs w:val="22"/>
              </w:rPr>
              <w:t>zmieniającego</w:t>
            </w:r>
            <w:r w:rsidR="004B570C" w:rsidRPr="00154E08">
              <w:rPr>
                <w:rFonts w:cs="Times New Roman"/>
                <w:sz w:val="22"/>
                <w:szCs w:val="22"/>
              </w:rPr>
              <w:t xml:space="preserve"> rozporządzenie Parlamentu Europejskiego i Rady (WE) nr</w:t>
            </w:r>
            <w:r w:rsidR="00DC7A9F" w:rsidRPr="00154E08">
              <w:rPr>
                <w:rFonts w:cs="Times New Roman"/>
                <w:sz w:val="22"/>
                <w:szCs w:val="22"/>
              </w:rPr>
              <w:t> </w:t>
            </w:r>
            <w:r w:rsidR="004B570C" w:rsidRPr="00154E08">
              <w:rPr>
                <w:rFonts w:cs="Times New Roman"/>
                <w:sz w:val="22"/>
                <w:szCs w:val="22"/>
              </w:rPr>
              <w:t>595/2009 i (UE) 2018/956 oraz dyrektywę Rady 96/53/WE</w:t>
            </w:r>
            <w:r w:rsidR="00787DC4" w:rsidRPr="00154E08">
              <w:rPr>
                <w:rFonts w:cs="Times New Roman"/>
                <w:sz w:val="22"/>
                <w:szCs w:val="22"/>
              </w:rPr>
              <w:t xml:space="preserve"> (Dz. Urz. UE L 198 z 25.07.2019, str. 202)</w:t>
            </w:r>
            <w:r w:rsidR="002A35EF" w:rsidRPr="00154E08">
              <w:rPr>
                <w:rFonts w:cs="Times New Roman"/>
                <w:sz w:val="22"/>
                <w:szCs w:val="22"/>
              </w:rPr>
              <w:t xml:space="preserve">. </w:t>
            </w:r>
            <w:r w:rsidR="00EE38DB" w:rsidRPr="00154E08">
              <w:rPr>
                <w:rFonts w:cs="Times New Roman"/>
                <w:sz w:val="22"/>
                <w:szCs w:val="22"/>
              </w:rPr>
              <w:t xml:space="preserve">Należy zaznaczyć, iż większość z tych przepisów została znowelizowana w ramach pakietu Fit for 55, który podwyższył przyjęte wcześniej cele. </w:t>
            </w:r>
            <w:r w:rsidR="00A4463C" w:rsidRPr="00154E08">
              <w:rPr>
                <w:rFonts w:cs="Times New Roman"/>
                <w:sz w:val="22"/>
                <w:szCs w:val="22"/>
              </w:rPr>
              <w:t>W praktyce w</w:t>
            </w:r>
            <w:r w:rsidR="002A35EF" w:rsidRPr="00154E08">
              <w:rPr>
                <w:rFonts w:cs="Times New Roman"/>
                <w:sz w:val="22"/>
                <w:szCs w:val="22"/>
              </w:rPr>
              <w:t xml:space="preserve">drożenie ww. przepisów </w:t>
            </w:r>
            <w:r w:rsidR="00772EF9" w:rsidRPr="00154E08">
              <w:rPr>
                <w:rFonts w:cs="Times New Roman"/>
                <w:sz w:val="22"/>
                <w:szCs w:val="22"/>
              </w:rPr>
              <w:t xml:space="preserve">tworzy </w:t>
            </w:r>
            <w:r w:rsidR="0091043C" w:rsidRPr="00154E08">
              <w:rPr>
                <w:rFonts w:cs="Times New Roman"/>
                <w:sz w:val="22"/>
                <w:szCs w:val="22"/>
              </w:rPr>
              <w:t xml:space="preserve">presję na </w:t>
            </w:r>
            <w:r w:rsidR="0045276A" w:rsidRPr="00154E08">
              <w:rPr>
                <w:rFonts w:cs="Times New Roman"/>
                <w:sz w:val="22"/>
                <w:szCs w:val="22"/>
              </w:rPr>
              <w:t xml:space="preserve">szybką </w:t>
            </w:r>
            <w:r w:rsidR="0091043C" w:rsidRPr="00154E08">
              <w:rPr>
                <w:rFonts w:cs="Times New Roman"/>
                <w:sz w:val="22"/>
                <w:szCs w:val="22"/>
              </w:rPr>
              <w:t>rozbudow</w:t>
            </w:r>
            <w:r w:rsidR="00E30E11" w:rsidRPr="00154E08">
              <w:rPr>
                <w:rFonts w:cs="Times New Roman"/>
                <w:sz w:val="22"/>
                <w:szCs w:val="22"/>
              </w:rPr>
              <w:t>ę</w:t>
            </w:r>
            <w:r w:rsidR="002A35EF" w:rsidRPr="00154E08">
              <w:rPr>
                <w:rFonts w:cs="Times New Roman"/>
                <w:sz w:val="22"/>
                <w:szCs w:val="22"/>
              </w:rPr>
              <w:t xml:space="preserve"> floty przy równoczesn</w:t>
            </w:r>
            <w:r w:rsidR="00E30E11" w:rsidRPr="00154E08">
              <w:rPr>
                <w:rFonts w:cs="Times New Roman"/>
                <w:sz w:val="22"/>
                <w:szCs w:val="22"/>
              </w:rPr>
              <w:t xml:space="preserve">ym obowiązku </w:t>
            </w:r>
            <w:r w:rsidR="002A35EF" w:rsidRPr="00154E08">
              <w:rPr>
                <w:rFonts w:cs="Times New Roman"/>
                <w:sz w:val="22"/>
                <w:szCs w:val="22"/>
              </w:rPr>
              <w:t>rozbudow</w:t>
            </w:r>
            <w:r w:rsidR="00E30E11" w:rsidRPr="00154E08">
              <w:rPr>
                <w:rFonts w:cs="Times New Roman"/>
                <w:sz w:val="22"/>
                <w:szCs w:val="22"/>
              </w:rPr>
              <w:t>y</w:t>
            </w:r>
            <w:r w:rsidR="00415568" w:rsidRPr="00154E08">
              <w:rPr>
                <w:rFonts w:cs="Times New Roman"/>
                <w:sz w:val="22"/>
                <w:szCs w:val="22"/>
              </w:rPr>
              <w:t xml:space="preserve"> </w:t>
            </w:r>
            <w:r w:rsidR="002A35EF" w:rsidRPr="00154E08">
              <w:rPr>
                <w:rFonts w:cs="Times New Roman"/>
                <w:sz w:val="22"/>
                <w:szCs w:val="22"/>
              </w:rPr>
              <w:t xml:space="preserve">infrastruktury ładowania pojazdów elektrycznych. </w:t>
            </w:r>
          </w:p>
          <w:p w14:paraId="53A5CF82" w14:textId="738418CC" w:rsidR="00B775D6" w:rsidRPr="00154E08" w:rsidRDefault="002A35EF" w:rsidP="00B279FD">
            <w:pPr>
              <w:spacing w:after="120" w:line="240" w:lineRule="auto"/>
              <w:jc w:val="both"/>
              <w:rPr>
                <w:rFonts w:cs="Times New Roman"/>
                <w:sz w:val="22"/>
                <w:szCs w:val="22"/>
              </w:rPr>
            </w:pPr>
            <w:r w:rsidRPr="00154E08">
              <w:rPr>
                <w:rFonts w:cs="Times New Roman"/>
                <w:sz w:val="22"/>
                <w:szCs w:val="22"/>
              </w:rPr>
              <w:t>W opublikowanym przez Komisj</w:t>
            </w:r>
            <w:r w:rsidR="003F6152" w:rsidRPr="00154E08">
              <w:rPr>
                <w:rFonts w:cs="Times New Roman"/>
                <w:sz w:val="22"/>
                <w:szCs w:val="22"/>
              </w:rPr>
              <w:t>ę</w:t>
            </w:r>
            <w:r w:rsidRPr="00154E08">
              <w:rPr>
                <w:rFonts w:cs="Times New Roman"/>
                <w:sz w:val="22"/>
                <w:szCs w:val="22"/>
              </w:rPr>
              <w:t xml:space="preserve"> Europejsk</w:t>
            </w:r>
            <w:r w:rsidR="003F6152" w:rsidRPr="00154E08">
              <w:rPr>
                <w:rFonts w:cs="Times New Roman"/>
                <w:sz w:val="22"/>
                <w:szCs w:val="22"/>
              </w:rPr>
              <w:t>ą</w:t>
            </w:r>
            <w:r w:rsidRPr="00154E08">
              <w:rPr>
                <w:rFonts w:cs="Times New Roman"/>
                <w:sz w:val="22"/>
                <w:szCs w:val="22"/>
              </w:rPr>
              <w:t xml:space="preserve"> w grudniu 2019 r. </w:t>
            </w:r>
            <w:r w:rsidR="003F6152" w:rsidRPr="00154E08">
              <w:rPr>
                <w:rFonts w:cs="Times New Roman"/>
                <w:sz w:val="22"/>
                <w:szCs w:val="22"/>
              </w:rPr>
              <w:t xml:space="preserve">Europejskim </w:t>
            </w:r>
            <w:r w:rsidRPr="00154E08">
              <w:rPr>
                <w:rFonts w:cs="Times New Roman"/>
                <w:sz w:val="22"/>
                <w:szCs w:val="22"/>
              </w:rPr>
              <w:t>Zielonym Ładzie dekarbonizacja sektora transportowego stanowi jeden z filarów transformacji energetycznej i</w:t>
            </w:r>
            <w:r w:rsidR="00687688" w:rsidRPr="00154E08">
              <w:rPr>
                <w:rFonts w:cs="Times New Roman"/>
                <w:sz w:val="22"/>
                <w:szCs w:val="22"/>
              </w:rPr>
              <w:t> </w:t>
            </w:r>
            <w:r w:rsidRPr="00154E08">
              <w:rPr>
                <w:rFonts w:cs="Times New Roman"/>
                <w:sz w:val="22"/>
                <w:szCs w:val="22"/>
              </w:rPr>
              <w:t>przejścia na gospodarkę niskoemisyjną.</w:t>
            </w:r>
            <w:r w:rsidR="00A65E86" w:rsidRPr="00154E08">
              <w:rPr>
                <w:rFonts w:cs="Times New Roman"/>
                <w:sz w:val="22"/>
                <w:szCs w:val="22"/>
              </w:rPr>
              <w:t xml:space="preserve"> Do 2050 r. na poziomie europejskim założono redukcj</w:t>
            </w:r>
            <w:r w:rsidR="0091043C" w:rsidRPr="00154E08">
              <w:rPr>
                <w:rFonts w:cs="Times New Roman"/>
                <w:sz w:val="22"/>
                <w:szCs w:val="22"/>
              </w:rPr>
              <w:t>ę</w:t>
            </w:r>
            <w:r w:rsidR="00A65E86" w:rsidRPr="00154E08">
              <w:rPr>
                <w:rFonts w:cs="Times New Roman"/>
                <w:sz w:val="22"/>
                <w:szCs w:val="22"/>
              </w:rPr>
              <w:t xml:space="preserve"> emisji gazów cieplarnianych w transporcie o 90%.</w:t>
            </w:r>
            <w:r w:rsidR="00E30E11" w:rsidRPr="00154E08">
              <w:rPr>
                <w:rFonts w:cs="Times New Roman"/>
                <w:sz w:val="22"/>
                <w:szCs w:val="22"/>
              </w:rPr>
              <w:t xml:space="preserve"> </w:t>
            </w:r>
            <w:r w:rsidR="00E64F89" w:rsidRPr="00154E08">
              <w:rPr>
                <w:rFonts w:cs="Times New Roman"/>
                <w:sz w:val="22"/>
                <w:szCs w:val="22"/>
              </w:rPr>
              <w:t>Operacjonalizację Europejskiego Zielonego Ładu</w:t>
            </w:r>
            <w:r w:rsidR="00684A87" w:rsidRPr="00154E08">
              <w:rPr>
                <w:rFonts w:cs="Times New Roman"/>
                <w:sz w:val="22"/>
                <w:szCs w:val="22"/>
              </w:rPr>
              <w:t xml:space="preserve"> –</w:t>
            </w:r>
            <w:r w:rsidR="00E64F89" w:rsidRPr="00154E08">
              <w:rPr>
                <w:rFonts w:cs="Times New Roman"/>
                <w:sz w:val="22"/>
                <w:szCs w:val="22"/>
              </w:rPr>
              <w:t xml:space="preserve"> m.in.</w:t>
            </w:r>
            <w:r w:rsidR="007E64CA" w:rsidRPr="00154E08">
              <w:rPr>
                <w:rFonts w:cs="Times New Roman"/>
                <w:sz w:val="22"/>
                <w:szCs w:val="22"/>
              </w:rPr>
              <w:t> </w:t>
            </w:r>
            <w:r w:rsidR="00E64F89" w:rsidRPr="00154E08">
              <w:rPr>
                <w:rFonts w:cs="Times New Roman"/>
                <w:sz w:val="22"/>
                <w:szCs w:val="22"/>
              </w:rPr>
              <w:t>w zakresie dekarbonizacji transportu</w:t>
            </w:r>
            <w:r w:rsidR="00684A87" w:rsidRPr="00154E08">
              <w:rPr>
                <w:rFonts w:cs="Times New Roman"/>
                <w:sz w:val="22"/>
                <w:szCs w:val="22"/>
              </w:rPr>
              <w:t xml:space="preserve"> –</w:t>
            </w:r>
            <w:r w:rsidR="00E64F89" w:rsidRPr="00154E08">
              <w:rPr>
                <w:rFonts w:cs="Times New Roman"/>
                <w:sz w:val="22"/>
                <w:szCs w:val="22"/>
              </w:rPr>
              <w:t xml:space="preserve"> ma zapewnić Pakiet legislacyjny „Fit for 55”, opublikowany przez </w:t>
            </w:r>
            <w:r w:rsidR="00D63C4A" w:rsidRPr="00154E08">
              <w:rPr>
                <w:rFonts w:cs="Times New Roman"/>
                <w:sz w:val="22"/>
                <w:szCs w:val="22"/>
              </w:rPr>
              <w:t>KE</w:t>
            </w:r>
            <w:r w:rsidR="00E64F89" w:rsidRPr="00154E08">
              <w:rPr>
                <w:rFonts w:cs="Times New Roman"/>
                <w:sz w:val="22"/>
                <w:szCs w:val="22"/>
              </w:rPr>
              <w:t xml:space="preserve"> 14 lipca 2021 r.</w:t>
            </w:r>
            <w:r w:rsidR="0054757A" w:rsidRPr="00154E08">
              <w:rPr>
                <w:rFonts w:cs="Times New Roman"/>
                <w:sz w:val="22"/>
                <w:szCs w:val="22"/>
              </w:rPr>
              <w:t>,</w:t>
            </w:r>
            <w:r w:rsidR="00A4463C" w:rsidRPr="00154E08">
              <w:rPr>
                <w:rFonts w:cs="Times New Roman"/>
                <w:sz w:val="22"/>
                <w:szCs w:val="22"/>
              </w:rPr>
              <w:t xml:space="preserve"> a także </w:t>
            </w:r>
            <w:r w:rsidR="001852FB" w:rsidRPr="00154E08">
              <w:rPr>
                <w:rFonts w:cs="Times New Roman"/>
                <w:sz w:val="22"/>
                <w:szCs w:val="22"/>
              </w:rPr>
              <w:t>w</w:t>
            </w:r>
            <w:r w:rsidR="00A4463C" w:rsidRPr="00154E08">
              <w:rPr>
                <w:rFonts w:cs="Times New Roman"/>
                <w:sz w:val="22"/>
                <w:szCs w:val="22"/>
              </w:rPr>
              <w:t>prowadzona rewizja</w:t>
            </w:r>
            <w:r w:rsidR="00312F1E" w:rsidRPr="00154E08">
              <w:rPr>
                <w:rStyle w:val="Odwoanieprzypisudolnego"/>
                <w:rFonts w:cs="Times New Roman"/>
                <w:sz w:val="22"/>
                <w:szCs w:val="22"/>
              </w:rPr>
              <w:footnoteReference w:id="9"/>
            </w:r>
            <w:r w:rsidR="0054757A" w:rsidRPr="00154E08">
              <w:rPr>
                <w:rFonts w:cs="Times New Roman"/>
                <w:sz w:val="22"/>
                <w:szCs w:val="22"/>
                <w:vertAlign w:val="superscript"/>
              </w:rPr>
              <w:t>)</w:t>
            </w:r>
            <w:r w:rsidR="00A4463C" w:rsidRPr="00154E08">
              <w:rPr>
                <w:rFonts w:cs="Times New Roman"/>
                <w:sz w:val="22"/>
                <w:szCs w:val="22"/>
              </w:rPr>
              <w:t xml:space="preserve"> </w:t>
            </w:r>
            <w:r w:rsidR="004F754C" w:rsidRPr="00154E08">
              <w:rPr>
                <w:rFonts w:cs="Times New Roman"/>
                <w:sz w:val="22"/>
                <w:szCs w:val="22"/>
              </w:rPr>
              <w:t>d</w:t>
            </w:r>
            <w:r w:rsidR="00A4463C" w:rsidRPr="00154E08">
              <w:rPr>
                <w:rFonts w:cs="Times New Roman"/>
                <w:sz w:val="22"/>
                <w:szCs w:val="22"/>
              </w:rPr>
              <w:t>yrektywy RED</w:t>
            </w:r>
            <w:r w:rsidR="00F1557B" w:rsidRPr="00154E08">
              <w:rPr>
                <w:rFonts w:cs="Times New Roman"/>
                <w:sz w:val="22"/>
                <w:szCs w:val="22"/>
              </w:rPr>
              <w:t xml:space="preserve"> </w:t>
            </w:r>
            <w:r w:rsidR="00A4463C" w:rsidRPr="00154E08">
              <w:rPr>
                <w:rFonts w:cs="Times New Roman"/>
                <w:sz w:val="22"/>
                <w:szCs w:val="22"/>
              </w:rPr>
              <w:t>II.</w:t>
            </w:r>
          </w:p>
          <w:p w14:paraId="11988661" w14:textId="20E69FF8" w:rsidR="00B775D6" w:rsidRPr="00154E08" w:rsidRDefault="00537AEC" w:rsidP="00B279FD">
            <w:pPr>
              <w:spacing w:after="120" w:line="240" w:lineRule="auto"/>
              <w:jc w:val="both"/>
              <w:rPr>
                <w:rFonts w:cs="Times New Roman"/>
                <w:b/>
                <w:bCs/>
                <w:sz w:val="22"/>
                <w:szCs w:val="22"/>
              </w:rPr>
            </w:pPr>
            <w:r w:rsidRPr="00154E08">
              <w:rPr>
                <w:rFonts w:cs="Times New Roman"/>
                <w:sz w:val="22"/>
                <w:szCs w:val="22"/>
              </w:rPr>
              <w:t>W</w:t>
            </w:r>
            <w:r w:rsidR="00A51061" w:rsidRPr="00154E08">
              <w:rPr>
                <w:rFonts w:cs="Times New Roman"/>
                <w:sz w:val="22"/>
                <w:szCs w:val="22"/>
              </w:rPr>
              <w:t xml:space="preserve">skazane powyżej </w:t>
            </w:r>
            <w:r w:rsidRPr="00154E08">
              <w:rPr>
                <w:rFonts w:cs="Times New Roman"/>
                <w:sz w:val="22"/>
                <w:szCs w:val="22"/>
              </w:rPr>
              <w:t>ścieżki realizacji celów</w:t>
            </w:r>
            <w:r w:rsidR="00D57E54" w:rsidRPr="00154E08">
              <w:rPr>
                <w:rFonts w:cs="Times New Roman"/>
                <w:sz w:val="22"/>
                <w:szCs w:val="22"/>
              </w:rPr>
              <w:t xml:space="preserve"> w transporcie</w:t>
            </w:r>
            <w:r w:rsidR="007877F0" w:rsidRPr="00154E08">
              <w:rPr>
                <w:rFonts w:cs="Times New Roman"/>
                <w:sz w:val="22"/>
                <w:szCs w:val="22"/>
              </w:rPr>
              <w:t>,</w:t>
            </w:r>
            <w:r w:rsidR="00A51061" w:rsidRPr="00154E08">
              <w:rPr>
                <w:rFonts w:cs="Times New Roman"/>
                <w:sz w:val="22"/>
                <w:szCs w:val="22"/>
              </w:rPr>
              <w:t xml:space="preserve"> tj. </w:t>
            </w:r>
            <w:r w:rsidRPr="00154E08">
              <w:rPr>
                <w:rFonts w:cs="Times New Roman"/>
                <w:sz w:val="22"/>
                <w:szCs w:val="22"/>
              </w:rPr>
              <w:t xml:space="preserve">poprzez </w:t>
            </w:r>
            <w:r w:rsidR="00A51061" w:rsidRPr="00154E08">
              <w:rPr>
                <w:rFonts w:cs="Times New Roman"/>
                <w:sz w:val="22"/>
                <w:szCs w:val="22"/>
              </w:rPr>
              <w:t xml:space="preserve">wykorzystanie biopaliw II generacji oraz </w:t>
            </w:r>
            <w:r w:rsidR="00643F0B" w:rsidRPr="00154E08">
              <w:rPr>
                <w:rFonts w:cs="Times New Roman"/>
                <w:sz w:val="22"/>
                <w:szCs w:val="22"/>
              </w:rPr>
              <w:t>energii elektrycznej</w:t>
            </w:r>
            <w:r w:rsidR="009B5740" w:rsidRPr="00154E08">
              <w:rPr>
                <w:rFonts w:cs="Times New Roman"/>
                <w:sz w:val="22"/>
                <w:szCs w:val="22"/>
              </w:rPr>
              <w:t xml:space="preserve"> ze</w:t>
            </w:r>
            <w:r w:rsidR="00A4463C" w:rsidRPr="00154E08">
              <w:rPr>
                <w:rFonts w:cs="Times New Roman"/>
                <w:sz w:val="22"/>
                <w:szCs w:val="22"/>
              </w:rPr>
              <w:t> </w:t>
            </w:r>
            <w:r w:rsidR="009B5740" w:rsidRPr="00154E08">
              <w:rPr>
                <w:rFonts w:cs="Times New Roman"/>
                <w:sz w:val="22"/>
                <w:szCs w:val="22"/>
              </w:rPr>
              <w:t>źródeł OZE</w:t>
            </w:r>
            <w:r w:rsidR="007877F0" w:rsidRPr="00154E08">
              <w:rPr>
                <w:rFonts w:cs="Times New Roman"/>
                <w:sz w:val="22"/>
                <w:szCs w:val="22"/>
              </w:rPr>
              <w:t>,</w:t>
            </w:r>
            <w:r w:rsidR="00643F0B" w:rsidRPr="00154E08">
              <w:rPr>
                <w:rFonts w:cs="Times New Roman"/>
                <w:sz w:val="22"/>
                <w:szCs w:val="22"/>
              </w:rPr>
              <w:t xml:space="preserve"> </w:t>
            </w:r>
            <w:r w:rsidR="009B5740" w:rsidRPr="00154E08">
              <w:rPr>
                <w:rFonts w:cs="Times New Roman"/>
                <w:sz w:val="22"/>
                <w:szCs w:val="22"/>
              </w:rPr>
              <w:t>są</w:t>
            </w:r>
            <w:r w:rsidR="00643F0B" w:rsidRPr="00154E08">
              <w:rPr>
                <w:rFonts w:cs="Times New Roman"/>
                <w:sz w:val="22"/>
                <w:szCs w:val="22"/>
              </w:rPr>
              <w:t xml:space="preserve"> </w:t>
            </w:r>
            <w:r w:rsidR="003F6152" w:rsidRPr="00154E08">
              <w:rPr>
                <w:rFonts w:cs="Times New Roman"/>
                <w:sz w:val="22"/>
                <w:szCs w:val="22"/>
              </w:rPr>
              <w:t>w</w:t>
            </w:r>
            <w:r w:rsidR="009B5740" w:rsidRPr="00154E08">
              <w:rPr>
                <w:rFonts w:cs="Times New Roman"/>
                <w:sz w:val="22"/>
                <w:szCs w:val="22"/>
              </w:rPr>
              <w:t> </w:t>
            </w:r>
            <w:r w:rsidR="004F754C" w:rsidRPr="00154E08">
              <w:rPr>
                <w:rFonts w:cs="Times New Roman"/>
                <w:sz w:val="22"/>
                <w:szCs w:val="22"/>
              </w:rPr>
              <w:t xml:space="preserve">Rzeczypospolitej </w:t>
            </w:r>
            <w:r w:rsidR="00CE1975" w:rsidRPr="00154E08">
              <w:rPr>
                <w:rFonts w:cs="Times New Roman"/>
                <w:sz w:val="22"/>
                <w:szCs w:val="22"/>
              </w:rPr>
              <w:t>Pol</w:t>
            </w:r>
            <w:r w:rsidR="004F754C" w:rsidRPr="00154E08">
              <w:rPr>
                <w:rFonts w:cs="Times New Roman"/>
                <w:sz w:val="22"/>
                <w:szCs w:val="22"/>
              </w:rPr>
              <w:t>skiej</w:t>
            </w:r>
            <w:r w:rsidR="00CE1975" w:rsidRPr="00154E08">
              <w:rPr>
                <w:rFonts w:cs="Times New Roman"/>
                <w:sz w:val="22"/>
                <w:szCs w:val="22"/>
              </w:rPr>
              <w:t xml:space="preserve"> </w:t>
            </w:r>
            <w:r w:rsidR="00A4463C" w:rsidRPr="00154E08">
              <w:rPr>
                <w:rFonts w:cs="Times New Roman"/>
                <w:sz w:val="22"/>
                <w:szCs w:val="22"/>
              </w:rPr>
              <w:t xml:space="preserve">jeszcze </w:t>
            </w:r>
            <w:r w:rsidR="00D50463" w:rsidRPr="00154E08">
              <w:rPr>
                <w:rFonts w:cs="Times New Roman"/>
                <w:sz w:val="22"/>
                <w:szCs w:val="22"/>
              </w:rPr>
              <w:t>w</w:t>
            </w:r>
            <w:r w:rsidR="009E596C" w:rsidRPr="00154E08">
              <w:rPr>
                <w:rFonts w:cs="Times New Roman"/>
                <w:sz w:val="22"/>
                <w:szCs w:val="22"/>
              </w:rPr>
              <w:t> </w:t>
            </w:r>
            <w:r w:rsidR="00D50463" w:rsidRPr="00154E08">
              <w:rPr>
                <w:rFonts w:cs="Times New Roman"/>
                <w:sz w:val="22"/>
                <w:szCs w:val="22"/>
              </w:rPr>
              <w:t>początkowej fazie</w:t>
            </w:r>
            <w:r w:rsidR="00CE1975" w:rsidRPr="00154E08">
              <w:rPr>
                <w:rFonts w:cs="Times New Roman"/>
                <w:sz w:val="22"/>
                <w:szCs w:val="22"/>
              </w:rPr>
              <w:t xml:space="preserve"> rozwoju</w:t>
            </w:r>
            <w:r w:rsidR="00BF032F" w:rsidRPr="00154E08">
              <w:rPr>
                <w:rFonts w:cs="Times New Roman"/>
                <w:sz w:val="22"/>
                <w:szCs w:val="22"/>
              </w:rPr>
              <w:t xml:space="preserve">, a ich wdrożenie będzie wymagać znacznego wysiłku </w:t>
            </w:r>
            <w:r w:rsidR="001B2C52" w:rsidRPr="00154E08">
              <w:rPr>
                <w:rFonts w:cs="Times New Roman"/>
                <w:sz w:val="22"/>
                <w:szCs w:val="22"/>
              </w:rPr>
              <w:t xml:space="preserve">– organizacyjnego i </w:t>
            </w:r>
            <w:r w:rsidR="00BF032F" w:rsidRPr="00154E08">
              <w:rPr>
                <w:rFonts w:cs="Times New Roman"/>
                <w:sz w:val="22"/>
                <w:szCs w:val="22"/>
              </w:rPr>
              <w:t>finansowego</w:t>
            </w:r>
            <w:r w:rsidR="00750A7C" w:rsidRPr="00154E08">
              <w:rPr>
                <w:rFonts w:cs="Times New Roman"/>
                <w:sz w:val="22"/>
                <w:szCs w:val="22"/>
              </w:rPr>
              <w:t>.</w:t>
            </w:r>
            <w:r w:rsidR="003F6152" w:rsidRPr="00154E08">
              <w:rPr>
                <w:rFonts w:cs="Times New Roman"/>
                <w:sz w:val="22"/>
                <w:szCs w:val="22"/>
              </w:rPr>
              <w:t xml:space="preserve"> </w:t>
            </w:r>
            <w:r w:rsidR="00545819" w:rsidRPr="00154E08">
              <w:rPr>
                <w:rFonts w:cs="Times New Roman"/>
                <w:sz w:val="22"/>
                <w:szCs w:val="22"/>
              </w:rPr>
              <w:t xml:space="preserve">Wstępne potrzeby finansowe w </w:t>
            </w:r>
            <w:r w:rsidR="001B2C52" w:rsidRPr="00154E08">
              <w:rPr>
                <w:rFonts w:cs="Times New Roman"/>
                <w:sz w:val="22"/>
                <w:szCs w:val="22"/>
              </w:rPr>
              <w:t xml:space="preserve">tym </w:t>
            </w:r>
            <w:r w:rsidR="00545819" w:rsidRPr="00154E08">
              <w:rPr>
                <w:rFonts w:cs="Times New Roman"/>
                <w:sz w:val="22"/>
                <w:szCs w:val="22"/>
              </w:rPr>
              <w:t xml:space="preserve">zakresie </w:t>
            </w:r>
            <w:r w:rsidR="001B2C52" w:rsidRPr="00154E08">
              <w:rPr>
                <w:rFonts w:cs="Times New Roman"/>
                <w:sz w:val="22"/>
                <w:szCs w:val="22"/>
              </w:rPr>
              <w:t>wskazano w rozdziale 6.</w:t>
            </w:r>
          </w:p>
          <w:p w14:paraId="33DF5986" w14:textId="2DB83C14" w:rsidR="00CB29A4" w:rsidRPr="00154E08" w:rsidRDefault="00F44C8C" w:rsidP="00B279FD">
            <w:pPr>
              <w:spacing w:after="120" w:line="240" w:lineRule="auto"/>
              <w:jc w:val="both"/>
              <w:rPr>
                <w:rFonts w:cs="Times New Roman"/>
                <w:b/>
                <w:bCs/>
                <w:sz w:val="22"/>
                <w:szCs w:val="22"/>
              </w:rPr>
            </w:pPr>
            <w:r w:rsidRPr="00154E08">
              <w:rPr>
                <w:rFonts w:cs="Times New Roman"/>
                <w:sz w:val="22"/>
                <w:szCs w:val="22"/>
              </w:rPr>
              <w:t>R</w:t>
            </w:r>
            <w:r w:rsidR="0010423F" w:rsidRPr="00154E08">
              <w:rPr>
                <w:rFonts w:cs="Times New Roman"/>
                <w:sz w:val="22"/>
                <w:szCs w:val="22"/>
              </w:rPr>
              <w:t>ealizacj</w:t>
            </w:r>
            <w:r w:rsidRPr="00154E08">
              <w:rPr>
                <w:rFonts w:cs="Times New Roman"/>
                <w:sz w:val="22"/>
                <w:szCs w:val="22"/>
              </w:rPr>
              <w:t>a</w:t>
            </w:r>
            <w:r w:rsidR="0010423F" w:rsidRPr="00154E08">
              <w:rPr>
                <w:rFonts w:cs="Times New Roman"/>
                <w:sz w:val="22"/>
                <w:szCs w:val="22"/>
              </w:rPr>
              <w:t xml:space="preserve"> zobowiązań </w:t>
            </w:r>
            <w:r w:rsidR="00750A7C" w:rsidRPr="00154E08">
              <w:rPr>
                <w:rFonts w:cs="Times New Roman"/>
                <w:sz w:val="22"/>
                <w:szCs w:val="22"/>
              </w:rPr>
              <w:t xml:space="preserve">wynikających z </w:t>
            </w:r>
            <w:r w:rsidR="00936686" w:rsidRPr="00154E08">
              <w:rPr>
                <w:rFonts w:cs="Times New Roman"/>
                <w:sz w:val="22"/>
                <w:szCs w:val="22"/>
              </w:rPr>
              <w:t xml:space="preserve">wdrażanej </w:t>
            </w:r>
            <w:r w:rsidR="00787DC4" w:rsidRPr="00154E08">
              <w:rPr>
                <w:rFonts w:cs="Times New Roman"/>
                <w:sz w:val="22"/>
                <w:szCs w:val="22"/>
              </w:rPr>
              <w:t xml:space="preserve">dyrektywy </w:t>
            </w:r>
            <w:r w:rsidR="00750A7C" w:rsidRPr="00154E08">
              <w:rPr>
                <w:rFonts w:cs="Times New Roman"/>
                <w:sz w:val="22"/>
                <w:szCs w:val="22"/>
              </w:rPr>
              <w:t>RED</w:t>
            </w:r>
            <w:r w:rsidR="00F1557B" w:rsidRPr="00154E08">
              <w:rPr>
                <w:rFonts w:cs="Times New Roman"/>
                <w:sz w:val="22"/>
                <w:szCs w:val="22"/>
              </w:rPr>
              <w:t xml:space="preserve"> </w:t>
            </w:r>
            <w:r w:rsidR="00750A7C" w:rsidRPr="00154E08">
              <w:rPr>
                <w:rFonts w:cs="Times New Roman"/>
                <w:sz w:val="22"/>
                <w:szCs w:val="22"/>
              </w:rPr>
              <w:t>II</w:t>
            </w:r>
            <w:r w:rsidR="0010423F" w:rsidRPr="00154E08">
              <w:rPr>
                <w:rFonts w:cs="Times New Roman"/>
                <w:sz w:val="22"/>
                <w:szCs w:val="22"/>
              </w:rPr>
              <w:t xml:space="preserve"> w zakresie energ</w:t>
            </w:r>
            <w:r w:rsidRPr="00154E08">
              <w:rPr>
                <w:rFonts w:cs="Times New Roman"/>
                <w:sz w:val="22"/>
                <w:szCs w:val="22"/>
              </w:rPr>
              <w:t>i</w:t>
            </w:r>
            <w:r w:rsidR="0010423F" w:rsidRPr="00154E08">
              <w:rPr>
                <w:rFonts w:cs="Times New Roman"/>
                <w:sz w:val="22"/>
                <w:szCs w:val="22"/>
              </w:rPr>
              <w:t xml:space="preserve">i odnawialnej </w:t>
            </w:r>
            <w:r w:rsidRPr="00154E08">
              <w:rPr>
                <w:rFonts w:cs="Times New Roman"/>
                <w:sz w:val="22"/>
                <w:szCs w:val="22"/>
              </w:rPr>
              <w:t>stosowanej w</w:t>
            </w:r>
            <w:r w:rsidR="00BD419E" w:rsidRPr="00154E08">
              <w:rPr>
                <w:rFonts w:cs="Times New Roman"/>
                <w:sz w:val="22"/>
                <w:szCs w:val="22"/>
              </w:rPr>
              <w:t> </w:t>
            </w:r>
            <w:r w:rsidRPr="00154E08">
              <w:rPr>
                <w:rFonts w:cs="Times New Roman"/>
                <w:sz w:val="22"/>
                <w:szCs w:val="22"/>
              </w:rPr>
              <w:t>transporcie</w:t>
            </w:r>
            <w:r w:rsidR="00CF165E" w:rsidRPr="00154E08">
              <w:rPr>
                <w:rFonts w:cs="Times New Roman"/>
                <w:sz w:val="22"/>
                <w:szCs w:val="22"/>
              </w:rPr>
              <w:t>, wymaga w</w:t>
            </w:r>
            <w:r w:rsidRPr="00154E08">
              <w:rPr>
                <w:rFonts w:cs="Times New Roman"/>
                <w:sz w:val="22"/>
                <w:szCs w:val="22"/>
              </w:rPr>
              <w:t>ytyczeni</w:t>
            </w:r>
            <w:r w:rsidR="00CF165E" w:rsidRPr="00154E08">
              <w:rPr>
                <w:rFonts w:cs="Times New Roman"/>
                <w:sz w:val="22"/>
                <w:szCs w:val="22"/>
              </w:rPr>
              <w:t>a</w:t>
            </w:r>
            <w:r w:rsidRPr="00154E08">
              <w:rPr>
                <w:rFonts w:cs="Times New Roman"/>
                <w:sz w:val="22"/>
                <w:szCs w:val="22"/>
              </w:rPr>
              <w:t xml:space="preserve"> krajowej ścieżki</w:t>
            </w:r>
            <w:r w:rsidR="0010423F" w:rsidRPr="00154E08">
              <w:rPr>
                <w:rFonts w:cs="Times New Roman"/>
                <w:sz w:val="22"/>
                <w:szCs w:val="22"/>
              </w:rPr>
              <w:t xml:space="preserve"> </w:t>
            </w:r>
            <w:r w:rsidR="001A6DE7" w:rsidRPr="00154E08">
              <w:rPr>
                <w:rFonts w:cs="Times New Roman"/>
                <w:sz w:val="22"/>
                <w:szCs w:val="22"/>
              </w:rPr>
              <w:t>realizacji</w:t>
            </w:r>
            <w:r w:rsidR="00DA13CA" w:rsidRPr="00154E08">
              <w:rPr>
                <w:rFonts w:cs="Times New Roman"/>
                <w:sz w:val="22"/>
                <w:szCs w:val="22"/>
              </w:rPr>
              <w:t xml:space="preserve"> </w:t>
            </w:r>
            <w:r w:rsidR="00CF165E" w:rsidRPr="00154E08">
              <w:rPr>
                <w:rFonts w:cs="Times New Roman"/>
                <w:sz w:val="22"/>
                <w:szCs w:val="22"/>
              </w:rPr>
              <w:t xml:space="preserve">i </w:t>
            </w:r>
            <w:r w:rsidR="00C02DDE" w:rsidRPr="00154E08">
              <w:rPr>
                <w:rFonts w:cs="Times New Roman"/>
                <w:sz w:val="22"/>
                <w:szCs w:val="22"/>
              </w:rPr>
              <w:t>wypracowania</w:t>
            </w:r>
            <w:r w:rsidR="00257B7B" w:rsidRPr="00154E08">
              <w:rPr>
                <w:rFonts w:cs="Times New Roman"/>
                <w:sz w:val="22"/>
                <w:szCs w:val="22"/>
              </w:rPr>
              <w:t xml:space="preserve"> </w:t>
            </w:r>
            <w:r w:rsidR="00EA7D4A" w:rsidRPr="00154E08">
              <w:rPr>
                <w:rFonts w:cs="Times New Roman"/>
                <w:sz w:val="22"/>
                <w:szCs w:val="22"/>
              </w:rPr>
              <w:t>optymalnych</w:t>
            </w:r>
            <w:r w:rsidR="0010423F" w:rsidRPr="00154E08">
              <w:rPr>
                <w:rFonts w:cs="Times New Roman"/>
                <w:sz w:val="22"/>
                <w:szCs w:val="22"/>
              </w:rPr>
              <w:t xml:space="preserve"> regulacji prawnych</w:t>
            </w:r>
            <w:r w:rsidR="006F5900" w:rsidRPr="00154E08">
              <w:rPr>
                <w:rFonts w:cs="Times New Roman"/>
                <w:sz w:val="22"/>
                <w:szCs w:val="22"/>
              </w:rPr>
              <w:t xml:space="preserve">, które będą </w:t>
            </w:r>
            <w:r w:rsidR="0010423F" w:rsidRPr="00154E08">
              <w:rPr>
                <w:rFonts w:cs="Times New Roman"/>
                <w:sz w:val="22"/>
                <w:szCs w:val="22"/>
              </w:rPr>
              <w:t>stymulować</w:t>
            </w:r>
            <w:r w:rsidR="00CD6F2B" w:rsidRPr="00154E08">
              <w:rPr>
                <w:rFonts w:cs="Times New Roman"/>
                <w:sz w:val="22"/>
                <w:szCs w:val="22"/>
              </w:rPr>
              <w:t xml:space="preserve"> zintegrowany</w:t>
            </w:r>
            <w:r w:rsidR="0010423F" w:rsidRPr="00154E08">
              <w:rPr>
                <w:rFonts w:cs="Times New Roman"/>
                <w:sz w:val="22"/>
                <w:szCs w:val="22"/>
              </w:rPr>
              <w:t xml:space="preserve"> rozwój </w:t>
            </w:r>
            <w:r w:rsidR="0091043C" w:rsidRPr="00154E08">
              <w:rPr>
                <w:rFonts w:cs="Times New Roman"/>
                <w:sz w:val="22"/>
                <w:szCs w:val="22"/>
              </w:rPr>
              <w:t xml:space="preserve">niskoemisyjnego </w:t>
            </w:r>
            <w:r w:rsidRPr="00154E08">
              <w:rPr>
                <w:rFonts w:cs="Times New Roman"/>
                <w:sz w:val="22"/>
                <w:szCs w:val="22"/>
              </w:rPr>
              <w:t>transportu.</w:t>
            </w:r>
          </w:p>
        </w:tc>
        <w:tc>
          <w:tcPr>
            <w:tcW w:w="1256" w:type="dxa"/>
          </w:tcPr>
          <w:p w14:paraId="5574DFD3" w14:textId="77777777" w:rsidR="00250BF6" w:rsidRPr="00154E08" w:rsidRDefault="00250BF6">
            <w:pPr>
              <w:rPr>
                <w:rFonts w:cs="Times New Roman"/>
                <w:sz w:val="22"/>
                <w:szCs w:val="22"/>
              </w:rPr>
            </w:pPr>
          </w:p>
          <w:p w14:paraId="5771B774" w14:textId="77777777" w:rsidR="00F025AB" w:rsidRPr="00154E08" w:rsidRDefault="00F025AB" w:rsidP="00F025AB">
            <w:pPr>
              <w:rPr>
                <w:rFonts w:cs="Times New Roman"/>
                <w:sz w:val="22"/>
                <w:szCs w:val="22"/>
              </w:rPr>
            </w:pPr>
          </w:p>
          <w:p w14:paraId="1684962B" w14:textId="77777777" w:rsidR="00F025AB" w:rsidRPr="00154E08" w:rsidRDefault="00F025AB" w:rsidP="00F025AB">
            <w:pPr>
              <w:rPr>
                <w:rFonts w:cs="Times New Roman"/>
                <w:sz w:val="22"/>
                <w:szCs w:val="22"/>
              </w:rPr>
            </w:pPr>
          </w:p>
          <w:p w14:paraId="478257E7" w14:textId="77777777" w:rsidR="00F025AB" w:rsidRPr="00154E08" w:rsidRDefault="00F025AB" w:rsidP="00F025AB">
            <w:pPr>
              <w:rPr>
                <w:rFonts w:cs="Times New Roman"/>
                <w:sz w:val="22"/>
                <w:szCs w:val="22"/>
              </w:rPr>
            </w:pPr>
          </w:p>
          <w:p w14:paraId="1A7A35F6" w14:textId="6E731C0C" w:rsidR="00F025AB" w:rsidRPr="00154E08" w:rsidRDefault="00F025AB" w:rsidP="00A346AB">
            <w:pPr>
              <w:tabs>
                <w:tab w:val="left" w:pos="400"/>
              </w:tabs>
              <w:rPr>
                <w:rFonts w:cs="Times New Roman"/>
                <w:sz w:val="22"/>
                <w:szCs w:val="22"/>
              </w:rPr>
            </w:pPr>
            <w:r w:rsidRPr="00154E08">
              <w:rPr>
                <w:rFonts w:cs="Times New Roman"/>
                <w:sz w:val="22"/>
                <w:szCs w:val="22"/>
              </w:rPr>
              <w:tab/>
            </w:r>
          </w:p>
        </w:tc>
      </w:tr>
      <w:tr w:rsidR="00B432CA" w:rsidRPr="00154E08" w14:paraId="6AB7AB7D"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center"/>
          </w:tcPr>
          <w:p w14:paraId="651EE316" w14:textId="738E32DB" w:rsidR="00250BF6" w:rsidRPr="00154E08" w:rsidRDefault="00B276A2">
            <w:pPr>
              <w:numPr>
                <w:ilvl w:val="0"/>
                <w:numId w:val="1"/>
              </w:numPr>
              <w:spacing w:before="60" w:after="60" w:line="240" w:lineRule="auto"/>
              <w:ind w:left="318" w:hanging="284"/>
              <w:jc w:val="both"/>
              <w:rPr>
                <w:rFonts w:eastAsia="Calibri" w:cs="Times New Roman"/>
                <w:b/>
                <w:color w:val="000000"/>
                <w:sz w:val="22"/>
                <w:szCs w:val="22"/>
              </w:rPr>
            </w:pPr>
            <w:r w:rsidRPr="00154E08">
              <w:rPr>
                <w:rFonts w:eastAsia="Calibri" w:cs="Times New Roman"/>
                <w:b/>
                <w:color w:val="000000"/>
                <w:spacing w:val="-2"/>
                <w:sz w:val="22"/>
                <w:szCs w:val="22"/>
              </w:rPr>
              <w:lastRenderedPageBreak/>
              <w:t xml:space="preserve"> </w:t>
            </w:r>
            <w:r w:rsidR="00CE3FE5" w:rsidRPr="00154E08">
              <w:rPr>
                <w:rFonts w:eastAsia="Calibri" w:cs="Times New Roman"/>
                <w:b/>
                <w:color w:val="000000"/>
                <w:spacing w:val="-2"/>
                <w:sz w:val="22"/>
                <w:szCs w:val="22"/>
              </w:rPr>
              <w:t>Rekomendowane rozwiązanie, w tym planowane narzędzia interwencji i oczekiwany efekt</w:t>
            </w:r>
          </w:p>
        </w:tc>
        <w:tc>
          <w:tcPr>
            <w:tcW w:w="1256" w:type="dxa"/>
          </w:tcPr>
          <w:p w14:paraId="6CFAC07F" w14:textId="77777777" w:rsidR="00250BF6" w:rsidRPr="00154E08" w:rsidRDefault="00250BF6">
            <w:pPr>
              <w:rPr>
                <w:rFonts w:cs="Times New Roman"/>
                <w:sz w:val="22"/>
                <w:szCs w:val="22"/>
              </w:rPr>
            </w:pPr>
          </w:p>
        </w:tc>
      </w:tr>
      <w:tr w:rsidR="00B432CA" w:rsidRPr="00154E08" w14:paraId="15DF03FD"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688F2E" w14:textId="0012A46F" w:rsidR="00F564DD" w:rsidRPr="00154E08" w:rsidRDefault="00F564DD" w:rsidP="00B279FD">
            <w:pPr>
              <w:spacing w:after="120" w:line="240" w:lineRule="auto"/>
              <w:jc w:val="both"/>
              <w:rPr>
                <w:rFonts w:eastAsia="Calibri" w:cs="Times New Roman"/>
                <w:color w:val="000000"/>
                <w:sz w:val="22"/>
                <w:szCs w:val="22"/>
                <w:lang w:eastAsia="en-US"/>
              </w:rPr>
            </w:pPr>
            <w:r w:rsidRPr="00154E08">
              <w:rPr>
                <w:rFonts w:eastAsia="Calibri" w:cs="Times New Roman"/>
                <w:color w:val="000000" w:themeColor="text1"/>
                <w:sz w:val="22"/>
                <w:szCs w:val="22"/>
              </w:rPr>
              <w:t>Rozwiązaniem kwestii, które zostały nakreślone i opisane w pkt</w:t>
            </w:r>
            <w:r w:rsidR="00A65FCA" w:rsidRPr="00154E08">
              <w:rPr>
                <w:rFonts w:eastAsia="Calibri" w:cs="Times New Roman"/>
                <w:color w:val="000000" w:themeColor="text1"/>
                <w:sz w:val="22"/>
                <w:szCs w:val="22"/>
              </w:rPr>
              <w:t>.</w:t>
            </w:r>
            <w:r w:rsidRPr="00154E08">
              <w:rPr>
                <w:rFonts w:eastAsia="Calibri" w:cs="Times New Roman"/>
                <w:color w:val="000000" w:themeColor="text1"/>
                <w:sz w:val="22"/>
                <w:szCs w:val="22"/>
              </w:rPr>
              <w:t xml:space="preserve"> 1 jest nowelizacja obowiązującego aktu prawnego –</w:t>
            </w:r>
            <w:r w:rsidR="00CB29A4" w:rsidRPr="00154E08">
              <w:rPr>
                <w:rFonts w:eastAsia="Calibri" w:cs="Times New Roman"/>
                <w:color w:val="000000" w:themeColor="text1"/>
                <w:sz w:val="22"/>
                <w:szCs w:val="22"/>
              </w:rPr>
              <w:t xml:space="preserve"> </w:t>
            </w:r>
            <w:r w:rsidRPr="00154E08">
              <w:rPr>
                <w:rFonts w:eastAsia="Calibri" w:cs="Times New Roman"/>
                <w:iCs/>
                <w:color w:val="000000" w:themeColor="text1"/>
                <w:sz w:val="22"/>
                <w:szCs w:val="22"/>
              </w:rPr>
              <w:t>ustawy</w:t>
            </w:r>
            <w:r w:rsidRPr="00154E08">
              <w:rPr>
                <w:rFonts w:eastAsia="Calibri" w:cs="Times New Roman"/>
                <w:color w:val="000000" w:themeColor="text1"/>
                <w:sz w:val="22"/>
                <w:szCs w:val="22"/>
              </w:rPr>
              <w:t xml:space="preserve"> z</w:t>
            </w:r>
            <w:r w:rsidR="00991C30" w:rsidRPr="00154E08">
              <w:rPr>
                <w:rFonts w:eastAsia="Calibri" w:cs="Times New Roman"/>
                <w:color w:val="000000" w:themeColor="text1"/>
                <w:sz w:val="22"/>
                <w:szCs w:val="22"/>
              </w:rPr>
              <w:t> </w:t>
            </w:r>
            <w:r w:rsidRPr="00154E08">
              <w:rPr>
                <w:rFonts w:eastAsia="Calibri" w:cs="Times New Roman"/>
                <w:color w:val="000000" w:themeColor="text1"/>
                <w:sz w:val="22"/>
                <w:szCs w:val="22"/>
              </w:rPr>
              <w:t>dnia</w:t>
            </w:r>
            <w:r w:rsidR="00991C30" w:rsidRPr="00154E08">
              <w:rPr>
                <w:rFonts w:eastAsia="Calibri" w:cs="Times New Roman"/>
                <w:color w:val="000000" w:themeColor="text1"/>
                <w:sz w:val="22"/>
                <w:szCs w:val="22"/>
              </w:rPr>
              <w:t> </w:t>
            </w:r>
            <w:r w:rsidRPr="00154E08">
              <w:rPr>
                <w:rFonts w:eastAsia="Calibri" w:cs="Times New Roman"/>
                <w:color w:val="000000" w:themeColor="text1"/>
                <w:sz w:val="22"/>
                <w:szCs w:val="22"/>
              </w:rPr>
              <w:t>25 sierpnia 2006 r. o biokomponentach i biopaliwach ciekłych</w:t>
            </w:r>
            <w:r w:rsidR="008D7087" w:rsidRPr="00154E08">
              <w:rPr>
                <w:rFonts w:eastAsia="Calibri" w:cs="Times New Roman"/>
                <w:color w:val="000000" w:themeColor="text1"/>
                <w:sz w:val="22"/>
                <w:szCs w:val="22"/>
              </w:rPr>
              <w:t xml:space="preserve"> oraz niektórych innych ustaw</w:t>
            </w:r>
            <w:r w:rsidR="00C76E4F" w:rsidRPr="00154E08">
              <w:rPr>
                <w:rFonts w:eastAsia="Calibri" w:cs="Times New Roman"/>
                <w:color w:val="000000" w:themeColor="text1"/>
                <w:sz w:val="22"/>
                <w:szCs w:val="22"/>
              </w:rPr>
              <w:t>, zwana dalej „projektem ustawy”</w:t>
            </w:r>
            <w:r w:rsidR="00AE5F50" w:rsidRPr="00154E08">
              <w:rPr>
                <w:rFonts w:eastAsia="Calibri" w:cs="Times New Roman"/>
                <w:color w:val="000000"/>
                <w:sz w:val="22"/>
                <w:szCs w:val="22"/>
                <w:lang w:eastAsia="en-US"/>
              </w:rPr>
              <w:t>.</w:t>
            </w:r>
          </w:p>
          <w:p w14:paraId="25DEAA49" w14:textId="77777777" w:rsidR="00C05DAE" w:rsidRPr="00154E08" w:rsidRDefault="00C05DAE" w:rsidP="00B279FD">
            <w:pPr>
              <w:spacing w:after="120" w:line="240" w:lineRule="auto"/>
              <w:jc w:val="both"/>
              <w:rPr>
                <w:rFonts w:cs="Times New Roman"/>
                <w:color w:val="000000" w:themeColor="text1"/>
                <w:sz w:val="22"/>
                <w:szCs w:val="22"/>
              </w:rPr>
            </w:pPr>
            <w:r w:rsidRPr="00154E08">
              <w:rPr>
                <w:rFonts w:eastAsia="Calibri" w:cs="Times New Roman"/>
                <w:color w:val="000000"/>
                <w:spacing w:val="-2"/>
                <w:sz w:val="22"/>
                <w:szCs w:val="22"/>
              </w:rPr>
              <w:t xml:space="preserve">Wejście w życie projektowanych rozwiązań pozwoli na rozwój krajowego sektora, w szczególności paliw alternatywnych, np. </w:t>
            </w:r>
            <w:proofErr w:type="spellStart"/>
            <w:r w:rsidRPr="00154E08">
              <w:rPr>
                <w:rFonts w:eastAsia="Calibri" w:cs="Times New Roman"/>
                <w:color w:val="000000"/>
                <w:spacing w:val="-2"/>
                <w:sz w:val="22"/>
                <w:szCs w:val="22"/>
              </w:rPr>
              <w:t>biometanu</w:t>
            </w:r>
            <w:proofErr w:type="spellEnd"/>
            <w:r w:rsidRPr="00154E08">
              <w:rPr>
                <w:rFonts w:eastAsia="Calibri" w:cs="Times New Roman"/>
                <w:color w:val="000000"/>
                <w:spacing w:val="-2"/>
                <w:sz w:val="22"/>
                <w:szCs w:val="22"/>
              </w:rPr>
              <w:t xml:space="preserve"> i innych niskoemisyjnych alternatyw, np. energii elektrycznej z OZE – spowoduje szybsze wypieranie obecnie wykorzystywanych importowanych paliw kopalnych.</w:t>
            </w:r>
            <w:r w:rsidRPr="00154E08">
              <w:rPr>
                <w:rFonts w:cs="Times New Roman"/>
                <w:color w:val="000000" w:themeColor="text1"/>
                <w:sz w:val="22"/>
                <w:szCs w:val="22"/>
              </w:rPr>
              <w:t xml:space="preserve"> </w:t>
            </w:r>
          </w:p>
          <w:p w14:paraId="6C1CA49D" w14:textId="68522AFC" w:rsidR="00C05DAE" w:rsidRPr="00154E08" w:rsidRDefault="00C05DAE" w:rsidP="00B279FD">
            <w:pPr>
              <w:spacing w:after="120" w:line="240" w:lineRule="auto"/>
              <w:jc w:val="both"/>
              <w:rPr>
                <w:rFonts w:cs="Times New Roman"/>
                <w:i/>
                <w:iCs/>
                <w:color w:val="000000" w:themeColor="text1"/>
                <w:sz w:val="22"/>
                <w:szCs w:val="22"/>
              </w:rPr>
            </w:pPr>
            <w:r w:rsidRPr="00154E08">
              <w:rPr>
                <w:rFonts w:cs="Times New Roman"/>
                <w:color w:val="000000" w:themeColor="text1"/>
                <w:sz w:val="22"/>
                <w:szCs w:val="22"/>
              </w:rPr>
              <w:t xml:space="preserve">Proponowane zmiany przyczynią się do realizacji wymagań dyrektywy REDII, ograniczą negatywny wpływ sektora paliw i transportu na środowisko, co jest kluczowe dla osiągnięcia faktycznej poprawy jakości powietrza, oraz wykazania realizacji celów w zakresie redukcji emisji ogółem. </w:t>
            </w:r>
          </w:p>
          <w:p w14:paraId="21E41399" w14:textId="77777777" w:rsidR="00C05DAE" w:rsidRPr="00154E08" w:rsidRDefault="00C05DAE"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z w:val="22"/>
                <w:szCs w:val="22"/>
              </w:rPr>
              <w:t>W analizowanej perspektywie, tj. do 2030 r., w związku z upowszechnianiem się stosowania w transporcie odnawialnej energii elektrycznej oraz ze stosowaniem paliw gazowych, np. </w:t>
            </w:r>
            <w:proofErr w:type="spellStart"/>
            <w:r w:rsidRPr="00154E08">
              <w:rPr>
                <w:rFonts w:eastAsia="Calibri" w:cs="Times New Roman"/>
                <w:color w:val="000000"/>
                <w:sz w:val="22"/>
                <w:szCs w:val="22"/>
              </w:rPr>
              <w:t>biometanu</w:t>
            </w:r>
            <w:proofErr w:type="spellEnd"/>
            <w:r w:rsidRPr="00154E08">
              <w:rPr>
                <w:rFonts w:eastAsia="Calibri" w:cs="Times New Roman"/>
                <w:color w:val="000000"/>
                <w:sz w:val="22"/>
                <w:szCs w:val="22"/>
              </w:rPr>
              <w:t xml:space="preserve">, a w przyszłości także innych paliw odnawialnych, </w:t>
            </w:r>
            <w:proofErr w:type="spellStart"/>
            <w:r w:rsidRPr="00154E08">
              <w:rPr>
                <w:rFonts w:eastAsia="Calibri" w:cs="Times New Roman"/>
                <w:color w:val="000000"/>
                <w:sz w:val="22"/>
                <w:szCs w:val="22"/>
              </w:rPr>
              <w:t>biodowodoru</w:t>
            </w:r>
            <w:proofErr w:type="spellEnd"/>
            <w:r w:rsidRPr="00154E08">
              <w:rPr>
                <w:rFonts w:eastAsia="Calibri" w:cs="Times New Roman"/>
                <w:color w:val="000000"/>
                <w:sz w:val="22"/>
                <w:szCs w:val="22"/>
              </w:rPr>
              <w:t>,</w:t>
            </w:r>
            <w:r w:rsidRPr="00154E08">
              <w:rPr>
                <w:rFonts w:eastAsia="Calibri" w:cs="Times New Roman"/>
                <w:i/>
                <w:iCs/>
                <w:color w:val="000000"/>
                <w:sz w:val="22"/>
                <w:szCs w:val="22"/>
              </w:rPr>
              <w:t xml:space="preserve"> </w:t>
            </w:r>
            <w:r w:rsidRPr="00154E08">
              <w:rPr>
                <w:rFonts w:eastAsia="Calibri" w:cs="Times New Roman"/>
                <w:color w:val="000000"/>
                <w:sz w:val="22"/>
                <w:szCs w:val="22"/>
              </w:rPr>
              <w:t xml:space="preserve">można spodziewać się ograniczenia poziomu konsumpcji paliw transportowych, w tym tych z przerobu ropy naftowej. </w:t>
            </w:r>
            <w:r w:rsidRPr="00154E08">
              <w:rPr>
                <w:rFonts w:cs="Times New Roman"/>
                <w:sz w:val="22"/>
                <w:szCs w:val="22"/>
              </w:rPr>
              <w:t>Zakładane istotne zwiększenie stosowania energii elektrycznej w sektorze transportu wpłynie w analizowanej perspektywie na strukturę zużycia paliw ciekłych, będących bazą dla dalszej możliwości stosowania biokomponentów i biopaliw ciekłych – w szczególności estrów i bioetanolu</w:t>
            </w:r>
            <w:r w:rsidRPr="00154E08">
              <w:rPr>
                <w:rFonts w:eastAsia="Calibri" w:cs="Times New Roman"/>
                <w:color w:val="000000"/>
                <w:sz w:val="22"/>
                <w:szCs w:val="22"/>
              </w:rPr>
              <w:t>.</w:t>
            </w:r>
          </w:p>
          <w:p w14:paraId="41ABE59A" w14:textId="37C15F1A" w:rsidR="00C05DAE" w:rsidRPr="00154E08" w:rsidRDefault="00C05DAE" w:rsidP="00B279FD">
            <w:pPr>
              <w:spacing w:after="120" w:line="240" w:lineRule="auto"/>
              <w:contextualSpacing/>
              <w:jc w:val="both"/>
              <w:rPr>
                <w:rFonts w:eastAsia="Calibri" w:cs="Times New Roman"/>
                <w:color w:val="000000" w:themeColor="text1"/>
                <w:sz w:val="22"/>
                <w:szCs w:val="22"/>
              </w:rPr>
            </w:pPr>
            <w:r w:rsidRPr="00154E08">
              <w:rPr>
                <w:rFonts w:eastAsia="Calibri" w:cs="Times New Roman"/>
                <w:color w:val="000000"/>
                <w:spacing w:val="-2"/>
                <w:sz w:val="22"/>
                <w:szCs w:val="22"/>
              </w:rPr>
              <w:t xml:space="preserve">Sygnalizowane w projekcie ustawy rozwiązania pozwalają jednocześnie na przygotowanie się podmiotów zobowiązanych do kolejnych wyzwań związanych z potrzebą wdrażania strategii długoterminowych (Fit for 55), zwiększających nacisk na </w:t>
            </w:r>
            <w:r w:rsidRPr="00154E08">
              <w:rPr>
                <w:rFonts w:eastAsia="Calibri" w:cs="Times New Roman"/>
                <w:color w:val="000000"/>
                <w:spacing w:val="-2"/>
                <w:sz w:val="22"/>
                <w:szCs w:val="22"/>
              </w:rPr>
              <w:lastRenderedPageBreak/>
              <w:t xml:space="preserve">kwestie redukcji emisji. Projekt regulacji daje możliwość podejmowania przez podmioty autonomicznych i optymalnych z ekonomicznego punktu widzenia decyzji inwestycyjnych dotyczących wyboru technologii zwiększenia udziału OZE w paliwach transportowych oraz elastyczny czas na ich realizację. </w:t>
            </w:r>
          </w:p>
          <w:p w14:paraId="305508B1" w14:textId="219497B4" w:rsidR="00523B49" w:rsidRPr="00154E08" w:rsidRDefault="00523B49" w:rsidP="00B279FD">
            <w:pPr>
              <w:spacing w:after="120" w:line="240" w:lineRule="auto"/>
              <w:contextualSpacing/>
              <w:jc w:val="both"/>
              <w:rPr>
                <w:rFonts w:cs="Times New Roman"/>
                <w:sz w:val="22"/>
                <w:szCs w:val="22"/>
              </w:rPr>
            </w:pPr>
            <w:r w:rsidRPr="00154E08">
              <w:rPr>
                <w:rFonts w:eastAsia="Calibri" w:cs="Times New Roman"/>
                <w:sz w:val="22"/>
                <w:szCs w:val="22"/>
              </w:rPr>
              <w:t>Prop</w:t>
            </w:r>
            <w:r w:rsidR="008011C0" w:rsidRPr="00154E08">
              <w:rPr>
                <w:rFonts w:eastAsia="Calibri" w:cs="Times New Roman"/>
                <w:sz w:val="22"/>
                <w:szCs w:val="22"/>
              </w:rPr>
              <w:t xml:space="preserve">ozycje </w:t>
            </w:r>
            <w:r w:rsidR="00EF7CE5" w:rsidRPr="00154E08">
              <w:rPr>
                <w:rFonts w:eastAsia="Calibri" w:cs="Times New Roman"/>
                <w:sz w:val="22"/>
                <w:szCs w:val="22"/>
              </w:rPr>
              <w:t>szczegółowe</w:t>
            </w:r>
            <w:r w:rsidR="00684A87" w:rsidRPr="00154E08">
              <w:rPr>
                <w:rFonts w:eastAsia="Calibri" w:cs="Times New Roman"/>
                <w:sz w:val="22"/>
                <w:szCs w:val="22"/>
              </w:rPr>
              <w:t xml:space="preserve"> </w:t>
            </w:r>
            <w:r w:rsidR="00801DB3" w:rsidRPr="00154E08">
              <w:rPr>
                <w:rFonts w:eastAsia="Calibri" w:cs="Times New Roman"/>
                <w:sz w:val="22"/>
                <w:szCs w:val="22"/>
              </w:rPr>
              <w:t>projek</w:t>
            </w:r>
            <w:r w:rsidR="00EF7CE5" w:rsidRPr="00154E08">
              <w:rPr>
                <w:rFonts w:eastAsia="Calibri" w:cs="Times New Roman"/>
                <w:sz w:val="22"/>
                <w:szCs w:val="22"/>
              </w:rPr>
              <w:t>tu</w:t>
            </w:r>
            <w:r w:rsidR="00801DB3" w:rsidRPr="00154E08">
              <w:rPr>
                <w:rFonts w:eastAsia="Calibri" w:cs="Times New Roman"/>
                <w:sz w:val="22"/>
                <w:szCs w:val="22"/>
              </w:rPr>
              <w:t xml:space="preserve"> </w:t>
            </w:r>
            <w:r w:rsidRPr="00154E08">
              <w:rPr>
                <w:rFonts w:eastAsia="Calibri" w:cs="Times New Roman"/>
                <w:sz w:val="22"/>
                <w:szCs w:val="22"/>
              </w:rPr>
              <w:t>ustaw</w:t>
            </w:r>
            <w:r w:rsidR="00801DB3" w:rsidRPr="00154E08">
              <w:rPr>
                <w:rFonts w:eastAsia="Calibri" w:cs="Times New Roman"/>
                <w:sz w:val="22"/>
                <w:szCs w:val="22"/>
              </w:rPr>
              <w:t>y</w:t>
            </w:r>
            <w:r w:rsidRPr="00154E08">
              <w:rPr>
                <w:rFonts w:eastAsia="Calibri" w:cs="Times New Roman"/>
                <w:sz w:val="22"/>
                <w:szCs w:val="22"/>
              </w:rPr>
              <w:t xml:space="preserve"> </w:t>
            </w:r>
            <w:r w:rsidR="00927222" w:rsidRPr="00154E08">
              <w:rPr>
                <w:rFonts w:eastAsia="Calibri" w:cs="Times New Roman"/>
                <w:sz w:val="22"/>
                <w:szCs w:val="22"/>
              </w:rPr>
              <w:t>obejmuj</w:t>
            </w:r>
            <w:r w:rsidRPr="00154E08">
              <w:rPr>
                <w:rFonts w:eastAsia="Calibri" w:cs="Times New Roman"/>
                <w:sz w:val="22"/>
                <w:szCs w:val="22"/>
              </w:rPr>
              <w:t>ą</w:t>
            </w:r>
            <w:r w:rsidR="00927222" w:rsidRPr="00154E08">
              <w:rPr>
                <w:rFonts w:eastAsia="Calibri" w:cs="Times New Roman"/>
                <w:sz w:val="22"/>
                <w:szCs w:val="22"/>
              </w:rPr>
              <w:t>:</w:t>
            </w:r>
          </w:p>
          <w:p w14:paraId="713347C6" w14:textId="1DEE6952" w:rsidR="00927222" w:rsidRPr="00154E08" w:rsidRDefault="00415568" w:rsidP="00B279FD">
            <w:pPr>
              <w:pStyle w:val="Akapitzlist"/>
              <w:numPr>
                <w:ilvl w:val="0"/>
                <w:numId w:val="24"/>
              </w:numPr>
              <w:spacing w:after="120" w:line="240" w:lineRule="auto"/>
              <w:jc w:val="both"/>
              <w:rPr>
                <w:rFonts w:ascii="Times New Roman" w:eastAsia="Calibri" w:hAnsi="Times New Roman"/>
                <w:color w:val="000000"/>
                <w:spacing w:val="-2"/>
                <w:sz w:val="22"/>
                <w:szCs w:val="22"/>
              </w:rPr>
            </w:pPr>
            <w:r w:rsidRPr="00154E08">
              <w:rPr>
                <w:rFonts w:ascii="Times New Roman" w:eastAsia="Calibri" w:hAnsi="Times New Roman"/>
                <w:color w:val="000000"/>
                <w:spacing w:val="-2"/>
                <w:sz w:val="22"/>
                <w:szCs w:val="22"/>
              </w:rPr>
              <w:t>o</w:t>
            </w:r>
            <w:r w:rsidR="0058690B" w:rsidRPr="00154E08">
              <w:rPr>
                <w:rFonts w:ascii="Times New Roman" w:eastAsia="Calibri" w:hAnsi="Times New Roman"/>
                <w:color w:val="000000"/>
                <w:spacing w:val="-2"/>
                <w:sz w:val="22"/>
                <w:szCs w:val="22"/>
              </w:rPr>
              <w:t xml:space="preserve">kreślenie </w:t>
            </w:r>
            <w:r w:rsidR="00A4463C" w:rsidRPr="00154E08">
              <w:rPr>
                <w:rFonts w:ascii="Times New Roman" w:eastAsia="Calibri" w:hAnsi="Times New Roman"/>
                <w:color w:val="000000"/>
                <w:spacing w:val="-2"/>
                <w:sz w:val="22"/>
                <w:szCs w:val="22"/>
              </w:rPr>
              <w:t xml:space="preserve">corocznych </w:t>
            </w:r>
            <w:r w:rsidR="006F3043" w:rsidRPr="00154E08">
              <w:rPr>
                <w:rFonts w:ascii="Times New Roman" w:eastAsia="Calibri" w:hAnsi="Times New Roman"/>
                <w:color w:val="000000"/>
                <w:spacing w:val="-2"/>
                <w:sz w:val="22"/>
                <w:szCs w:val="22"/>
              </w:rPr>
              <w:t xml:space="preserve">poziomów NCW </w:t>
            </w:r>
            <w:r w:rsidR="00E66351" w:rsidRPr="00154E08">
              <w:rPr>
                <w:rFonts w:ascii="Times New Roman" w:eastAsia="Calibri" w:hAnsi="Times New Roman"/>
                <w:color w:val="000000"/>
                <w:spacing w:val="-2"/>
                <w:sz w:val="22"/>
                <w:szCs w:val="22"/>
              </w:rPr>
              <w:t>do</w:t>
            </w:r>
            <w:r w:rsidR="0058690B" w:rsidRPr="00154E08">
              <w:rPr>
                <w:rFonts w:ascii="Times New Roman" w:eastAsia="Calibri" w:hAnsi="Times New Roman"/>
                <w:color w:val="000000"/>
                <w:spacing w:val="-2"/>
                <w:sz w:val="22"/>
                <w:szCs w:val="22"/>
              </w:rPr>
              <w:t xml:space="preserve"> 2030</w:t>
            </w:r>
            <w:r w:rsidR="007877F0" w:rsidRPr="00154E08">
              <w:rPr>
                <w:rFonts w:ascii="Times New Roman" w:eastAsia="Calibri" w:hAnsi="Times New Roman"/>
                <w:color w:val="000000"/>
                <w:spacing w:val="-2"/>
                <w:sz w:val="22"/>
                <w:szCs w:val="22"/>
              </w:rPr>
              <w:t xml:space="preserve"> r.</w:t>
            </w:r>
            <w:r w:rsidR="0058690B" w:rsidRPr="00154E08">
              <w:rPr>
                <w:rFonts w:ascii="Times New Roman" w:eastAsia="Calibri" w:hAnsi="Times New Roman"/>
                <w:color w:val="000000"/>
                <w:spacing w:val="-2"/>
                <w:sz w:val="22"/>
                <w:szCs w:val="22"/>
              </w:rPr>
              <w:t xml:space="preserve"> </w:t>
            </w:r>
            <w:r w:rsidR="00826190" w:rsidRPr="00154E08">
              <w:rPr>
                <w:rFonts w:ascii="Times New Roman" w:eastAsia="Calibri" w:hAnsi="Times New Roman"/>
                <w:color w:val="000000"/>
                <w:spacing w:val="-2"/>
                <w:sz w:val="22"/>
                <w:szCs w:val="22"/>
              </w:rPr>
              <w:t>tzw. ścieżka dojścia</w:t>
            </w:r>
            <w:r w:rsidR="00927222" w:rsidRPr="00154E08">
              <w:rPr>
                <w:rFonts w:ascii="Times New Roman" w:eastAsia="Calibri" w:hAnsi="Times New Roman"/>
                <w:color w:val="000000"/>
                <w:spacing w:val="-2"/>
                <w:sz w:val="22"/>
                <w:szCs w:val="22"/>
              </w:rPr>
              <w:t>,</w:t>
            </w:r>
          </w:p>
          <w:p w14:paraId="28BFF45A" w14:textId="0E35BD86" w:rsidR="005B30D8" w:rsidRPr="00154E08" w:rsidRDefault="005B30D8" w:rsidP="00B279FD">
            <w:pPr>
              <w:pStyle w:val="Akapitzlist"/>
              <w:numPr>
                <w:ilvl w:val="0"/>
                <w:numId w:val="24"/>
              </w:numPr>
              <w:spacing w:after="120" w:line="240" w:lineRule="auto"/>
              <w:jc w:val="both"/>
              <w:rPr>
                <w:rFonts w:ascii="Times New Roman" w:eastAsia="Calibri" w:hAnsi="Times New Roman"/>
                <w:color w:val="000000"/>
                <w:spacing w:val="-2"/>
                <w:sz w:val="22"/>
                <w:szCs w:val="22"/>
              </w:rPr>
            </w:pPr>
            <w:r w:rsidRPr="00154E08">
              <w:rPr>
                <w:rFonts w:ascii="Times New Roman" w:eastAsia="Calibri" w:hAnsi="Times New Roman"/>
                <w:color w:val="000000"/>
                <w:spacing w:val="-2"/>
                <w:sz w:val="22"/>
                <w:szCs w:val="22"/>
              </w:rPr>
              <w:t xml:space="preserve">określenie limitów dla stosowania biopaliw I generacji </w:t>
            </w:r>
            <w:r w:rsidR="008910DC" w:rsidRPr="00154E08">
              <w:rPr>
                <w:rFonts w:ascii="Times New Roman" w:eastAsia="Calibri" w:hAnsi="Times New Roman"/>
                <w:color w:val="000000"/>
                <w:spacing w:val="-2"/>
                <w:sz w:val="22"/>
                <w:szCs w:val="22"/>
              </w:rPr>
              <w:t>w</w:t>
            </w:r>
            <w:r w:rsidRPr="00154E08">
              <w:rPr>
                <w:rFonts w:ascii="Times New Roman" w:eastAsia="Calibri" w:hAnsi="Times New Roman"/>
                <w:color w:val="000000"/>
                <w:spacing w:val="-2"/>
                <w:sz w:val="22"/>
                <w:szCs w:val="22"/>
              </w:rPr>
              <w:t xml:space="preserve"> rozliczeni</w:t>
            </w:r>
            <w:r w:rsidR="008910DC" w:rsidRPr="00154E08">
              <w:rPr>
                <w:rFonts w:ascii="Times New Roman" w:eastAsia="Calibri" w:hAnsi="Times New Roman"/>
                <w:color w:val="000000"/>
                <w:spacing w:val="-2"/>
                <w:sz w:val="22"/>
                <w:szCs w:val="22"/>
              </w:rPr>
              <w:t>u</w:t>
            </w:r>
            <w:r w:rsidRPr="00154E08">
              <w:rPr>
                <w:rFonts w:ascii="Times New Roman" w:eastAsia="Calibri" w:hAnsi="Times New Roman"/>
                <w:color w:val="000000"/>
                <w:spacing w:val="-2"/>
                <w:sz w:val="22"/>
                <w:szCs w:val="22"/>
              </w:rPr>
              <w:t xml:space="preserve"> celu w transporcie,</w:t>
            </w:r>
          </w:p>
          <w:p w14:paraId="268179F2" w14:textId="54B3EAB3" w:rsidR="001C4176" w:rsidRPr="00154E08" w:rsidRDefault="0058690B" w:rsidP="00B279FD">
            <w:pPr>
              <w:pStyle w:val="Akapitzlist"/>
              <w:numPr>
                <w:ilvl w:val="0"/>
                <w:numId w:val="24"/>
              </w:numPr>
              <w:spacing w:after="120" w:line="240" w:lineRule="auto"/>
              <w:jc w:val="both"/>
              <w:rPr>
                <w:rFonts w:ascii="Times New Roman" w:eastAsia="Calibri" w:hAnsi="Times New Roman"/>
                <w:color w:val="000000"/>
                <w:spacing w:val="-2"/>
                <w:sz w:val="22"/>
                <w:szCs w:val="22"/>
              </w:rPr>
            </w:pPr>
            <w:r w:rsidRPr="00154E08">
              <w:rPr>
                <w:rFonts w:ascii="Times New Roman" w:eastAsia="Calibri" w:hAnsi="Times New Roman"/>
                <w:color w:val="000000"/>
                <w:spacing w:val="-2"/>
                <w:sz w:val="22"/>
                <w:szCs w:val="22"/>
              </w:rPr>
              <w:t>określenie</w:t>
            </w:r>
            <w:r w:rsidR="001C4176" w:rsidRPr="00154E08">
              <w:rPr>
                <w:rFonts w:ascii="Times New Roman" w:eastAsia="Calibri" w:hAnsi="Times New Roman"/>
                <w:color w:val="000000"/>
                <w:spacing w:val="-2"/>
                <w:sz w:val="22"/>
                <w:szCs w:val="22"/>
              </w:rPr>
              <w:t xml:space="preserve"> minimalnego udziału biopaliw zaawansowanych w realizacji </w:t>
            </w:r>
            <w:r w:rsidR="00AE5F50" w:rsidRPr="00154E08">
              <w:rPr>
                <w:rFonts w:ascii="Times New Roman" w:eastAsia="Calibri" w:hAnsi="Times New Roman"/>
                <w:color w:val="000000"/>
                <w:spacing w:val="-2"/>
                <w:sz w:val="22"/>
                <w:szCs w:val="22"/>
              </w:rPr>
              <w:t>NCW</w:t>
            </w:r>
            <w:r w:rsidR="001C4176" w:rsidRPr="00154E08">
              <w:rPr>
                <w:rFonts w:ascii="Times New Roman" w:eastAsia="Calibri" w:hAnsi="Times New Roman"/>
                <w:color w:val="000000"/>
                <w:spacing w:val="-2"/>
                <w:sz w:val="22"/>
                <w:szCs w:val="22"/>
              </w:rPr>
              <w:t>,</w:t>
            </w:r>
          </w:p>
          <w:p w14:paraId="05076242" w14:textId="4BDCB694" w:rsidR="00927222" w:rsidRPr="00154E08" w:rsidRDefault="00927222" w:rsidP="00B279FD">
            <w:pPr>
              <w:pStyle w:val="Akapitzlist"/>
              <w:numPr>
                <w:ilvl w:val="0"/>
                <w:numId w:val="24"/>
              </w:numPr>
              <w:spacing w:after="120" w:line="240" w:lineRule="auto"/>
              <w:jc w:val="both"/>
              <w:rPr>
                <w:rFonts w:ascii="Times New Roman" w:eastAsia="Calibri" w:hAnsi="Times New Roman"/>
                <w:color w:val="000000"/>
                <w:spacing w:val="-2"/>
                <w:sz w:val="22"/>
                <w:szCs w:val="22"/>
              </w:rPr>
            </w:pPr>
            <w:r w:rsidRPr="00154E08">
              <w:rPr>
                <w:rFonts w:ascii="Times New Roman" w:eastAsia="Calibri" w:hAnsi="Times New Roman"/>
                <w:color w:val="000000"/>
                <w:spacing w:val="-2"/>
                <w:sz w:val="22"/>
                <w:szCs w:val="22"/>
              </w:rPr>
              <w:t>uwzględnienie możliwości realizacji NCW z wykorzystaniem</w:t>
            </w:r>
            <w:r w:rsidR="003C2568" w:rsidRPr="00154E08">
              <w:rPr>
                <w:rFonts w:ascii="Times New Roman" w:eastAsia="Calibri" w:hAnsi="Times New Roman"/>
                <w:color w:val="000000"/>
                <w:spacing w:val="-2"/>
                <w:sz w:val="22"/>
                <w:szCs w:val="22"/>
              </w:rPr>
              <w:t> </w:t>
            </w:r>
            <w:r w:rsidR="00A51845" w:rsidRPr="00154E08">
              <w:rPr>
                <w:rFonts w:ascii="Times New Roman" w:eastAsia="Calibri" w:hAnsi="Times New Roman"/>
                <w:color w:val="000000"/>
                <w:spacing w:val="-2"/>
                <w:sz w:val="22"/>
                <w:szCs w:val="22"/>
              </w:rPr>
              <w:t>innych niskoemisyjnych paliw np.</w:t>
            </w:r>
            <w:r w:rsidR="001F1358" w:rsidRPr="00154E08">
              <w:rPr>
                <w:rFonts w:ascii="Times New Roman" w:eastAsia="Calibri" w:hAnsi="Times New Roman"/>
                <w:color w:val="000000"/>
                <w:spacing w:val="-2"/>
                <w:sz w:val="22"/>
                <w:szCs w:val="22"/>
              </w:rPr>
              <w:t> </w:t>
            </w:r>
            <w:r w:rsidRPr="00154E08">
              <w:rPr>
                <w:rFonts w:ascii="Times New Roman" w:eastAsia="Calibri" w:hAnsi="Times New Roman"/>
                <w:color w:val="000000"/>
                <w:spacing w:val="-2"/>
                <w:sz w:val="22"/>
                <w:szCs w:val="22"/>
              </w:rPr>
              <w:t>węglowych pochodzących z</w:t>
            </w:r>
            <w:r w:rsidR="00F27651" w:rsidRPr="00154E08">
              <w:rPr>
                <w:rFonts w:ascii="Times New Roman" w:eastAsia="Calibri" w:hAnsi="Times New Roman"/>
                <w:color w:val="000000"/>
                <w:spacing w:val="-2"/>
                <w:sz w:val="22"/>
                <w:szCs w:val="22"/>
              </w:rPr>
              <w:t> </w:t>
            </w:r>
            <w:r w:rsidRPr="00154E08">
              <w:rPr>
                <w:rFonts w:ascii="Times New Roman" w:eastAsia="Calibri" w:hAnsi="Times New Roman"/>
                <w:color w:val="000000"/>
                <w:spacing w:val="-2"/>
                <w:sz w:val="22"/>
                <w:szCs w:val="22"/>
              </w:rPr>
              <w:t>recyklingu</w:t>
            </w:r>
            <w:r w:rsidR="00801DB3" w:rsidRPr="00154E08">
              <w:rPr>
                <w:rFonts w:ascii="Times New Roman" w:eastAsia="Calibri" w:hAnsi="Times New Roman"/>
                <w:color w:val="000000"/>
                <w:spacing w:val="-2"/>
                <w:sz w:val="22"/>
                <w:szCs w:val="22"/>
              </w:rPr>
              <w:t xml:space="preserve"> (RCF)</w:t>
            </w:r>
            <w:r w:rsidRPr="00154E08">
              <w:rPr>
                <w:rFonts w:ascii="Times New Roman" w:eastAsia="Calibri" w:hAnsi="Times New Roman"/>
                <w:color w:val="000000"/>
                <w:spacing w:val="-2"/>
                <w:sz w:val="22"/>
                <w:szCs w:val="22"/>
              </w:rPr>
              <w:t xml:space="preserve">, </w:t>
            </w:r>
            <w:r w:rsidR="008D4063" w:rsidRPr="00154E08">
              <w:rPr>
                <w:rFonts w:ascii="Times New Roman" w:eastAsia="Calibri" w:hAnsi="Times New Roman"/>
                <w:color w:val="000000"/>
                <w:spacing w:val="-2"/>
                <w:sz w:val="22"/>
                <w:szCs w:val="22"/>
              </w:rPr>
              <w:t xml:space="preserve">paliw odnawialnych </w:t>
            </w:r>
            <w:proofErr w:type="spellStart"/>
            <w:r w:rsidR="008D4063" w:rsidRPr="00154E08">
              <w:rPr>
                <w:rFonts w:ascii="Times New Roman" w:eastAsia="Calibri" w:hAnsi="Times New Roman"/>
                <w:color w:val="000000"/>
                <w:spacing w:val="-2"/>
                <w:sz w:val="22"/>
                <w:szCs w:val="22"/>
              </w:rPr>
              <w:t>niebiologicznego</w:t>
            </w:r>
            <w:proofErr w:type="spellEnd"/>
            <w:r w:rsidR="008D4063" w:rsidRPr="00154E08">
              <w:rPr>
                <w:rFonts w:ascii="Times New Roman" w:eastAsia="Calibri" w:hAnsi="Times New Roman"/>
                <w:color w:val="000000"/>
                <w:spacing w:val="-2"/>
                <w:sz w:val="22"/>
                <w:szCs w:val="22"/>
              </w:rPr>
              <w:t xml:space="preserve"> pochodzenia</w:t>
            </w:r>
            <w:r w:rsidR="00801DB3" w:rsidRPr="00154E08">
              <w:rPr>
                <w:rFonts w:ascii="Times New Roman" w:eastAsia="Calibri" w:hAnsi="Times New Roman"/>
                <w:color w:val="000000"/>
                <w:spacing w:val="-2"/>
                <w:sz w:val="22"/>
                <w:szCs w:val="22"/>
              </w:rPr>
              <w:t xml:space="preserve"> (RFNBO)</w:t>
            </w:r>
            <w:r w:rsidR="008D4063" w:rsidRPr="00154E08">
              <w:rPr>
                <w:rFonts w:ascii="Times New Roman" w:eastAsia="Calibri" w:hAnsi="Times New Roman"/>
                <w:color w:val="000000"/>
                <w:spacing w:val="-2"/>
                <w:sz w:val="22"/>
                <w:szCs w:val="22"/>
              </w:rPr>
              <w:t xml:space="preserve">, </w:t>
            </w:r>
          </w:p>
          <w:p w14:paraId="4FC66D9D" w14:textId="673F974E" w:rsidR="00927222" w:rsidRPr="00154E08" w:rsidRDefault="00F15BBF" w:rsidP="00B279FD">
            <w:pPr>
              <w:pStyle w:val="Akapitzlist"/>
              <w:numPr>
                <w:ilvl w:val="0"/>
                <w:numId w:val="24"/>
              </w:numPr>
              <w:spacing w:after="120" w:line="240" w:lineRule="auto"/>
              <w:jc w:val="both"/>
              <w:rPr>
                <w:rFonts w:ascii="Times New Roman" w:eastAsia="Calibri" w:hAnsi="Times New Roman"/>
                <w:color w:val="000000"/>
                <w:spacing w:val="-2"/>
                <w:sz w:val="22"/>
                <w:szCs w:val="22"/>
              </w:rPr>
            </w:pPr>
            <w:r w:rsidRPr="00154E08">
              <w:rPr>
                <w:rFonts w:ascii="Times New Roman" w:eastAsia="Calibri" w:hAnsi="Times New Roman"/>
                <w:color w:val="000000"/>
                <w:spacing w:val="-2"/>
                <w:sz w:val="22"/>
                <w:szCs w:val="22"/>
              </w:rPr>
              <w:t xml:space="preserve">wdrożenie mechanizmu </w:t>
            </w:r>
            <w:r w:rsidR="00927222" w:rsidRPr="00154E08">
              <w:rPr>
                <w:rFonts w:ascii="Times New Roman" w:eastAsia="Calibri" w:hAnsi="Times New Roman"/>
                <w:color w:val="000000"/>
                <w:spacing w:val="-2"/>
                <w:sz w:val="22"/>
                <w:szCs w:val="22"/>
              </w:rPr>
              <w:t xml:space="preserve">zaliczenia energii elektrycznej ze źródeł OZE </w:t>
            </w:r>
            <w:r w:rsidR="00445ED8" w:rsidRPr="00154E08">
              <w:rPr>
                <w:rFonts w:ascii="Times New Roman" w:eastAsia="Calibri" w:hAnsi="Times New Roman"/>
                <w:color w:val="000000"/>
                <w:spacing w:val="-2"/>
                <w:sz w:val="22"/>
                <w:szCs w:val="22"/>
              </w:rPr>
              <w:t>zużytej</w:t>
            </w:r>
            <w:r w:rsidR="00927222" w:rsidRPr="00154E08">
              <w:rPr>
                <w:rFonts w:ascii="Times New Roman" w:eastAsia="Calibri" w:hAnsi="Times New Roman"/>
                <w:color w:val="000000"/>
                <w:spacing w:val="-2"/>
                <w:sz w:val="22"/>
                <w:szCs w:val="22"/>
              </w:rPr>
              <w:t xml:space="preserve"> w</w:t>
            </w:r>
            <w:r w:rsidR="00505EA5" w:rsidRPr="00154E08">
              <w:rPr>
                <w:rFonts w:ascii="Times New Roman" w:eastAsia="Calibri" w:hAnsi="Times New Roman"/>
                <w:color w:val="000000"/>
                <w:spacing w:val="-2"/>
                <w:sz w:val="22"/>
                <w:szCs w:val="22"/>
              </w:rPr>
              <w:t> </w:t>
            </w:r>
            <w:r w:rsidR="00927222" w:rsidRPr="00154E08">
              <w:rPr>
                <w:rFonts w:ascii="Times New Roman" w:eastAsia="Calibri" w:hAnsi="Times New Roman"/>
                <w:color w:val="000000"/>
                <w:spacing w:val="-2"/>
                <w:sz w:val="22"/>
                <w:szCs w:val="22"/>
              </w:rPr>
              <w:t>transporcie</w:t>
            </w:r>
            <w:r w:rsidR="00007A99" w:rsidRPr="00154E08">
              <w:rPr>
                <w:rFonts w:ascii="Times New Roman" w:eastAsia="Calibri" w:hAnsi="Times New Roman"/>
                <w:color w:val="000000"/>
                <w:spacing w:val="-2"/>
                <w:sz w:val="22"/>
                <w:szCs w:val="22"/>
              </w:rPr>
              <w:t xml:space="preserve">, </w:t>
            </w:r>
          </w:p>
          <w:p w14:paraId="6E53A2E2" w14:textId="3120DCC8" w:rsidR="00A4463C" w:rsidRPr="00154E08" w:rsidRDefault="00A00F9D" w:rsidP="00B279FD">
            <w:pPr>
              <w:pStyle w:val="Akapitzlist"/>
              <w:numPr>
                <w:ilvl w:val="0"/>
                <w:numId w:val="24"/>
              </w:numPr>
              <w:spacing w:after="120" w:line="240" w:lineRule="auto"/>
              <w:jc w:val="both"/>
              <w:rPr>
                <w:rFonts w:ascii="Times New Roman" w:eastAsia="Calibri" w:hAnsi="Times New Roman"/>
                <w:color w:val="000000"/>
                <w:spacing w:val="-2"/>
                <w:sz w:val="22"/>
                <w:szCs w:val="22"/>
              </w:rPr>
            </w:pPr>
            <w:r w:rsidRPr="00154E08">
              <w:rPr>
                <w:rFonts w:ascii="Times New Roman" w:eastAsia="Calibri" w:hAnsi="Times New Roman"/>
                <w:color w:val="000000"/>
                <w:spacing w:val="-2"/>
                <w:sz w:val="22"/>
                <w:szCs w:val="22"/>
              </w:rPr>
              <w:t xml:space="preserve">uruchomienie </w:t>
            </w:r>
            <w:r w:rsidR="00A4463C" w:rsidRPr="00154E08">
              <w:rPr>
                <w:rFonts w:ascii="Times New Roman" w:eastAsia="Calibri" w:hAnsi="Times New Roman"/>
                <w:color w:val="000000"/>
                <w:spacing w:val="-2"/>
                <w:sz w:val="22"/>
                <w:szCs w:val="22"/>
              </w:rPr>
              <w:t>now</w:t>
            </w:r>
            <w:r w:rsidRPr="00154E08">
              <w:rPr>
                <w:rFonts w:ascii="Times New Roman" w:eastAsia="Calibri" w:hAnsi="Times New Roman"/>
                <w:color w:val="000000"/>
                <w:spacing w:val="-2"/>
                <w:sz w:val="22"/>
                <w:szCs w:val="22"/>
              </w:rPr>
              <w:t>ego</w:t>
            </w:r>
            <w:r w:rsidR="00A4463C" w:rsidRPr="00154E08">
              <w:rPr>
                <w:rFonts w:ascii="Times New Roman" w:eastAsia="Calibri" w:hAnsi="Times New Roman"/>
                <w:color w:val="000000"/>
                <w:spacing w:val="-2"/>
                <w:sz w:val="22"/>
                <w:szCs w:val="22"/>
              </w:rPr>
              <w:t xml:space="preserve"> mechanizm</w:t>
            </w:r>
            <w:r w:rsidRPr="00154E08">
              <w:rPr>
                <w:rFonts w:ascii="Times New Roman" w:eastAsia="Calibri" w:hAnsi="Times New Roman"/>
                <w:color w:val="000000"/>
                <w:spacing w:val="-2"/>
                <w:sz w:val="22"/>
                <w:szCs w:val="22"/>
              </w:rPr>
              <w:t>u</w:t>
            </w:r>
            <w:r w:rsidR="00A4463C" w:rsidRPr="00154E08">
              <w:rPr>
                <w:rFonts w:ascii="Times New Roman" w:eastAsia="Calibri" w:hAnsi="Times New Roman"/>
                <w:color w:val="000000"/>
                <w:spacing w:val="-2"/>
                <w:sz w:val="22"/>
                <w:szCs w:val="22"/>
              </w:rPr>
              <w:t xml:space="preserve"> umożliwiając</w:t>
            </w:r>
            <w:r w:rsidRPr="00154E08">
              <w:rPr>
                <w:rFonts w:ascii="Times New Roman" w:eastAsia="Calibri" w:hAnsi="Times New Roman"/>
                <w:color w:val="000000"/>
                <w:spacing w:val="-2"/>
                <w:sz w:val="22"/>
                <w:szCs w:val="22"/>
              </w:rPr>
              <w:t>ego</w:t>
            </w:r>
            <w:r w:rsidR="00A4463C" w:rsidRPr="00154E08">
              <w:rPr>
                <w:rFonts w:ascii="Times New Roman" w:eastAsia="Calibri" w:hAnsi="Times New Roman"/>
                <w:color w:val="000000"/>
                <w:spacing w:val="-2"/>
                <w:sz w:val="22"/>
                <w:szCs w:val="22"/>
              </w:rPr>
              <w:t xml:space="preserve"> zaliczanie energii elektrycznej odnawialnej zużytej w transporcie</w:t>
            </w:r>
            <w:r w:rsidR="004A7191" w:rsidRPr="00154E08">
              <w:rPr>
                <w:rFonts w:ascii="Times New Roman" w:eastAsia="Calibri" w:hAnsi="Times New Roman"/>
                <w:color w:val="000000"/>
                <w:spacing w:val="-2"/>
                <w:sz w:val="22"/>
                <w:szCs w:val="22"/>
              </w:rPr>
              <w:t xml:space="preserve"> –</w:t>
            </w:r>
            <w:r w:rsidR="00A4463C" w:rsidRPr="00154E08">
              <w:rPr>
                <w:rFonts w:ascii="Times New Roman" w:eastAsia="Calibri" w:hAnsi="Times New Roman"/>
                <w:color w:val="000000"/>
                <w:spacing w:val="-2"/>
                <w:sz w:val="22"/>
                <w:szCs w:val="22"/>
              </w:rPr>
              <w:t xml:space="preserve"> drogowym i kolejowym</w:t>
            </w:r>
            <w:r w:rsidR="0054757A" w:rsidRPr="00154E08">
              <w:rPr>
                <w:rFonts w:ascii="Times New Roman" w:eastAsia="Calibri" w:hAnsi="Times New Roman"/>
                <w:color w:val="000000"/>
                <w:spacing w:val="-2"/>
                <w:sz w:val="22"/>
                <w:szCs w:val="22"/>
              </w:rPr>
              <w:t>,</w:t>
            </w:r>
            <w:r w:rsidR="00A4463C" w:rsidRPr="00154E08">
              <w:rPr>
                <w:rFonts w:ascii="Times New Roman" w:eastAsia="Calibri" w:hAnsi="Times New Roman"/>
                <w:color w:val="000000"/>
                <w:spacing w:val="-2"/>
                <w:sz w:val="22"/>
                <w:szCs w:val="22"/>
              </w:rPr>
              <w:t xml:space="preserve"> </w:t>
            </w:r>
            <w:r w:rsidR="00684A87" w:rsidRPr="00154E08">
              <w:rPr>
                <w:rFonts w:ascii="Times New Roman" w:eastAsia="Calibri" w:hAnsi="Times New Roman"/>
                <w:color w:val="000000"/>
                <w:spacing w:val="-2"/>
                <w:sz w:val="22"/>
                <w:szCs w:val="22"/>
              </w:rPr>
              <w:t>p</w:t>
            </w:r>
            <w:r w:rsidR="008447E6" w:rsidRPr="00154E08">
              <w:rPr>
                <w:rFonts w:ascii="Times New Roman" w:eastAsia="Calibri" w:hAnsi="Times New Roman"/>
                <w:color w:val="000000"/>
                <w:spacing w:val="-2"/>
                <w:sz w:val="22"/>
                <w:szCs w:val="22"/>
              </w:rPr>
              <w:t>op</w:t>
            </w:r>
            <w:r w:rsidR="00684A87" w:rsidRPr="00154E08">
              <w:rPr>
                <w:rFonts w:ascii="Times New Roman" w:eastAsia="Calibri" w:hAnsi="Times New Roman"/>
                <w:color w:val="000000"/>
                <w:spacing w:val="-2"/>
                <w:sz w:val="22"/>
                <w:szCs w:val="22"/>
              </w:rPr>
              <w:t>rzez</w:t>
            </w:r>
            <w:r w:rsidR="00A4463C" w:rsidRPr="00154E08">
              <w:rPr>
                <w:rFonts w:ascii="Times New Roman" w:eastAsia="Calibri" w:hAnsi="Times New Roman"/>
                <w:color w:val="000000"/>
                <w:spacing w:val="-2"/>
                <w:sz w:val="22"/>
                <w:szCs w:val="22"/>
              </w:rPr>
              <w:t xml:space="preserve"> przystąpieni</w:t>
            </w:r>
            <w:r w:rsidR="008447E6" w:rsidRPr="00154E08">
              <w:rPr>
                <w:rFonts w:ascii="Times New Roman" w:eastAsia="Calibri" w:hAnsi="Times New Roman"/>
                <w:color w:val="000000"/>
                <w:spacing w:val="-2"/>
                <w:sz w:val="22"/>
                <w:szCs w:val="22"/>
              </w:rPr>
              <w:t>e</w:t>
            </w:r>
            <w:r w:rsidR="00A4463C" w:rsidRPr="00154E08">
              <w:rPr>
                <w:rFonts w:ascii="Times New Roman" w:eastAsia="Calibri" w:hAnsi="Times New Roman"/>
                <w:color w:val="000000"/>
                <w:spacing w:val="-2"/>
                <w:sz w:val="22"/>
                <w:szCs w:val="22"/>
              </w:rPr>
              <w:t xml:space="preserve"> do udziału w</w:t>
            </w:r>
            <w:r w:rsidR="004A7191" w:rsidRPr="00154E08">
              <w:rPr>
                <w:rFonts w:ascii="Times New Roman" w:eastAsia="Calibri" w:hAnsi="Times New Roman"/>
                <w:color w:val="000000"/>
                <w:spacing w:val="-2"/>
                <w:sz w:val="22"/>
                <w:szCs w:val="22"/>
              </w:rPr>
              <w:t> </w:t>
            </w:r>
            <w:r w:rsidR="00A4463C" w:rsidRPr="00154E08">
              <w:rPr>
                <w:rFonts w:ascii="Times New Roman" w:eastAsia="Calibri" w:hAnsi="Times New Roman"/>
                <w:color w:val="000000"/>
                <w:spacing w:val="-2"/>
                <w:sz w:val="22"/>
                <w:szCs w:val="22"/>
              </w:rPr>
              <w:t>realizacji NCW przez operatorów ogólnodostępnych stacji ładowania pojazdów oraz przewoźników kolejowych,</w:t>
            </w:r>
          </w:p>
          <w:p w14:paraId="0A6811C8" w14:textId="51F64C4A" w:rsidR="00927222" w:rsidRPr="00154E08" w:rsidRDefault="00A571A3" w:rsidP="00B279FD">
            <w:pPr>
              <w:pStyle w:val="Akapitzlist"/>
              <w:numPr>
                <w:ilvl w:val="0"/>
                <w:numId w:val="24"/>
              </w:numPr>
              <w:spacing w:after="120" w:line="240" w:lineRule="auto"/>
              <w:jc w:val="both"/>
              <w:rPr>
                <w:rFonts w:ascii="Times New Roman" w:eastAsia="Calibri" w:hAnsi="Times New Roman"/>
                <w:color w:val="000000"/>
                <w:spacing w:val="-2"/>
                <w:sz w:val="22"/>
                <w:szCs w:val="22"/>
              </w:rPr>
            </w:pPr>
            <w:r w:rsidRPr="00154E08">
              <w:rPr>
                <w:rFonts w:ascii="Times New Roman" w:eastAsia="Calibri" w:hAnsi="Times New Roman"/>
                <w:color w:val="000000"/>
                <w:spacing w:val="-2"/>
                <w:sz w:val="22"/>
                <w:szCs w:val="22"/>
              </w:rPr>
              <w:t>stopniowe wygaszanie</w:t>
            </w:r>
            <w:r w:rsidR="004F431B" w:rsidRPr="00154E08">
              <w:rPr>
                <w:rFonts w:ascii="Times New Roman" w:eastAsia="Calibri" w:hAnsi="Times New Roman"/>
                <w:color w:val="000000"/>
                <w:spacing w:val="-2"/>
                <w:sz w:val="22"/>
                <w:szCs w:val="22"/>
              </w:rPr>
              <w:t xml:space="preserve"> </w:t>
            </w:r>
            <w:r w:rsidR="00927222" w:rsidRPr="00154E08">
              <w:rPr>
                <w:rFonts w:ascii="Times New Roman" w:eastAsia="Calibri" w:hAnsi="Times New Roman"/>
                <w:color w:val="000000"/>
                <w:spacing w:val="-2"/>
                <w:sz w:val="22"/>
                <w:szCs w:val="22"/>
              </w:rPr>
              <w:t>mechanizmu funkcjonowania możliwości realizacji NCW za</w:t>
            </w:r>
            <w:r w:rsidR="00517916" w:rsidRPr="00154E08">
              <w:rPr>
                <w:rFonts w:ascii="Times New Roman" w:eastAsia="Calibri" w:hAnsi="Times New Roman"/>
                <w:color w:val="000000"/>
                <w:spacing w:val="-2"/>
                <w:sz w:val="22"/>
                <w:szCs w:val="22"/>
              </w:rPr>
              <w:t> </w:t>
            </w:r>
            <w:r w:rsidR="00927222" w:rsidRPr="00154E08">
              <w:rPr>
                <w:rFonts w:ascii="Times New Roman" w:eastAsia="Calibri" w:hAnsi="Times New Roman"/>
                <w:color w:val="000000"/>
                <w:spacing w:val="-2"/>
                <w:sz w:val="22"/>
                <w:szCs w:val="22"/>
              </w:rPr>
              <w:t>pomocą opłaty zastępcze</w:t>
            </w:r>
            <w:r w:rsidR="0061454D" w:rsidRPr="00154E08">
              <w:rPr>
                <w:rFonts w:ascii="Times New Roman" w:eastAsia="Calibri" w:hAnsi="Times New Roman"/>
                <w:color w:val="000000"/>
                <w:spacing w:val="-2"/>
                <w:sz w:val="22"/>
                <w:szCs w:val="22"/>
              </w:rPr>
              <w:t>j</w:t>
            </w:r>
            <w:r w:rsidR="00927222" w:rsidRPr="00154E08">
              <w:rPr>
                <w:rFonts w:ascii="Times New Roman" w:eastAsia="Calibri" w:hAnsi="Times New Roman"/>
                <w:color w:val="000000"/>
                <w:spacing w:val="-2"/>
                <w:sz w:val="22"/>
                <w:szCs w:val="22"/>
              </w:rPr>
              <w:t>,</w:t>
            </w:r>
          </w:p>
          <w:p w14:paraId="1F2245DD" w14:textId="1793A6C6" w:rsidR="009C0215" w:rsidRPr="00154E08" w:rsidRDefault="009C0215" w:rsidP="00B279FD">
            <w:pPr>
              <w:pStyle w:val="Akapitzlist"/>
              <w:numPr>
                <w:ilvl w:val="0"/>
                <w:numId w:val="24"/>
              </w:numPr>
              <w:spacing w:after="120" w:line="240" w:lineRule="auto"/>
              <w:jc w:val="both"/>
              <w:rPr>
                <w:rFonts w:ascii="Times New Roman" w:eastAsia="Calibri" w:hAnsi="Times New Roman"/>
                <w:color w:val="000000"/>
                <w:spacing w:val="-2"/>
                <w:sz w:val="22"/>
                <w:szCs w:val="22"/>
              </w:rPr>
            </w:pPr>
            <w:r w:rsidRPr="00154E08">
              <w:rPr>
                <w:rFonts w:ascii="Times New Roman" w:eastAsia="Calibri" w:hAnsi="Times New Roman"/>
                <w:color w:val="000000"/>
                <w:spacing w:val="-2"/>
                <w:sz w:val="22"/>
                <w:szCs w:val="22"/>
              </w:rPr>
              <w:t xml:space="preserve">określenie zasad poświadczania </w:t>
            </w:r>
            <w:r w:rsidR="00801DB3" w:rsidRPr="00154E08">
              <w:rPr>
                <w:rFonts w:ascii="Times New Roman" w:eastAsia="Calibri" w:hAnsi="Times New Roman"/>
                <w:color w:val="000000"/>
                <w:spacing w:val="-2"/>
                <w:sz w:val="22"/>
                <w:szCs w:val="22"/>
              </w:rPr>
              <w:t xml:space="preserve">kryteriów </w:t>
            </w:r>
            <w:r w:rsidRPr="00154E08">
              <w:rPr>
                <w:rFonts w:ascii="Times New Roman" w:eastAsia="Calibri" w:hAnsi="Times New Roman"/>
                <w:color w:val="000000"/>
                <w:spacing w:val="-2"/>
                <w:sz w:val="22"/>
                <w:szCs w:val="22"/>
              </w:rPr>
              <w:t>KZR w podziale na biomasę rolniczą i leśną,</w:t>
            </w:r>
          </w:p>
          <w:p w14:paraId="23CBAE71" w14:textId="130C25A2" w:rsidR="009C0215" w:rsidRPr="00154E08" w:rsidRDefault="009C0215" w:rsidP="00B279FD">
            <w:pPr>
              <w:pStyle w:val="Akapitzlist"/>
              <w:numPr>
                <w:ilvl w:val="0"/>
                <w:numId w:val="24"/>
              </w:numPr>
              <w:spacing w:after="120" w:line="240" w:lineRule="auto"/>
              <w:jc w:val="both"/>
              <w:rPr>
                <w:rFonts w:ascii="Times New Roman" w:eastAsia="Calibri" w:hAnsi="Times New Roman"/>
                <w:color w:val="000000"/>
                <w:spacing w:val="-2"/>
                <w:sz w:val="22"/>
                <w:szCs w:val="22"/>
              </w:rPr>
            </w:pPr>
            <w:r w:rsidRPr="00154E08">
              <w:rPr>
                <w:rFonts w:ascii="Times New Roman" w:eastAsia="Calibri" w:hAnsi="Times New Roman"/>
                <w:color w:val="000000"/>
                <w:spacing w:val="-2"/>
                <w:sz w:val="22"/>
                <w:szCs w:val="22"/>
              </w:rPr>
              <w:t xml:space="preserve">zapewnienie stosowania KZR oraz </w:t>
            </w:r>
            <w:r w:rsidR="00EE38DB" w:rsidRPr="00154E08">
              <w:rPr>
                <w:rFonts w:ascii="Times New Roman" w:eastAsia="Calibri" w:hAnsi="Times New Roman"/>
                <w:color w:val="000000"/>
                <w:spacing w:val="-2"/>
                <w:sz w:val="22"/>
                <w:szCs w:val="22"/>
              </w:rPr>
              <w:t xml:space="preserve">kryteriów </w:t>
            </w:r>
            <w:r w:rsidRPr="00154E08">
              <w:rPr>
                <w:rFonts w:ascii="Times New Roman" w:eastAsia="Calibri" w:hAnsi="Times New Roman"/>
                <w:color w:val="000000"/>
                <w:spacing w:val="-2"/>
                <w:sz w:val="22"/>
                <w:szCs w:val="22"/>
              </w:rPr>
              <w:t>ogranicze</w:t>
            </w:r>
            <w:r w:rsidR="006B3FFE" w:rsidRPr="00154E08">
              <w:rPr>
                <w:rFonts w:ascii="Times New Roman" w:eastAsia="Calibri" w:hAnsi="Times New Roman"/>
                <w:color w:val="000000"/>
                <w:spacing w:val="-2"/>
                <w:sz w:val="22"/>
                <w:szCs w:val="22"/>
              </w:rPr>
              <w:t>nia</w:t>
            </w:r>
            <w:r w:rsidRPr="00154E08">
              <w:rPr>
                <w:rFonts w:ascii="Times New Roman" w:eastAsia="Calibri" w:hAnsi="Times New Roman"/>
                <w:color w:val="000000"/>
                <w:spacing w:val="-2"/>
                <w:sz w:val="22"/>
                <w:szCs w:val="22"/>
              </w:rPr>
              <w:t xml:space="preserve"> emisji gazów cieplarnianych w odniesieniu do</w:t>
            </w:r>
            <w:r w:rsidR="0093327A" w:rsidRPr="00154E08">
              <w:rPr>
                <w:rFonts w:ascii="Times New Roman" w:eastAsia="Calibri" w:hAnsi="Times New Roman"/>
                <w:color w:val="000000"/>
                <w:spacing w:val="-2"/>
                <w:sz w:val="22"/>
                <w:szCs w:val="22"/>
              </w:rPr>
              <w:t> </w:t>
            </w:r>
            <w:proofErr w:type="spellStart"/>
            <w:r w:rsidR="006B3FFE" w:rsidRPr="00154E08">
              <w:rPr>
                <w:rFonts w:ascii="Times New Roman" w:eastAsia="Calibri" w:hAnsi="Times New Roman"/>
                <w:color w:val="000000"/>
                <w:spacing w:val="-2"/>
                <w:sz w:val="22"/>
                <w:szCs w:val="22"/>
              </w:rPr>
              <w:t>biopłynów</w:t>
            </w:r>
            <w:proofErr w:type="spellEnd"/>
            <w:r w:rsidR="006B3FFE" w:rsidRPr="00154E08">
              <w:rPr>
                <w:rFonts w:ascii="Times New Roman" w:eastAsia="Calibri" w:hAnsi="Times New Roman"/>
                <w:color w:val="000000"/>
                <w:spacing w:val="-2"/>
                <w:sz w:val="22"/>
                <w:szCs w:val="22"/>
              </w:rPr>
              <w:t xml:space="preserve">, </w:t>
            </w:r>
            <w:r w:rsidRPr="00154E08">
              <w:rPr>
                <w:rFonts w:ascii="Times New Roman" w:eastAsia="Calibri" w:hAnsi="Times New Roman"/>
                <w:color w:val="000000"/>
                <w:spacing w:val="-2"/>
                <w:sz w:val="22"/>
                <w:szCs w:val="22"/>
              </w:rPr>
              <w:t xml:space="preserve">paliw z biomasy, </w:t>
            </w:r>
            <w:r w:rsidR="0076718B" w:rsidRPr="00154E08">
              <w:rPr>
                <w:rFonts w:ascii="Times New Roman" w:eastAsia="Calibri" w:hAnsi="Times New Roman"/>
                <w:color w:val="000000"/>
                <w:spacing w:val="-2"/>
                <w:sz w:val="22"/>
                <w:szCs w:val="22"/>
              </w:rPr>
              <w:t>z których jest wytwarzana energia elektryczna, ciepło i chłód</w:t>
            </w:r>
            <w:r w:rsidR="00CA5A89" w:rsidRPr="00154E08">
              <w:rPr>
                <w:rFonts w:ascii="Times New Roman" w:eastAsia="Calibri" w:hAnsi="Times New Roman"/>
                <w:color w:val="000000"/>
                <w:spacing w:val="-2"/>
                <w:sz w:val="22"/>
                <w:szCs w:val="22"/>
              </w:rPr>
              <w:t xml:space="preserve"> w</w:t>
            </w:r>
            <w:r w:rsidR="00AE76C5" w:rsidRPr="00154E08">
              <w:rPr>
                <w:rFonts w:ascii="Times New Roman" w:eastAsia="Calibri" w:hAnsi="Times New Roman"/>
                <w:color w:val="000000"/>
                <w:spacing w:val="-2"/>
                <w:sz w:val="22"/>
                <w:szCs w:val="22"/>
              </w:rPr>
              <w:t xml:space="preserve"> </w:t>
            </w:r>
            <w:r w:rsidR="0076718B" w:rsidRPr="00154E08">
              <w:rPr>
                <w:rFonts w:ascii="Times New Roman" w:eastAsia="Calibri" w:hAnsi="Times New Roman"/>
                <w:color w:val="000000"/>
                <w:spacing w:val="-2"/>
                <w:sz w:val="22"/>
                <w:szCs w:val="22"/>
              </w:rPr>
              <w:t>instalacjach odnawialnego źródła energii, objęta systemami wsparcia przewidzianymi w </w:t>
            </w:r>
            <w:r w:rsidR="00AE76C5" w:rsidRPr="00154E08">
              <w:rPr>
                <w:rFonts w:ascii="Times New Roman" w:eastAsia="Calibri" w:hAnsi="Times New Roman"/>
                <w:color w:val="000000"/>
                <w:spacing w:val="-2"/>
                <w:sz w:val="22"/>
                <w:szCs w:val="22"/>
              </w:rPr>
              <w:t>ustaw</w:t>
            </w:r>
            <w:r w:rsidR="00CA5A89" w:rsidRPr="00154E08">
              <w:rPr>
                <w:rFonts w:ascii="Times New Roman" w:eastAsia="Calibri" w:hAnsi="Times New Roman"/>
                <w:color w:val="000000"/>
                <w:spacing w:val="-2"/>
                <w:sz w:val="22"/>
                <w:szCs w:val="22"/>
              </w:rPr>
              <w:t>ie</w:t>
            </w:r>
            <w:r w:rsidR="00AE76C5" w:rsidRPr="00154E08">
              <w:rPr>
                <w:rFonts w:ascii="Times New Roman" w:eastAsia="Calibri" w:hAnsi="Times New Roman"/>
                <w:color w:val="000000"/>
                <w:spacing w:val="-2"/>
                <w:sz w:val="22"/>
                <w:szCs w:val="22"/>
              </w:rPr>
              <w:t xml:space="preserve"> o odnawialnych źródłach energii,</w:t>
            </w:r>
          </w:p>
          <w:p w14:paraId="57EFDB26" w14:textId="0FE58962" w:rsidR="009C0215" w:rsidRPr="00154E08" w:rsidRDefault="009C0215" w:rsidP="00B279FD">
            <w:pPr>
              <w:pStyle w:val="Akapitzlist"/>
              <w:numPr>
                <w:ilvl w:val="0"/>
                <w:numId w:val="24"/>
              </w:numPr>
              <w:spacing w:after="120" w:line="240" w:lineRule="auto"/>
              <w:jc w:val="both"/>
              <w:rPr>
                <w:rFonts w:ascii="Times New Roman" w:eastAsia="Calibri" w:hAnsi="Times New Roman"/>
                <w:color w:val="000000"/>
                <w:spacing w:val="-2"/>
                <w:sz w:val="22"/>
                <w:szCs w:val="22"/>
              </w:rPr>
            </w:pPr>
            <w:r w:rsidRPr="00154E08">
              <w:rPr>
                <w:rFonts w:ascii="Times New Roman" w:eastAsia="Calibri" w:hAnsi="Times New Roman"/>
                <w:color w:val="000000"/>
                <w:spacing w:val="-2"/>
                <w:sz w:val="22"/>
                <w:szCs w:val="22"/>
              </w:rPr>
              <w:t xml:space="preserve">zapewnienie stosowania KZR oraz </w:t>
            </w:r>
            <w:r w:rsidR="00987269" w:rsidRPr="00154E08">
              <w:rPr>
                <w:rFonts w:ascii="Times New Roman" w:eastAsia="Calibri" w:hAnsi="Times New Roman"/>
                <w:color w:val="000000"/>
                <w:spacing w:val="-2"/>
                <w:sz w:val="22"/>
                <w:szCs w:val="22"/>
              </w:rPr>
              <w:t xml:space="preserve">kryteriów </w:t>
            </w:r>
            <w:r w:rsidRPr="00154E08">
              <w:rPr>
                <w:rFonts w:ascii="Times New Roman" w:eastAsia="Calibri" w:hAnsi="Times New Roman"/>
                <w:color w:val="000000"/>
                <w:spacing w:val="-2"/>
                <w:sz w:val="22"/>
                <w:szCs w:val="22"/>
              </w:rPr>
              <w:t>ogranicze</w:t>
            </w:r>
            <w:r w:rsidR="2175C7DC" w:rsidRPr="00154E08">
              <w:rPr>
                <w:rFonts w:ascii="Times New Roman" w:eastAsia="Calibri" w:hAnsi="Times New Roman"/>
                <w:color w:val="000000"/>
                <w:spacing w:val="-2"/>
                <w:sz w:val="22"/>
                <w:szCs w:val="22"/>
              </w:rPr>
              <w:t>nia</w:t>
            </w:r>
            <w:r w:rsidRPr="00154E08">
              <w:rPr>
                <w:rFonts w:ascii="Times New Roman" w:eastAsia="Calibri" w:hAnsi="Times New Roman"/>
                <w:color w:val="000000"/>
                <w:spacing w:val="-2"/>
                <w:sz w:val="22"/>
                <w:szCs w:val="22"/>
              </w:rPr>
              <w:t xml:space="preserve"> emisji gazów cieplarnianych w odniesieniu do</w:t>
            </w:r>
            <w:r w:rsidR="0093327A" w:rsidRPr="00154E08">
              <w:rPr>
                <w:rFonts w:ascii="Times New Roman" w:eastAsia="Calibri" w:hAnsi="Times New Roman"/>
                <w:color w:val="000000"/>
                <w:spacing w:val="-2"/>
                <w:sz w:val="22"/>
                <w:szCs w:val="22"/>
              </w:rPr>
              <w:t> </w:t>
            </w:r>
            <w:proofErr w:type="spellStart"/>
            <w:r w:rsidRPr="00154E08">
              <w:rPr>
                <w:rFonts w:ascii="Times New Roman" w:eastAsia="Calibri" w:hAnsi="Times New Roman"/>
                <w:color w:val="000000"/>
                <w:spacing w:val="-2"/>
                <w:sz w:val="22"/>
                <w:szCs w:val="22"/>
              </w:rPr>
              <w:t>biopłynów</w:t>
            </w:r>
            <w:proofErr w:type="spellEnd"/>
            <w:r w:rsidRPr="00154E08">
              <w:rPr>
                <w:rFonts w:ascii="Times New Roman" w:eastAsia="Calibri" w:hAnsi="Times New Roman"/>
                <w:color w:val="000000"/>
                <w:spacing w:val="-2"/>
                <w:sz w:val="22"/>
                <w:szCs w:val="22"/>
              </w:rPr>
              <w:t xml:space="preserve"> i paliw z biomasy, które będą wykorzystywane do</w:t>
            </w:r>
            <w:r w:rsidR="00517916" w:rsidRPr="00154E08">
              <w:rPr>
                <w:rFonts w:ascii="Times New Roman" w:eastAsia="Calibri" w:hAnsi="Times New Roman"/>
                <w:color w:val="000000"/>
                <w:spacing w:val="-2"/>
                <w:sz w:val="22"/>
                <w:szCs w:val="22"/>
              </w:rPr>
              <w:t> </w:t>
            </w:r>
            <w:r w:rsidRPr="00154E08">
              <w:rPr>
                <w:rFonts w:ascii="Times New Roman" w:eastAsia="Calibri" w:hAnsi="Times New Roman"/>
                <w:color w:val="000000"/>
                <w:spacing w:val="-2"/>
                <w:sz w:val="22"/>
                <w:szCs w:val="22"/>
              </w:rPr>
              <w:t xml:space="preserve">określonych w </w:t>
            </w:r>
            <w:r w:rsidR="00AE5F50" w:rsidRPr="00154E08">
              <w:rPr>
                <w:rFonts w:ascii="Times New Roman" w:eastAsia="Calibri" w:hAnsi="Times New Roman"/>
                <w:color w:val="000000"/>
                <w:spacing w:val="-2"/>
                <w:sz w:val="22"/>
                <w:szCs w:val="22"/>
              </w:rPr>
              <w:t xml:space="preserve">dyrektywie </w:t>
            </w:r>
            <w:r w:rsidRPr="00154E08">
              <w:rPr>
                <w:rFonts w:ascii="Times New Roman" w:eastAsia="Calibri" w:hAnsi="Times New Roman"/>
                <w:color w:val="000000"/>
                <w:spacing w:val="-2"/>
                <w:sz w:val="22"/>
                <w:szCs w:val="22"/>
              </w:rPr>
              <w:t>RED</w:t>
            </w:r>
            <w:r w:rsidR="00F1557B" w:rsidRPr="00154E08">
              <w:rPr>
                <w:rFonts w:ascii="Times New Roman" w:eastAsia="Calibri" w:hAnsi="Times New Roman"/>
                <w:color w:val="000000"/>
                <w:spacing w:val="-2"/>
                <w:sz w:val="22"/>
                <w:szCs w:val="22"/>
              </w:rPr>
              <w:t xml:space="preserve"> </w:t>
            </w:r>
            <w:r w:rsidRPr="00154E08">
              <w:rPr>
                <w:rFonts w:ascii="Times New Roman" w:eastAsia="Calibri" w:hAnsi="Times New Roman"/>
                <w:color w:val="000000"/>
                <w:spacing w:val="-2"/>
                <w:sz w:val="22"/>
                <w:szCs w:val="22"/>
              </w:rPr>
              <w:t xml:space="preserve">II celów OZE w sektorach </w:t>
            </w:r>
            <w:r w:rsidR="70FAC8D5" w:rsidRPr="00154E08">
              <w:rPr>
                <w:rFonts w:ascii="Times New Roman" w:eastAsia="Calibri" w:hAnsi="Times New Roman"/>
                <w:color w:val="000000"/>
                <w:spacing w:val="-2"/>
                <w:sz w:val="22"/>
                <w:szCs w:val="22"/>
              </w:rPr>
              <w:t xml:space="preserve">energii </w:t>
            </w:r>
            <w:r w:rsidRPr="00154E08">
              <w:rPr>
                <w:rFonts w:ascii="Times New Roman" w:eastAsia="Calibri" w:hAnsi="Times New Roman"/>
                <w:color w:val="000000"/>
                <w:spacing w:val="-2"/>
                <w:sz w:val="22"/>
                <w:szCs w:val="22"/>
              </w:rPr>
              <w:t>innych niż transport</w:t>
            </w:r>
            <w:r w:rsidR="0054757A" w:rsidRPr="00154E08">
              <w:rPr>
                <w:rFonts w:ascii="Times New Roman" w:eastAsia="Calibri" w:hAnsi="Times New Roman"/>
                <w:color w:val="000000"/>
                <w:spacing w:val="-2"/>
                <w:sz w:val="22"/>
                <w:szCs w:val="22"/>
              </w:rPr>
              <w:t>.</w:t>
            </w:r>
          </w:p>
          <w:p w14:paraId="0CF1C408" w14:textId="1D8D70E0" w:rsidR="009C0215" w:rsidRPr="00154E08" w:rsidRDefault="009C0215" w:rsidP="00B279FD">
            <w:pPr>
              <w:spacing w:after="120" w:line="240" w:lineRule="auto"/>
              <w:jc w:val="both"/>
              <w:rPr>
                <w:rFonts w:cs="Times New Roman"/>
                <w:sz w:val="22"/>
                <w:szCs w:val="22"/>
              </w:rPr>
            </w:pPr>
            <w:r w:rsidRPr="00154E08">
              <w:rPr>
                <w:rFonts w:eastAsia="Calibri" w:cs="Times New Roman"/>
                <w:color w:val="000000"/>
                <w:spacing w:val="-2"/>
                <w:sz w:val="22"/>
                <w:szCs w:val="22"/>
              </w:rPr>
              <w:t xml:space="preserve">Projekt ustawy dokonuje również korekt porządkowych lub dostosowawczych wynikających </w:t>
            </w:r>
            <w:r w:rsidRPr="00154E08">
              <w:rPr>
                <w:rFonts w:cs="Times New Roman"/>
                <w:sz w:val="22"/>
                <w:szCs w:val="22"/>
              </w:rPr>
              <w:t>z</w:t>
            </w:r>
            <w:r w:rsidR="0093327A" w:rsidRPr="00154E08">
              <w:rPr>
                <w:rFonts w:cs="Times New Roman"/>
                <w:sz w:val="22"/>
                <w:szCs w:val="22"/>
              </w:rPr>
              <w:t> </w:t>
            </w:r>
            <w:r w:rsidRPr="00154E08">
              <w:rPr>
                <w:rFonts w:cs="Times New Roman"/>
                <w:sz w:val="22"/>
                <w:szCs w:val="22"/>
              </w:rPr>
              <w:t xml:space="preserve">potrzeby większej precyzji części przepisów w ustawie </w:t>
            </w:r>
            <w:r w:rsidR="00AE5F50" w:rsidRPr="00154E08">
              <w:rPr>
                <w:rFonts w:eastAsia="Calibri" w:cs="Times New Roman"/>
                <w:color w:val="000000" w:themeColor="text1"/>
                <w:sz w:val="22"/>
                <w:szCs w:val="22"/>
              </w:rPr>
              <w:t>z dnia 25 sierpnia 2006 r. o</w:t>
            </w:r>
            <w:r w:rsidR="0093327A" w:rsidRPr="00154E08">
              <w:rPr>
                <w:rFonts w:eastAsia="Calibri" w:cs="Times New Roman"/>
                <w:color w:val="000000" w:themeColor="text1"/>
                <w:sz w:val="22"/>
                <w:szCs w:val="22"/>
              </w:rPr>
              <w:t> </w:t>
            </w:r>
            <w:r w:rsidR="00AE5F50" w:rsidRPr="00154E08">
              <w:rPr>
                <w:rFonts w:eastAsia="Calibri" w:cs="Times New Roman"/>
                <w:color w:val="000000" w:themeColor="text1"/>
                <w:sz w:val="22"/>
                <w:szCs w:val="22"/>
              </w:rPr>
              <w:t>biokomponentach i biopaliwach ciekłych</w:t>
            </w:r>
            <w:r w:rsidRPr="00154E08">
              <w:rPr>
                <w:rFonts w:cs="Times New Roman"/>
                <w:sz w:val="22"/>
                <w:szCs w:val="22"/>
              </w:rPr>
              <w:t xml:space="preserve">, ustawie z dnia 20 lutego 2015 r. </w:t>
            </w:r>
            <w:r w:rsidRPr="00154E08">
              <w:rPr>
                <w:rFonts w:cs="Times New Roman"/>
                <w:iCs/>
                <w:sz w:val="22"/>
                <w:szCs w:val="22"/>
              </w:rPr>
              <w:t>o</w:t>
            </w:r>
            <w:r w:rsidR="00517916" w:rsidRPr="00154E08">
              <w:rPr>
                <w:rFonts w:cs="Times New Roman"/>
                <w:iCs/>
                <w:sz w:val="22"/>
                <w:szCs w:val="22"/>
              </w:rPr>
              <w:t> </w:t>
            </w:r>
            <w:r w:rsidRPr="00154E08">
              <w:rPr>
                <w:rFonts w:cs="Times New Roman"/>
                <w:iCs/>
                <w:sz w:val="22"/>
                <w:szCs w:val="22"/>
              </w:rPr>
              <w:t xml:space="preserve">odnawialnych źródłach energii </w:t>
            </w:r>
            <w:r w:rsidRPr="00154E08">
              <w:rPr>
                <w:rFonts w:cs="Times New Roman"/>
                <w:sz w:val="22"/>
                <w:szCs w:val="22"/>
              </w:rPr>
              <w:t>(Dz. U.</w:t>
            </w:r>
            <w:r w:rsidR="00F150E8" w:rsidRPr="00154E08">
              <w:rPr>
                <w:rFonts w:eastAsia="Times New Roman" w:cs="Times New Roman"/>
                <w:sz w:val="22"/>
                <w:szCs w:val="22"/>
              </w:rPr>
              <w:t xml:space="preserve"> z 2022 r. poz. 1378</w:t>
            </w:r>
            <w:r w:rsidR="00525703" w:rsidRPr="00154E08">
              <w:rPr>
                <w:rFonts w:eastAsia="Times New Roman" w:cs="Times New Roman"/>
                <w:sz w:val="22"/>
                <w:szCs w:val="22"/>
              </w:rPr>
              <w:t xml:space="preserve"> i 1436</w:t>
            </w:r>
            <w:r w:rsidR="00F150E8" w:rsidRPr="00154E08">
              <w:rPr>
                <w:rFonts w:eastAsia="Times New Roman" w:cs="Times New Roman"/>
                <w:sz w:val="22"/>
                <w:szCs w:val="22"/>
              </w:rPr>
              <w:t xml:space="preserve">, z </w:t>
            </w:r>
            <w:proofErr w:type="spellStart"/>
            <w:r w:rsidR="00F150E8" w:rsidRPr="00154E08">
              <w:rPr>
                <w:rFonts w:eastAsia="Times New Roman" w:cs="Times New Roman"/>
                <w:sz w:val="22"/>
                <w:szCs w:val="22"/>
              </w:rPr>
              <w:t>późn</w:t>
            </w:r>
            <w:proofErr w:type="spellEnd"/>
            <w:r w:rsidR="00F150E8" w:rsidRPr="00154E08">
              <w:rPr>
                <w:rFonts w:eastAsia="Times New Roman" w:cs="Times New Roman"/>
                <w:sz w:val="22"/>
                <w:szCs w:val="22"/>
              </w:rPr>
              <w:t>. zm.</w:t>
            </w:r>
            <w:r w:rsidRPr="00154E08">
              <w:rPr>
                <w:rFonts w:cs="Times New Roman"/>
                <w:sz w:val="22"/>
                <w:szCs w:val="22"/>
              </w:rPr>
              <w:t xml:space="preserve">) oraz ustawie z dnia 19 lipca 2019 r. </w:t>
            </w:r>
            <w:r w:rsidRPr="00154E08">
              <w:rPr>
                <w:rFonts w:cs="Times New Roman"/>
                <w:iCs/>
                <w:sz w:val="22"/>
                <w:szCs w:val="22"/>
              </w:rPr>
              <w:t>o zmianie ustawy o</w:t>
            </w:r>
            <w:r w:rsidR="0093327A" w:rsidRPr="00154E08">
              <w:rPr>
                <w:rFonts w:cs="Times New Roman"/>
                <w:iCs/>
                <w:sz w:val="22"/>
                <w:szCs w:val="22"/>
              </w:rPr>
              <w:t> </w:t>
            </w:r>
            <w:r w:rsidRPr="00154E08">
              <w:rPr>
                <w:rFonts w:cs="Times New Roman"/>
                <w:iCs/>
                <w:sz w:val="22"/>
                <w:szCs w:val="22"/>
              </w:rPr>
              <w:t>biokomponentach i biopaliwach ciekłych oraz niektórych innych ustaw</w:t>
            </w:r>
            <w:r w:rsidRPr="00154E08">
              <w:rPr>
                <w:rFonts w:cs="Times New Roman"/>
                <w:sz w:val="22"/>
                <w:szCs w:val="22"/>
              </w:rPr>
              <w:t xml:space="preserve"> (Dz.</w:t>
            </w:r>
            <w:r w:rsidR="0048083A" w:rsidRPr="00154E08">
              <w:rPr>
                <w:rFonts w:cs="Times New Roman"/>
                <w:sz w:val="22"/>
                <w:szCs w:val="22"/>
              </w:rPr>
              <w:t> </w:t>
            </w:r>
            <w:r w:rsidRPr="00154E08">
              <w:rPr>
                <w:rFonts w:cs="Times New Roman"/>
                <w:sz w:val="22"/>
                <w:szCs w:val="22"/>
              </w:rPr>
              <w:t>U. 1527).</w:t>
            </w:r>
          </w:p>
          <w:p w14:paraId="7CFF54E9" w14:textId="57CCF091" w:rsidR="0070179A" w:rsidRPr="00154E08" w:rsidRDefault="00F564DD" w:rsidP="00B279FD">
            <w:pPr>
              <w:spacing w:after="120" w:line="240" w:lineRule="auto"/>
              <w:jc w:val="both"/>
              <w:rPr>
                <w:rFonts w:eastAsia="Calibri" w:cs="Times New Roman"/>
                <w:spacing w:val="-2"/>
                <w:sz w:val="22"/>
                <w:szCs w:val="22"/>
              </w:rPr>
            </w:pPr>
            <w:r w:rsidRPr="00154E08">
              <w:rPr>
                <w:rFonts w:eastAsia="Calibri" w:cs="Times New Roman"/>
                <w:color w:val="000000" w:themeColor="text1"/>
                <w:sz w:val="22"/>
                <w:szCs w:val="22"/>
              </w:rPr>
              <w:t>Proponowane w proje</w:t>
            </w:r>
            <w:r w:rsidR="00225AD8" w:rsidRPr="00154E08">
              <w:rPr>
                <w:rFonts w:eastAsia="Calibri" w:cs="Times New Roman"/>
                <w:color w:val="000000" w:themeColor="text1"/>
                <w:sz w:val="22"/>
                <w:szCs w:val="22"/>
              </w:rPr>
              <w:t>kcie ustawy</w:t>
            </w:r>
            <w:r w:rsidR="00225AD8" w:rsidRPr="00154E08">
              <w:rPr>
                <w:rFonts w:eastAsia="Calibri" w:cs="Times New Roman"/>
                <w:i/>
                <w:iCs/>
                <w:color w:val="000000" w:themeColor="text1"/>
                <w:sz w:val="22"/>
                <w:szCs w:val="22"/>
              </w:rPr>
              <w:t xml:space="preserve"> </w:t>
            </w:r>
            <w:r w:rsidRPr="00154E08">
              <w:rPr>
                <w:rFonts w:eastAsia="Calibri" w:cs="Times New Roman"/>
                <w:color w:val="000000" w:themeColor="text1"/>
                <w:sz w:val="22"/>
                <w:szCs w:val="22"/>
              </w:rPr>
              <w:t xml:space="preserve">działania </w:t>
            </w:r>
            <w:r w:rsidR="00970D12" w:rsidRPr="00154E08">
              <w:rPr>
                <w:rFonts w:eastAsia="Calibri" w:cs="Times New Roman"/>
                <w:color w:val="000000" w:themeColor="text1"/>
                <w:sz w:val="22"/>
                <w:szCs w:val="22"/>
              </w:rPr>
              <w:t xml:space="preserve">wdrażające postanowienia dyrektywy </w:t>
            </w:r>
            <w:r w:rsidR="0027031B" w:rsidRPr="00154E08">
              <w:rPr>
                <w:rFonts w:eastAsia="Calibri" w:cs="Times New Roman"/>
                <w:color w:val="000000" w:themeColor="text1"/>
                <w:sz w:val="22"/>
                <w:szCs w:val="22"/>
              </w:rPr>
              <w:t xml:space="preserve">2018/2001 </w:t>
            </w:r>
            <w:r w:rsidRPr="00154E08">
              <w:rPr>
                <w:rFonts w:eastAsia="Calibri" w:cs="Times New Roman"/>
                <w:color w:val="000000" w:themeColor="text1"/>
                <w:sz w:val="22"/>
                <w:szCs w:val="22"/>
              </w:rPr>
              <w:t>maj</w:t>
            </w:r>
            <w:r w:rsidR="00C4556F" w:rsidRPr="00154E08">
              <w:rPr>
                <w:rFonts w:eastAsia="Calibri" w:cs="Times New Roman"/>
                <w:color w:val="000000" w:themeColor="text1"/>
                <w:sz w:val="22"/>
                <w:szCs w:val="22"/>
              </w:rPr>
              <w:t>ą</w:t>
            </w:r>
            <w:r w:rsidRPr="00154E08">
              <w:rPr>
                <w:rFonts w:eastAsia="Calibri" w:cs="Times New Roman"/>
                <w:color w:val="000000" w:themeColor="text1"/>
                <w:sz w:val="22"/>
                <w:szCs w:val="22"/>
              </w:rPr>
              <w:t xml:space="preserve"> istotne znaczenie w kontekście stabilizacji działania </w:t>
            </w:r>
            <w:r w:rsidR="00B8364F" w:rsidRPr="00154E08">
              <w:rPr>
                <w:rFonts w:eastAsia="Calibri" w:cs="Times New Roman"/>
                <w:color w:val="000000" w:themeColor="text1"/>
                <w:sz w:val="22"/>
                <w:szCs w:val="22"/>
              </w:rPr>
              <w:t xml:space="preserve">krajowego </w:t>
            </w:r>
            <w:r w:rsidRPr="00154E08">
              <w:rPr>
                <w:rFonts w:eastAsia="Calibri" w:cs="Times New Roman"/>
                <w:color w:val="000000" w:themeColor="text1"/>
                <w:sz w:val="22"/>
                <w:szCs w:val="22"/>
              </w:rPr>
              <w:t>sektora paliw oraz transportu w</w:t>
            </w:r>
            <w:r w:rsidR="00F503EF" w:rsidRPr="00154E08">
              <w:rPr>
                <w:rFonts w:eastAsia="Calibri" w:cs="Times New Roman"/>
                <w:color w:val="000000" w:themeColor="text1"/>
                <w:sz w:val="22"/>
                <w:szCs w:val="22"/>
              </w:rPr>
              <w:t> </w:t>
            </w:r>
            <w:r w:rsidRPr="00154E08">
              <w:rPr>
                <w:rFonts w:eastAsia="Calibri" w:cs="Times New Roman"/>
                <w:color w:val="000000" w:themeColor="text1"/>
                <w:sz w:val="22"/>
                <w:szCs w:val="22"/>
              </w:rPr>
              <w:t xml:space="preserve">obliczu wyzwań </w:t>
            </w:r>
            <w:r w:rsidR="00E64F89" w:rsidRPr="00154E08">
              <w:rPr>
                <w:rFonts w:eastAsia="Calibri" w:cs="Times New Roman"/>
                <w:color w:val="000000" w:themeColor="text1"/>
                <w:sz w:val="22"/>
                <w:szCs w:val="22"/>
              </w:rPr>
              <w:t xml:space="preserve">dotyczących realizacji celów </w:t>
            </w:r>
            <w:r w:rsidR="007B457C" w:rsidRPr="00154E08">
              <w:rPr>
                <w:rFonts w:eastAsia="Calibri" w:cs="Times New Roman"/>
                <w:color w:val="000000" w:themeColor="text1"/>
                <w:sz w:val="22"/>
                <w:szCs w:val="22"/>
              </w:rPr>
              <w:t>Europejskiego Zielonego Ładu</w:t>
            </w:r>
            <w:r w:rsidRPr="00154E08">
              <w:rPr>
                <w:rFonts w:eastAsia="Calibri" w:cs="Times New Roman"/>
                <w:color w:val="000000" w:themeColor="text1"/>
                <w:sz w:val="22"/>
                <w:szCs w:val="22"/>
              </w:rPr>
              <w:t xml:space="preserve">, jak również dla zapewnienia bezpieczeństwa paliwowego państwa, </w:t>
            </w:r>
            <w:r w:rsidR="00992261" w:rsidRPr="00154E08">
              <w:rPr>
                <w:rFonts w:eastAsia="Calibri" w:cs="Times New Roman"/>
                <w:color w:val="000000" w:themeColor="text1"/>
                <w:sz w:val="22"/>
                <w:szCs w:val="22"/>
              </w:rPr>
              <w:t xml:space="preserve">poprzez </w:t>
            </w:r>
            <w:r w:rsidRPr="00154E08">
              <w:rPr>
                <w:rFonts w:eastAsia="Calibri" w:cs="Times New Roman"/>
                <w:color w:val="000000" w:themeColor="text1"/>
                <w:sz w:val="22"/>
                <w:szCs w:val="22"/>
              </w:rPr>
              <w:t>dywersyfikacj</w:t>
            </w:r>
            <w:r w:rsidR="00992261" w:rsidRPr="00154E08">
              <w:rPr>
                <w:rFonts w:eastAsia="Calibri" w:cs="Times New Roman"/>
                <w:color w:val="000000" w:themeColor="text1"/>
                <w:sz w:val="22"/>
                <w:szCs w:val="22"/>
              </w:rPr>
              <w:t>ę</w:t>
            </w:r>
            <w:r w:rsidRPr="00154E08">
              <w:rPr>
                <w:rFonts w:eastAsia="Calibri" w:cs="Times New Roman"/>
                <w:color w:val="000000" w:themeColor="text1"/>
                <w:sz w:val="22"/>
                <w:szCs w:val="22"/>
              </w:rPr>
              <w:t xml:space="preserve"> dostaw </w:t>
            </w:r>
            <w:r w:rsidR="007B457C" w:rsidRPr="00154E08">
              <w:rPr>
                <w:rFonts w:eastAsia="Calibri" w:cs="Times New Roman"/>
                <w:color w:val="000000" w:themeColor="text1"/>
                <w:sz w:val="22"/>
                <w:szCs w:val="22"/>
              </w:rPr>
              <w:t xml:space="preserve">nośników </w:t>
            </w:r>
            <w:r w:rsidRPr="00154E08">
              <w:rPr>
                <w:rFonts w:eastAsia="Calibri" w:cs="Times New Roman"/>
                <w:color w:val="000000" w:themeColor="text1"/>
                <w:sz w:val="22"/>
                <w:szCs w:val="22"/>
              </w:rPr>
              <w:t>energii</w:t>
            </w:r>
            <w:r w:rsidR="00ED127F" w:rsidRPr="00154E08">
              <w:rPr>
                <w:rFonts w:eastAsia="Calibri" w:cs="Times New Roman"/>
                <w:color w:val="000000" w:themeColor="text1"/>
                <w:sz w:val="22"/>
                <w:szCs w:val="22"/>
              </w:rPr>
              <w:t xml:space="preserve"> i paliw</w:t>
            </w:r>
            <w:r w:rsidRPr="00154E08">
              <w:rPr>
                <w:rFonts w:eastAsia="Calibri" w:cs="Times New Roman"/>
                <w:color w:val="000000" w:themeColor="text1"/>
                <w:sz w:val="22"/>
                <w:szCs w:val="22"/>
              </w:rPr>
              <w:t xml:space="preserve"> dla transportu</w:t>
            </w:r>
            <w:r w:rsidR="0093327A" w:rsidRPr="00154E08">
              <w:rPr>
                <w:rFonts w:eastAsia="Calibri" w:cs="Times New Roman"/>
                <w:color w:val="000000" w:themeColor="text1"/>
                <w:sz w:val="22"/>
                <w:szCs w:val="22"/>
              </w:rPr>
              <w:t>, które w</w:t>
            </w:r>
            <w:r w:rsidR="00900F98" w:rsidRPr="00154E08">
              <w:rPr>
                <w:rFonts w:eastAsia="Calibri" w:cs="Times New Roman"/>
                <w:color w:val="000000" w:themeColor="text1"/>
                <w:sz w:val="22"/>
                <w:szCs w:val="22"/>
              </w:rPr>
              <w:t> </w:t>
            </w:r>
            <w:r w:rsidR="0093327A" w:rsidRPr="00154E08">
              <w:rPr>
                <w:rFonts w:eastAsia="Calibri" w:cs="Times New Roman"/>
                <w:color w:val="000000" w:themeColor="text1"/>
                <w:sz w:val="22"/>
                <w:szCs w:val="22"/>
              </w:rPr>
              <w:t>większym niż dotychczas stopniu b</w:t>
            </w:r>
            <w:r w:rsidR="00ED127F" w:rsidRPr="00154E08">
              <w:rPr>
                <w:rFonts w:eastAsia="Calibri" w:cs="Times New Roman"/>
                <w:color w:val="000000" w:themeColor="text1"/>
                <w:sz w:val="22"/>
                <w:szCs w:val="22"/>
              </w:rPr>
              <w:t>ędą</w:t>
            </w:r>
            <w:r w:rsidR="0093327A" w:rsidRPr="00154E08">
              <w:rPr>
                <w:rFonts w:eastAsia="Calibri" w:cs="Times New Roman"/>
                <w:color w:val="000000" w:themeColor="text1"/>
                <w:sz w:val="22"/>
                <w:szCs w:val="22"/>
              </w:rPr>
              <w:t xml:space="preserve"> oparte na krajowych źródłach energii </w:t>
            </w:r>
            <w:r w:rsidR="00E65C00" w:rsidRPr="00154E08">
              <w:rPr>
                <w:rFonts w:eastAsia="Calibri" w:cs="Times New Roman"/>
                <w:color w:val="000000" w:themeColor="text1"/>
                <w:sz w:val="22"/>
                <w:szCs w:val="22"/>
              </w:rPr>
              <w:t xml:space="preserve">oraz </w:t>
            </w:r>
            <w:r w:rsidR="0093327A" w:rsidRPr="00154E08">
              <w:rPr>
                <w:rFonts w:eastAsia="Calibri" w:cs="Times New Roman"/>
                <w:color w:val="000000" w:themeColor="text1"/>
                <w:sz w:val="22"/>
                <w:szCs w:val="22"/>
              </w:rPr>
              <w:t>surowców</w:t>
            </w:r>
            <w:r w:rsidR="00EE3316" w:rsidRPr="00154E08">
              <w:rPr>
                <w:rFonts w:eastAsia="Calibri" w:cs="Times New Roman"/>
                <w:color w:val="000000" w:themeColor="text1"/>
                <w:sz w:val="22"/>
                <w:szCs w:val="22"/>
              </w:rPr>
              <w:t>, z</w:t>
            </w:r>
            <w:r w:rsidR="00B42A3F" w:rsidRPr="00154E08">
              <w:rPr>
                <w:rFonts w:eastAsia="Calibri" w:cs="Times New Roman"/>
                <w:color w:val="000000" w:themeColor="text1"/>
                <w:sz w:val="22"/>
                <w:szCs w:val="22"/>
              </w:rPr>
              <w:t> </w:t>
            </w:r>
            <w:r w:rsidR="00EE3316" w:rsidRPr="00154E08">
              <w:rPr>
                <w:rFonts w:eastAsia="Calibri" w:cs="Times New Roman"/>
                <w:color w:val="000000" w:themeColor="text1"/>
                <w:sz w:val="22"/>
                <w:szCs w:val="22"/>
              </w:rPr>
              <w:t>mniejszą potrzebą importu ropy i paliw</w:t>
            </w:r>
            <w:r w:rsidRPr="00154E08">
              <w:rPr>
                <w:rFonts w:eastAsia="Calibri" w:cs="Times New Roman"/>
                <w:color w:val="000000" w:themeColor="text1"/>
                <w:sz w:val="22"/>
                <w:szCs w:val="22"/>
              </w:rPr>
              <w:t>.</w:t>
            </w:r>
          </w:p>
          <w:p w14:paraId="1F9B1BBB" w14:textId="34B4E4E3" w:rsidR="005170D1" w:rsidRPr="00154E08" w:rsidRDefault="0058690B" w:rsidP="00B279FD">
            <w:pPr>
              <w:pStyle w:val="Akapitzlist"/>
              <w:numPr>
                <w:ilvl w:val="0"/>
                <w:numId w:val="25"/>
              </w:numPr>
              <w:spacing w:after="120" w:line="240" w:lineRule="auto"/>
              <w:contextualSpacing w:val="0"/>
              <w:jc w:val="both"/>
              <w:rPr>
                <w:rFonts w:ascii="Times New Roman" w:eastAsia="Calibri" w:hAnsi="Times New Roman"/>
                <w:b/>
                <w:bCs/>
                <w:color w:val="000000" w:themeColor="text1"/>
                <w:sz w:val="22"/>
                <w:szCs w:val="22"/>
              </w:rPr>
            </w:pPr>
            <w:r w:rsidRPr="00154E08">
              <w:rPr>
                <w:rFonts w:ascii="Times New Roman" w:eastAsia="Calibri" w:hAnsi="Times New Roman"/>
                <w:b/>
                <w:bCs/>
                <w:color w:val="000000" w:themeColor="text1"/>
                <w:sz w:val="22"/>
                <w:szCs w:val="22"/>
              </w:rPr>
              <w:t>Okre</w:t>
            </w:r>
            <w:r w:rsidR="00415568" w:rsidRPr="00154E08">
              <w:rPr>
                <w:rFonts w:ascii="Times New Roman" w:eastAsia="Calibri" w:hAnsi="Times New Roman"/>
                <w:b/>
                <w:bCs/>
                <w:color w:val="000000" w:themeColor="text1"/>
                <w:sz w:val="22"/>
                <w:szCs w:val="22"/>
              </w:rPr>
              <w:t>ś</w:t>
            </w:r>
            <w:r w:rsidRPr="00154E08">
              <w:rPr>
                <w:rFonts w:ascii="Times New Roman" w:eastAsia="Calibri" w:hAnsi="Times New Roman"/>
                <w:b/>
                <w:bCs/>
                <w:color w:val="000000" w:themeColor="text1"/>
                <w:sz w:val="22"/>
                <w:szCs w:val="22"/>
              </w:rPr>
              <w:t xml:space="preserve">lenie </w:t>
            </w:r>
            <w:r w:rsidR="002F31D0" w:rsidRPr="00154E08">
              <w:rPr>
                <w:rFonts w:ascii="Times New Roman" w:eastAsia="Calibri" w:hAnsi="Times New Roman"/>
                <w:b/>
                <w:bCs/>
                <w:color w:val="000000" w:themeColor="text1"/>
                <w:sz w:val="22"/>
                <w:szCs w:val="22"/>
              </w:rPr>
              <w:t xml:space="preserve">poziomu </w:t>
            </w:r>
            <w:r w:rsidR="005170D1" w:rsidRPr="00154E08">
              <w:rPr>
                <w:rFonts w:ascii="Times New Roman" w:eastAsia="Calibri" w:hAnsi="Times New Roman"/>
                <w:b/>
                <w:bCs/>
                <w:color w:val="000000" w:themeColor="text1"/>
                <w:sz w:val="22"/>
                <w:szCs w:val="22"/>
              </w:rPr>
              <w:t>NCW</w:t>
            </w:r>
          </w:p>
          <w:p w14:paraId="6CCECBD8" w14:textId="73D43E54" w:rsidR="00B279FD" w:rsidRPr="00154E08" w:rsidRDefault="002E4077" w:rsidP="00B279FD">
            <w:pPr>
              <w:spacing w:after="120" w:line="240" w:lineRule="auto"/>
              <w:jc w:val="both"/>
              <w:rPr>
                <w:rFonts w:eastAsia="Calibri" w:cs="Times New Roman"/>
                <w:color w:val="000000"/>
                <w:spacing w:val="-2"/>
                <w:sz w:val="22"/>
                <w:szCs w:val="22"/>
              </w:rPr>
            </w:pPr>
            <w:r w:rsidRPr="00154E08">
              <w:rPr>
                <w:rFonts w:eastAsia="Calibri" w:cs="Times New Roman"/>
                <w:iCs/>
                <w:color w:val="000000"/>
                <w:spacing w:val="-2"/>
                <w:sz w:val="22"/>
                <w:szCs w:val="22"/>
              </w:rPr>
              <w:t>Zakłada się wprowadzenie</w:t>
            </w:r>
            <w:r w:rsidR="005170D1" w:rsidRPr="00154E08">
              <w:rPr>
                <w:rFonts w:eastAsia="Calibri" w:cs="Times New Roman"/>
                <w:spacing w:val="-2"/>
                <w:sz w:val="22"/>
                <w:szCs w:val="22"/>
              </w:rPr>
              <w:t xml:space="preserve"> do krajowych regulacji wyznaczon</w:t>
            </w:r>
            <w:r w:rsidRPr="00154E08">
              <w:rPr>
                <w:rFonts w:eastAsia="Calibri" w:cs="Times New Roman"/>
                <w:spacing w:val="-2"/>
                <w:sz w:val="22"/>
                <w:szCs w:val="22"/>
              </w:rPr>
              <w:t>ego</w:t>
            </w:r>
            <w:r w:rsidR="005170D1" w:rsidRPr="00154E08">
              <w:rPr>
                <w:rFonts w:eastAsia="Calibri" w:cs="Times New Roman"/>
                <w:spacing w:val="-2"/>
                <w:sz w:val="22"/>
                <w:szCs w:val="22"/>
              </w:rPr>
              <w:t xml:space="preserve"> w </w:t>
            </w:r>
            <w:r w:rsidR="00AE5F50" w:rsidRPr="00154E08">
              <w:rPr>
                <w:rFonts w:eastAsia="Calibri" w:cs="Times New Roman"/>
                <w:spacing w:val="-2"/>
                <w:sz w:val="22"/>
                <w:szCs w:val="22"/>
              </w:rPr>
              <w:t xml:space="preserve">dyrektywie </w:t>
            </w:r>
            <w:r w:rsidR="005170D1" w:rsidRPr="00154E08">
              <w:rPr>
                <w:rFonts w:eastAsia="Calibri" w:cs="Times New Roman"/>
                <w:spacing w:val="-2"/>
                <w:sz w:val="22"/>
                <w:szCs w:val="22"/>
              </w:rPr>
              <w:t>RED</w:t>
            </w:r>
            <w:r w:rsidR="00F1557B" w:rsidRPr="00154E08">
              <w:rPr>
                <w:rFonts w:eastAsia="Calibri" w:cs="Times New Roman"/>
                <w:spacing w:val="-2"/>
                <w:sz w:val="22"/>
                <w:szCs w:val="22"/>
              </w:rPr>
              <w:t xml:space="preserve"> </w:t>
            </w:r>
            <w:r w:rsidR="005170D1" w:rsidRPr="00154E08">
              <w:rPr>
                <w:rFonts w:eastAsia="Calibri" w:cs="Times New Roman"/>
                <w:spacing w:val="-2"/>
                <w:sz w:val="22"/>
                <w:szCs w:val="22"/>
              </w:rPr>
              <w:t>II</w:t>
            </w:r>
            <w:r w:rsidRPr="00154E08">
              <w:rPr>
                <w:rFonts w:eastAsia="Calibri" w:cs="Times New Roman"/>
                <w:spacing w:val="-2"/>
                <w:sz w:val="22"/>
                <w:szCs w:val="22"/>
              </w:rPr>
              <w:t xml:space="preserve"> celu dotyczącego</w:t>
            </w:r>
            <w:r w:rsidR="005170D1" w:rsidRPr="00154E08">
              <w:rPr>
                <w:rFonts w:eastAsia="Calibri" w:cs="Times New Roman"/>
                <w:spacing w:val="-2"/>
                <w:sz w:val="22"/>
                <w:szCs w:val="22"/>
              </w:rPr>
              <w:t xml:space="preserve"> </w:t>
            </w:r>
            <w:r w:rsidR="00AA43D2" w:rsidRPr="00154E08">
              <w:rPr>
                <w:rFonts w:eastAsia="Calibri" w:cs="Times New Roman"/>
                <w:spacing w:val="-2"/>
                <w:sz w:val="22"/>
                <w:szCs w:val="22"/>
              </w:rPr>
              <w:t xml:space="preserve">osiągnięcia minimalnego </w:t>
            </w:r>
            <w:r w:rsidR="005170D1" w:rsidRPr="00154E08">
              <w:rPr>
                <w:rFonts w:eastAsia="Calibri" w:cs="Times New Roman"/>
                <w:spacing w:val="-2"/>
                <w:sz w:val="22"/>
                <w:szCs w:val="22"/>
              </w:rPr>
              <w:t>udział</w:t>
            </w:r>
            <w:r w:rsidRPr="00154E08">
              <w:rPr>
                <w:rFonts w:eastAsia="Calibri" w:cs="Times New Roman"/>
                <w:spacing w:val="-2"/>
                <w:sz w:val="22"/>
                <w:szCs w:val="22"/>
              </w:rPr>
              <w:t>u</w:t>
            </w:r>
            <w:r w:rsidR="005170D1" w:rsidRPr="00154E08">
              <w:rPr>
                <w:rFonts w:eastAsia="Calibri" w:cs="Times New Roman"/>
                <w:spacing w:val="-2"/>
                <w:sz w:val="22"/>
                <w:szCs w:val="22"/>
              </w:rPr>
              <w:t xml:space="preserve"> energii odnawialnej w transporcie</w:t>
            </w:r>
            <w:r w:rsidR="005170D1" w:rsidRPr="00154E08">
              <w:rPr>
                <w:rFonts w:eastAsia="Calibri" w:cs="Times New Roman"/>
                <w:color w:val="000000"/>
                <w:spacing w:val="-2"/>
                <w:sz w:val="22"/>
                <w:szCs w:val="22"/>
              </w:rPr>
              <w:t xml:space="preserve">. </w:t>
            </w:r>
            <w:r w:rsidRPr="00154E08">
              <w:rPr>
                <w:rFonts w:eastAsia="Calibri" w:cs="Times New Roman"/>
                <w:color w:val="000000"/>
                <w:spacing w:val="-2"/>
                <w:sz w:val="22"/>
                <w:szCs w:val="22"/>
              </w:rPr>
              <w:t>P</w:t>
            </w:r>
            <w:r w:rsidR="00200797" w:rsidRPr="00154E08">
              <w:rPr>
                <w:rFonts w:eastAsia="Calibri" w:cs="Times New Roman"/>
                <w:color w:val="000000"/>
                <w:spacing w:val="-2"/>
                <w:sz w:val="22"/>
                <w:szCs w:val="22"/>
              </w:rPr>
              <w:t xml:space="preserve">odmioty </w:t>
            </w:r>
            <w:r w:rsidR="00415568" w:rsidRPr="00154E08">
              <w:rPr>
                <w:rFonts w:eastAsia="Calibri" w:cs="Times New Roman"/>
                <w:color w:val="000000"/>
                <w:spacing w:val="-2"/>
                <w:sz w:val="22"/>
                <w:szCs w:val="22"/>
              </w:rPr>
              <w:t xml:space="preserve">realizujące </w:t>
            </w:r>
            <w:r w:rsidR="00200797" w:rsidRPr="00154E08">
              <w:rPr>
                <w:rFonts w:eastAsia="Calibri" w:cs="Times New Roman"/>
                <w:color w:val="000000"/>
                <w:spacing w:val="-2"/>
                <w:sz w:val="22"/>
                <w:szCs w:val="22"/>
              </w:rPr>
              <w:t xml:space="preserve">NCW </w:t>
            </w:r>
            <w:r w:rsidR="0054757A" w:rsidRPr="00154E08">
              <w:rPr>
                <w:rFonts w:eastAsia="Calibri" w:cs="Times New Roman"/>
                <w:color w:val="000000"/>
                <w:spacing w:val="-2"/>
                <w:sz w:val="22"/>
                <w:szCs w:val="22"/>
              </w:rPr>
              <w:t xml:space="preserve">są </w:t>
            </w:r>
            <w:r w:rsidR="00200797" w:rsidRPr="00154E08">
              <w:rPr>
                <w:rFonts w:eastAsia="Calibri" w:cs="Times New Roman"/>
                <w:color w:val="000000"/>
                <w:spacing w:val="-2"/>
                <w:sz w:val="22"/>
                <w:szCs w:val="22"/>
              </w:rPr>
              <w:t>obowiązane do zapewnienia systematycznego wzrostu udziału paliw z</w:t>
            </w:r>
            <w:r w:rsidR="002645C5" w:rsidRPr="00154E08">
              <w:rPr>
                <w:rFonts w:eastAsia="Calibri" w:cs="Times New Roman"/>
                <w:color w:val="000000"/>
                <w:spacing w:val="-2"/>
                <w:sz w:val="22"/>
                <w:szCs w:val="22"/>
              </w:rPr>
              <w:t> </w:t>
            </w:r>
            <w:r w:rsidR="008B6CCE" w:rsidRPr="00154E08">
              <w:rPr>
                <w:rFonts w:eastAsia="Calibri" w:cs="Times New Roman"/>
                <w:color w:val="000000"/>
                <w:spacing w:val="-2"/>
                <w:sz w:val="22"/>
                <w:szCs w:val="22"/>
              </w:rPr>
              <w:t xml:space="preserve">odnawialnych </w:t>
            </w:r>
            <w:r w:rsidR="0058690B" w:rsidRPr="00154E08">
              <w:rPr>
                <w:rFonts w:eastAsia="Calibri" w:cs="Times New Roman"/>
                <w:color w:val="000000"/>
                <w:spacing w:val="-2"/>
                <w:sz w:val="22"/>
                <w:szCs w:val="22"/>
              </w:rPr>
              <w:t>ź</w:t>
            </w:r>
            <w:r w:rsidR="008B6CCE" w:rsidRPr="00154E08">
              <w:rPr>
                <w:rFonts w:eastAsia="Calibri" w:cs="Times New Roman"/>
                <w:color w:val="000000"/>
                <w:spacing w:val="-2"/>
                <w:sz w:val="22"/>
                <w:szCs w:val="22"/>
              </w:rPr>
              <w:t>ródeł energii w</w:t>
            </w:r>
            <w:r w:rsidR="00200797" w:rsidRPr="00154E08">
              <w:rPr>
                <w:rFonts w:eastAsia="Calibri" w:cs="Times New Roman"/>
                <w:color w:val="000000"/>
                <w:spacing w:val="-2"/>
                <w:sz w:val="22"/>
                <w:szCs w:val="22"/>
              </w:rPr>
              <w:t>e</w:t>
            </w:r>
            <w:r w:rsidR="0072634E" w:rsidRPr="00154E08">
              <w:rPr>
                <w:rFonts w:eastAsia="Calibri" w:cs="Times New Roman"/>
                <w:color w:val="000000"/>
                <w:spacing w:val="-2"/>
                <w:sz w:val="22"/>
                <w:szCs w:val="22"/>
              </w:rPr>
              <w:t> </w:t>
            </w:r>
            <w:r w:rsidR="00200797" w:rsidRPr="00154E08">
              <w:rPr>
                <w:rFonts w:eastAsia="Calibri" w:cs="Times New Roman"/>
                <w:color w:val="000000"/>
                <w:spacing w:val="-2"/>
                <w:sz w:val="22"/>
                <w:szCs w:val="22"/>
              </w:rPr>
              <w:t>wprowadzanych przez nie na rynek paliwach transportowych</w:t>
            </w:r>
            <w:r w:rsidR="00A36091" w:rsidRPr="00154E08">
              <w:rPr>
                <w:rFonts w:eastAsia="Calibri" w:cs="Times New Roman"/>
                <w:color w:val="000000"/>
                <w:spacing w:val="-2"/>
                <w:sz w:val="22"/>
                <w:szCs w:val="22"/>
              </w:rPr>
              <w:t>. W</w:t>
            </w:r>
            <w:r w:rsidR="002645C5" w:rsidRPr="00154E08">
              <w:rPr>
                <w:rFonts w:eastAsia="Calibri" w:cs="Times New Roman"/>
                <w:color w:val="000000"/>
                <w:spacing w:val="-2"/>
                <w:sz w:val="22"/>
                <w:szCs w:val="22"/>
              </w:rPr>
              <w:t> </w:t>
            </w:r>
            <w:r w:rsidR="00200797" w:rsidRPr="00154E08">
              <w:rPr>
                <w:rFonts w:eastAsia="Calibri" w:cs="Times New Roman"/>
                <w:color w:val="000000"/>
                <w:spacing w:val="-2"/>
                <w:sz w:val="22"/>
                <w:szCs w:val="22"/>
              </w:rPr>
              <w:t>2030 r. udział ten</w:t>
            </w:r>
            <w:r w:rsidR="004E0890" w:rsidRPr="00154E08">
              <w:rPr>
                <w:rFonts w:eastAsia="Calibri" w:cs="Times New Roman"/>
                <w:color w:val="000000"/>
                <w:spacing w:val="-2"/>
                <w:sz w:val="22"/>
                <w:szCs w:val="22"/>
              </w:rPr>
              <w:t>, po uwzględnieniu mnożników przewidzianych dla energii elektrycznej i biokomponentów zaawansowanych</w:t>
            </w:r>
            <w:r w:rsidR="0054757A" w:rsidRPr="00154E08">
              <w:rPr>
                <w:rFonts w:eastAsia="Calibri" w:cs="Times New Roman"/>
                <w:color w:val="000000"/>
                <w:spacing w:val="-2"/>
                <w:sz w:val="22"/>
                <w:szCs w:val="22"/>
              </w:rPr>
              <w:t>,</w:t>
            </w:r>
            <w:r w:rsidR="00200797" w:rsidRPr="00154E08">
              <w:rPr>
                <w:rFonts w:eastAsia="Calibri" w:cs="Times New Roman"/>
                <w:color w:val="000000"/>
                <w:spacing w:val="-2"/>
                <w:sz w:val="22"/>
                <w:szCs w:val="22"/>
              </w:rPr>
              <w:t xml:space="preserve"> wyniesie 14</w:t>
            </w:r>
            <w:r w:rsidR="0019055F" w:rsidRPr="00154E08">
              <w:rPr>
                <w:rFonts w:eastAsia="Calibri" w:cs="Times New Roman"/>
                <w:color w:val="000000"/>
                <w:spacing w:val="-2"/>
                <w:sz w:val="22"/>
                <w:szCs w:val="22"/>
              </w:rPr>
              <w:t>,</w:t>
            </w:r>
            <w:r w:rsidR="00B75957" w:rsidRPr="00154E08">
              <w:rPr>
                <w:rFonts w:eastAsia="Calibri" w:cs="Times New Roman"/>
                <w:color w:val="000000"/>
                <w:spacing w:val="-2"/>
                <w:sz w:val="22"/>
                <w:szCs w:val="22"/>
              </w:rPr>
              <w:t>9</w:t>
            </w:r>
            <w:r w:rsidR="00200797" w:rsidRPr="00154E08">
              <w:rPr>
                <w:rFonts w:eastAsia="Calibri" w:cs="Times New Roman"/>
                <w:color w:val="000000"/>
                <w:spacing w:val="-2"/>
                <w:sz w:val="22"/>
                <w:szCs w:val="22"/>
              </w:rPr>
              <w:t>%</w:t>
            </w:r>
            <w:r w:rsidR="002C5680" w:rsidRPr="00154E08">
              <w:rPr>
                <w:rFonts w:eastAsia="Calibri" w:cs="Times New Roman"/>
                <w:color w:val="000000"/>
                <w:spacing w:val="-2"/>
                <w:sz w:val="22"/>
                <w:szCs w:val="22"/>
              </w:rPr>
              <w:t xml:space="preserve">, </w:t>
            </w:r>
            <w:r w:rsidR="002A6023" w:rsidRPr="00154E08">
              <w:rPr>
                <w:rFonts w:eastAsia="Calibri" w:cs="Times New Roman"/>
                <w:color w:val="000000"/>
                <w:spacing w:val="-2"/>
                <w:sz w:val="22"/>
                <w:szCs w:val="22"/>
              </w:rPr>
              <w:t>za</w:t>
            </w:r>
            <w:r w:rsidR="002C5680" w:rsidRPr="00154E08">
              <w:rPr>
                <w:rFonts w:eastAsia="Calibri" w:cs="Times New Roman"/>
                <w:color w:val="000000"/>
                <w:spacing w:val="-2"/>
                <w:sz w:val="22"/>
                <w:szCs w:val="22"/>
              </w:rPr>
              <w:t>pewni</w:t>
            </w:r>
            <w:r w:rsidR="002A6023" w:rsidRPr="00154E08">
              <w:rPr>
                <w:rFonts w:eastAsia="Calibri" w:cs="Times New Roman"/>
                <w:color w:val="000000"/>
                <w:spacing w:val="-2"/>
                <w:sz w:val="22"/>
                <w:szCs w:val="22"/>
              </w:rPr>
              <w:t>ając</w:t>
            </w:r>
            <w:r w:rsidR="002C5680" w:rsidRPr="00154E08">
              <w:rPr>
                <w:rFonts w:eastAsia="Calibri" w:cs="Times New Roman"/>
                <w:color w:val="000000"/>
                <w:spacing w:val="-2"/>
                <w:sz w:val="22"/>
                <w:szCs w:val="22"/>
              </w:rPr>
              <w:t xml:space="preserve"> fa</w:t>
            </w:r>
            <w:r w:rsidR="001F4707" w:rsidRPr="00154E08">
              <w:rPr>
                <w:rFonts w:eastAsia="Calibri" w:cs="Times New Roman"/>
                <w:color w:val="000000"/>
                <w:spacing w:val="-2"/>
                <w:sz w:val="22"/>
                <w:szCs w:val="22"/>
              </w:rPr>
              <w:t xml:space="preserve">ktyczną </w:t>
            </w:r>
            <w:r w:rsidR="00A87437" w:rsidRPr="00154E08">
              <w:rPr>
                <w:rFonts w:eastAsia="Calibri" w:cs="Times New Roman"/>
                <w:color w:val="000000"/>
                <w:spacing w:val="-2"/>
                <w:sz w:val="22"/>
                <w:szCs w:val="22"/>
              </w:rPr>
              <w:t xml:space="preserve">realizację </w:t>
            </w:r>
            <w:r w:rsidR="00987269" w:rsidRPr="00154E08">
              <w:rPr>
                <w:rFonts w:eastAsia="Calibri" w:cs="Times New Roman"/>
                <w:color w:val="000000"/>
                <w:spacing w:val="-2"/>
                <w:sz w:val="22"/>
                <w:szCs w:val="22"/>
              </w:rPr>
              <w:t xml:space="preserve">celu OZE-T </w:t>
            </w:r>
            <w:r w:rsidR="00A87437" w:rsidRPr="00154E08">
              <w:rPr>
                <w:rFonts w:eastAsia="Calibri" w:cs="Times New Roman"/>
                <w:color w:val="000000"/>
                <w:spacing w:val="-2"/>
                <w:sz w:val="22"/>
                <w:szCs w:val="22"/>
              </w:rPr>
              <w:t>na wymaganym przez dyrektywę 2018/2001 poziomie.</w:t>
            </w:r>
          </w:p>
          <w:p w14:paraId="544D73DD" w14:textId="7A8F4F1F" w:rsidR="00A10E21" w:rsidRPr="00154E08" w:rsidRDefault="005170D1" w:rsidP="00B279FD">
            <w:pPr>
              <w:spacing w:after="120" w:line="240" w:lineRule="auto"/>
              <w:jc w:val="both"/>
              <w:rPr>
                <w:rFonts w:eastAsia="Calibri" w:cs="Times New Roman"/>
                <w:spacing w:val="-2"/>
                <w:sz w:val="22"/>
                <w:szCs w:val="22"/>
              </w:rPr>
            </w:pPr>
            <w:r w:rsidRPr="00154E08">
              <w:rPr>
                <w:rFonts w:eastAsia="Calibri" w:cs="Times New Roman"/>
                <w:color w:val="000000"/>
                <w:spacing w:val="-2"/>
                <w:sz w:val="22"/>
                <w:szCs w:val="22"/>
              </w:rPr>
              <w:t xml:space="preserve">Działania w zakresie określenia poziomów NCW na kolejne okresy obejmują </w:t>
            </w:r>
            <w:r w:rsidR="00AC020A" w:rsidRPr="00154E08">
              <w:rPr>
                <w:rFonts w:eastAsia="Calibri" w:cs="Times New Roman"/>
                <w:color w:val="000000"/>
                <w:spacing w:val="-2"/>
                <w:sz w:val="22"/>
                <w:szCs w:val="22"/>
              </w:rPr>
              <w:t xml:space="preserve">mechanizmy i </w:t>
            </w:r>
            <w:r w:rsidRPr="00154E08">
              <w:rPr>
                <w:rFonts w:eastAsia="Calibri" w:cs="Times New Roman"/>
                <w:color w:val="000000"/>
                <w:spacing w:val="-2"/>
                <w:sz w:val="22"/>
                <w:szCs w:val="22"/>
              </w:rPr>
              <w:t xml:space="preserve">narzędzia już funkcjonujące w przepisach </w:t>
            </w:r>
            <w:r w:rsidRPr="00154E08">
              <w:rPr>
                <w:rFonts w:eastAsia="Calibri" w:cs="Times New Roman"/>
                <w:iCs/>
                <w:color w:val="000000"/>
                <w:spacing w:val="-2"/>
                <w:sz w:val="22"/>
                <w:szCs w:val="22"/>
              </w:rPr>
              <w:t>ustawy</w:t>
            </w:r>
            <w:r w:rsidR="00AE5F50" w:rsidRPr="00154E08">
              <w:rPr>
                <w:rFonts w:eastAsia="Calibri" w:cs="Times New Roman"/>
                <w:iCs/>
                <w:color w:val="000000" w:themeColor="text1"/>
                <w:sz w:val="22"/>
                <w:szCs w:val="22"/>
              </w:rPr>
              <w:t xml:space="preserve"> z dnia 25 sierpnia 2006 r.</w:t>
            </w:r>
            <w:r w:rsidR="0019055F" w:rsidRPr="00154E08">
              <w:rPr>
                <w:rFonts w:eastAsia="Calibri" w:cs="Times New Roman"/>
                <w:iCs/>
                <w:color w:val="000000"/>
                <w:spacing w:val="-2"/>
                <w:sz w:val="22"/>
                <w:szCs w:val="22"/>
              </w:rPr>
              <w:t xml:space="preserve"> o</w:t>
            </w:r>
            <w:r w:rsidR="00517916" w:rsidRPr="00154E08">
              <w:rPr>
                <w:rFonts w:eastAsia="Calibri" w:cs="Times New Roman"/>
                <w:iCs/>
                <w:color w:val="000000"/>
                <w:spacing w:val="-2"/>
                <w:sz w:val="22"/>
                <w:szCs w:val="22"/>
              </w:rPr>
              <w:t> </w:t>
            </w:r>
            <w:r w:rsidR="0019055F" w:rsidRPr="00154E08">
              <w:rPr>
                <w:rFonts w:eastAsia="Calibri" w:cs="Times New Roman"/>
                <w:iCs/>
                <w:color w:val="000000"/>
                <w:spacing w:val="-2"/>
                <w:sz w:val="22"/>
                <w:szCs w:val="22"/>
              </w:rPr>
              <w:t>biokomponentach i biopaliwach ciekłych</w:t>
            </w:r>
            <w:r w:rsidRPr="00154E08">
              <w:rPr>
                <w:rFonts w:eastAsia="Calibri" w:cs="Times New Roman"/>
                <w:iCs/>
                <w:color w:val="000000"/>
                <w:spacing w:val="-2"/>
                <w:sz w:val="22"/>
                <w:szCs w:val="22"/>
              </w:rPr>
              <w:t>,</w:t>
            </w:r>
            <w:r w:rsidRPr="00154E08">
              <w:rPr>
                <w:rFonts w:eastAsia="Calibri" w:cs="Times New Roman"/>
                <w:color w:val="000000"/>
                <w:spacing w:val="-2"/>
                <w:sz w:val="22"/>
                <w:szCs w:val="22"/>
              </w:rPr>
              <w:t xml:space="preserve"> w</w:t>
            </w:r>
            <w:r w:rsidR="00837D94" w:rsidRPr="00154E08">
              <w:rPr>
                <w:rFonts w:eastAsia="Calibri" w:cs="Times New Roman"/>
                <w:color w:val="000000"/>
                <w:spacing w:val="-2"/>
                <w:sz w:val="22"/>
                <w:szCs w:val="22"/>
              </w:rPr>
              <w:t> </w:t>
            </w:r>
            <w:r w:rsidRPr="00154E08">
              <w:rPr>
                <w:rFonts w:eastAsia="Calibri" w:cs="Times New Roman"/>
                <w:color w:val="000000"/>
                <w:spacing w:val="-2"/>
                <w:sz w:val="22"/>
                <w:szCs w:val="22"/>
              </w:rPr>
              <w:t xml:space="preserve">szczególności te określone dla najbliższych lat </w:t>
            </w:r>
            <w:r w:rsidRPr="00154E08">
              <w:rPr>
                <w:rFonts w:eastAsia="Calibri" w:cs="Times New Roman"/>
                <w:color w:val="000000"/>
                <w:sz w:val="22"/>
                <w:szCs w:val="22"/>
              </w:rPr>
              <w:t>–</w:t>
            </w:r>
            <w:r w:rsidRPr="00154E08">
              <w:rPr>
                <w:rFonts w:eastAsia="Calibri" w:cs="Times New Roman"/>
                <w:color w:val="000000"/>
                <w:spacing w:val="-2"/>
                <w:sz w:val="22"/>
                <w:szCs w:val="22"/>
              </w:rPr>
              <w:t xml:space="preserve"> do 2024 </w:t>
            </w:r>
            <w:r w:rsidR="0054757A" w:rsidRPr="00154E08">
              <w:rPr>
                <w:rFonts w:eastAsia="Calibri" w:cs="Times New Roman"/>
                <w:color w:val="000000"/>
                <w:spacing w:val="-2"/>
                <w:sz w:val="22"/>
                <w:szCs w:val="22"/>
              </w:rPr>
              <w:t>r.</w:t>
            </w:r>
            <w:r w:rsidR="002707ED" w:rsidRPr="00154E08">
              <w:rPr>
                <w:rFonts w:eastAsia="Calibri" w:cs="Times New Roman"/>
                <w:color w:val="000000"/>
                <w:spacing w:val="-2"/>
                <w:sz w:val="22"/>
                <w:szCs w:val="22"/>
              </w:rPr>
              <w:t xml:space="preserve"> włącznie</w:t>
            </w:r>
            <w:r w:rsidR="0054757A" w:rsidRPr="00154E08">
              <w:rPr>
                <w:rFonts w:eastAsia="Calibri" w:cs="Times New Roman"/>
                <w:color w:val="000000"/>
                <w:spacing w:val="-2"/>
                <w:sz w:val="22"/>
                <w:szCs w:val="22"/>
              </w:rPr>
              <w:t xml:space="preserve"> </w:t>
            </w:r>
            <w:r w:rsidRPr="00154E08">
              <w:rPr>
                <w:rFonts w:eastAsia="Calibri" w:cs="Times New Roman"/>
                <w:color w:val="000000"/>
                <w:spacing w:val="-2"/>
                <w:sz w:val="22"/>
                <w:szCs w:val="22"/>
              </w:rPr>
              <w:t>oraz uzupełniają cele na kolejne lata do 2030 r.</w:t>
            </w:r>
            <w:r w:rsidR="00684A87" w:rsidRPr="00154E08">
              <w:rPr>
                <w:rFonts w:eastAsia="Calibri" w:cs="Times New Roman"/>
                <w:color w:val="000000"/>
                <w:spacing w:val="-2"/>
                <w:sz w:val="22"/>
                <w:szCs w:val="22"/>
              </w:rPr>
              <w:t xml:space="preserve"> </w:t>
            </w:r>
            <w:r w:rsidR="002F31D0" w:rsidRPr="00154E08">
              <w:rPr>
                <w:rFonts w:eastAsia="Calibri" w:cs="Times New Roman"/>
                <w:color w:val="000000"/>
                <w:spacing w:val="-2"/>
                <w:sz w:val="22"/>
                <w:szCs w:val="22"/>
              </w:rPr>
              <w:t>Op</w:t>
            </w:r>
            <w:r w:rsidR="00200797" w:rsidRPr="00154E08">
              <w:rPr>
                <w:rFonts w:eastAsia="Calibri" w:cs="Times New Roman"/>
                <w:color w:val="000000"/>
                <w:spacing w:val="-2"/>
                <w:sz w:val="22"/>
                <w:szCs w:val="22"/>
              </w:rPr>
              <w:t>óźn</w:t>
            </w:r>
            <w:r w:rsidR="00C775EB" w:rsidRPr="00154E08">
              <w:rPr>
                <w:rFonts w:eastAsia="Calibri" w:cs="Times New Roman"/>
                <w:color w:val="000000"/>
                <w:spacing w:val="-2"/>
                <w:sz w:val="22"/>
                <w:szCs w:val="22"/>
              </w:rPr>
              <w:t>ienie</w:t>
            </w:r>
            <w:r w:rsidR="00200797" w:rsidRPr="00154E08">
              <w:rPr>
                <w:rFonts w:eastAsia="Calibri" w:cs="Times New Roman"/>
                <w:color w:val="000000"/>
                <w:spacing w:val="-2"/>
                <w:sz w:val="22"/>
                <w:szCs w:val="22"/>
              </w:rPr>
              <w:t xml:space="preserve"> w realizacji NCW w latach ubiegłych </w:t>
            </w:r>
            <w:r w:rsidR="000F4A03" w:rsidRPr="00154E08">
              <w:rPr>
                <w:rFonts w:eastAsia="Calibri" w:cs="Times New Roman"/>
                <w:color w:val="000000"/>
                <w:spacing w:val="-2"/>
                <w:sz w:val="22"/>
                <w:szCs w:val="22"/>
              </w:rPr>
              <w:t>zostało</w:t>
            </w:r>
            <w:r w:rsidR="00200797" w:rsidRPr="00154E08">
              <w:rPr>
                <w:rFonts w:eastAsia="Calibri" w:cs="Times New Roman"/>
                <w:color w:val="000000"/>
                <w:spacing w:val="-2"/>
                <w:sz w:val="22"/>
                <w:szCs w:val="22"/>
              </w:rPr>
              <w:t xml:space="preserve"> uw</w:t>
            </w:r>
            <w:r w:rsidR="00C775EB" w:rsidRPr="00154E08">
              <w:rPr>
                <w:rFonts w:eastAsia="Calibri" w:cs="Times New Roman"/>
                <w:color w:val="000000"/>
                <w:spacing w:val="-2"/>
                <w:sz w:val="22"/>
                <w:szCs w:val="22"/>
              </w:rPr>
              <w:t>z</w:t>
            </w:r>
            <w:r w:rsidR="00200797" w:rsidRPr="00154E08">
              <w:rPr>
                <w:rFonts w:eastAsia="Calibri" w:cs="Times New Roman"/>
                <w:color w:val="000000"/>
                <w:spacing w:val="-2"/>
                <w:sz w:val="22"/>
                <w:szCs w:val="22"/>
              </w:rPr>
              <w:t>ględni</w:t>
            </w:r>
            <w:r w:rsidR="000F4A03" w:rsidRPr="00154E08">
              <w:rPr>
                <w:rFonts w:eastAsia="Calibri" w:cs="Times New Roman"/>
                <w:color w:val="000000"/>
                <w:spacing w:val="-2"/>
                <w:sz w:val="22"/>
                <w:szCs w:val="22"/>
              </w:rPr>
              <w:t>one</w:t>
            </w:r>
            <w:r w:rsidR="00200797" w:rsidRPr="00154E08">
              <w:rPr>
                <w:rFonts w:eastAsia="Calibri" w:cs="Times New Roman"/>
                <w:color w:val="000000"/>
                <w:spacing w:val="-2"/>
                <w:sz w:val="22"/>
                <w:szCs w:val="22"/>
              </w:rPr>
              <w:t xml:space="preserve"> w</w:t>
            </w:r>
            <w:r w:rsidR="0093327A" w:rsidRPr="00154E08">
              <w:rPr>
                <w:rFonts w:eastAsia="Calibri" w:cs="Times New Roman"/>
                <w:color w:val="000000"/>
                <w:spacing w:val="-2"/>
                <w:sz w:val="22"/>
                <w:szCs w:val="22"/>
              </w:rPr>
              <w:t> </w:t>
            </w:r>
            <w:r w:rsidR="00C775EB" w:rsidRPr="00154E08">
              <w:rPr>
                <w:rFonts w:eastAsia="Calibri" w:cs="Times New Roman"/>
                <w:color w:val="000000"/>
                <w:spacing w:val="-2"/>
                <w:sz w:val="22"/>
                <w:szCs w:val="22"/>
              </w:rPr>
              <w:t>harmonogramie NCW na kolejne lata</w:t>
            </w:r>
            <w:r w:rsidR="00AA59B9" w:rsidRPr="00154E08">
              <w:rPr>
                <w:rFonts w:eastAsia="Calibri" w:cs="Times New Roman"/>
                <w:color w:val="000000"/>
                <w:spacing w:val="-2"/>
                <w:sz w:val="22"/>
                <w:szCs w:val="22"/>
              </w:rPr>
              <w:t xml:space="preserve">. </w:t>
            </w:r>
            <w:r w:rsidR="00A10E21" w:rsidRPr="00154E08">
              <w:rPr>
                <w:rFonts w:eastAsia="Calibri" w:cs="Times New Roman"/>
                <w:iCs/>
                <w:spacing w:val="-2"/>
                <w:sz w:val="22"/>
                <w:szCs w:val="22"/>
              </w:rPr>
              <w:t>Projekt ustawy</w:t>
            </w:r>
            <w:r w:rsidR="00A10E21" w:rsidRPr="00154E08">
              <w:rPr>
                <w:rFonts w:eastAsia="Calibri" w:cs="Times New Roman"/>
                <w:spacing w:val="-2"/>
                <w:sz w:val="22"/>
                <w:szCs w:val="22"/>
              </w:rPr>
              <w:t xml:space="preserve"> zakłada</w:t>
            </w:r>
            <w:r w:rsidR="000F4A03" w:rsidRPr="00154E08">
              <w:rPr>
                <w:rFonts w:eastAsia="Calibri" w:cs="Times New Roman"/>
                <w:spacing w:val="-2"/>
                <w:sz w:val="22"/>
                <w:szCs w:val="22"/>
              </w:rPr>
              <w:t xml:space="preserve"> </w:t>
            </w:r>
            <w:r w:rsidR="00A10E21" w:rsidRPr="00154E08">
              <w:rPr>
                <w:rFonts w:eastAsia="Calibri" w:cs="Times New Roman"/>
                <w:spacing w:val="-2"/>
                <w:sz w:val="22"/>
                <w:szCs w:val="22"/>
              </w:rPr>
              <w:t>stopniowe podnoszenie celu NCW</w:t>
            </w:r>
            <w:r w:rsidR="001A35A0" w:rsidRPr="00154E08">
              <w:rPr>
                <w:rFonts w:eastAsia="Calibri" w:cs="Times New Roman"/>
                <w:spacing w:val="-2"/>
                <w:sz w:val="22"/>
                <w:szCs w:val="22"/>
              </w:rPr>
              <w:t>.</w:t>
            </w:r>
          </w:p>
          <w:p w14:paraId="5C5850C9" w14:textId="77777777" w:rsidR="001D771F" w:rsidRPr="00154E08" w:rsidRDefault="001D771F" w:rsidP="00A10E21">
            <w:pPr>
              <w:spacing w:before="60" w:line="240" w:lineRule="auto"/>
              <w:contextualSpacing/>
              <w:jc w:val="both"/>
              <w:rPr>
                <w:rFonts w:eastAsia="Calibri" w:cs="Times New Roman"/>
                <w:bCs/>
                <w:spacing w:val="-2"/>
                <w:sz w:val="22"/>
                <w:szCs w:val="22"/>
              </w:rPr>
            </w:pPr>
          </w:p>
          <w:p w14:paraId="3A62B768" w14:textId="1543756F" w:rsidR="00A10E21" w:rsidRPr="00154E08" w:rsidRDefault="00A10E21" w:rsidP="00A10E21">
            <w:pPr>
              <w:spacing w:before="60" w:line="240" w:lineRule="auto"/>
              <w:contextualSpacing/>
              <w:jc w:val="both"/>
              <w:rPr>
                <w:rFonts w:eastAsia="Calibri" w:cs="Times New Roman"/>
                <w:bCs/>
                <w:spacing w:val="-2"/>
                <w:sz w:val="22"/>
                <w:szCs w:val="22"/>
              </w:rPr>
            </w:pPr>
            <w:r w:rsidRPr="00154E08">
              <w:rPr>
                <w:rFonts w:eastAsia="Calibri" w:cs="Times New Roman"/>
                <w:bCs/>
                <w:spacing w:val="-2"/>
                <w:sz w:val="22"/>
                <w:szCs w:val="22"/>
              </w:rPr>
              <w:t>Tabela</w:t>
            </w:r>
            <w:r w:rsidR="00845817" w:rsidRPr="00154E08">
              <w:rPr>
                <w:rFonts w:eastAsia="Calibri" w:cs="Times New Roman"/>
                <w:bCs/>
                <w:spacing w:val="-2"/>
                <w:sz w:val="22"/>
                <w:szCs w:val="22"/>
              </w:rPr>
              <w:t xml:space="preserve"> </w:t>
            </w:r>
            <w:r w:rsidR="008F4455" w:rsidRPr="00154E08">
              <w:rPr>
                <w:rFonts w:eastAsia="Calibri" w:cs="Times New Roman"/>
                <w:bCs/>
                <w:spacing w:val="-2"/>
                <w:sz w:val="22"/>
                <w:szCs w:val="22"/>
              </w:rPr>
              <w:t xml:space="preserve">2. </w:t>
            </w:r>
            <w:r w:rsidRPr="00154E08">
              <w:rPr>
                <w:rFonts w:eastAsia="Calibri" w:cs="Times New Roman"/>
                <w:bCs/>
                <w:spacing w:val="-2"/>
                <w:sz w:val="22"/>
                <w:szCs w:val="22"/>
              </w:rPr>
              <w:t xml:space="preserve">Wartości NCW dla poszczególnych </w:t>
            </w:r>
            <w:r w:rsidR="00AD3E4A" w:rsidRPr="00154E08">
              <w:rPr>
                <w:rFonts w:eastAsia="Calibri" w:cs="Times New Roman"/>
                <w:bCs/>
                <w:spacing w:val="-2"/>
                <w:sz w:val="22"/>
                <w:szCs w:val="22"/>
              </w:rPr>
              <w:t xml:space="preserve">lat </w:t>
            </w:r>
            <w:r w:rsidRPr="00154E08">
              <w:rPr>
                <w:rFonts w:eastAsia="Calibri" w:cs="Times New Roman"/>
                <w:bCs/>
                <w:spacing w:val="-2"/>
                <w:sz w:val="22"/>
                <w:szCs w:val="22"/>
              </w:rPr>
              <w:t xml:space="preserve">ujęte w </w:t>
            </w:r>
            <w:r w:rsidRPr="00154E08">
              <w:rPr>
                <w:rFonts w:eastAsia="Calibri" w:cs="Times New Roman"/>
                <w:bCs/>
                <w:iCs/>
                <w:spacing w:val="-2"/>
                <w:sz w:val="22"/>
                <w:szCs w:val="22"/>
              </w:rPr>
              <w:t>projekcie ustawy</w:t>
            </w:r>
            <w:r w:rsidR="00684A87" w:rsidRPr="00154E08">
              <w:rPr>
                <w:rFonts w:eastAsia="Calibri" w:cs="Times New Roman"/>
                <w:bCs/>
                <w:spacing w:val="-2"/>
                <w:sz w:val="22"/>
                <w:szCs w:val="22"/>
              </w:rPr>
              <w:t xml:space="preserve"> </w:t>
            </w:r>
          </w:p>
          <w:tbl>
            <w:tblPr>
              <w:tblW w:w="266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794"/>
              <w:gridCol w:w="1872"/>
            </w:tblGrid>
            <w:tr w:rsidR="00A10E21" w:rsidRPr="00154E08" w14:paraId="5317B27D" w14:textId="77777777" w:rsidTr="007E628F">
              <w:trPr>
                <w:trHeight w:val="288"/>
                <w:jc w:val="center"/>
              </w:trPr>
              <w:tc>
                <w:tcPr>
                  <w:tcW w:w="794" w:type="dxa"/>
                  <w:shd w:val="clear" w:color="000000" w:fill="FFFFFF"/>
                  <w:noWrap/>
                  <w:vAlign w:val="bottom"/>
                  <w:hideMark/>
                </w:tcPr>
                <w:p w14:paraId="7822ED9D" w14:textId="77777777" w:rsidR="00A10E21" w:rsidRPr="00154E08" w:rsidRDefault="00A10E21" w:rsidP="00A10E21">
                  <w:pPr>
                    <w:widowControl/>
                    <w:suppressAutoHyphens w:val="0"/>
                    <w:spacing w:line="240" w:lineRule="auto"/>
                    <w:rPr>
                      <w:rFonts w:eastAsia="Times New Roman" w:cs="Times New Roman"/>
                      <w:b/>
                      <w:color w:val="000000"/>
                      <w:sz w:val="22"/>
                      <w:szCs w:val="22"/>
                    </w:rPr>
                  </w:pPr>
                  <w:r w:rsidRPr="00154E08">
                    <w:rPr>
                      <w:rFonts w:eastAsia="Times New Roman" w:cs="Times New Roman"/>
                      <w:b/>
                      <w:color w:val="000000"/>
                      <w:sz w:val="22"/>
                      <w:szCs w:val="22"/>
                    </w:rPr>
                    <w:t>Rok</w:t>
                  </w:r>
                </w:p>
              </w:tc>
              <w:tc>
                <w:tcPr>
                  <w:tcW w:w="1872" w:type="dxa"/>
                  <w:shd w:val="clear" w:color="000000" w:fill="FFFFFF"/>
                  <w:noWrap/>
                  <w:vAlign w:val="bottom"/>
                  <w:hideMark/>
                </w:tcPr>
                <w:p w14:paraId="6F02A242" w14:textId="77777777" w:rsidR="00A10E21" w:rsidRPr="00154E08" w:rsidRDefault="00A10E21" w:rsidP="00A10E21">
                  <w:pPr>
                    <w:widowControl/>
                    <w:suppressAutoHyphens w:val="0"/>
                    <w:spacing w:line="240" w:lineRule="auto"/>
                    <w:rPr>
                      <w:rFonts w:eastAsia="Times New Roman" w:cs="Times New Roman"/>
                      <w:b/>
                      <w:color w:val="000000"/>
                      <w:sz w:val="22"/>
                      <w:szCs w:val="22"/>
                    </w:rPr>
                  </w:pPr>
                  <w:r w:rsidRPr="00154E08">
                    <w:rPr>
                      <w:rFonts w:eastAsia="Times New Roman" w:cs="Times New Roman"/>
                      <w:b/>
                      <w:color w:val="000000"/>
                      <w:sz w:val="22"/>
                      <w:szCs w:val="22"/>
                    </w:rPr>
                    <w:t>Plan NCW [%] </w:t>
                  </w:r>
                </w:p>
              </w:tc>
            </w:tr>
            <w:tr w:rsidR="00A10E21" w:rsidRPr="00154E08" w14:paraId="09306936" w14:textId="77777777" w:rsidTr="007E628F">
              <w:trPr>
                <w:trHeight w:val="288"/>
                <w:jc w:val="center"/>
              </w:trPr>
              <w:tc>
                <w:tcPr>
                  <w:tcW w:w="794" w:type="dxa"/>
                  <w:shd w:val="clear" w:color="auto" w:fill="auto"/>
                  <w:noWrap/>
                  <w:vAlign w:val="bottom"/>
                  <w:hideMark/>
                </w:tcPr>
                <w:p w14:paraId="08C7853A" w14:textId="77777777" w:rsidR="00A10E21" w:rsidRPr="00154E08" w:rsidRDefault="00A10E21" w:rsidP="00A10E21">
                  <w:pPr>
                    <w:widowControl/>
                    <w:suppressAutoHyphens w:val="0"/>
                    <w:spacing w:line="240" w:lineRule="auto"/>
                    <w:jc w:val="right"/>
                    <w:rPr>
                      <w:rFonts w:eastAsia="Times New Roman" w:cs="Times New Roman"/>
                      <w:color w:val="000000"/>
                      <w:sz w:val="22"/>
                      <w:szCs w:val="22"/>
                    </w:rPr>
                  </w:pPr>
                  <w:r w:rsidRPr="00154E08">
                    <w:rPr>
                      <w:rFonts w:eastAsia="Times New Roman" w:cs="Times New Roman"/>
                      <w:color w:val="000000"/>
                      <w:sz w:val="22"/>
                      <w:szCs w:val="22"/>
                    </w:rPr>
                    <w:t>2024</w:t>
                  </w:r>
                </w:p>
              </w:tc>
              <w:tc>
                <w:tcPr>
                  <w:tcW w:w="1872" w:type="dxa"/>
                  <w:shd w:val="clear" w:color="auto" w:fill="auto"/>
                  <w:noWrap/>
                  <w:vAlign w:val="bottom"/>
                  <w:hideMark/>
                </w:tcPr>
                <w:p w14:paraId="694EA582" w14:textId="24AED93D" w:rsidR="00A10E21" w:rsidRPr="00154E08" w:rsidRDefault="001823BB" w:rsidP="00A10E21">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 xml:space="preserve"> </w:t>
                  </w:r>
                  <w:r w:rsidR="0035062B" w:rsidRPr="00154E08">
                    <w:rPr>
                      <w:rFonts w:eastAsia="Times New Roman" w:cs="Times New Roman"/>
                      <w:color w:val="000000"/>
                      <w:sz w:val="22"/>
                      <w:szCs w:val="22"/>
                    </w:rPr>
                    <w:t>9,</w:t>
                  </w:r>
                  <w:r w:rsidR="00B138DD" w:rsidRPr="00154E08">
                    <w:rPr>
                      <w:rFonts w:eastAsia="Times New Roman" w:cs="Times New Roman"/>
                      <w:color w:val="000000"/>
                      <w:sz w:val="22"/>
                      <w:szCs w:val="22"/>
                    </w:rPr>
                    <w:t>1</w:t>
                  </w:r>
                  <w:r w:rsidR="00A10E21" w:rsidRPr="00154E08">
                    <w:rPr>
                      <w:rFonts w:eastAsia="Times New Roman" w:cs="Times New Roman"/>
                      <w:color w:val="000000"/>
                      <w:sz w:val="22"/>
                      <w:szCs w:val="22"/>
                    </w:rPr>
                    <w:t>%</w:t>
                  </w:r>
                </w:p>
              </w:tc>
            </w:tr>
            <w:tr w:rsidR="00A10E21" w:rsidRPr="00154E08" w14:paraId="51ADD107" w14:textId="77777777" w:rsidTr="007E628F">
              <w:trPr>
                <w:trHeight w:val="288"/>
                <w:jc w:val="center"/>
              </w:trPr>
              <w:tc>
                <w:tcPr>
                  <w:tcW w:w="794" w:type="dxa"/>
                  <w:shd w:val="clear" w:color="auto" w:fill="auto"/>
                  <w:noWrap/>
                  <w:vAlign w:val="bottom"/>
                  <w:hideMark/>
                </w:tcPr>
                <w:p w14:paraId="2140EF32" w14:textId="77777777" w:rsidR="00A10E21" w:rsidRPr="00154E08" w:rsidRDefault="00A10E21" w:rsidP="00A10E21">
                  <w:pPr>
                    <w:widowControl/>
                    <w:suppressAutoHyphens w:val="0"/>
                    <w:spacing w:line="240" w:lineRule="auto"/>
                    <w:jc w:val="right"/>
                    <w:rPr>
                      <w:rFonts w:eastAsia="Times New Roman" w:cs="Times New Roman"/>
                      <w:b/>
                      <w:bCs/>
                      <w:color w:val="000000"/>
                      <w:sz w:val="22"/>
                      <w:szCs w:val="22"/>
                    </w:rPr>
                  </w:pPr>
                  <w:r w:rsidRPr="00154E08">
                    <w:rPr>
                      <w:rFonts w:eastAsia="Times New Roman" w:cs="Times New Roman"/>
                      <w:b/>
                      <w:bCs/>
                      <w:color w:val="000000"/>
                      <w:sz w:val="22"/>
                      <w:szCs w:val="22"/>
                    </w:rPr>
                    <w:t>2025</w:t>
                  </w:r>
                </w:p>
              </w:tc>
              <w:tc>
                <w:tcPr>
                  <w:tcW w:w="1872" w:type="dxa"/>
                  <w:shd w:val="clear" w:color="auto" w:fill="auto"/>
                  <w:noWrap/>
                  <w:vAlign w:val="bottom"/>
                  <w:hideMark/>
                </w:tcPr>
                <w:p w14:paraId="53251BF1" w14:textId="4FD797A4" w:rsidR="00A10E21" w:rsidRPr="00154E08" w:rsidRDefault="001823BB" w:rsidP="00A10E21">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 xml:space="preserve"> </w:t>
                  </w:r>
                  <w:r w:rsidR="00B138DD" w:rsidRPr="00154E08">
                    <w:rPr>
                      <w:rFonts w:eastAsia="Times New Roman" w:cs="Times New Roman"/>
                      <w:color w:val="000000"/>
                      <w:sz w:val="22"/>
                      <w:szCs w:val="22"/>
                    </w:rPr>
                    <w:t>9,2</w:t>
                  </w:r>
                  <w:r w:rsidR="00A10E21" w:rsidRPr="00154E08">
                    <w:rPr>
                      <w:rFonts w:eastAsia="Times New Roman" w:cs="Times New Roman"/>
                      <w:color w:val="000000"/>
                      <w:sz w:val="22"/>
                      <w:szCs w:val="22"/>
                    </w:rPr>
                    <w:t>%</w:t>
                  </w:r>
                </w:p>
              </w:tc>
            </w:tr>
            <w:tr w:rsidR="00A10E21" w:rsidRPr="00154E08" w14:paraId="3A50B859" w14:textId="77777777" w:rsidTr="007E628F">
              <w:trPr>
                <w:trHeight w:val="288"/>
                <w:jc w:val="center"/>
              </w:trPr>
              <w:tc>
                <w:tcPr>
                  <w:tcW w:w="794" w:type="dxa"/>
                  <w:shd w:val="clear" w:color="auto" w:fill="auto"/>
                  <w:noWrap/>
                  <w:vAlign w:val="bottom"/>
                  <w:hideMark/>
                </w:tcPr>
                <w:p w14:paraId="1438E9A4" w14:textId="77777777" w:rsidR="00A10E21" w:rsidRPr="00154E08" w:rsidRDefault="00A10E21" w:rsidP="00A10E21">
                  <w:pPr>
                    <w:widowControl/>
                    <w:suppressAutoHyphens w:val="0"/>
                    <w:spacing w:line="240" w:lineRule="auto"/>
                    <w:jc w:val="right"/>
                    <w:rPr>
                      <w:rFonts w:eastAsia="Times New Roman" w:cs="Times New Roman"/>
                      <w:color w:val="000000"/>
                      <w:sz w:val="22"/>
                      <w:szCs w:val="22"/>
                    </w:rPr>
                  </w:pPr>
                  <w:r w:rsidRPr="00154E08">
                    <w:rPr>
                      <w:rFonts w:eastAsia="Times New Roman" w:cs="Times New Roman"/>
                      <w:color w:val="000000"/>
                      <w:sz w:val="22"/>
                      <w:szCs w:val="22"/>
                    </w:rPr>
                    <w:t>2026</w:t>
                  </w:r>
                </w:p>
              </w:tc>
              <w:tc>
                <w:tcPr>
                  <w:tcW w:w="1872" w:type="dxa"/>
                  <w:shd w:val="clear" w:color="auto" w:fill="auto"/>
                  <w:noWrap/>
                  <w:vAlign w:val="bottom"/>
                  <w:hideMark/>
                </w:tcPr>
                <w:p w14:paraId="6667E1DD" w14:textId="147DABFB" w:rsidR="00A10E21" w:rsidRPr="00154E08" w:rsidRDefault="0035062B" w:rsidP="00A10E21">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1</w:t>
                  </w:r>
                  <w:r w:rsidR="00B138DD" w:rsidRPr="00154E08">
                    <w:rPr>
                      <w:rFonts w:eastAsia="Times New Roman" w:cs="Times New Roman"/>
                      <w:color w:val="000000"/>
                      <w:sz w:val="22"/>
                      <w:szCs w:val="22"/>
                    </w:rPr>
                    <w:t>0</w:t>
                  </w:r>
                  <w:r w:rsidR="001823BB" w:rsidRPr="00154E08">
                    <w:rPr>
                      <w:rFonts w:eastAsia="Times New Roman" w:cs="Times New Roman"/>
                      <w:color w:val="000000"/>
                      <w:sz w:val="22"/>
                      <w:szCs w:val="22"/>
                    </w:rPr>
                    <w:t>,0</w:t>
                  </w:r>
                  <w:r w:rsidR="00A10E21" w:rsidRPr="00154E08">
                    <w:rPr>
                      <w:rFonts w:eastAsia="Times New Roman" w:cs="Times New Roman"/>
                      <w:color w:val="000000"/>
                      <w:sz w:val="22"/>
                      <w:szCs w:val="22"/>
                    </w:rPr>
                    <w:t>%</w:t>
                  </w:r>
                </w:p>
              </w:tc>
            </w:tr>
            <w:tr w:rsidR="00A10E21" w:rsidRPr="00154E08" w14:paraId="5E733DF1" w14:textId="77777777" w:rsidTr="007E628F">
              <w:trPr>
                <w:trHeight w:val="288"/>
                <w:jc w:val="center"/>
              </w:trPr>
              <w:tc>
                <w:tcPr>
                  <w:tcW w:w="794" w:type="dxa"/>
                  <w:shd w:val="clear" w:color="auto" w:fill="auto"/>
                  <w:noWrap/>
                  <w:vAlign w:val="bottom"/>
                  <w:hideMark/>
                </w:tcPr>
                <w:p w14:paraId="45BCF8BC" w14:textId="77777777" w:rsidR="00A10E21" w:rsidRPr="00154E08" w:rsidRDefault="00A10E21" w:rsidP="00A10E21">
                  <w:pPr>
                    <w:widowControl/>
                    <w:suppressAutoHyphens w:val="0"/>
                    <w:spacing w:line="240" w:lineRule="auto"/>
                    <w:jc w:val="right"/>
                    <w:rPr>
                      <w:rFonts w:eastAsia="Times New Roman" w:cs="Times New Roman"/>
                      <w:color w:val="000000"/>
                      <w:sz w:val="22"/>
                      <w:szCs w:val="22"/>
                    </w:rPr>
                  </w:pPr>
                  <w:r w:rsidRPr="00154E08">
                    <w:rPr>
                      <w:rFonts w:eastAsia="Times New Roman" w:cs="Times New Roman"/>
                      <w:color w:val="000000"/>
                      <w:sz w:val="22"/>
                      <w:szCs w:val="22"/>
                    </w:rPr>
                    <w:t>2027</w:t>
                  </w:r>
                </w:p>
              </w:tc>
              <w:tc>
                <w:tcPr>
                  <w:tcW w:w="1872" w:type="dxa"/>
                  <w:shd w:val="clear" w:color="auto" w:fill="auto"/>
                  <w:noWrap/>
                  <w:vAlign w:val="bottom"/>
                  <w:hideMark/>
                </w:tcPr>
                <w:p w14:paraId="7D9F2C4B" w14:textId="4EEF875F" w:rsidR="00A10E21" w:rsidRPr="00154E08" w:rsidRDefault="0035062B" w:rsidP="00A10E21">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11</w:t>
                  </w:r>
                  <w:r w:rsidR="001823BB" w:rsidRPr="00154E08">
                    <w:rPr>
                      <w:rFonts w:eastAsia="Times New Roman" w:cs="Times New Roman"/>
                      <w:color w:val="000000"/>
                      <w:sz w:val="22"/>
                      <w:szCs w:val="22"/>
                    </w:rPr>
                    <w:t>,0</w:t>
                  </w:r>
                  <w:r w:rsidR="00A10E21" w:rsidRPr="00154E08">
                    <w:rPr>
                      <w:rFonts w:eastAsia="Times New Roman" w:cs="Times New Roman"/>
                      <w:color w:val="000000"/>
                      <w:sz w:val="22"/>
                      <w:szCs w:val="22"/>
                    </w:rPr>
                    <w:t>%</w:t>
                  </w:r>
                </w:p>
              </w:tc>
            </w:tr>
            <w:tr w:rsidR="00A10E21" w:rsidRPr="00154E08" w14:paraId="254168E8" w14:textId="77777777" w:rsidTr="007E628F">
              <w:trPr>
                <w:trHeight w:val="288"/>
                <w:jc w:val="center"/>
              </w:trPr>
              <w:tc>
                <w:tcPr>
                  <w:tcW w:w="794" w:type="dxa"/>
                  <w:shd w:val="clear" w:color="auto" w:fill="auto"/>
                  <w:noWrap/>
                  <w:vAlign w:val="bottom"/>
                  <w:hideMark/>
                </w:tcPr>
                <w:p w14:paraId="061C3AC5" w14:textId="77777777" w:rsidR="00A10E21" w:rsidRPr="00154E08" w:rsidRDefault="00A10E21" w:rsidP="00A10E21">
                  <w:pPr>
                    <w:widowControl/>
                    <w:suppressAutoHyphens w:val="0"/>
                    <w:spacing w:line="240" w:lineRule="auto"/>
                    <w:jc w:val="right"/>
                    <w:rPr>
                      <w:rFonts w:eastAsia="Times New Roman" w:cs="Times New Roman"/>
                      <w:color w:val="000000"/>
                      <w:sz w:val="22"/>
                      <w:szCs w:val="22"/>
                    </w:rPr>
                  </w:pPr>
                  <w:r w:rsidRPr="00154E08">
                    <w:rPr>
                      <w:rFonts w:eastAsia="Times New Roman" w:cs="Times New Roman"/>
                      <w:color w:val="000000"/>
                      <w:sz w:val="22"/>
                      <w:szCs w:val="22"/>
                    </w:rPr>
                    <w:t>2028</w:t>
                  </w:r>
                </w:p>
              </w:tc>
              <w:tc>
                <w:tcPr>
                  <w:tcW w:w="1872" w:type="dxa"/>
                  <w:shd w:val="clear" w:color="auto" w:fill="auto"/>
                  <w:noWrap/>
                  <w:vAlign w:val="bottom"/>
                  <w:hideMark/>
                </w:tcPr>
                <w:p w14:paraId="0407407B" w14:textId="69616A90" w:rsidR="00A10E21" w:rsidRPr="00154E08" w:rsidRDefault="0035062B" w:rsidP="00A10E21">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12</w:t>
                  </w:r>
                  <w:r w:rsidR="001823BB" w:rsidRPr="00154E08">
                    <w:rPr>
                      <w:rFonts w:eastAsia="Times New Roman" w:cs="Times New Roman"/>
                      <w:color w:val="000000"/>
                      <w:sz w:val="22"/>
                      <w:szCs w:val="22"/>
                    </w:rPr>
                    <w:t>,0</w:t>
                  </w:r>
                  <w:r w:rsidR="00A10E21" w:rsidRPr="00154E08">
                    <w:rPr>
                      <w:rFonts w:eastAsia="Times New Roman" w:cs="Times New Roman"/>
                      <w:color w:val="000000"/>
                      <w:sz w:val="22"/>
                      <w:szCs w:val="22"/>
                    </w:rPr>
                    <w:t>%</w:t>
                  </w:r>
                </w:p>
              </w:tc>
            </w:tr>
            <w:tr w:rsidR="00A10E21" w:rsidRPr="00154E08" w14:paraId="21C360A7" w14:textId="77777777" w:rsidTr="007E628F">
              <w:trPr>
                <w:trHeight w:val="288"/>
                <w:jc w:val="center"/>
              </w:trPr>
              <w:tc>
                <w:tcPr>
                  <w:tcW w:w="794" w:type="dxa"/>
                  <w:shd w:val="clear" w:color="auto" w:fill="auto"/>
                  <w:noWrap/>
                  <w:vAlign w:val="bottom"/>
                  <w:hideMark/>
                </w:tcPr>
                <w:p w14:paraId="596244ED" w14:textId="77777777" w:rsidR="00A10E21" w:rsidRPr="00154E08" w:rsidRDefault="00A10E21" w:rsidP="00A10E21">
                  <w:pPr>
                    <w:widowControl/>
                    <w:suppressAutoHyphens w:val="0"/>
                    <w:spacing w:line="240" w:lineRule="auto"/>
                    <w:jc w:val="right"/>
                    <w:rPr>
                      <w:rFonts w:eastAsia="Times New Roman" w:cs="Times New Roman"/>
                      <w:color w:val="000000"/>
                      <w:sz w:val="22"/>
                      <w:szCs w:val="22"/>
                    </w:rPr>
                  </w:pPr>
                  <w:r w:rsidRPr="00154E08">
                    <w:rPr>
                      <w:rFonts w:eastAsia="Times New Roman" w:cs="Times New Roman"/>
                      <w:color w:val="000000"/>
                      <w:sz w:val="22"/>
                      <w:szCs w:val="22"/>
                    </w:rPr>
                    <w:lastRenderedPageBreak/>
                    <w:t>2029</w:t>
                  </w:r>
                </w:p>
              </w:tc>
              <w:tc>
                <w:tcPr>
                  <w:tcW w:w="1872" w:type="dxa"/>
                  <w:shd w:val="clear" w:color="auto" w:fill="auto"/>
                  <w:noWrap/>
                  <w:vAlign w:val="bottom"/>
                  <w:hideMark/>
                </w:tcPr>
                <w:p w14:paraId="29FB1E3A" w14:textId="41D5ABA7" w:rsidR="00A10E21" w:rsidRPr="00154E08" w:rsidRDefault="0035062B" w:rsidP="00A10E21">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1</w:t>
                  </w:r>
                  <w:r w:rsidR="004F2029" w:rsidRPr="00154E08">
                    <w:rPr>
                      <w:rFonts w:eastAsia="Times New Roman" w:cs="Times New Roman"/>
                      <w:color w:val="000000"/>
                      <w:sz w:val="22"/>
                      <w:szCs w:val="22"/>
                    </w:rPr>
                    <w:t>3</w:t>
                  </w:r>
                  <w:r w:rsidRPr="00154E08">
                    <w:rPr>
                      <w:rFonts w:eastAsia="Times New Roman" w:cs="Times New Roman"/>
                      <w:color w:val="000000"/>
                      <w:sz w:val="22"/>
                      <w:szCs w:val="22"/>
                    </w:rPr>
                    <w:t>,5</w:t>
                  </w:r>
                  <w:r w:rsidR="00A10E21" w:rsidRPr="00154E08">
                    <w:rPr>
                      <w:rFonts w:eastAsia="Times New Roman" w:cs="Times New Roman"/>
                      <w:color w:val="000000"/>
                      <w:sz w:val="22"/>
                      <w:szCs w:val="22"/>
                    </w:rPr>
                    <w:t>%</w:t>
                  </w:r>
                </w:p>
              </w:tc>
            </w:tr>
            <w:tr w:rsidR="00A10E21" w:rsidRPr="00154E08" w14:paraId="5F8F7C26" w14:textId="77777777" w:rsidTr="007E628F">
              <w:trPr>
                <w:trHeight w:val="288"/>
                <w:jc w:val="center"/>
              </w:trPr>
              <w:tc>
                <w:tcPr>
                  <w:tcW w:w="794" w:type="dxa"/>
                  <w:shd w:val="clear" w:color="auto" w:fill="auto"/>
                  <w:noWrap/>
                  <w:vAlign w:val="bottom"/>
                  <w:hideMark/>
                </w:tcPr>
                <w:p w14:paraId="5F5FA861" w14:textId="77777777" w:rsidR="00A10E21" w:rsidRPr="00154E08" w:rsidRDefault="00A10E21" w:rsidP="00A10E21">
                  <w:pPr>
                    <w:widowControl/>
                    <w:suppressAutoHyphens w:val="0"/>
                    <w:spacing w:line="240" w:lineRule="auto"/>
                    <w:jc w:val="right"/>
                    <w:rPr>
                      <w:rFonts w:eastAsia="Times New Roman" w:cs="Times New Roman"/>
                      <w:b/>
                      <w:bCs/>
                      <w:color w:val="000000"/>
                      <w:sz w:val="22"/>
                      <w:szCs w:val="22"/>
                    </w:rPr>
                  </w:pPr>
                  <w:r w:rsidRPr="00154E08">
                    <w:rPr>
                      <w:rFonts w:eastAsia="Times New Roman" w:cs="Times New Roman"/>
                      <w:b/>
                      <w:bCs/>
                      <w:color w:val="000000"/>
                      <w:sz w:val="22"/>
                      <w:szCs w:val="22"/>
                    </w:rPr>
                    <w:t>2030</w:t>
                  </w:r>
                </w:p>
              </w:tc>
              <w:tc>
                <w:tcPr>
                  <w:tcW w:w="1872" w:type="dxa"/>
                  <w:shd w:val="clear" w:color="auto" w:fill="auto"/>
                  <w:noWrap/>
                  <w:vAlign w:val="bottom"/>
                  <w:hideMark/>
                </w:tcPr>
                <w:p w14:paraId="73CB768A" w14:textId="1AE5DE42" w:rsidR="00A10E21" w:rsidRPr="00154E08" w:rsidRDefault="0035062B" w:rsidP="00A10E21">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1</w:t>
                  </w:r>
                  <w:r w:rsidR="004F2029" w:rsidRPr="00154E08">
                    <w:rPr>
                      <w:rFonts w:eastAsia="Times New Roman" w:cs="Times New Roman"/>
                      <w:color w:val="000000"/>
                      <w:sz w:val="22"/>
                      <w:szCs w:val="22"/>
                    </w:rPr>
                    <w:t>4</w:t>
                  </w:r>
                  <w:r w:rsidRPr="00154E08">
                    <w:rPr>
                      <w:rFonts w:eastAsia="Times New Roman" w:cs="Times New Roman"/>
                      <w:color w:val="000000"/>
                      <w:sz w:val="22"/>
                      <w:szCs w:val="22"/>
                    </w:rPr>
                    <w:t>,</w:t>
                  </w:r>
                  <w:r w:rsidR="00E01293" w:rsidRPr="00154E08">
                    <w:rPr>
                      <w:rFonts w:eastAsia="Times New Roman" w:cs="Times New Roman"/>
                      <w:color w:val="000000"/>
                      <w:sz w:val="22"/>
                      <w:szCs w:val="22"/>
                    </w:rPr>
                    <w:t>9</w:t>
                  </w:r>
                  <w:r w:rsidR="00A10E21" w:rsidRPr="00154E08">
                    <w:rPr>
                      <w:rFonts w:eastAsia="Times New Roman" w:cs="Times New Roman"/>
                      <w:color w:val="000000"/>
                      <w:sz w:val="22"/>
                      <w:szCs w:val="22"/>
                    </w:rPr>
                    <w:t>%</w:t>
                  </w:r>
                </w:p>
              </w:tc>
            </w:tr>
          </w:tbl>
          <w:p w14:paraId="1E9AACED" w14:textId="4C3AE46D" w:rsidR="00A10E21" w:rsidRPr="00154E08" w:rsidRDefault="0093327A" w:rsidP="00A10E21">
            <w:pPr>
              <w:spacing w:before="60" w:line="240" w:lineRule="auto"/>
              <w:contextualSpacing/>
              <w:jc w:val="both"/>
              <w:rPr>
                <w:rFonts w:eastAsia="Calibri" w:cs="Times New Roman"/>
                <w:color w:val="7030A0"/>
                <w:spacing w:val="-2"/>
                <w:sz w:val="22"/>
                <w:szCs w:val="22"/>
              </w:rPr>
            </w:pPr>
            <w:r w:rsidRPr="00154E08">
              <w:rPr>
                <w:rFonts w:eastAsia="Calibri" w:cs="Times New Roman"/>
                <w:spacing w:val="-2"/>
                <w:sz w:val="22"/>
                <w:szCs w:val="22"/>
              </w:rPr>
              <w:t xml:space="preserve">Źródło: </w:t>
            </w:r>
            <w:r w:rsidR="00A10E21" w:rsidRPr="00154E08">
              <w:rPr>
                <w:rFonts w:eastAsia="Calibri" w:cs="Times New Roman"/>
                <w:spacing w:val="-2"/>
                <w:sz w:val="22"/>
                <w:szCs w:val="22"/>
              </w:rPr>
              <w:t xml:space="preserve">Wartości wg ustawy obowiązujące dla </w:t>
            </w:r>
            <w:r w:rsidR="00E01293" w:rsidRPr="00154E08">
              <w:rPr>
                <w:rFonts w:eastAsia="Calibri" w:cs="Times New Roman"/>
                <w:spacing w:val="-2"/>
                <w:sz w:val="22"/>
                <w:szCs w:val="22"/>
              </w:rPr>
              <w:t>rok</w:t>
            </w:r>
            <w:r w:rsidR="00031450" w:rsidRPr="00154E08">
              <w:rPr>
                <w:rFonts w:eastAsia="Calibri" w:cs="Times New Roman"/>
                <w:spacing w:val="-2"/>
                <w:sz w:val="22"/>
                <w:szCs w:val="22"/>
              </w:rPr>
              <w:t>u</w:t>
            </w:r>
            <w:r w:rsidR="00A10E21" w:rsidRPr="00154E08">
              <w:rPr>
                <w:rFonts w:eastAsia="Calibri" w:cs="Times New Roman"/>
                <w:spacing w:val="-2"/>
                <w:sz w:val="22"/>
                <w:szCs w:val="22"/>
              </w:rPr>
              <w:t xml:space="preserve"> 202</w:t>
            </w:r>
            <w:r w:rsidR="000C1653" w:rsidRPr="00154E08">
              <w:rPr>
                <w:rFonts w:eastAsia="Calibri" w:cs="Times New Roman"/>
                <w:spacing w:val="-2"/>
                <w:sz w:val="22"/>
                <w:szCs w:val="22"/>
              </w:rPr>
              <w:t>4</w:t>
            </w:r>
            <w:r w:rsidR="00BE309E" w:rsidRPr="00154E08">
              <w:rPr>
                <w:rFonts w:eastAsia="Calibri" w:cs="Times New Roman"/>
                <w:spacing w:val="-2"/>
                <w:sz w:val="22"/>
                <w:szCs w:val="22"/>
              </w:rPr>
              <w:t xml:space="preserve"> </w:t>
            </w:r>
            <w:r w:rsidR="00A10E21" w:rsidRPr="00154E08">
              <w:rPr>
                <w:rFonts w:eastAsia="Calibri" w:cs="Times New Roman"/>
                <w:spacing w:val="-2"/>
                <w:sz w:val="22"/>
                <w:szCs w:val="22"/>
              </w:rPr>
              <w:t xml:space="preserve">oraz zgodnie z propozycją projektu ustawy. </w:t>
            </w:r>
          </w:p>
          <w:p w14:paraId="2EE8C1E3" w14:textId="77777777" w:rsidR="00A10E21" w:rsidRPr="00154E08" w:rsidRDefault="00A10E21" w:rsidP="00B279FD">
            <w:pPr>
              <w:spacing w:after="120" w:line="240" w:lineRule="auto"/>
              <w:contextualSpacing/>
              <w:jc w:val="both"/>
              <w:rPr>
                <w:rFonts w:eastAsia="Calibri" w:cs="Times New Roman"/>
                <w:color w:val="7030A0"/>
                <w:spacing w:val="-2"/>
                <w:sz w:val="22"/>
                <w:szCs w:val="22"/>
              </w:rPr>
            </w:pPr>
          </w:p>
          <w:p w14:paraId="627A9BAC" w14:textId="20B0120B" w:rsidR="00900F98" w:rsidRPr="00154E08" w:rsidRDefault="007D5610" w:rsidP="00B279FD">
            <w:pPr>
              <w:spacing w:after="120" w:line="240" w:lineRule="auto"/>
              <w:jc w:val="both"/>
              <w:rPr>
                <w:rFonts w:eastAsia="Calibri" w:cs="Times New Roman"/>
                <w:color w:val="00B050"/>
                <w:spacing w:val="-2"/>
                <w:sz w:val="22"/>
                <w:szCs w:val="22"/>
              </w:rPr>
            </w:pPr>
            <w:r w:rsidRPr="00154E08">
              <w:rPr>
                <w:rFonts w:cs="Times New Roman"/>
                <w:sz w:val="22"/>
                <w:szCs w:val="22"/>
              </w:rPr>
              <w:t>Założono r</w:t>
            </w:r>
            <w:r w:rsidR="00894735" w:rsidRPr="00154E08">
              <w:rPr>
                <w:rFonts w:cs="Times New Roman"/>
                <w:sz w:val="22"/>
                <w:szCs w:val="22"/>
              </w:rPr>
              <w:t>ealizacj</w:t>
            </w:r>
            <w:r w:rsidR="0093327A" w:rsidRPr="00154E08">
              <w:rPr>
                <w:rFonts w:cs="Times New Roman"/>
                <w:sz w:val="22"/>
                <w:szCs w:val="22"/>
              </w:rPr>
              <w:t>ę</w:t>
            </w:r>
            <w:r w:rsidR="00894735" w:rsidRPr="00154E08">
              <w:rPr>
                <w:rFonts w:cs="Times New Roman"/>
                <w:sz w:val="22"/>
                <w:szCs w:val="22"/>
              </w:rPr>
              <w:t xml:space="preserve"> ww.</w:t>
            </w:r>
            <w:r w:rsidR="00BD1C7F" w:rsidRPr="00154E08">
              <w:rPr>
                <w:rFonts w:cs="Times New Roman"/>
                <w:sz w:val="22"/>
                <w:szCs w:val="22"/>
              </w:rPr>
              <w:t xml:space="preserve"> </w:t>
            </w:r>
            <w:r w:rsidR="00CE75BD" w:rsidRPr="00154E08">
              <w:rPr>
                <w:rFonts w:cs="Times New Roman"/>
                <w:sz w:val="22"/>
                <w:szCs w:val="22"/>
              </w:rPr>
              <w:t>określonego</w:t>
            </w:r>
            <w:r w:rsidR="00894735" w:rsidRPr="00154E08">
              <w:rPr>
                <w:rFonts w:cs="Times New Roman"/>
                <w:sz w:val="22"/>
                <w:szCs w:val="22"/>
              </w:rPr>
              <w:t xml:space="preserve"> celu OZE </w:t>
            </w:r>
            <w:r w:rsidRPr="00154E08">
              <w:rPr>
                <w:rFonts w:cs="Times New Roman"/>
                <w:sz w:val="22"/>
                <w:szCs w:val="22"/>
              </w:rPr>
              <w:t>przede wszystkim na wykorzystaniu</w:t>
            </w:r>
            <w:r w:rsidR="004A19A0" w:rsidRPr="00154E08">
              <w:rPr>
                <w:rFonts w:cs="Times New Roman"/>
                <w:sz w:val="22"/>
                <w:szCs w:val="22"/>
              </w:rPr>
              <w:t>:</w:t>
            </w:r>
            <w:r w:rsidR="00684A87" w:rsidRPr="00154E08">
              <w:rPr>
                <w:rFonts w:cs="Times New Roman"/>
                <w:sz w:val="22"/>
                <w:szCs w:val="22"/>
              </w:rPr>
              <w:t xml:space="preserve"> </w:t>
            </w:r>
            <w:r w:rsidR="00894735" w:rsidRPr="00154E08">
              <w:rPr>
                <w:rFonts w:cs="Times New Roman"/>
                <w:sz w:val="22"/>
                <w:szCs w:val="22"/>
              </w:rPr>
              <w:t>biopaliw I generacji, biopaliw zaawansowanych oraz energii elektrycznej. Ze względu na brak rynku paliw wodorowych</w:t>
            </w:r>
            <w:r w:rsidR="00F07DA8" w:rsidRPr="00154E08">
              <w:rPr>
                <w:rFonts w:cs="Times New Roman"/>
                <w:sz w:val="22"/>
                <w:szCs w:val="22"/>
              </w:rPr>
              <w:t xml:space="preserve"> (</w:t>
            </w:r>
            <w:r w:rsidR="00183D1B" w:rsidRPr="00154E08">
              <w:rPr>
                <w:rFonts w:cs="Times New Roman"/>
                <w:sz w:val="22"/>
                <w:szCs w:val="22"/>
              </w:rPr>
              <w:t>RF</w:t>
            </w:r>
            <w:r w:rsidR="00F9471B" w:rsidRPr="00154E08">
              <w:rPr>
                <w:rFonts w:cs="Times New Roman"/>
                <w:sz w:val="22"/>
                <w:szCs w:val="22"/>
              </w:rPr>
              <w:t>NBO</w:t>
            </w:r>
            <w:r w:rsidR="00F07DA8" w:rsidRPr="00154E08">
              <w:rPr>
                <w:rFonts w:cs="Times New Roman"/>
                <w:sz w:val="22"/>
                <w:szCs w:val="22"/>
              </w:rPr>
              <w:t>)</w:t>
            </w:r>
            <w:r w:rsidR="00B87686" w:rsidRPr="00154E08">
              <w:rPr>
                <w:rFonts w:cs="Times New Roman"/>
                <w:sz w:val="22"/>
                <w:szCs w:val="22"/>
              </w:rPr>
              <w:t xml:space="preserve">, </w:t>
            </w:r>
            <w:r w:rsidR="00892DB8" w:rsidRPr="00154E08">
              <w:rPr>
                <w:rFonts w:cs="Times New Roman"/>
                <w:sz w:val="22"/>
                <w:szCs w:val="22"/>
              </w:rPr>
              <w:t>paliw z recyklingu (</w:t>
            </w:r>
            <w:r w:rsidR="00B87686" w:rsidRPr="00154E08">
              <w:rPr>
                <w:rFonts w:cs="Times New Roman"/>
                <w:sz w:val="22"/>
                <w:szCs w:val="22"/>
              </w:rPr>
              <w:t>RCF</w:t>
            </w:r>
            <w:r w:rsidR="00892DB8" w:rsidRPr="00154E08">
              <w:rPr>
                <w:rFonts w:cs="Times New Roman"/>
                <w:sz w:val="22"/>
                <w:szCs w:val="22"/>
              </w:rPr>
              <w:t>)</w:t>
            </w:r>
            <w:r w:rsidR="00AF2E38" w:rsidRPr="00154E08">
              <w:rPr>
                <w:rFonts w:cs="Times New Roman"/>
                <w:sz w:val="22"/>
                <w:szCs w:val="22"/>
              </w:rPr>
              <w:t xml:space="preserve"> oraz </w:t>
            </w:r>
            <w:r w:rsidR="00A96A2C" w:rsidRPr="00154E08">
              <w:rPr>
                <w:rFonts w:cs="Times New Roman"/>
                <w:sz w:val="22"/>
                <w:szCs w:val="22"/>
              </w:rPr>
              <w:t>początkow</w:t>
            </w:r>
            <w:r w:rsidR="00AF2E38" w:rsidRPr="00154E08">
              <w:rPr>
                <w:rFonts w:cs="Times New Roman"/>
                <w:sz w:val="22"/>
                <w:szCs w:val="22"/>
              </w:rPr>
              <w:t xml:space="preserve">y </w:t>
            </w:r>
            <w:r w:rsidR="00E27DE1" w:rsidRPr="00154E08">
              <w:rPr>
                <w:rFonts w:cs="Times New Roman"/>
                <w:sz w:val="22"/>
                <w:szCs w:val="22"/>
              </w:rPr>
              <w:t xml:space="preserve">etap </w:t>
            </w:r>
            <w:r w:rsidR="00AF2E38" w:rsidRPr="00154E08">
              <w:rPr>
                <w:rFonts w:cs="Times New Roman"/>
                <w:sz w:val="22"/>
                <w:szCs w:val="22"/>
              </w:rPr>
              <w:t>rozwój</w:t>
            </w:r>
            <w:r w:rsidR="00894735" w:rsidRPr="00154E08">
              <w:rPr>
                <w:rFonts w:cs="Times New Roman"/>
                <w:sz w:val="22"/>
                <w:szCs w:val="22"/>
              </w:rPr>
              <w:t xml:space="preserve"> technologi</w:t>
            </w:r>
            <w:r w:rsidR="00AF2E38" w:rsidRPr="00154E08">
              <w:rPr>
                <w:rFonts w:cs="Times New Roman"/>
                <w:sz w:val="22"/>
                <w:szCs w:val="22"/>
              </w:rPr>
              <w:t>i</w:t>
            </w:r>
            <w:r w:rsidR="00894735" w:rsidRPr="00154E08">
              <w:rPr>
                <w:rFonts w:cs="Times New Roman"/>
                <w:sz w:val="22"/>
                <w:szCs w:val="22"/>
              </w:rPr>
              <w:t xml:space="preserve"> produkcji paliw syntetycznych,</w:t>
            </w:r>
            <w:r w:rsidR="00183D1B" w:rsidRPr="00154E08">
              <w:rPr>
                <w:rFonts w:cs="Times New Roman"/>
                <w:sz w:val="22"/>
                <w:szCs w:val="22"/>
              </w:rPr>
              <w:t xml:space="preserve"> </w:t>
            </w:r>
            <w:r w:rsidR="00894735" w:rsidRPr="00154E08">
              <w:rPr>
                <w:rFonts w:cs="Times New Roman"/>
                <w:sz w:val="22"/>
                <w:szCs w:val="22"/>
              </w:rPr>
              <w:t xml:space="preserve">przyjęto, </w:t>
            </w:r>
            <w:r w:rsidR="0054757A" w:rsidRPr="00154E08">
              <w:rPr>
                <w:rFonts w:cs="Times New Roman"/>
                <w:sz w:val="22"/>
                <w:szCs w:val="22"/>
              </w:rPr>
              <w:t xml:space="preserve">że te </w:t>
            </w:r>
            <w:r w:rsidR="00894735" w:rsidRPr="00154E08">
              <w:rPr>
                <w:rFonts w:cs="Times New Roman"/>
                <w:sz w:val="22"/>
                <w:szCs w:val="22"/>
              </w:rPr>
              <w:t xml:space="preserve">paliwa </w:t>
            </w:r>
            <w:r w:rsidR="00A96A2C" w:rsidRPr="00154E08">
              <w:rPr>
                <w:rFonts w:cs="Times New Roman"/>
                <w:sz w:val="22"/>
                <w:szCs w:val="22"/>
              </w:rPr>
              <w:t xml:space="preserve">w rozważanej </w:t>
            </w:r>
            <w:r w:rsidR="002E4077" w:rsidRPr="00154E08">
              <w:rPr>
                <w:rFonts w:cs="Times New Roman"/>
                <w:sz w:val="22"/>
                <w:szCs w:val="22"/>
              </w:rPr>
              <w:t xml:space="preserve">perspektywie </w:t>
            </w:r>
            <w:r w:rsidR="00894735" w:rsidRPr="00154E08">
              <w:rPr>
                <w:rFonts w:cs="Times New Roman"/>
                <w:sz w:val="22"/>
                <w:szCs w:val="22"/>
              </w:rPr>
              <w:t xml:space="preserve">nie będą stanowiły widocznej części paliw, jakkolwiek przepisy nie wyłączają możliwości </w:t>
            </w:r>
            <w:r w:rsidR="0054757A" w:rsidRPr="00154E08">
              <w:rPr>
                <w:rFonts w:cs="Times New Roman"/>
                <w:sz w:val="22"/>
                <w:szCs w:val="22"/>
              </w:rPr>
              <w:t xml:space="preserve">ich </w:t>
            </w:r>
            <w:r w:rsidR="00894735" w:rsidRPr="00154E08">
              <w:rPr>
                <w:rFonts w:cs="Times New Roman"/>
                <w:sz w:val="22"/>
                <w:szCs w:val="22"/>
              </w:rPr>
              <w:t xml:space="preserve">stosowania </w:t>
            </w:r>
            <w:r w:rsidR="000F4A03" w:rsidRPr="00154E08">
              <w:rPr>
                <w:rFonts w:cs="Times New Roman"/>
                <w:sz w:val="22"/>
                <w:szCs w:val="22"/>
              </w:rPr>
              <w:t>w</w:t>
            </w:r>
            <w:r w:rsidR="00A96A2C" w:rsidRPr="00154E08">
              <w:rPr>
                <w:rFonts w:cs="Times New Roman"/>
                <w:sz w:val="22"/>
                <w:szCs w:val="22"/>
              </w:rPr>
              <w:t> </w:t>
            </w:r>
            <w:r w:rsidR="00894735" w:rsidRPr="00154E08">
              <w:rPr>
                <w:rFonts w:cs="Times New Roman"/>
                <w:sz w:val="22"/>
                <w:szCs w:val="22"/>
              </w:rPr>
              <w:t>rozliczeni</w:t>
            </w:r>
            <w:r w:rsidR="000F4A03" w:rsidRPr="00154E08">
              <w:rPr>
                <w:rFonts w:cs="Times New Roman"/>
                <w:sz w:val="22"/>
                <w:szCs w:val="22"/>
              </w:rPr>
              <w:t>u</w:t>
            </w:r>
            <w:r w:rsidR="00894735" w:rsidRPr="00154E08">
              <w:rPr>
                <w:rFonts w:cs="Times New Roman"/>
                <w:sz w:val="22"/>
                <w:szCs w:val="22"/>
              </w:rPr>
              <w:t xml:space="preserve"> realizacji </w:t>
            </w:r>
            <w:r w:rsidR="000F4A03" w:rsidRPr="00154E08">
              <w:rPr>
                <w:rFonts w:cs="Times New Roman"/>
                <w:sz w:val="22"/>
                <w:szCs w:val="22"/>
              </w:rPr>
              <w:t>NCW</w:t>
            </w:r>
            <w:r w:rsidR="00894735" w:rsidRPr="00154E08">
              <w:rPr>
                <w:rFonts w:cs="Times New Roman"/>
                <w:sz w:val="22"/>
                <w:szCs w:val="22"/>
              </w:rPr>
              <w:t>.</w:t>
            </w:r>
            <w:r w:rsidRPr="00154E08">
              <w:rPr>
                <w:rFonts w:cs="Times New Roman"/>
                <w:sz w:val="22"/>
                <w:szCs w:val="22"/>
              </w:rPr>
              <w:t xml:space="preserve"> </w:t>
            </w:r>
          </w:p>
          <w:p w14:paraId="4D1549D4" w14:textId="41F3EF6F" w:rsidR="00AF2E38" w:rsidRPr="00154E08" w:rsidRDefault="00AA59B9" w:rsidP="00B279FD">
            <w:pPr>
              <w:spacing w:after="120" w:line="240" w:lineRule="auto"/>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Przyjęcie </w:t>
            </w:r>
            <w:r w:rsidR="00A73262" w:rsidRPr="00154E08">
              <w:rPr>
                <w:rFonts w:eastAsia="Calibri" w:cs="Times New Roman"/>
                <w:color w:val="000000"/>
                <w:spacing w:val="-2"/>
                <w:sz w:val="22"/>
                <w:szCs w:val="22"/>
              </w:rPr>
              <w:t xml:space="preserve">planu </w:t>
            </w:r>
            <w:r w:rsidRPr="00154E08">
              <w:rPr>
                <w:rFonts w:eastAsia="Calibri" w:cs="Times New Roman"/>
                <w:color w:val="000000"/>
                <w:spacing w:val="-2"/>
                <w:sz w:val="22"/>
                <w:szCs w:val="22"/>
              </w:rPr>
              <w:t xml:space="preserve">systematycznego wzrostu </w:t>
            </w:r>
            <w:r w:rsidR="00A73262" w:rsidRPr="00154E08">
              <w:rPr>
                <w:rFonts w:eastAsia="Calibri" w:cs="Times New Roman"/>
                <w:color w:val="000000"/>
                <w:spacing w:val="-2"/>
                <w:sz w:val="22"/>
                <w:szCs w:val="22"/>
              </w:rPr>
              <w:t xml:space="preserve">celu </w:t>
            </w:r>
            <w:r w:rsidRPr="00154E08">
              <w:rPr>
                <w:rFonts w:eastAsia="Calibri" w:cs="Times New Roman"/>
                <w:color w:val="000000"/>
                <w:spacing w:val="-2"/>
                <w:sz w:val="22"/>
                <w:szCs w:val="22"/>
              </w:rPr>
              <w:t xml:space="preserve">NCW w kolejnych latach umożliwia </w:t>
            </w:r>
            <w:r w:rsidR="00FA6373" w:rsidRPr="00154E08">
              <w:rPr>
                <w:rFonts w:eastAsia="Calibri" w:cs="Times New Roman"/>
                <w:color w:val="000000"/>
                <w:spacing w:val="-2"/>
                <w:sz w:val="22"/>
                <w:szCs w:val="22"/>
              </w:rPr>
              <w:t xml:space="preserve">stabilny </w:t>
            </w:r>
            <w:r w:rsidR="00FA6BD1" w:rsidRPr="00154E08">
              <w:rPr>
                <w:rFonts w:eastAsia="Calibri" w:cs="Times New Roman"/>
                <w:color w:val="000000"/>
                <w:spacing w:val="-2"/>
                <w:sz w:val="22"/>
                <w:szCs w:val="22"/>
              </w:rPr>
              <w:t xml:space="preserve">i </w:t>
            </w:r>
            <w:r w:rsidRPr="00154E08">
              <w:rPr>
                <w:rFonts w:eastAsia="Calibri" w:cs="Times New Roman"/>
                <w:color w:val="000000"/>
                <w:spacing w:val="-2"/>
                <w:sz w:val="22"/>
                <w:szCs w:val="22"/>
              </w:rPr>
              <w:t>stopniowy rozwój rynków</w:t>
            </w:r>
            <w:r w:rsidR="004A19A0"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biopaliw II generacji oraz </w:t>
            </w:r>
            <w:r w:rsidR="00E3549C" w:rsidRPr="00154E08">
              <w:rPr>
                <w:rFonts w:eastAsia="Calibri" w:cs="Times New Roman"/>
                <w:color w:val="000000"/>
                <w:spacing w:val="-2"/>
                <w:sz w:val="22"/>
                <w:szCs w:val="22"/>
              </w:rPr>
              <w:t xml:space="preserve">zwłaszcza </w:t>
            </w:r>
            <w:r w:rsidRPr="00154E08">
              <w:rPr>
                <w:rFonts w:eastAsia="Calibri" w:cs="Times New Roman"/>
                <w:color w:val="000000"/>
                <w:spacing w:val="-2"/>
                <w:sz w:val="22"/>
                <w:szCs w:val="22"/>
              </w:rPr>
              <w:t>energii elektrycznej</w:t>
            </w:r>
            <w:r w:rsidR="00A96A2C" w:rsidRPr="00154E08">
              <w:rPr>
                <w:rFonts w:eastAsia="Calibri" w:cs="Times New Roman"/>
                <w:i/>
                <w:iCs/>
                <w:color w:val="000000"/>
                <w:spacing w:val="-2"/>
                <w:sz w:val="22"/>
                <w:szCs w:val="22"/>
              </w:rPr>
              <w:t xml:space="preserve"> </w:t>
            </w:r>
            <w:r w:rsidR="00A96A2C" w:rsidRPr="00154E08">
              <w:rPr>
                <w:rFonts w:eastAsia="Calibri" w:cs="Times New Roman"/>
                <w:color w:val="000000"/>
                <w:spacing w:val="-2"/>
                <w:sz w:val="22"/>
                <w:szCs w:val="22"/>
              </w:rPr>
              <w:t>stosowanej</w:t>
            </w:r>
            <w:r w:rsidRPr="00154E08">
              <w:rPr>
                <w:rFonts w:eastAsia="Calibri" w:cs="Times New Roman"/>
                <w:color w:val="000000"/>
                <w:spacing w:val="-2"/>
                <w:sz w:val="22"/>
                <w:szCs w:val="22"/>
              </w:rPr>
              <w:t xml:space="preserve"> w</w:t>
            </w:r>
            <w:r w:rsidR="003B364F" w:rsidRPr="00154E08">
              <w:rPr>
                <w:rFonts w:eastAsia="Calibri" w:cs="Times New Roman"/>
                <w:color w:val="000000"/>
                <w:spacing w:val="-2"/>
                <w:sz w:val="22"/>
                <w:szCs w:val="22"/>
              </w:rPr>
              <w:t> </w:t>
            </w:r>
            <w:r w:rsidRPr="00154E08">
              <w:rPr>
                <w:rFonts w:eastAsia="Calibri" w:cs="Times New Roman"/>
                <w:color w:val="000000"/>
                <w:spacing w:val="-2"/>
                <w:sz w:val="22"/>
                <w:szCs w:val="22"/>
              </w:rPr>
              <w:t>transporcie</w:t>
            </w:r>
            <w:r w:rsidR="00B127EC" w:rsidRPr="00154E08">
              <w:rPr>
                <w:rFonts w:eastAsia="Calibri" w:cs="Times New Roman"/>
                <w:color w:val="000000"/>
                <w:spacing w:val="-2"/>
                <w:sz w:val="22"/>
                <w:szCs w:val="22"/>
              </w:rPr>
              <w:t xml:space="preserve"> – drogowym i</w:t>
            </w:r>
            <w:r w:rsidR="00837D94" w:rsidRPr="00154E08">
              <w:rPr>
                <w:rFonts w:eastAsia="Calibri" w:cs="Times New Roman"/>
                <w:color w:val="000000"/>
                <w:spacing w:val="-2"/>
                <w:sz w:val="22"/>
                <w:szCs w:val="22"/>
              </w:rPr>
              <w:t> </w:t>
            </w:r>
            <w:r w:rsidR="00B127EC" w:rsidRPr="00154E08">
              <w:rPr>
                <w:rFonts w:eastAsia="Calibri" w:cs="Times New Roman"/>
                <w:color w:val="000000"/>
                <w:spacing w:val="-2"/>
                <w:sz w:val="22"/>
                <w:szCs w:val="22"/>
              </w:rPr>
              <w:t>kolejowym</w:t>
            </w:r>
            <w:r w:rsidRPr="00154E08">
              <w:rPr>
                <w:rFonts w:eastAsia="Calibri" w:cs="Times New Roman"/>
                <w:color w:val="000000"/>
                <w:spacing w:val="-2"/>
                <w:sz w:val="22"/>
                <w:szCs w:val="22"/>
              </w:rPr>
              <w:t xml:space="preserve">. Określenie szczegółowych celów </w:t>
            </w:r>
            <w:r w:rsidR="00543CFA" w:rsidRPr="00154E08">
              <w:rPr>
                <w:rFonts w:eastAsia="Calibri" w:cs="Times New Roman"/>
                <w:color w:val="000000"/>
                <w:spacing w:val="-2"/>
                <w:sz w:val="22"/>
                <w:szCs w:val="22"/>
              </w:rPr>
              <w:t xml:space="preserve">rocznych </w:t>
            </w:r>
            <w:r w:rsidRPr="00154E08">
              <w:rPr>
                <w:rFonts w:eastAsia="Calibri" w:cs="Times New Roman"/>
                <w:color w:val="000000"/>
                <w:spacing w:val="-2"/>
                <w:sz w:val="22"/>
                <w:szCs w:val="22"/>
              </w:rPr>
              <w:t>w okresie do</w:t>
            </w:r>
            <w:r w:rsidR="000B161A" w:rsidRPr="00154E08">
              <w:rPr>
                <w:rFonts w:eastAsia="Calibri" w:cs="Times New Roman"/>
                <w:color w:val="000000"/>
                <w:spacing w:val="-2"/>
                <w:sz w:val="22"/>
                <w:szCs w:val="22"/>
              </w:rPr>
              <w:t> </w:t>
            </w:r>
            <w:r w:rsidRPr="00154E08">
              <w:rPr>
                <w:rFonts w:eastAsia="Calibri" w:cs="Times New Roman"/>
                <w:color w:val="000000"/>
                <w:spacing w:val="-2"/>
                <w:sz w:val="22"/>
                <w:szCs w:val="22"/>
              </w:rPr>
              <w:t>2030 r.</w:t>
            </w:r>
            <w:r w:rsidR="002E4077" w:rsidRPr="00154E08">
              <w:rPr>
                <w:rFonts w:eastAsia="Calibri" w:cs="Times New Roman"/>
                <w:color w:val="000000"/>
                <w:spacing w:val="-2"/>
                <w:sz w:val="22"/>
                <w:szCs w:val="22"/>
              </w:rPr>
              <w:t xml:space="preserve"> pozw</w:t>
            </w:r>
            <w:r w:rsidR="00543CFA" w:rsidRPr="00154E08">
              <w:rPr>
                <w:rFonts w:eastAsia="Calibri" w:cs="Times New Roman"/>
                <w:color w:val="000000"/>
                <w:spacing w:val="-2"/>
                <w:sz w:val="22"/>
                <w:szCs w:val="22"/>
              </w:rPr>
              <w:t>ala</w:t>
            </w:r>
            <w:r w:rsidRPr="00154E08">
              <w:rPr>
                <w:rFonts w:eastAsia="Calibri" w:cs="Times New Roman"/>
                <w:color w:val="000000"/>
                <w:spacing w:val="-2"/>
                <w:sz w:val="22"/>
                <w:szCs w:val="22"/>
              </w:rPr>
              <w:t xml:space="preserve"> na</w:t>
            </w:r>
            <w:r w:rsidR="0093327A" w:rsidRPr="00154E08">
              <w:rPr>
                <w:rFonts w:eastAsia="Calibri" w:cs="Times New Roman"/>
                <w:color w:val="000000"/>
                <w:spacing w:val="-2"/>
                <w:sz w:val="22"/>
                <w:szCs w:val="22"/>
              </w:rPr>
              <w:t xml:space="preserve"> podejmowanie decyzji w zakresie </w:t>
            </w:r>
            <w:r w:rsidRPr="00154E08">
              <w:rPr>
                <w:rFonts w:eastAsia="Calibri" w:cs="Times New Roman"/>
                <w:color w:val="000000"/>
                <w:spacing w:val="-2"/>
                <w:sz w:val="22"/>
                <w:szCs w:val="22"/>
              </w:rPr>
              <w:t>planowan</w:t>
            </w:r>
            <w:r w:rsidR="0093327A" w:rsidRPr="00154E08">
              <w:rPr>
                <w:rFonts w:eastAsia="Calibri" w:cs="Times New Roman"/>
                <w:color w:val="000000"/>
                <w:spacing w:val="-2"/>
                <w:sz w:val="22"/>
                <w:szCs w:val="22"/>
              </w:rPr>
              <w:t>ych</w:t>
            </w:r>
            <w:r w:rsidRPr="00154E08">
              <w:rPr>
                <w:rFonts w:eastAsia="Calibri" w:cs="Times New Roman"/>
                <w:color w:val="000000"/>
                <w:spacing w:val="-2"/>
                <w:sz w:val="22"/>
                <w:szCs w:val="22"/>
              </w:rPr>
              <w:t xml:space="preserve"> inwestycji, </w:t>
            </w:r>
            <w:r w:rsidR="0060578B" w:rsidRPr="00154E08">
              <w:rPr>
                <w:rFonts w:eastAsia="Calibri" w:cs="Times New Roman"/>
                <w:color w:val="000000"/>
                <w:spacing w:val="-2"/>
                <w:sz w:val="22"/>
                <w:szCs w:val="22"/>
              </w:rPr>
              <w:t xml:space="preserve">które są </w:t>
            </w:r>
            <w:r w:rsidRPr="00154E08">
              <w:rPr>
                <w:rFonts w:eastAsia="Calibri" w:cs="Times New Roman"/>
                <w:color w:val="000000"/>
                <w:spacing w:val="-2"/>
                <w:sz w:val="22"/>
                <w:szCs w:val="22"/>
              </w:rPr>
              <w:t>konieczn</w:t>
            </w:r>
            <w:r w:rsidR="0060578B" w:rsidRPr="00154E08">
              <w:rPr>
                <w:rFonts w:eastAsia="Calibri" w:cs="Times New Roman"/>
                <w:color w:val="000000"/>
                <w:spacing w:val="-2"/>
                <w:sz w:val="22"/>
                <w:szCs w:val="22"/>
              </w:rPr>
              <w:t>e</w:t>
            </w:r>
            <w:r w:rsidRPr="00154E08">
              <w:rPr>
                <w:rFonts w:eastAsia="Calibri" w:cs="Times New Roman"/>
                <w:color w:val="000000"/>
                <w:spacing w:val="-2"/>
                <w:sz w:val="22"/>
                <w:szCs w:val="22"/>
              </w:rPr>
              <w:t xml:space="preserve"> dla realizacji </w:t>
            </w:r>
            <w:r w:rsidR="00E1443C" w:rsidRPr="00154E08">
              <w:rPr>
                <w:rFonts w:eastAsia="Calibri" w:cs="Times New Roman"/>
                <w:color w:val="000000"/>
                <w:spacing w:val="-2"/>
                <w:sz w:val="22"/>
                <w:szCs w:val="22"/>
              </w:rPr>
              <w:t xml:space="preserve">celu </w:t>
            </w:r>
            <w:r w:rsidRPr="00154E08">
              <w:rPr>
                <w:rFonts w:eastAsia="Calibri" w:cs="Times New Roman"/>
                <w:color w:val="000000"/>
                <w:spacing w:val="-2"/>
                <w:sz w:val="22"/>
                <w:szCs w:val="22"/>
              </w:rPr>
              <w:t>wyznaczonego</w:t>
            </w:r>
            <w:r w:rsidR="00CF233B" w:rsidRPr="00154E08">
              <w:rPr>
                <w:rFonts w:eastAsia="Calibri" w:cs="Times New Roman"/>
                <w:color w:val="000000"/>
                <w:spacing w:val="-2"/>
                <w:sz w:val="22"/>
                <w:szCs w:val="22"/>
              </w:rPr>
              <w:t xml:space="preserve"> </w:t>
            </w:r>
            <w:r w:rsidR="000D5B63" w:rsidRPr="00154E08">
              <w:rPr>
                <w:rFonts w:eastAsia="Calibri" w:cs="Times New Roman"/>
                <w:color w:val="000000"/>
                <w:spacing w:val="-2"/>
                <w:sz w:val="22"/>
                <w:szCs w:val="22"/>
              </w:rPr>
              <w:t>dla</w:t>
            </w:r>
            <w:r w:rsidR="00CF233B" w:rsidRPr="00154E08">
              <w:rPr>
                <w:rFonts w:eastAsia="Calibri" w:cs="Times New Roman"/>
                <w:color w:val="000000"/>
                <w:spacing w:val="-2"/>
                <w:sz w:val="22"/>
                <w:szCs w:val="22"/>
              </w:rPr>
              <w:t xml:space="preserve"> </w:t>
            </w:r>
            <w:r w:rsidR="00000676" w:rsidRPr="00154E08">
              <w:rPr>
                <w:rFonts w:eastAsia="Calibri" w:cs="Times New Roman"/>
                <w:color w:val="000000"/>
                <w:spacing w:val="-2"/>
                <w:sz w:val="22"/>
                <w:szCs w:val="22"/>
              </w:rPr>
              <w:t>referencyjn</w:t>
            </w:r>
            <w:r w:rsidR="000D5B63" w:rsidRPr="00154E08">
              <w:rPr>
                <w:rFonts w:eastAsia="Calibri" w:cs="Times New Roman"/>
                <w:color w:val="000000"/>
                <w:spacing w:val="-2"/>
                <w:sz w:val="22"/>
                <w:szCs w:val="22"/>
              </w:rPr>
              <w:t>ego</w:t>
            </w:r>
            <w:r w:rsidR="00000676" w:rsidRPr="00154E08">
              <w:rPr>
                <w:rFonts w:eastAsia="Calibri" w:cs="Times New Roman"/>
                <w:color w:val="000000"/>
                <w:spacing w:val="-2"/>
                <w:sz w:val="22"/>
                <w:szCs w:val="22"/>
              </w:rPr>
              <w:t xml:space="preserve"> </w:t>
            </w:r>
            <w:r w:rsidR="00CF233B" w:rsidRPr="00154E08">
              <w:rPr>
                <w:rFonts w:eastAsia="Calibri" w:cs="Times New Roman"/>
                <w:color w:val="000000"/>
                <w:spacing w:val="-2"/>
                <w:sz w:val="22"/>
                <w:szCs w:val="22"/>
              </w:rPr>
              <w:t>2030 rok</w:t>
            </w:r>
            <w:r w:rsidR="000D5B63" w:rsidRPr="00154E08">
              <w:rPr>
                <w:rFonts w:eastAsia="Calibri" w:cs="Times New Roman"/>
                <w:color w:val="000000"/>
                <w:spacing w:val="-2"/>
                <w:sz w:val="22"/>
                <w:szCs w:val="22"/>
              </w:rPr>
              <w:t>u</w:t>
            </w:r>
            <w:r w:rsidRPr="00154E08">
              <w:rPr>
                <w:rFonts w:eastAsia="Calibri" w:cs="Times New Roman"/>
                <w:color w:val="000000"/>
                <w:spacing w:val="-2"/>
                <w:sz w:val="22"/>
                <w:szCs w:val="22"/>
              </w:rPr>
              <w:t>.</w:t>
            </w:r>
          </w:p>
          <w:p w14:paraId="4E56DFFC" w14:textId="0AC4D870" w:rsidR="00AF2E38" w:rsidRPr="00154E08" w:rsidRDefault="00AF2E38" w:rsidP="00B279FD">
            <w:pPr>
              <w:pStyle w:val="Akapitzlist"/>
              <w:numPr>
                <w:ilvl w:val="0"/>
                <w:numId w:val="25"/>
              </w:numPr>
              <w:spacing w:after="120" w:line="240" w:lineRule="auto"/>
              <w:contextualSpacing w:val="0"/>
              <w:jc w:val="both"/>
              <w:rPr>
                <w:rFonts w:ascii="Times New Roman" w:eastAsia="Calibri" w:hAnsi="Times New Roman"/>
                <w:b/>
                <w:bCs/>
                <w:color w:val="000000"/>
                <w:spacing w:val="-2"/>
                <w:sz w:val="22"/>
                <w:szCs w:val="22"/>
              </w:rPr>
            </w:pPr>
            <w:r w:rsidRPr="00154E08">
              <w:rPr>
                <w:rFonts w:ascii="Times New Roman" w:eastAsia="Calibri" w:hAnsi="Times New Roman"/>
                <w:b/>
                <w:bCs/>
                <w:color w:val="000000"/>
                <w:spacing w:val="-2"/>
                <w:sz w:val="22"/>
                <w:szCs w:val="22"/>
              </w:rPr>
              <w:t>Udział biopaliw I generacji</w:t>
            </w:r>
          </w:p>
          <w:p w14:paraId="0D954213" w14:textId="77D028B8" w:rsidR="006A07ED" w:rsidRPr="00154E08" w:rsidRDefault="006A07ED" w:rsidP="00B279FD">
            <w:pPr>
              <w:spacing w:after="120" w:line="240" w:lineRule="auto"/>
              <w:jc w:val="both"/>
              <w:rPr>
                <w:rFonts w:eastAsia="Calibri" w:cs="Times New Roman"/>
                <w:color w:val="000000"/>
                <w:spacing w:val="-2"/>
                <w:sz w:val="22"/>
                <w:szCs w:val="22"/>
              </w:rPr>
            </w:pPr>
            <w:r w:rsidRPr="00154E08">
              <w:rPr>
                <w:rFonts w:eastAsia="Calibri" w:cs="Times New Roman"/>
                <w:color w:val="000000"/>
                <w:spacing w:val="-2"/>
                <w:sz w:val="22"/>
                <w:szCs w:val="22"/>
              </w:rPr>
              <w:t>Zgodnie z art. 26 ust.</w:t>
            </w:r>
            <w:r w:rsidR="00E31B85" w:rsidRPr="00154E08">
              <w:rPr>
                <w:rFonts w:eastAsia="Calibri" w:cs="Times New Roman"/>
                <w:color w:val="000000"/>
                <w:spacing w:val="-2"/>
                <w:sz w:val="22"/>
                <w:szCs w:val="22"/>
              </w:rPr>
              <w:t xml:space="preserve"> </w:t>
            </w:r>
            <w:r w:rsidRPr="00154E08">
              <w:rPr>
                <w:rFonts w:eastAsia="Calibri" w:cs="Times New Roman"/>
                <w:color w:val="000000"/>
                <w:spacing w:val="-2"/>
                <w:sz w:val="22"/>
                <w:szCs w:val="22"/>
              </w:rPr>
              <w:t xml:space="preserve">1 </w:t>
            </w:r>
            <w:r w:rsidR="00E31B85" w:rsidRPr="00154E08">
              <w:rPr>
                <w:rFonts w:eastAsia="Calibri" w:cs="Times New Roman"/>
                <w:color w:val="000000"/>
                <w:spacing w:val="-2"/>
                <w:sz w:val="22"/>
                <w:szCs w:val="22"/>
              </w:rPr>
              <w:t xml:space="preserve">dyrektywy </w:t>
            </w:r>
            <w:r w:rsidR="00F14289" w:rsidRPr="00154E08">
              <w:rPr>
                <w:rFonts w:eastAsia="Calibri" w:cs="Times New Roman"/>
                <w:color w:val="000000"/>
                <w:spacing w:val="-2"/>
                <w:sz w:val="22"/>
                <w:szCs w:val="22"/>
              </w:rPr>
              <w:t xml:space="preserve">2018/2001 </w:t>
            </w:r>
            <w:r w:rsidRPr="00154E08">
              <w:rPr>
                <w:rFonts w:eastAsia="Calibri" w:cs="Times New Roman"/>
                <w:color w:val="000000"/>
                <w:spacing w:val="-2"/>
                <w:sz w:val="22"/>
                <w:szCs w:val="22"/>
              </w:rPr>
              <w:t>do obliczenia końcowego zużycia brutto energii ze</w:t>
            </w:r>
            <w:r w:rsidR="00AE5973" w:rsidRPr="00154E08">
              <w:rPr>
                <w:rFonts w:eastAsia="Calibri" w:cs="Times New Roman"/>
                <w:color w:val="000000"/>
                <w:spacing w:val="-2"/>
                <w:sz w:val="22"/>
                <w:szCs w:val="22"/>
              </w:rPr>
              <w:t> </w:t>
            </w:r>
            <w:r w:rsidRPr="00154E08">
              <w:rPr>
                <w:rFonts w:eastAsia="Calibri" w:cs="Times New Roman"/>
                <w:color w:val="000000"/>
                <w:spacing w:val="-2"/>
                <w:sz w:val="22"/>
                <w:szCs w:val="22"/>
              </w:rPr>
              <w:t>źródeł odnawialnych oraz minimalnego udziału energii odnawialnej w sektorze transportu</w:t>
            </w:r>
            <w:r w:rsidR="00684A87" w:rsidRPr="00154E08">
              <w:rPr>
                <w:rFonts w:eastAsia="Calibri" w:cs="Times New Roman"/>
                <w:color w:val="000000"/>
                <w:spacing w:val="-2"/>
                <w:sz w:val="22"/>
                <w:szCs w:val="22"/>
              </w:rPr>
              <w:t xml:space="preserve"> </w:t>
            </w:r>
            <w:r w:rsidRPr="00154E08">
              <w:rPr>
                <w:rFonts w:eastAsia="Calibri" w:cs="Times New Roman"/>
                <w:color w:val="000000"/>
                <w:spacing w:val="-2"/>
                <w:sz w:val="22"/>
                <w:szCs w:val="22"/>
              </w:rPr>
              <w:t>udział biopaliw i</w:t>
            </w:r>
            <w:r w:rsidR="00A851BF" w:rsidRPr="00154E08">
              <w:rPr>
                <w:rFonts w:eastAsia="Calibri" w:cs="Times New Roman"/>
                <w:color w:val="000000"/>
                <w:spacing w:val="-2"/>
                <w:sz w:val="22"/>
                <w:szCs w:val="22"/>
              </w:rPr>
              <w:t> </w:t>
            </w:r>
            <w:proofErr w:type="spellStart"/>
            <w:r w:rsidRPr="00154E08">
              <w:rPr>
                <w:rFonts w:eastAsia="Calibri" w:cs="Times New Roman"/>
                <w:color w:val="000000"/>
                <w:spacing w:val="-2"/>
                <w:sz w:val="22"/>
                <w:szCs w:val="22"/>
              </w:rPr>
              <w:t>biopłynów</w:t>
            </w:r>
            <w:proofErr w:type="spellEnd"/>
            <w:r w:rsidRPr="00154E08">
              <w:rPr>
                <w:rFonts w:eastAsia="Calibri" w:cs="Times New Roman"/>
                <w:color w:val="000000"/>
                <w:spacing w:val="-2"/>
                <w:sz w:val="22"/>
                <w:szCs w:val="22"/>
              </w:rPr>
              <w:t xml:space="preserve">, jak również </w:t>
            </w:r>
            <w:r w:rsidR="0035062B" w:rsidRPr="00154E08">
              <w:rPr>
                <w:rFonts w:eastAsia="Calibri" w:cs="Times New Roman"/>
                <w:color w:val="000000"/>
                <w:spacing w:val="-2"/>
                <w:sz w:val="22"/>
                <w:szCs w:val="22"/>
              </w:rPr>
              <w:t xml:space="preserve">paliw z biomasy </w:t>
            </w:r>
            <w:r w:rsidRPr="00154E08">
              <w:rPr>
                <w:rFonts w:eastAsia="Calibri" w:cs="Times New Roman"/>
                <w:color w:val="000000"/>
                <w:spacing w:val="-2"/>
                <w:sz w:val="22"/>
                <w:szCs w:val="22"/>
              </w:rPr>
              <w:t xml:space="preserve">zużytych w transporcie – </w:t>
            </w:r>
            <w:r w:rsidR="0054757A" w:rsidRPr="00154E08">
              <w:rPr>
                <w:rFonts w:eastAsia="Calibri" w:cs="Times New Roman"/>
                <w:color w:val="000000"/>
                <w:spacing w:val="-2"/>
                <w:sz w:val="22"/>
                <w:szCs w:val="22"/>
              </w:rPr>
              <w:t>jeżeli</w:t>
            </w:r>
            <w:r w:rsidRPr="00154E08">
              <w:rPr>
                <w:rFonts w:eastAsia="Calibri" w:cs="Times New Roman"/>
                <w:color w:val="000000"/>
                <w:spacing w:val="-2"/>
                <w:sz w:val="22"/>
                <w:szCs w:val="22"/>
              </w:rPr>
              <w:t xml:space="preserve"> s</w:t>
            </w:r>
            <w:r w:rsidR="00FC7437" w:rsidRPr="00154E08">
              <w:rPr>
                <w:rFonts w:eastAsia="Calibri" w:cs="Times New Roman"/>
                <w:color w:val="000000"/>
                <w:spacing w:val="-2"/>
                <w:sz w:val="22"/>
                <w:szCs w:val="22"/>
              </w:rPr>
              <w:t>ą</w:t>
            </w:r>
            <w:r w:rsidRPr="00154E08">
              <w:rPr>
                <w:rFonts w:eastAsia="Calibri" w:cs="Times New Roman"/>
                <w:color w:val="000000"/>
                <w:spacing w:val="-2"/>
                <w:sz w:val="22"/>
                <w:szCs w:val="22"/>
              </w:rPr>
              <w:t xml:space="preserve"> one produkowane z roślin spożywczych i</w:t>
            </w:r>
            <w:r w:rsidR="00837D94" w:rsidRPr="00154E08">
              <w:rPr>
                <w:rFonts w:eastAsia="Calibri" w:cs="Times New Roman"/>
                <w:color w:val="000000"/>
                <w:spacing w:val="-2"/>
                <w:sz w:val="22"/>
                <w:szCs w:val="22"/>
              </w:rPr>
              <w:t> </w:t>
            </w:r>
            <w:r w:rsidRPr="00154E08">
              <w:rPr>
                <w:rFonts w:eastAsia="Calibri" w:cs="Times New Roman"/>
                <w:color w:val="000000"/>
                <w:spacing w:val="-2"/>
                <w:sz w:val="22"/>
                <w:szCs w:val="22"/>
              </w:rPr>
              <w:t>pastewnych</w:t>
            </w:r>
            <w:r w:rsidR="0093327A" w:rsidRPr="00154E08">
              <w:rPr>
                <w:rFonts w:eastAsia="Calibri" w:cs="Times New Roman"/>
                <w:color w:val="000000"/>
                <w:spacing w:val="-2"/>
                <w:sz w:val="22"/>
                <w:szCs w:val="22"/>
              </w:rPr>
              <w:t xml:space="preserve">, </w:t>
            </w:r>
            <w:r w:rsidRPr="00154E08">
              <w:rPr>
                <w:rFonts w:eastAsia="Calibri" w:cs="Times New Roman"/>
                <w:color w:val="000000"/>
                <w:spacing w:val="-2"/>
                <w:sz w:val="22"/>
                <w:szCs w:val="22"/>
              </w:rPr>
              <w:t>nie może przekroczyć o więcej niż 1</w:t>
            </w:r>
            <w:r w:rsidR="008D2FC7" w:rsidRPr="00154E08">
              <w:rPr>
                <w:rFonts w:eastAsia="Calibri" w:cs="Times New Roman"/>
                <w:color w:val="000000"/>
                <w:spacing w:val="-2"/>
                <w:sz w:val="22"/>
                <w:szCs w:val="22"/>
              </w:rPr>
              <w:t>%</w:t>
            </w:r>
            <w:r w:rsidR="00517916" w:rsidRPr="00154E08">
              <w:rPr>
                <w:rFonts w:eastAsia="Calibri" w:cs="Times New Roman"/>
                <w:color w:val="000000"/>
                <w:spacing w:val="-2"/>
                <w:sz w:val="22"/>
                <w:szCs w:val="22"/>
              </w:rPr>
              <w:t> [</w:t>
            </w:r>
            <w:proofErr w:type="spellStart"/>
            <w:r w:rsidR="00517916" w:rsidRPr="00154E08">
              <w:rPr>
                <w:rFonts w:eastAsia="Calibri" w:cs="Times New Roman"/>
                <w:color w:val="000000"/>
                <w:spacing w:val="-2"/>
                <w:sz w:val="22"/>
                <w:szCs w:val="22"/>
              </w:rPr>
              <w:t>p.p</w:t>
            </w:r>
            <w:proofErr w:type="spellEnd"/>
            <w:r w:rsidR="00517916"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udziału takich paliw w końcowym zużyciu energii w sektorach transportu drogowego i kolejowego </w:t>
            </w:r>
            <w:r w:rsidR="004A19A0" w:rsidRPr="00154E08">
              <w:rPr>
                <w:rFonts w:eastAsia="Calibri" w:cs="Times New Roman"/>
                <w:color w:val="000000"/>
                <w:spacing w:val="-2"/>
                <w:sz w:val="22"/>
                <w:szCs w:val="22"/>
              </w:rPr>
              <w:t xml:space="preserve">osiągniętego </w:t>
            </w:r>
            <w:r w:rsidRPr="00154E08">
              <w:rPr>
                <w:rFonts w:eastAsia="Calibri" w:cs="Times New Roman"/>
                <w:color w:val="000000"/>
                <w:spacing w:val="-2"/>
                <w:sz w:val="22"/>
                <w:szCs w:val="22"/>
              </w:rPr>
              <w:t>w 2020</w:t>
            </w:r>
            <w:r w:rsidR="0093327A" w:rsidRPr="00154E08">
              <w:rPr>
                <w:rFonts w:eastAsia="Calibri" w:cs="Times New Roman"/>
                <w:color w:val="000000"/>
                <w:spacing w:val="-2"/>
                <w:sz w:val="22"/>
                <w:szCs w:val="22"/>
              </w:rPr>
              <w:t xml:space="preserve"> r</w:t>
            </w:r>
            <w:r w:rsidR="00131D33" w:rsidRPr="00154E08">
              <w:rPr>
                <w:rFonts w:eastAsia="Calibri" w:cs="Times New Roman"/>
                <w:color w:val="000000"/>
                <w:spacing w:val="-2"/>
                <w:sz w:val="22"/>
                <w:szCs w:val="22"/>
              </w:rPr>
              <w:t>.</w:t>
            </w:r>
          </w:p>
          <w:p w14:paraId="3B8A608D" w14:textId="7F9790D9" w:rsidR="00AB5C34" w:rsidRPr="00154E08" w:rsidRDefault="000F4A03" w:rsidP="00B279FD">
            <w:pPr>
              <w:spacing w:after="120" w:line="240" w:lineRule="auto"/>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Biorąc pod uwagę </w:t>
            </w:r>
            <w:r w:rsidR="0055576C" w:rsidRPr="00154E08">
              <w:rPr>
                <w:rFonts w:eastAsia="Calibri" w:cs="Times New Roman"/>
                <w:color w:val="000000"/>
                <w:spacing w:val="-2"/>
                <w:sz w:val="22"/>
                <w:szCs w:val="22"/>
              </w:rPr>
              <w:t xml:space="preserve">powyższe </w:t>
            </w:r>
            <w:r w:rsidRPr="00154E08">
              <w:rPr>
                <w:rFonts w:eastAsia="Calibri" w:cs="Times New Roman"/>
                <w:color w:val="000000"/>
                <w:spacing w:val="-2"/>
                <w:sz w:val="22"/>
                <w:szCs w:val="22"/>
              </w:rPr>
              <w:t xml:space="preserve">ograniczenia, </w:t>
            </w:r>
            <w:r w:rsidR="0055576C" w:rsidRPr="00154E08">
              <w:rPr>
                <w:rFonts w:eastAsia="Calibri" w:cs="Times New Roman"/>
                <w:color w:val="000000"/>
                <w:spacing w:val="-2"/>
                <w:sz w:val="22"/>
                <w:szCs w:val="22"/>
              </w:rPr>
              <w:t xml:space="preserve">proponuje się </w:t>
            </w:r>
            <w:r w:rsidR="00FC7437" w:rsidRPr="00154E08">
              <w:rPr>
                <w:rFonts w:eastAsia="Calibri" w:cs="Times New Roman"/>
                <w:color w:val="000000"/>
                <w:spacing w:val="-2"/>
                <w:sz w:val="22"/>
                <w:szCs w:val="22"/>
              </w:rPr>
              <w:t xml:space="preserve">wprowadzenie </w:t>
            </w:r>
            <w:r w:rsidR="0055576C" w:rsidRPr="00154E08">
              <w:rPr>
                <w:rFonts w:eastAsia="Calibri" w:cs="Times New Roman"/>
                <w:color w:val="000000"/>
                <w:spacing w:val="-2"/>
                <w:sz w:val="22"/>
                <w:szCs w:val="22"/>
              </w:rPr>
              <w:t>limitu s</w:t>
            </w:r>
            <w:r w:rsidR="00BB0250" w:rsidRPr="00154E08">
              <w:rPr>
                <w:rFonts w:eastAsia="Calibri" w:cs="Times New Roman"/>
                <w:color w:val="000000"/>
                <w:spacing w:val="-2"/>
                <w:sz w:val="22"/>
                <w:szCs w:val="22"/>
              </w:rPr>
              <w:t xml:space="preserve">tosowania biopaliw I generacji w rozliczeniu NCW na poziomie </w:t>
            </w:r>
            <w:r w:rsidR="007068E1" w:rsidRPr="00154E08">
              <w:rPr>
                <w:rFonts w:eastAsia="Calibri" w:cs="Times New Roman"/>
                <w:color w:val="000000"/>
                <w:spacing w:val="-2"/>
                <w:sz w:val="22"/>
                <w:szCs w:val="22"/>
              </w:rPr>
              <w:t>6,1</w:t>
            </w:r>
            <w:r w:rsidR="00BB0250" w:rsidRPr="00154E08">
              <w:rPr>
                <w:rFonts w:eastAsia="Calibri" w:cs="Times New Roman"/>
                <w:color w:val="000000"/>
                <w:spacing w:val="-2"/>
                <w:sz w:val="22"/>
                <w:szCs w:val="22"/>
              </w:rPr>
              <w:t>%</w:t>
            </w:r>
            <w:r w:rsidR="00131D33" w:rsidRPr="00154E08">
              <w:rPr>
                <w:rFonts w:eastAsia="Calibri" w:cs="Times New Roman"/>
                <w:color w:val="000000"/>
                <w:spacing w:val="-2"/>
                <w:sz w:val="22"/>
                <w:szCs w:val="22"/>
              </w:rPr>
              <w:t xml:space="preserve"> </w:t>
            </w:r>
            <w:r w:rsidR="004A19A0" w:rsidRPr="00154E08">
              <w:rPr>
                <w:rFonts w:eastAsia="Calibri" w:cs="Times New Roman"/>
                <w:color w:val="000000"/>
                <w:spacing w:val="-2"/>
                <w:sz w:val="22"/>
                <w:szCs w:val="22"/>
              </w:rPr>
              <w:t xml:space="preserve">ich udziału w </w:t>
            </w:r>
            <w:r w:rsidR="00BB0250" w:rsidRPr="00154E08">
              <w:rPr>
                <w:rFonts w:eastAsia="Calibri" w:cs="Times New Roman"/>
                <w:color w:val="000000"/>
                <w:spacing w:val="-2"/>
                <w:sz w:val="22"/>
                <w:szCs w:val="22"/>
              </w:rPr>
              <w:t>paliw</w:t>
            </w:r>
            <w:r w:rsidR="004A19A0" w:rsidRPr="00154E08">
              <w:rPr>
                <w:rFonts w:eastAsia="Calibri" w:cs="Times New Roman"/>
                <w:color w:val="000000"/>
                <w:spacing w:val="-2"/>
                <w:sz w:val="22"/>
                <w:szCs w:val="22"/>
              </w:rPr>
              <w:t>ach</w:t>
            </w:r>
            <w:r w:rsidR="00BB0250" w:rsidRPr="00154E08">
              <w:rPr>
                <w:rFonts w:eastAsia="Calibri" w:cs="Times New Roman"/>
                <w:color w:val="000000"/>
                <w:spacing w:val="-2"/>
                <w:sz w:val="22"/>
                <w:szCs w:val="22"/>
              </w:rPr>
              <w:t xml:space="preserve"> </w:t>
            </w:r>
            <w:r w:rsidR="005325E2" w:rsidRPr="00154E08">
              <w:rPr>
                <w:rFonts w:eastAsia="Calibri" w:cs="Times New Roman"/>
                <w:color w:val="000000"/>
                <w:spacing w:val="-2"/>
                <w:sz w:val="22"/>
                <w:szCs w:val="22"/>
              </w:rPr>
              <w:t>ciekłych lub biopaliw</w:t>
            </w:r>
            <w:r w:rsidR="004A19A0" w:rsidRPr="00154E08">
              <w:rPr>
                <w:rFonts w:eastAsia="Calibri" w:cs="Times New Roman"/>
                <w:color w:val="000000"/>
                <w:spacing w:val="-2"/>
                <w:sz w:val="22"/>
                <w:szCs w:val="22"/>
              </w:rPr>
              <w:t>ach</w:t>
            </w:r>
            <w:r w:rsidR="005325E2" w:rsidRPr="00154E08">
              <w:rPr>
                <w:rFonts w:eastAsia="Calibri" w:cs="Times New Roman"/>
                <w:color w:val="000000"/>
                <w:spacing w:val="-2"/>
                <w:sz w:val="22"/>
                <w:szCs w:val="22"/>
              </w:rPr>
              <w:t xml:space="preserve"> ciekłych wprowadzonych </w:t>
            </w:r>
            <w:r w:rsidR="0055576C" w:rsidRPr="00154E08">
              <w:rPr>
                <w:rFonts w:eastAsia="Calibri" w:cs="Times New Roman"/>
                <w:color w:val="000000"/>
                <w:spacing w:val="-2"/>
                <w:sz w:val="22"/>
                <w:szCs w:val="22"/>
              </w:rPr>
              <w:t>na rynek przez poszczególne podmioty zobowiązane do realizacji NCW (</w:t>
            </w:r>
            <w:r w:rsidR="0093327A" w:rsidRPr="00154E08">
              <w:rPr>
                <w:rFonts w:eastAsia="Calibri" w:cs="Times New Roman"/>
                <w:color w:val="000000"/>
                <w:spacing w:val="-2"/>
                <w:sz w:val="22"/>
                <w:szCs w:val="22"/>
              </w:rPr>
              <w:t>liczone wg</w:t>
            </w:r>
            <w:r w:rsidR="0055576C" w:rsidRPr="00154E08">
              <w:rPr>
                <w:rFonts w:eastAsia="Calibri" w:cs="Times New Roman"/>
                <w:color w:val="000000"/>
                <w:spacing w:val="-2"/>
                <w:sz w:val="22"/>
                <w:szCs w:val="22"/>
              </w:rPr>
              <w:t xml:space="preserve"> wartości energetyczn</w:t>
            </w:r>
            <w:r w:rsidR="0093327A" w:rsidRPr="00154E08">
              <w:rPr>
                <w:rFonts w:eastAsia="Calibri" w:cs="Times New Roman"/>
                <w:color w:val="000000"/>
                <w:spacing w:val="-2"/>
                <w:sz w:val="22"/>
                <w:szCs w:val="22"/>
              </w:rPr>
              <w:t>ej</w:t>
            </w:r>
            <w:r w:rsidR="0055576C" w:rsidRPr="00154E08">
              <w:rPr>
                <w:rFonts w:eastAsia="Calibri" w:cs="Times New Roman"/>
                <w:color w:val="000000"/>
                <w:spacing w:val="-2"/>
                <w:sz w:val="22"/>
                <w:szCs w:val="22"/>
              </w:rPr>
              <w:t>)</w:t>
            </w:r>
            <w:r w:rsidR="00BB0250" w:rsidRPr="00154E08">
              <w:rPr>
                <w:rFonts w:eastAsia="Calibri" w:cs="Times New Roman"/>
                <w:color w:val="000000"/>
                <w:spacing w:val="-2"/>
                <w:sz w:val="22"/>
                <w:szCs w:val="22"/>
              </w:rPr>
              <w:t xml:space="preserve">. </w:t>
            </w:r>
          </w:p>
          <w:p w14:paraId="38D12C20" w14:textId="23E4A4B5" w:rsidR="00900F98" w:rsidRPr="00154E08" w:rsidRDefault="00303725" w:rsidP="00B279FD">
            <w:pPr>
              <w:spacing w:after="120" w:line="240" w:lineRule="auto"/>
              <w:jc w:val="both"/>
              <w:rPr>
                <w:rFonts w:eastAsia="Calibri" w:cs="Times New Roman"/>
                <w:color w:val="000000"/>
                <w:spacing w:val="-2"/>
                <w:sz w:val="22"/>
                <w:szCs w:val="22"/>
              </w:rPr>
            </w:pPr>
            <w:r w:rsidRPr="00154E08">
              <w:rPr>
                <w:rFonts w:eastAsia="Calibri" w:cs="Times New Roman"/>
                <w:color w:val="000000"/>
                <w:spacing w:val="-2"/>
                <w:sz w:val="22"/>
                <w:szCs w:val="22"/>
              </w:rPr>
              <w:t>P</w:t>
            </w:r>
            <w:r w:rsidR="0055576C" w:rsidRPr="00154E08">
              <w:rPr>
                <w:rFonts w:eastAsia="Calibri" w:cs="Times New Roman"/>
                <w:color w:val="000000"/>
                <w:spacing w:val="-2"/>
                <w:sz w:val="22"/>
                <w:szCs w:val="22"/>
              </w:rPr>
              <w:t>roponowany</w:t>
            </w:r>
            <w:r w:rsidR="00AB5C34" w:rsidRPr="00154E08">
              <w:rPr>
                <w:rFonts w:eastAsia="Calibri" w:cs="Times New Roman"/>
                <w:color w:val="000000"/>
                <w:spacing w:val="-2"/>
                <w:sz w:val="22"/>
                <w:szCs w:val="22"/>
              </w:rPr>
              <w:t xml:space="preserve"> </w:t>
            </w:r>
            <w:r w:rsidR="00BB0250" w:rsidRPr="00154E08">
              <w:rPr>
                <w:rFonts w:eastAsia="Calibri" w:cs="Times New Roman"/>
                <w:color w:val="000000"/>
                <w:spacing w:val="-2"/>
                <w:sz w:val="22"/>
                <w:szCs w:val="22"/>
              </w:rPr>
              <w:t xml:space="preserve">udział </w:t>
            </w:r>
            <w:r w:rsidR="0055576C" w:rsidRPr="00154E08">
              <w:rPr>
                <w:rFonts w:eastAsia="Calibri" w:cs="Times New Roman"/>
                <w:color w:val="000000"/>
                <w:spacing w:val="-2"/>
                <w:sz w:val="22"/>
                <w:szCs w:val="22"/>
              </w:rPr>
              <w:t xml:space="preserve">biopaliw I generacji w rozliczeniu NCW </w:t>
            </w:r>
            <w:r w:rsidR="00AB5C34" w:rsidRPr="00154E08">
              <w:rPr>
                <w:rFonts w:eastAsia="Calibri" w:cs="Times New Roman"/>
                <w:color w:val="000000"/>
                <w:spacing w:val="-2"/>
                <w:sz w:val="22"/>
                <w:szCs w:val="22"/>
              </w:rPr>
              <w:t>przez zobowiązane podmioty za</w:t>
            </w:r>
            <w:r w:rsidR="0093327A" w:rsidRPr="00154E08">
              <w:rPr>
                <w:rFonts w:eastAsia="Calibri" w:cs="Times New Roman"/>
                <w:color w:val="000000"/>
                <w:spacing w:val="-2"/>
                <w:sz w:val="22"/>
                <w:szCs w:val="22"/>
              </w:rPr>
              <w:t> </w:t>
            </w:r>
            <w:r w:rsidR="00AB5C34" w:rsidRPr="00154E08">
              <w:rPr>
                <w:rFonts w:eastAsia="Calibri" w:cs="Times New Roman"/>
                <w:color w:val="000000"/>
                <w:spacing w:val="-2"/>
                <w:sz w:val="22"/>
                <w:szCs w:val="22"/>
              </w:rPr>
              <w:t xml:space="preserve">pomocą biopaliw I generacji </w:t>
            </w:r>
            <w:r w:rsidR="00BB0250" w:rsidRPr="00154E08">
              <w:rPr>
                <w:rFonts w:eastAsia="Calibri" w:cs="Times New Roman"/>
                <w:color w:val="000000"/>
                <w:spacing w:val="-2"/>
                <w:sz w:val="22"/>
                <w:szCs w:val="22"/>
              </w:rPr>
              <w:t xml:space="preserve">odpowiada realizacji </w:t>
            </w:r>
            <w:r w:rsidR="009948A4" w:rsidRPr="00154E08">
              <w:rPr>
                <w:rFonts w:eastAsia="Calibri" w:cs="Times New Roman"/>
                <w:color w:val="000000"/>
                <w:spacing w:val="-2"/>
                <w:sz w:val="22"/>
                <w:szCs w:val="22"/>
              </w:rPr>
              <w:t xml:space="preserve">celu </w:t>
            </w:r>
            <w:r w:rsidR="007573B1" w:rsidRPr="00154E08">
              <w:rPr>
                <w:rFonts w:eastAsia="Calibri" w:cs="Times New Roman"/>
                <w:color w:val="000000"/>
                <w:spacing w:val="-2"/>
                <w:sz w:val="22"/>
                <w:szCs w:val="22"/>
              </w:rPr>
              <w:t xml:space="preserve">RES-T przez Polskę </w:t>
            </w:r>
            <w:r w:rsidR="00FC7437" w:rsidRPr="00154E08">
              <w:rPr>
                <w:rFonts w:eastAsia="Calibri" w:cs="Times New Roman"/>
                <w:color w:val="000000"/>
                <w:spacing w:val="-2"/>
                <w:sz w:val="22"/>
                <w:szCs w:val="22"/>
              </w:rPr>
              <w:t>w 2020 r.</w:t>
            </w:r>
            <w:r w:rsidR="006947A8" w:rsidRPr="00154E08">
              <w:rPr>
                <w:rFonts w:eastAsia="Calibri" w:cs="Times New Roman"/>
                <w:color w:val="000000"/>
                <w:spacing w:val="-2"/>
                <w:sz w:val="22"/>
                <w:szCs w:val="22"/>
              </w:rPr>
              <w:t xml:space="preserve"> wg</w:t>
            </w:r>
            <w:r w:rsidR="008D2FC7" w:rsidRPr="00154E08">
              <w:rPr>
                <w:rFonts w:eastAsia="Calibri" w:cs="Times New Roman"/>
                <w:color w:val="000000"/>
                <w:spacing w:val="-2"/>
                <w:sz w:val="22"/>
                <w:szCs w:val="22"/>
              </w:rPr>
              <w:t> </w:t>
            </w:r>
            <w:r w:rsidR="006947A8" w:rsidRPr="00154E08">
              <w:rPr>
                <w:rFonts w:eastAsia="Calibri" w:cs="Times New Roman"/>
                <w:color w:val="000000"/>
                <w:spacing w:val="-2"/>
                <w:sz w:val="22"/>
                <w:szCs w:val="22"/>
              </w:rPr>
              <w:t>sprawozdania</w:t>
            </w:r>
            <w:r w:rsidR="007573B1" w:rsidRPr="00154E08">
              <w:rPr>
                <w:rFonts w:eastAsia="Calibri" w:cs="Times New Roman"/>
                <w:color w:val="000000"/>
                <w:spacing w:val="-2"/>
                <w:sz w:val="22"/>
                <w:szCs w:val="22"/>
              </w:rPr>
              <w:t xml:space="preserve"> </w:t>
            </w:r>
            <w:r w:rsidR="006947A8" w:rsidRPr="00154E08">
              <w:rPr>
                <w:rFonts w:eastAsia="Calibri" w:cs="Times New Roman"/>
                <w:color w:val="000000"/>
                <w:spacing w:val="-2"/>
                <w:sz w:val="22"/>
                <w:szCs w:val="22"/>
              </w:rPr>
              <w:t>SHARES</w:t>
            </w:r>
            <w:r w:rsidR="005D7ECB" w:rsidRPr="00154E08">
              <w:rPr>
                <w:rFonts w:eastAsia="Calibri" w:cs="Times New Roman"/>
                <w:color w:val="000000"/>
                <w:spacing w:val="-2"/>
                <w:sz w:val="22"/>
                <w:szCs w:val="22"/>
              </w:rPr>
              <w:t>-EU</w:t>
            </w:r>
            <w:r w:rsidR="00BB0250" w:rsidRPr="00154E08">
              <w:rPr>
                <w:rFonts w:eastAsia="Calibri" w:cs="Times New Roman"/>
                <w:color w:val="000000"/>
                <w:spacing w:val="-2"/>
                <w:sz w:val="22"/>
                <w:szCs w:val="22"/>
              </w:rPr>
              <w:t xml:space="preserve"> oraz powiększone</w:t>
            </w:r>
            <w:r w:rsidR="00987269" w:rsidRPr="00154E08">
              <w:rPr>
                <w:rFonts w:eastAsia="Calibri" w:cs="Times New Roman"/>
                <w:color w:val="000000"/>
                <w:spacing w:val="-2"/>
                <w:sz w:val="22"/>
                <w:szCs w:val="22"/>
              </w:rPr>
              <w:t>mu</w:t>
            </w:r>
            <w:r w:rsidR="008D2FC7" w:rsidRPr="00154E08">
              <w:rPr>
                <w:rFonts w:eastAsia="Calibri" w:cs="Times New Roman"/>
                <w:color w:val="000000"/>
                <w:spacing w:val="-2"/>
                <w:sz w:val="22"/>
                <w:szCs w:val="22"/>
              </w:rPr>
              <w:t xml:space="preserve"> </w:t>
            </w:r>
            <w:r w:rsidR="00BB0250" w:rsidRPr="00154E08">
              <w:rPr>
                <w:rFonts w:cs="Times New Roman"/>
                <w:sz w:val="22"/>
                <w:szCs w:val="22"/>
              </w:rPr>
              <w:t>o</w:t>
            </w:r>
            <w:r w:rsidR="0093327A" w:rsidRPr="00154E08">
              <w:rPr>
                <w:rFonts w:cs="Times New Roman"/>
                <w:sz w:val="22"/>
                <w:szCs w:val="22"/>
              </w:rPr>
              <w:t> </w:t>
            </w:r>
            <w:r w:rsidR="00BB0250" w:rsidRPr="00154E08">
              <w:rPr>
                <w:rFonts w:cs="Times New Roman"/>
                <w:sz w:val="22"/>
                <w:szCs w:val="22"/>
              </w:rPr>
              <w:t>1</w:t>
            </w:r>
            <w:r w:rsidR="00BB0250" w:rsidRPr="00154E08">
              <w:rPr>
                <w:rFonts w:eastAsia="Calibri" w:cs="Times New Roman"/>
                <w:color w:val="000000"/>
                <w:spacing w:val="-2"/>
                <w:sz w:val="22"/>
                <w:szCs w:val="22"/>
              </w:rPr>
              <w:t>%</w:t>
            </w:r>
            <w:r w:rsidR="00AB5C34" w:rsidRPr="00154E08">
              <w:rPr>
                <w:rFonts w:eastAsia="Calibri" w:cs="Times New Roman"/>
                <w:color w:val="000000"/>
                <w:spacing w:val="-2"/>
                <w:sz w:val="22"/>
                <w:szCs w:val="22"/>
              </w:rPr>
              <w:t xml:space="preserve"> </w:t>
            </w:r>
            <w:r w:rsidR="005D7ECB" w:rsidRPr="00154E08">
              <w:rPr>
                <w:rFonts w:eastAsia="Calibri" w:cs="Times New Roman"/>
                <w:color w:val="000000"/>
                <w:spacing w:val="-2"/>
                <w:sz w:val="22"/>
                <w:szCs w:val="22"/>
              </w:rPr>
              <w:t>[</w:t>
            </w:r>
            <w:proofErr w:type="spellStart"/>
            <w:r w:rsidR="00AB5C34" w:rsidRPr="00154E08">
              <w:rPr>
                <w:rFonts w:eastAsia="Calibri" w:cs="Times New Roman"/>
                <w:color w:val="000000"/>
                <w:spacing w:val="-2"/>
                <w:sz w:val="22"/>
                <w:szCs w:val="22"/>
              </w:rPr>
              <w:t>p.p</w:t>
            </w:r>
            <w:proofErr w:type="spellEnd"/>
            <w:r w:rsidR="00AB5C34" w:rsidRPr="00154E08">
              <w:rPr>
                <w:rFonts w:eastAsia="Calibri" w:cs="Times New Roman"/>
                <w:color w:val="000000"/>
                <w:spacing w:val="-2"/>
                <w:sz w:val="22"/>
                <w:szCs w:val="22"/>
              </w:rPr>
              <w:t>.</w:t>
            </w:r>
            <w:r w:rsidR="005D7ECB" w:rsidRPr="00154E08">
              <w:rPr>
                <w:rFonts w:eastAsia="Calibri" w:cs="Times New Roman"/>
                <w:color w:val="000000"/>
                <w:spacing w:val="-2"/>
                <w:sz w:val="22"/>
                <w:szCs w:val="22"/>
              </w:rPr>
              <w:t>]</w:t>
            </w:r>
            <w:r w:rsidR="009E5C09" w:rsidRPr="00154E08">
              <w:rPr>
                <w:rFonts w:eastAsia="Calibri" w:cs="Times New Roman"/>
                <w:color w:val="000000"/>
                <w:spacing w:val="-2"/>
                <w:sz w:val="22"/>
                <w:szCs w:val="22"/>
              </w:rPr>
              <w:t xml:space="preserve"> i wynosi 6,1%</w:t>
            </w:r>
            <w:r w:rsidR="00BB0250" w:rsidRPr="00154E08">
              <w:rPr>
                <w:rFonts w:eastAsia="Calibri" w:cs="Times New Roman"/>
                <w:color w:val="000000"/>
                <w:spacing w:val="-2"/>
                <w:sz w:val="22"/>
                <w:szCs w:val="22"/>
              </w:rPr>
              <w:t>.</w:t>
            </w:r>
            <w:r w:rsidR="00283FCE" w:rsidRPr="00154E08">
              <w:rPr>
                <w:rFonts w:eastAsia="Calibri" w:cs="Times New Roman"/>
                <w:color w:val="000000"/>
                <w:spacing w:val="-2"/>
                <w:sz w:val="22"/>
                <w:szCs w:val="22"/>
              </w:rPr>
              <w:t xml:space="preserve"> </w:t>
            </w:r>
          </w:p>
          <w:p w14:paraId="13C06F72" w14:textId="4472246D" w:rsidR="00CF3BDD" w:rsidRPr="00154E08" w:rsidRDefault="002A5210" w:rsidP="00B279FD">
            <w:pPr>
              <w:spacing w:after="120" w:line="240" w:lineRule="auto"/>
              <w:jc w:val="both"/>
              <w:rPr>
                <w:rFonts w:eastAsia="Calibri" w:cs="Times New Roman"/>
                <w:color w:val="000000"/>
                <w:sz w:val="22"/>
                <w:szCs w:val="22"/>
              </w:rPr>
            </w:pPr>
            <w:r w:rsidRPr="00154E08">
              <w:rPr>
                <w:rFonts w:eastAsia="Calibri" w:cs="Times New Roman"/>
                <w:color w:val="000000"/>
                <w:spacing w:val="-2"/>
                <w:sz w:val="22"/>
                <w:szCs w:val="22"/>
              </w:rPr>
              <w:t xml:space="preserve">Realizacja NCW za pomocą biopaliw I generacji na </w:t>
            </w:r>
            <w:r w:rsidR="009E5C09" w:rsidRPr="00154E08">
              <w:rPr>
                <w:rFonts w:eastAsia="Calibri" w:cs="Times New Roman"/>
                <w:color w:val="000000"/>
                <w:spacing w:val="-2"/>
                <w:sz w:val="22"/>
                <w:szCs w:val="22"/>
              </w:rPr>
              <w:t>wyznaczonym</w:t>
            </w:r>
            <w:r w:rsidRPr="00154E08">
              <w:rPr>
                <w:rFonts w:eastAsia="Calibri" w:cs="Times New Roman"/>
                <w:color w:val="000000"/>
                <w:spacing w:val="-2"/>
                <w:sz w:val="22"/>
                <w:szCs w:val="22"/>
              </w:rPr>
              <w:t xml:space="preserve"> poziomie </w:t>
            </w:r>
            <w:r w:rsidR="0070179A" w:rsidRPr="00154E08">
              <w:rPr>
                <w:rFonts w:eastAsia="Calibri" w:cs="Times New Roman"/>
                <w:color w:val="000000"/>
                <w:spacing w:val="-2"/>
                <w:sz w:val="22"/>
                <w:szCs w:val="22"/>
              </w:rPr>
              <w:t xml:space="preserve">przy </w:t>
            </w:r>
            <w:r w:rsidR="00864E66" w:rsidRPr="00154E08">
              <w:rPr>
                <w:rFonts w:eastAsia="Calibri" w:cs="Times New Roman"/>
                <w:color w:val="000000"/>
                <w:spacing w:val="-2"/>
                <w:sz w:val="22"/>
                <w:szCs w:val="22"/>
              </w:rPr>
              <w:t xml:space="preserve">wciąż </w:t>
            </w:r>
            <w:r w:rsidR="0070179A" w:rsidRPr="00154E08">
              <w:rPr>
                <w:rFonts w:eastAsia="Calibri" w:cs="Times New Roman"/>
                <w:color w:val="000000"/>
                <w:spacing w:val="-2"/>
                <w:sz w:val="22"/>
                <w:szCs w:val="22"/>
              </w:rPr>
              <w:t xml:space="preserve">rosnącym popycie </w:t>
            </w:r>
            <w:r w:rsidR="00B31554" w:rsidRPr="00154E08">
              <w:rPr>
                <w:rFonts w:eastAsia="Calibri" w:cs="Times New Roman"/>
                <w:color w:val="000000"/>
                <w:spacing w:val="-2"/>
                <w:sz w:val="22"/>
                <w:szCs w:val="22"/>
              </w:rPr>
              <w:t xml:space="preserve">na </w:t>
            </w:r>
            <w:r w:rsidR="0070179A" w:rsidRPr="00154E08">
              <w:rPr>
                <w:rFonts w:eastAsia="Calibri" w:cs="Times New Roman"/>
                <w:color w:val="000000"/>
                <w:spacing w:val="-2"/>
                <w:sz w:val="22"/>
                <w:szCs w:val="22"/>
              </w:rPr>
              <w:t>paliw</w:t>
            </w:r>
            <w:r w:rsidR="00B31554" w:rsidRPr="00154E08">
              <w:rPr>
                <w:rFonts w:eastAsia="Calibri" w:cs="Times New Roman"/>
                <w:color w:val="000000"/>
                <w:spacing w:val="-2"/>
                <w:sz w:val="22"/>
                <w:szCs w:val="22"/>
              </w:rPr>
              <w:t>a</w:t>
            </w:r>
            <w:r w:rsidR="00AF2E38" w:rsidRPr="00154E08">
              <w:rPr>
                <w:rFonts w:eastAsia="Calibri" w:cs="Times New Roman"/>
                <w:color w:val="000000"/>
                <w:spacing w:val="-2"/>
                <w:sz w:val="22"/>
                <w:szCs w:val="22"/>
              </w:rPr>
              <w:t xml:space="preserve"> </w:t>
            </w:r>
            <w:r w:rsidR="00864E66" w:rsidRPr="00154E08">
              <w:rPr>
                <w:rFonts w:eastAsia="Calibri" w:cs="Times New Roman"/>
                <w:color w:val="000000"/>
                <w:spacing w:val="-2"/>
                <w:sz w:val="22"/>
                <w:szCs w:val="22"/>
              </w:rPr>
              <w:t xml:space="preserve">ciekłe </w:t>
            </w:r>
            <w:r w:rsidR="00AF2E38" w:rsidRPr="00154E08">
              <w:rPr>
                <w:rFonts w:eastAsia="Calibri" w:cs="Times New Roman"/>
                <w:color w:val="000000"/>
                <w:spacing w:val="-2"/>
                <w:sz w:val="22"/>
                <w:szCs w:val="22"/>
              </w:rPr>
              <w:t>oznacz</w:t>
            </w:r>
            <w:r w:rsidR="00C25519" w:rsidRPr="00154E08">
              <w:rPr>
                <w:rFonts w:eastAsia="Calibri" w:cs="Times New Roman"/>
                <w:color w:val="000000"/>
                <w:spacing w:val="-2"/>
                <w:sz w:val="22"/>
                <w:szCs w:val="22"/>
              </w:rPr>
              <w:t>a</w:t>
            </w:r>
            <w:r w:rsidR="00AF2E38" w:rsidRPr="00154E08">
              <w:rPr>
                <w:rFonts w:eastAsia="Calibri" w:cs="Times New Roman"/>
                <w:color w:val="000000"/>
                <w:spacing w:val="-2"/>
                <w:sz w:val="22"/>
                <w:szCs w:val="22"/>
              </w:rPr>
              <w:t xml:space="preserve"> w praktyce utrzymanie </w:t>
            </w:r>
            <w:r w:rsidR="00046A02" w:rsidRPr="00154E08">
              <w:rPr>
                <w:rFonts w:eastAsia="Calibri" w:cs="Times New Roman"/>
                <w:color w:val="000000"/>
                <w:spacing w:val="-2"/>
                <w:sz w:val="22"/>
                <w:szCs w:val="22"/>
              </w:rPr>
              <w:t xml:space="preserve">wysokiego </w:t>
            </w:r>
            <w:r w:rsidR="00AF2E38" w:rsidRPr="00154E08">
              <w:rPr>
                <w:rFonts w:eastAsia="Calibri" w:cs="Times New Roman"/>
                <w:color w:val="000000"/>
                <w:spacing w:val="-2"/>
                <w:sz w:val="22"/>
                <w:szCs w:val="22"/>
              </w:rPr>
              <w:t>zapotrzebowani</w:t>
            </w:r>
            <w:r w:rsidR="00C25519" w:rsidRPr="00154E08">
              <w:rPr>
                <w:rFonts w:eastAsia="Calibri" w:cs="Times New Roman"/>
                <w:color w:val="000000"/>
                <w:spacing w:val="-2"/>
                <w:sz w:val="22"/>
                <w:szCs w:val="22"/>
              </w:rPr>
              <w:t>a</w:t>
            </w:r>
            <w:r w:rsidR="00AF2E38" w:rsidRPr="00154E08">
              <w:rPr>
                <w:rFonts w:eastAsia="Calibri" w:cs="Times New Roman"/>
                <w:color w:val="000000"/>
                <w:spacing w:val="-2"/>
                <w:sz w:val="22"/>
                <w:szCs w:val="22"/>
              </w:rPr>
              <w:t xml:space="preserve"> na biokomponenty, a tym samym </w:t>
            </w:r>
            <w:r w:rsidR="00046A02" w:rsidRPr="00154E08">
              <w:rPr>
                <w:rFonts w:eastAsia="Calibri" w:cs="Times New Roman"/>
                <w:color w:val="000000"/>
                <w:spacing w:val="-2"/>
                <w:sz w:val="22"/>
                <w:szCs w:val="22"/>
              </w:rPr>
              <w:t xml:space="preserve">również na </w:t>
            </w:r>
            <w:r w:rsidR="00AF2E38" w:rsidRPr="00154E08">
              <w:rPr>
                <w:rFonts w:eastAsia="Calibri" w:cs="Times New Roman"/>
                <w:color w:val="000000"/>
                <w:spacing w:val="-2"/>
                <w:sz w:val="22"/>
                <w:szCs w:val="22"/>
              </w:rPr>
              <w:t>surowce do ich produkcji</w:t>
            </w:r>
            <w:r w:rsidR="00864E66" w:rsidRPr="00154E08">
              <w:rPr>
                <w:rFonts w:eastAsia="Calibri" w:cs="Times New Roman"/>
                <w:color w:val="000000"/>
                <w:spacing w:val="-2"/>
                <w:sz w:val="22"/>
                <w:szCs w:val="22"/>
              </w:rPr>
              <w:t xml:space="preserve">. Kwestia </w:t>
            </w:r>
            <w:r w:rsidR="0051200A" w:rsidRPr="00154E08">
              <w:rPr>
                <w:rFonts w:eastAsia="Calibri" w:cs="Times New Roman"/>
                <w:color w:val="000000"/>
                <w:sz w:val="22"/>
                <w:szCs w:val="22"/>
              </w:rPr>
              <w:t xml:space="preserve">jest </w:t>
            </w:r>
            <w:r w:rsidR="00864E66" w:rsidRPr="00154E08">
              <w:rPr>
                <w:rFonts w:eastAsia="Calibri" w:cs="Times New Roman"/>
                <w:color w:val="000000"/>
                <w:sz w:val="22"/>
                <w:szCs w:val="22"/>
              </w:rPr>
              <w:t xml:space="preserve">szczególnie </w:t>
            </w:r>
            <w:r w:rsidR="0051200A" w:rsidRPr="00154E08">
              <w:rPr>
                <w:rFonts w:eastAsia="Calibri" w:cs="Times New Roman"/>
                <w:color w:val="000000"/>
                <w:sz w:val="22"/>
                <w:szCs w:val="22"/>
              </w:rPr>
              <w:t>istotn</w:t>
            </w:r>
            <w:r w:rsidR="00864E66" w:rsidRPr="00154E08">
              <w:rPr>
                <w:rFonts w:eastAsia="Calibri" w:cs="Times New Roman"/>
                <w:color w:val="000000"/>
                <w:sz w:val="22"/>
                <w:szCs w:val="22"/>
              </w:rPr>
              <w:t>a</w:t>
            </w:r>
            <w:r w:rsidR="0051200A" w:rsidRPr="00154E08">
              <w:rPr>
                <w:rFonts w:eastAsia="Calibri" w:cs="Times New Roman"/>
                <w:color w:val="000000"/>
                <w:sz w:val="22"/>
                <w:szCs w:val="22"/>
              </w:rPr>
              <w:t xml:space="preserve"> z uwagi na potrzebę stabil</w:t>
            </w:r>
            <w:r w:rsidR="002F5F9F" w:rsidRPr="00154E08">
              <w:rPr>
                <w:rFonts w:eastAsia="Calibri" w:cs="Times New Roman"/>
                <w:color w:val="000000"/>
                <w:sz w:val="22"/>
                <w:szCs w:val="22"/>
              </w:rPr>
              <w:t xml:space="preserve">izacji </w:t>
            </w:r>
            <w:r w:rsidR="0051200A" w:rsidRPr="00154E08">
              <w:rPr>
                <w:rFonts w:eastAsia="Calibri" w:cs="Times New Roman"/>
                <w:color w:val="000000"/>
                <w:sz w:val="22"/>
                <w:szCs w:val="22"/>
              </w:rPr>
              <w:t>funkcjonowania krajowego łańcucha dostaw, sektora rolno-spożywczego, dostarcza</w:t>
            </w:r>
            <w:r w:rsidR="00AC08C2" w:rsidRPr="00154E08">
              <w:rPr>
                <w:rFonts w:eastAsia="Calibri" w:cs="Times New Roman"/>
                <w:color w:val="000000"/>
                <w:sz w:val="22"/>
                <w:szCs w:val="22"/>
              </w:rPr>
              <w:t>jącego</w:t>
            </w:r>
            <w:r w:rsidR="0051200A" w:rsidRPr="00154E08">
              <w:rPr>
                <w:rFonts w:eastAsia="Calibri" w:cs="Times New Roman"/>
                <w:color w:val="000000"/>
                <w:sz w:val="22"/>
                <w:szCs w:val="22"/>
              </w:rPr>
              <w:t xml:space="preserve"> większość surowców do wytwarzania</w:t>
            </w:r>
            <w:r w:rsidR="0019306C" w:rsidRPr="00154E08">
              <w:rPr>
                <w:rFonts w:eastAsia="Calibri" w:cs="Times New Roman"/>
                <w:color w:val="000000"/>
                <w:sz w:val="22"/>
                <w:szCs w:val="22"/>
              </w:rPr>
              <w:t xml:space="preserve"> zrównoważonych</w:t>
            </w:r>
            <w:r w:rsidR="0051200A" w:rsidRPr="00154E08">
              <w:rPr>
                <w:rFonts w:eastAsia="Calibri" w:cs="Times New Roman"/>
                <w:color w:val="000000"/>
                <w:sz w:val="22"/>
                <w:szCs w:val="22"/>
              </w:rPr>
              <w:t xml:space="preserve"> biokomponentów –</w:t>
            </w:r>
            <w:r w:rsidR="00C34442" w:rsidRPr="00154E08">
              <w:rPr>
                <w:rFonts w:eastAsia="Calibri" w:cs="Times New Roman"/>
                <w:color w:val="000000"/>
                <w:sz w:val="22"/>
                <w:szCs w:val="22"/>
              </w:rPr>
              <w:t xml:space="preserve"> do </w:t>
            </w:r>
            <w:r w:rsidR="0051200A" w:rsidRPr="00154E08">
              <w:rPr>
                <w:rFonts w:eastAsia="Calibri" w:cs="Times New Roman"/>
                <w:color w:val="000000"/>
                <w:sz w:val="22"/>
                <w:szCs w:val="22"/>
              </w:rPr>
              <w:t>realizacji NCW.</w:t>
            </w:r>
          </w:p>
          <w:p w14:paraId="49165055" w14:textId="0E761B4B" w:rsidR="00CF3BDD" w:rsidRPr="00154E08" w:rsidRDefault="00CF3BDD" w:rsidP="00CF3BDD">
            <w:pPr>
              <w:spacing w:before="60" w:line="240" w:lineRule="auto"/>
              <w:jc w:val="both"/>
              <w:rPr>
                <w:rFonts w:eastAsia="Calibri" w:cs="Times New Roman"/>
                <w:bCs/>
                <w:sz w:val="22"/>
                <w:szCs w:val="22"/>
              </w:rPr>
            </w:pPr>
            <w:r w:rsidRPr="00154E08">
              <w:rPr>
                <w:rFonts w:eastAsia="Calibri" w:cs="Times New Roman"/>
                <w:bCs/>
                <w:sz w:val="22"/>
                <w:szCs w:val="22"/>
              </w:rPr>
              <w:t xml:space="preserve">Tabela </w:t>
            </w:r>
            <w:r w:rsidR="00046A02" w:rsidRPr="00154E08">
              <w:rPr>
                <w:rFonts w:eastAsia="Calibri" w:cs="Times New Roman"/>
                <w:bCs/>
                <w:sz w:val="22"/>
                <w:szCs w:val="22"/>
              </w:rPr>
              <w:t>3</w:t>
            </w:r>
            <w:r w:rsidRPr="00154E08">
              <w:rPr>
                <w:rFonts w:eastAsia="Calibri" w:cs="Times New Roman"/>
                <w:bCs/>
                <w:color w:val="7030A0"/>
                <w:sz w:val="22"/>
                <w:szCs w:val="22"/>
              </w:rPr>
              <w:t xml:space="preserve"> – </w:t>
            </w:r>
            <w:r w:rsidRPr="00154E08">
              <w:rPr>
                <w:rFonts w:eastAsia="Calibri" w:cs="Times New Roman"/>
                <w:bCs/>
                <w:sz w:val="22"/>
                <w:szCs w:val="22"/>
              </w:rPr>
              <w:t>Konsumpcja biokomponentów</w:t>
            </w:r>
            <w:r w:rsidR="000E1ED7" w:rsidRPr="00154E08">
              <w:rPr>
                <w:rFonts w:eastAsia="Calibri" w:cs="Times New Roman"/>
                <w:bCs/>
                <w:sz w:val="22"/>
                <w:szCs w:val="22"/>
              </w:rPr>
              <w:t xml:space="preserve"> I generacji</w:t>
            </w:r>
          </w:p>
          <w:tbl>
            <w:tblPr>
              <w:tblW w:w="6100" w:type="dxa"/>
              <w:jc w:val="center"/>
              <w:tblLayout w:type="fixed"/>
              <w:tblCellMar>
                <w:left w:w="70" w:type="dxa"/>
                <w:right w:w="70" w:type="dxa"/>
              </w:tblCellMar>
              <w:tblLook w:val="04A0" w:firstRow="1" w:lastRow="0" w:firstColumn="1" w:lastColumn="0" w:noHBand="0" w:noVBand="1"/>
            </w:tblPr>
            <w:tblGrid>
              <w:gridCol w:w="612"/>
              <w:gridCol w:w="2551"/>
              <w:gridCol w:w="2937"/>
            </w:tblGrid>
            <w:tr w:rsidR="00B5447C" w:rsidRPr="00154E08" w14:paraId="4B17584D" w14:textId="77777777" w:rsidTr="0044484A">
              <w:trPr>
                <w:trHeight w:val="288"/>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E9546" w14:textId="756C779C" w:rsidR="00B5447C" w:rsidRPr="00154E08" w:rsidDel="00B5447C" w:rsidRDefault="00B5447C" w:rsidP="0044484A">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rok</w:t>
                  </w:r>
                </w:p>
              </w:tc>
              <w:tc>
                <w:tcPr>
                  <w:tcW w:w="5488" w:type="dxa"/>
                  <w:gridSpan w:val="2"/>
                  <w:tcBorders>
                    <w:top w:val="single" w:sz="4" w:space="0" w:color="auto"/>
                    <w:left w:val="nil"/>
                    <w:bottom w:val="single" w:sz="4" w:space="0" w:color="auto"/>
                    <w:right w:val="single" w:sz="4" w:space="0" w:color="auto"/>
                  </w:tcBorders>
                  <w:shd w:val="clear" w:color="auto" w:fill="auto"/>
                  <w:noWrap/>
                  <w:vAlign w:val="bottom"/>
                </w:tcPr>
                <w:p w14:paraId="04444BA9" w14:textId="4F3012A2" w:rsidR="00B5447C" w:rsidRPr="00154E08" w:rsidRDefault="00B5447C" w:rsidP="00CF3BDD">
                  <w:pPr>
                    <w:widowControl/>
                    <w:suppressAutoHyphens w:val="0"/>
                    <w:spacing w:line="240" w:lineRule="auto"/>
                    <w:jc w:val="center"/>
                    <w:rPr>
                      <w:rFonts w:eastAsia="Times New Roman" w:cs="Times New Roman"/>
                      <w:b/>
                      <w:bCs/>
                      <w:color w:val="000000"/>
                      <w:sz w:val="22"/>
                      <w:szCs w:val="22"/>
                    </w:rPr>
                  </w:pPr>
                  <w:r w:rsidRPr="00154E08">
                    <w:rPr>
                      <w:rFonts w:eastAsia="Times New Roman" w:cs="Times New Roman"/>
                      <w:b/>
                      <w:bCs/>
                      <w:color w:val="000000"/>
                      <w:sz w:val="22"/>
                      <w:szCs w:val="22"/>
                    </w:rPr>
                    <w:t>Ilość [ton]</w:t>
                  </w:r>
                </w:p>
              </w:tc>
            </w:tr>
            <w:tr w:rsidR="00CF3BDD" w:rsidRPr="00154E08" w14:paraId="03F3873A" w14:textId="77777777" w:rsidTr="0044484A">
              <w:trPr>
                <w:trHeight w:val="288"/>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4B061" w14:textId="100393AA" w:rsidR="00CF3BDD" w:rsidRPr="00154E08" w:rsidRDefault="00CF3BDD" w:rsidP="0044484A">
                  <w:pPr>
                    <w:widowControl/>
                    <w:suppressAutoHyphens w:val="0"/>
                    <w:spacing w:line="240" w:lineRule="auto"/>
                    <w:jc w:val="center"/>
                    <w:rPr>
                      <w:rFonts w:eastAsia="Times New Roman" w:cs="Times New Roman"/>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CBF81D5" w14:textId="77777777" w:rsidR="00CF3BDD" w:rsidRPr="00154E08" w:rsidRDefault="00CF3BDD" w:rsidP="00CF3BDD">
                  <w:pPr>
                    <w:widowControl/>
                    <w:suppressAutoHyphens w:val="0"/>
                    <w:spacing w:line="240" w:lineRule="auto"/>
                    <w:jc w:val="center"/>
                    <w:rPr>
                      <w:rFonts w:eastAsia="Times New Roman" w:cs="Times New Roman"/>
                      <w:b/>
                      <w:bCs/>
                      <w:color w:val="000000"/>
                      <w:sz w:val="22"/>
                      <w:szCs w:val="22"/>
                    </w:rPr>
                  </w:pPr>
                  <w:r w:rsidRPr="00154E08">
                    <w:rPr>
                      <w:rFonts w:eastAsia="Times New Roman" w:cs="Times New Roman"/>
                      <w:b/>
                      <w:bCs/>
                      <w:color w:val="000000"/>
                      <w:sz w:val="22"/>
                      <w:szCs w:val="22"/>
                    </w:rPr>
                    <w:t>Bioetanol</w:t>
                  </w:r>
                </w:p>
              </w:tc>
              <w:tc>
                <w:tcPr>
                  <w:tcW w:w="2937" w:type="dxa"/>
                  <w:tcBorders>
                    <w:top w:val="single" w:sz="4" w:space="0" w:color="auto"/>
                    <w:left w:val="nil"/>
                    <w:bottom w:val="single" w:sz="4" w:space="0" w:color="auto"/>
                    <w:right w:val="single" w:sz="4" w:space="0" w:color="auto"/>
                  </w:tcBorders>
                  <w:shd w:val="clear" w:color="auto" w:fill="auto"/>
                  <w:noWrap/>
                  <w:vAlign w:val="bottom"/>
                  <w:hideMark/>
                </w:tcPr>
                <w:p w14:paraId="69E4A750" w14:textId="77777777" w:rsidR="00CF3BDD" w:rsidRPr="00154E08" w:rsidRDefault="00CF3BDD" w:rsidP="00CF3BDD">
                  <w:pPr>
                    <w:widowControl/>
                    <w:suppressAutoHyphens w:val="0"/>
                    <w:spacing w:line="240" w:lineRule="auto"/>
                    <w:jc w:val="center"/>
                    <w:rPr>
                      <w:rFonts w:eastAsia="Times New Roman" w:cs="Times New Roman"/>
                      <w:b/>
                      <w:bCs/>
                      <w:color w:val="000000"/>
                      <w:sz w:val="22"/>
                      <w:szCs w:val="22"/>
                    </w:rPr>
                  </w:pPr>
                  <w:r w:rsidRPr="00154E08">
                    <w:rPr>
                      <w:rFonts w:eastAsia="Times New Roman" w:cs="Times New Roman"/>
                      <w:b/>
                      <w:bCs/>
                      <w:color w:val="000000"/>
                      <w:sz w:val="22"/>
                      <w:szCs w:val="22"/>
                    </w:rPr>
                    <w:t>Ester</w:t>
                  </w:r>
                </w:p>
              </w:tc>
            </w:tr>
            <w:tr w:rsidR="00CF3BDD" w:rsidRPr="00154E08" w14:paraId="0261087E" w14:textId="77777777" w:rsidTr="0044484A">
              <w:trPr>
                <w:trHeight w:val="288"/>
                <w:jc w:val="center"/>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0976369" w14:textId="548E7A8F" w:rsidR="00CF3BDD" w:rsidRPr="00154E08" w:rsidRDefault="00CF3BDD" w:rsidP="0044484A">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20</w:t>
                  </w:r>
                  <w:r w:rsidR="00CB51AD" w:rsidRPr="00154E08">
                    <w:rPr>
                      <w:rFonts w:eastAsia="Times New Roman" w:cs="Times New Roman"/>
                      <w:color w:val="000000"/>
                      <w:sz w:val="22"/>
                      <w:szCs w:val="22"/>
                    </w:rPr>
                    <w:t>21</w:t>
                  </w:r>
                </w:p>
              </w:tc>
              <w:tc>
                <w:tcPr>
                  <w:tcW w:w="2551" w:type="dxa"/>
                  <w:tcBorders>
                    <w:top w:val="nil"/>
                    <w:left w:val="nil"/>
                    <w:bottom w:val="single" w:sz="4" w:space="0" w:color="auto"/>
                    <w:right w:val="single" w:sz="4" w:space="0" w:color="auto"/>
                  </w:tcBorders>
                  <w:shd w:val="clear" w:color="auto" w:fill="auto"/>
                  <w:noWrap/>
                  <w:vAlign w:val="bottom"/>
                  <w:hideMark/>
                </w:tcPr>
                <w:p w14:paraId="3ACD747C" w14:textId="7900B249" w:rsidR="00CF3BDD" w:rsidRPr="00154E08" w:rsidRDefault="00484F61" w:rsidP="00CF3BDD">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273 683</w:t>
                  </w:r>
                </w:p>
              </w:tc>
              <w:tc>
                <w:tcPr>
                  <w:tcW w:w="2937" w:type="dxa"/>
                  <w:tcBorders>
                    <w:top w:val="nil"/>
                    <w:left w:val="nil"/>
                    <w:bottom w:val="single" w:sz="4" w:space="0" w:color="auto"/>
                    <w:right w:val="single" w:sz="4" w:space="0" w:color="auto"/>
                  </w:tcBorders>
                  <w:shd w:val="clear" w:color="auto" w:fill="auto"/>
                  <w:noWrap/>
                  <w:vAlign w:val="bottom"/>
                  <w:hideMark/>
                </w:tcPr>
                <w:p w14:paraId="76FA7B81" w14:textId="2AC4A1C4" w:rsidR="00CF3BDD" w:rsidRPr="00154E08" w:rsidRDefault="006872A3" w:rsidP="00CF3BDD">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1 297 295</w:t>
                  </w:r>
                </w:p>
              </w:tc>
            </w:tr>
            <w:tr w:rsidR="00CF3BDD" w:rsidRPr="00154E08" w14:paraId="4DE8330D" w14:textId="77777777" w:rsidTr="0044484A">
              <w:trPr>
                <w:trHeight w:val="288"/>
                <w:jc w:val="center"/>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8F6A5E" w14:textId="547EB0CC" w:rsidR="00CF3BDD" w:rsidRPr="00154E08" w:rsidRDefault="00CF3BDD" w:rsidP="0044484A">
                  <w:pPr>
                    <w:widowControl/>
                    <w:suppressAutoHyphens w:val="0"/>
                    <w:spacing w:line="240" w:lineRule="auto"/>
                    <w:jc w:val="center"/>
                    <w:rPr>
                      <w:rFonts w:eastAsia="Times New Roman" w:cs="Times New Roman"/>
                      <w:color w:val="000000"/>
                      <w:sz w:val="22"/>
                      <w:szCs w:val="22"/>
                      <w:vertAlign w:val="superscript"/>
                    </w:rPr>
                  </w:pPr>
                  <w:r w:rsidRPr="00154E08">
                    <w:rPr>
                      <w:rFonts w:eastAsia="Times New Roman" w:cs="Times New Roman"/>
                      <w:color w:val="000000"/>
                      <w:sz w:val="22"/>
                      <w:szCs w:val="22"/>
                    </w:rPr>
                    <w:t>202</w:t>
                  </w:r>
                  <w:r w:rsidR="00CB51AD" w:rsidRPr="00154E08">
                    <w:rPr>
                      <w:rFonts w:eastAsia="Times New Roman" w:cs="Times New Roman"/>
                      <w:color w:val="000000"/>
                      <w:sz w:val="22"/>
                      <w:szCs w:val="22"/>
                    </w:rPr>
                    <w:t>2</w:t>
                  </w:r>
                </w:p>
              </w:tc>
              <w:tc>
                <w:tcPr>
                  <w:tcW w:w="2551" w:type="dxa"/>
                  <w:tcBorders>
                    <w:top w:val="nil"/>
                    <w:left w:val="nil"/>
                    <w:bottom w:val="single" w:sz="4" w:space="0" w:color="auto"/>
                    <w:right w:val="single" w:sz="4" w:space="0" w:color="auto"/>
                  </w:tcBorders>
                  <w:shd w:val="clear" w:color="auto" w:fill="auto"/>
                  <w:noWrap/>
                  <w:vAlign w:val="bottom"/>
                  <w:hideMark/>
                </w:tcPr>
                <w:p w14:paraId="1BF07284" w14:textId="1BABA62B" w:rsidR="00CF3BDD" w:rsidRPr="00154E08" w:rsidRDefault="00CF3BDD" w:rsidP="00CF3BDD">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2</w:t>
                  </w:r>
                  <w:r w:rsidR="00A82DC0" w:rsidRPr="00154E08">
                    <w:rPr>
                      <w:rFonts w:eastAsia="Times New Roman" w:cs="Times New Roman"/>
                      <w:color w:val="000000"/>
                      <w:sz w:val="22"/>
                      <w:szCs w:val="22"/>
                    </w:rPr>
                    <w:t>99</w:t>
                  </w:r>
                  <w:r w:rsidRPr="00154E08">
                    <w:rPr>
                      <w:rFonts w:eastAsia="Times New Roman" w:cs="Times New Roman"/>
                      <w:color w:val="000000"/>
                      <w:sz w:val="22"/>
                      <w:szCs w:val="22"/>
                    </w:rPr>
                    <w:t> </w:t>
                  </w:r>
                  <w:r w:rsidR="00B3118E" w:rsidRPr="00154E08">
                    <w:rPr>
                      <w:rFonts w:eastAsia="Times New Roman" w:cs="Times New Roman"/>
                      <w:color w:val="000000"/>
                      <w:sz w:val="22"/>
                      <w:szCs w:val="22"/>
                    </w:rPr>
                    <w:t>487</w:t>
                  </w:r>
                </w:p>
              </w:tc>
              <w:tc>
                <w:tcPr>
                  <w:tcW w:w="2937" w:type="dxa"/>
                  <w:tcBorders>
                    <w:top w:val="nil"/>
                    <w:left w:val="nil"/>
                    <w:bottom w:val="single" w:sz="4" w:space="0" w:color="auto"/>
                    <w:right w:val="single" w:sz="4" w:space="0" w:color="auto"/>
                  </w:tcBorders>
                  <w:shd w:val="clear" w:color="auto" w:fill="auto"/>
                  <w:noWrap/>
                  <w:vAlign w:val="bottom"/>
                  <w:hideMark/>
                </w:tcPr>
                <w:p w14:paraId="7265FEAD" w14:textId="15EA76DA" w:rsidR="00CF3BDD" w:rsidRPr="00154E08" w:rsidRDefault="00CF3BDD" w:rsidP="00CF3BDD">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1 1</w:t>
                  </w:r>
                  <w:r w:rsidR="001567D0" w:rsidRPr="00154E08">
                    <w:rPr>
                      <w:rFonts w:eastAsia="Times New Roman" w:cs="Times New Roman"/>
                      <w:color w:val="000000"/>
                      <w:sz w:val="22"/>
                      <w:szCs w:val="22"/>
                    </w:rPr>
                    <w:t>48</w:t>
                  </w:r>
                  <w:r w:rsidRPr="00154E08">
                    <w:rPr>
                      <w:rFonts w:eastAsia="Times New Roman" w:cs="Times New Roman"/>
                      <w:color w:val="000000"/>
                      <w:sz w:val="22"/>
                      <w:szCs w:val="22"/>
                    </w:rPr>
                    <w:t xml:space="preserve"> </w:t>
                  </w:r>
                  <w:r w:rsidR="00CB51AD" w:rsidRPr="00154E08">
                    <w:rPr>
                      <w:rFonts w:eastAsia="Times New Roman" w:cs="Times New Roman"/>
                      <w:color w:val="000000"/>
                      <w:sz w:val="22"/>
                      <w:szCs w:val="22"/>
                    </w:rPr>
                    <w:t>391</w:t>
                  </w:r>
                </w:p>
              </w:tc>
            </w:tr>
            <w:tr w:rsidR="00900F98" w:rsidRPr="00154E08" w14:paraId="3A0DAFF2" w14:textId="77777777" w:rsidTr="0044484A">
              <w:trPr>
                <w:trHeight w:val="288"/>
                <w:jc w:val="center"/>
              </w:trPr>
              <w:tc>
                <w:tcPr>
                  <w:tcW w:w="612" w:type="dxa"/>
                  <w:tcBorders>
                    <w:top w:val="nil"/>
                    <w:left w:val="single" w:sz="4" w:space="0" w:color="auto"/>
                    <w:bottom w:val="single" w:sz="4" w:space="0" w:color="auto"/>
                    <w:right w:val="single" w:sz="4" w:space="0" w:color="auto"/>
                  </w:tcBorders>
                  <w:shd w:val="clear" w:color="auto" w:fill="auto"/>
                  <w:noWrap/>
                  <w:vAlign w:val="bottom"/>
                </w:tcPr>
                <w:p w14:paraId="6AE5801F" w14:textId="74448D43" w:rsidR="00900F98" w:rsidRPr="00154E08" w:rsidRDefault="00684A87" w:rsidP="0044484A">
                  <w:pPr>
                    <w:widowControl/>
                    <w:suppressAutoHyphens w:val="0"/>
                    <w:spacing w:line="240" w:lineRule="auto"/>
                    <w:jc w:val="center"/>
                    <w:rPr>
                      <w:rFonts w:eastAsia="Times New Roman" w:cs="Times New Roman"/>
                      <w:color w:val="000000"/>
                      <w:sz w:val="22"/>
                      <w:szCs w:val="22"/>
                      <w:highlight w:val="yellow"/>
                    </w:rPr>
                  </w:pPr>
                  <w:r w:rsidRPr="00154E08">
                    <w:rPr>
                      <w:rFonts w:eastAsia="Times New Roman" w:cs="Times New Roman"/>
                      <w:color w:val="000000"/>
                      <w:sz w:val="22"/>
                      <w:szCs w:val="22"/>
                    </w:rPr>
                    <w:t xml:space="preserve"> –</w:t>
                  </w:r>
                </w:p>
              </w:tc>
              <w:tc>
                <w:tcPr>
                  <w:tcW w:w="2551" w:type="dxa"/>
                  <w:tcBorders>
                    <w:top w:val="nil"/>
                    <w:left w:val="nil"/>
                    <w:bottom w:val="single" w:sz="4" w:space="0" w:color="auto"/>
                    <w:right w:val="single" w:sz="4" w:space="0" w:color="auto"/>
                  </w:tcBorders>
                  <w:shd w:val="clear" w:color="auto" w:fill="auto"/>
                  <w:noWrap/>
                  <w:vAlign w:val="bottom"/>
                </w:tcPr>
                <w:p w14:paraId="017108D8" w14:textId="77777777" w:rsidR="00900F98" w:rsidRPr="00154E08" w:rsidRDefault="00900F98" w:rsidP="00CF3BDD">
                  <w:pPr>
                    <w:widowControl/>
                    <w:suppressAutoHyphens w:val="0"/>
                    <w:spacing w:line="240" w:lineRule="auto"/>
                    <w:jc w:val="center"/>
                    <w:rPr>
                      <w:rFonts w:eastAsia="Times New Roman" w:cs="Times New Roman"/>
                      <w:color w:val="000000"/>
                      <w:sz w:val="22"/>
                      <w:szCs w:val="22"/>
                      <w:highlight w:val="yellow"/>
                    </w:rPr>
                  </w:pPr>
                </w:p>
              </w:tc>
              <w:tc>
                <w:tcPr>
                  <w:tcW w:w="2937" w:type="dxa"/>
                  <w:tcBorders>
                    <w:top w:val="nil"/>
                    <w:left w:val="nil"/>
                    <w:bottom w:val="single" w:sz="4" w:space="0" w:color="auto"/>
                    <w:right w:val="single" w:sz="4" w:space="0" w:color="auto"/>
                  </w:tcBorders>
                  <w:shd w:val="clear" w:color="auto" w:fill="auto"/>
                  <w:noWrap/>
                  <w:vAlign w:val="bottom"/>
                </w:tcPr>
                <w:p w14:paraId="686D0961" w14:textId="77777777" w:rsidR="00900F98" w:rsidRPr="00154E08" w:rsidRDefault="00900F98" w:rsidP="00CF3BDD">
                  <w:pPr>
                    <w:widowControl/>
                    <w:suppressAutoHyphens w:val="0"/>
                    <w:spacing w:line="240" w:lineRule="auto"/>
                    <w:jc w:val="center"/>
                    <w:rPr>
                      <w:rFonts w:eastAsia="Times New Roman" w:cs="Times New Roman"/>
                      <w:color w:val="000000"/>
                      <w:sz w:val="22"/>
                      <w:szCs w:val="22"/>
                    </w:rPr>
                  </w:pPr>
                </w:p>
              </w:tc>
            </w:tr>
            <w:tr w:rsidR="00845817" w:rsidRPr="00154E08" w14:paraId="03AB7DDD" w14:textId="77777777" w:rsidTr="0044484A">
              <w:trPr>
                <w:trHeight w:val="288"/>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E7D71" w14:textId="2DD689F1" w:rsidR="00845817" w:rsidRPr="00154E08" w:rsidRDefault="00845817" w:rsidP="0044484A">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2025</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69F1472" w14:textId="4311371D" w:rsidR="00845817" w:rsidRPr="00154E08" w:rsidRDefault="000E1ED7" w:rsidP="00CF3BDD">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481 172</w:t>
                  </w:r>
                </w:p>
              </w:tc>
              <w:tc>
                <w:tcPr>
                  <w:tcW w:w="2937" w:type="dxa"/>
                  <w:tcBorders>
                    <w:top w:val="single" w:sz="4" w:space="0" w:color="auto"/>
                    <w:left w:val="nil"/>
                    <w:bottom w:val="single" w:sz="4" w:space="0" w:color="auto"/>
                    <w:right w:val="single" w:sz="4" w:space="0" w:color="auto"/>
                  </w:tcBorders>
                  <w:shd w:val="clear" w:color="auto" w:fill="auto"/>
                  <w:noWrap/>
                  <w:vAlign w:val="bottom"/>
                </w:tcPr>
                <w:p w14:paraId="6FE01C53" w14:textId="0DAE6D36" w:rsidR="00845817" w:rsidRPr="00154E08" w:rsidRDefault="000E1ED7" w:rsidP="00CF3BDD">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984 049</w:t>
                  </w:r>
                </w:p>
              </w:tc>
            </w:tr>
            <w:tr w:rsidR="00845817" w:rsidRPr="00154E08" w14:paraId="06D82A2C" w14:textId="77777777" w:rsidTr="0044484A">
              <w:trPr>
                <w:trHeight w:val="288"/>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12ACF" w14:textId="1A769F9F" w:rsidR="00845817" w:rsidRPr="00154E08" w:rsidRDefault="00845817" w:rsidP="0044484A">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2030</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0542A55" w14:textId="067C2AA5" w:rsidR="00845817" w:rsidRPr="00154E08" w:rsidRDefault="000E1ED7" w:rsidP="00CF3BDD">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488 248</w:t>
                  </w:r>
                </w:p>
              </w:tc>
              <w:tc>
                <w:tcPr>
                  <w:tcW w:w="2937" w:type="dxa"/>
                  <w:tcBorders>
                    <w:top w:val="single" w:sz="4" w:space="0" w:color="auto"/>
                    <w:left w:val="nil"/>
                    <w:bottom w:val="single" w:sz="4" w:space="0" w:color="auto"/>
                    <w:right w:val="single" w:sz="4" w:space="0" w:color="auto"/>
                  </w:tcBorders>
                  <w:shd w:val="clear" w:color="auto" w:fill="auto"/>
                  <w:noWrap/>
                  <w:vAlign w:val="bottom"/>
                </w:tcPr>
                <w:p w14:paraId="07E8BE46" w14:textId="77A0587A" w:rsidR="00845817" w:rsidRPr="00154E08" w:rsidRDefault="000E1ED7" w:rsidP="00CF3BDD">
                  <w:pPr>
                    <w:widowControl/>
                    <w:suppressAutoHyphens w:val="0"/>
                    <w:spacing w:line="240" w:lineRule="auto"/>
                    <w:jc w:val="center"/>
                    <w:rPr>
                      <w:rFonts w:eastAsia="Times New Roman" w:cs="Times New Roman"/>
                      <w:color w:val="000000"/>
                      <w:sz w:val="22"/>
                      <w:szCs w:val="22"/>
                    </w:rPr>
                  </w:pPr>
                  <w:r w:rsidRPr="00154E08">
                    <w:rPr>
                      <w:rFonts w:eastAsia="Times New Roman" w:cs="Times New Roman"/>
                      <w:color w:val="000000"/>
                      <w:sz w:val="22"/>
                      <w:szCs w:val="22"/>
                    </w:rPr>
                    <w:t>996 461</w:t>
                  </w:r>
                </w:p>
              </w:tc>
            </w:tr>
          </w:tbl>
          <w:p w14:paraId="3C41946F" w14:textId="04EC3F80" w:rsidR="001D771F" w:rsidRPr="00154E08" w:rsidRDefault="005A62F5" w:rsidP="00B202E9">
            <w:pPr>
              <w:spacing w:before="60" w:line="240" w:lineRule="auto"/>
              <w:rPr>
                <w:rFonts w:eastAsia="Calibri" w:cs="Times New Roman"/>
                <w:b/>
                <w:bCs/>
                <w:color w:val="000000"/>
                <w:spacing w:val="-2"/>
                <w:sz w:val="22"/>
                <w:szCs w:val="22"/>
              </w:rPr>
            </w:pPr>
            <w:r w:rsidRPr="00154E08">
              <w:rPr>
                <w:rFonts w:eastAsia="Calibri" w:cs="Times New Roman"/>
                <w:color w:val="000000"/>
                <w:sz w:val="22"/>
                <w:szCs w:val="22"/>
              </w:rPr>
              <w:t xml:space="preserve">Źródło: </w:t>
            </w:r>
            <w:r w:rsidR="0093327A" w:rsidRPr="00154E08">
              <w:rPr>
                <w:rFonts w:eastAsia="Calibri" w:cs="Times New Roman"/>
                <w:color w:val="000000"/>
                <w:sz w:val="22"/>
                <w:szCs w:val="22"/>
              </w:rPr>
              <w:t>D</w:t>
            </w:r>
            <w:r w:rsidRPr="00154E08">
              <w:rPr>
                <w:rFonts w:eastAsia="Calibri" w:cs="Times New Roman"/>
                <w:color w:val="000000"/>
                <w:sz w:val="22"/>
                <w:szCs w:val="22"/>
              </w:rPr>
              <w:t xml:space="preserve">la lat </w:t>
            </w:r>
            <w:r w:rsidR="001A3CD7" w:rsidRPr="00154E08">
              <w:rPr>
                <w:rFonts w:eastAsia="Calibri" w:cs="Times New Roman"/>
                <w:color w:val="000000"/>
                <w:sz w:val="22"/>
                <w:szCs w:val="22"/>
              </w:rPr>
              <w:t>2021</w:t>
            </w:r>
            <w:r w:rsidR="00684A87" w:rsidRPr="00154E08">
              <w:rPr>
                <w:rFonts w:eastAsia="Calibri" w:cs="Times New Roman"/>
                <w:color w:val="000000"/>
                <w:sz w:val="22"/>
                <w:szCs w:val="22"/>
              </w:rPr>
              <w:t xml:space="preserve"> –</w:t>
            </w:r>
            <w:r w:rsidR="001A3CD7" w:rsidRPr="00154E08">
              <w:rPr>
                <w:rFonts w:eastAsia="Calibri" w:cs="Times New Roman"/>
                <w:color w:val="000000"/>
                <w:sz w:val="22"/>
                <w:szCs w:val="22"/>
              </w:rPr>
              <w:t>2022</w:t>
            </w:r>
            <w:r w:rsidRPr="00154E08">
              <w:rPr>
                <w:rFonts w:eastAsia="Calibri" w:cs="Times New Roman"/>
                <w:color w:val="000000"/>
                <w:sz w:val="22"/>
                <w:szCs w:val="22"/>
              </w:rPr>
              <w:t xml:space="preserve"> </w:t>
            </w:r>
            <w:r w:rsidR="00521B95" w:rsidRPr="00154E08">
              <w:rPr>
                <w:rFonts w:eastAsia="Calibri" w:cs="Times New Roman"/>
                <w:color w:val="000000"/>
                <w:sz w:val="22"/>
                <w:szCs w:val="22"/>
              </w:rPr>
              <w:t>Raport Prezesa URE</w:t>
            </w:r>
            <w:r w:rsidRPr="00154E08">
              <w:rPr>
                <w:rFonts w:eastAsia="Calibri" w:cs="Times New Roman"/>
                <w:color w:val="000000"/>
                <w:sz w:val="22"/>
                <w:szCs w:val="22"/>
              </w:rPr>
              <w:t xml:space="preserve">., dla lat 2025 i 2030 – prognoza </w:t>
            </w:r>
            <w:proofErr w:type="spellStart"/>
            <w:r w:rsidRPr="00154E08">
              <w:rPr>
                <w:rFonts w:eastAsia="Calibri" w:cs="Times New Roman"/>
                <w:color w:val="000000"/>
                <w:sz w:val="22"/>
                <w:szCs w:val="22"/>
              </w:rPr>
              <w:t>MKiŚ</w:t>
            </w:r>
            <w:proofErr w:type="spellEnd"/>
            <w:r w:rsidR="0019306C" w:rsidRPr="00154E08">
              <w:rPr>
                <w:rFonts w:eastAsia="Calibri" w:cs="Times New Roman"/>
                <w:color w:val="000000"/>
                <w:sz w:val="22"/>
                <w:szCs w:val="22"/>
              </w:rPr>
              <w:t xml:space="preserve"> r.</w:t>
            </w:r>
            <w:r w:rsidR="00CF3BDD" w:rsidRPr="00154E08">
              <w:rPr>
                <w:rFonts w:eastAsia="Calibri" w:cs="Times New Roman"/>
                <w:color w:val="000000"/>
                <w:sz w:val="22"/>
                <w:szCs w:val="22"/>
                <w:vertAlign w:val="superscript"/>
              </w:rPr>
              <w:br/>
            </w:r>
          </w:p>
          <w:p w14:paraId="01B16EA8" w14:textId="1C76E1E2" w:rsidR="003F19A5" w:rsidRPr="00154E08" w:rsidRDefault="002F31D0" w:rsidP="00B279FD">
            <w:pPr>
              <w:pStyle w:val="Akapitzlist"/>
              <w:numPr>
                <w:ilvl w:val="0"/>
                <w:numId w:val="25"/>
              </w:numPr>
              <w:spacing w:after="120" w:line="240" w:lineRule="auto"/>
              <w:rPr>
                <w:rFonts w:ascii="Times New Roman" w:eastAsia="Calibri" w:hAnsi="Times New Roman"/>
                <w:b/>
                <w:bCs/>
                <w:color w:val="000000"/>
                <w:spacing w:val="-2"/>
                <w:sz w:val="22"/>
                <w:szCs w:val="22"/>
              </w:rPr>
            </w:pPr>
            <w:r w:rsidRPr="00154E08">
              <w:rPr>
                <w:rFonts w:ascii="Times New Roman" w:eastAsia="Calibri" w:hAnsi="Times New Roman"/>
                <w:b/>
                <w:bCs/>
                <w:color w:val="000000"/>
                <w:spacing w:val="-2"/>
                <w:sz w:val="22"/>
                <w:szCs w:val="22"/>
              </w:rPr>
              <w:t xml:space="preserve">Określenie udziału biopaliw zaawansowanych, w tym </w:t>
            </w:r>
            <w:proofErr w:type="spellStart"/>
            <w:r w:rsidRPr="00154E08">
              <w:rPr>
                <w:rFonts w:ascii="Times New Roman" w:eastAsia="Calibri" w:hAnsi="Times New Roman"/>
                <w:b/>
                <w:bCs/>
                <w:color w:val="000000"/>
                <w:spacing w:val="-2"/>
                <w:sz w:val="22"/>
                <w:szCs w:val="22"/>
              </w:rPr>
              <w:t>biometanu</w:t>
            </w:r>
            <w:proofErr w:type="spellEnd"/>
          </w:p>
          <w:p w14:paraId="02AD7532" w14:textId="065652B5" w:rsidR="00F64B5F" w:rsidRPr="00154E08" w:rsidRDefault="00127158" w:rsidP="00B279FD">
            <w:pPr>
              <w:spacing w:after="120" w:line="240" w:lineRule="auto"/>
              <w:jc w:val="both"/>
              <w:rPr>
                <w:rFonts w:eastAsia="Calibri" w:cs="Times New Roman"/>
                <w:color w:val="000000"/>
                <w:spacing w:val="-2"/>
                <w:sz w:val="22"/>
                <w:szCs w:val="22"/>
              </w:rPr>
            </w:pPr>
            <w:r w:rsidRPr="00154E08">
              <w:rPr>
                <w:rFonts w:eastAsia="Calibri" w:cs="Times New Roman"/>
                <w:color w:val="000000"/>
                <w:spacing w:val="-2"/>
                <w:sz w:val="22"/>
                <w:szCs w:val="22"/>
              </w:rPr>
              <w:t>P</w:t>
            </w:r>
            <w:r w:rsidR="008F4455" w:rsidRPr="00154E08">
              <w:rPr>
                <w:rFonts w:eastAsia="Calibri" w:cs="Times New Roman"/>
                <w:color w:val="000000"/>
                <w:spacing w:val="-2"/>
                <w:sz w:val="22"/>
                <w:szCs w:val="22"/>
              </w:rPr>
              <w:t>rojek</w:t>
            </w:r>
            <w:r w:rsidRPr="00154E08">
              <w:rPr>
                <w:rFonts w:eastAsia="Calibri" w:cs="Times New Roman"/>
                <w:color w:val="000000"/>
                <w:spacing w:val="-2"/>
                <w:sz w:val="22"/>
                <w:szCs w:val="22"/>
              </w:rPr>
              <w:t>t</w:t>
            </w:r>
            <w:r w:rsidR="008F4455" w:rsidRPr="00154E08">
              <w:rPr>
                <w:rFonts w:eastAsia="Calibri" w:cs="Times New Roman"/>
                <w:color w:val="000000"/>
                <w:spacing w:val="-2"/>
                <w:sz w:val="22"/>
                <w:szCs w:val="22"/>
              </w:rPr>
              <w:t xml:space="preserve"> ustawy </w:t>
            </w:r>
            <w:r w:rsidR="005170D1" w:rsidRPr="00154E08">
              <w:rPr>
                <w:rFonts w:eastAsia="Calibri" w:cs="Times New Roman"/>
                <w:color w:val="000000"/>
                <w:spacing w:val="-2"/>
                <w:sz w:val="22"/>
                <w:szCs w:val="22"/>
              </w:rPr>
              <w:t>okreś</w:t>
            </w:r>
            <w:r w:rsidR="003E2EBD" w:rsidRPr="00154E08">
              <w:rPr>
                <w:rFonts w:eastAsia="Calibri" w:cs="Times New Roman"/>
                <w:color w:val="000000"/>
                <w:spacing w:val="-2"/>
                <w:sz w:val="22"/>
                <w:szCs w:val="22"/>
              </w:rPr>
              <w:t>l</w:t>
            </w:r>
            <w:r w:rsidRPr="00154E08">
              <w:rPr>
                <w:rFonts w:eastAsia="Calibri" w:cs="Times New Roman"/>
                <w:color w:val="000000"/>
                <w:spacing w:val="-2"/>
                <w:sz w:val="22"/>
                <w:szCs w:val="22"/>
              </w:rPr>
              <w:t>a</w:t>
            </w:r>
            <w:r w:rsidR="005170D1" w:rsidRPr="00154E08">
              <w:rPr>
                <w:rFonts w:eastAsia="Calibri" w:cs="Times New Roman"/>
                <w:color w:val="000000"/>
                <w:spacing w:val="-2"/>
                <w:sz w:val="22"/>
                <w:szCs w:val="22"/>
              </w:rPr>
              <w:t xml:space="preserve"> minimalny udział biokomponentów zaawansowanych </w:t>
            </w:r>
            <w:r w:rsidRPr="00154E08">
              <w:rPr>
                <w:rFonts w:eastAsia="Calibri" w:cs="Times New Roman"/>
                <w:color w:val="000000"/>
                <w:spacing w:val="-2"/>
                <w:sz w:val="22"/>
                <w:szCs w:val="22"/>
              </w:rPr>
              <w:t>(wytworzonych z surowców określonych w części A załącznika nr 1, która odpowiada załącznikowi IX do</w:t>
            </w:r>
            <w:r w:rsidR="008D2FC7" w:rsidRPr="00154E08">
              <w:rPr>
                <w:rFonts w:eastAsia="Calibri" w:cs="Times New Roman"/>
                <w:color w:val="000000"/>
                <w:spacing w:val="-2"/>
                <w:sz w:val="22"/>
                <w:szCs w:val="22"/>
              </w:rPr>
              <w:t> </w:t>
            </w:r>
            <w:r w:rsidRPr="00154E08">
              <w:rPr>
                <w:rFonts w:eastAsia="Calibri" w:cs="Times New Roman"/>
                <w:color w:val="000000"/>
                <w:spacing w:val="-2"/>
                <w:sz w:val="22"/>
                <w:szCs w:val="22"/>
              </w:rPr>
              <w:t>dyrektywy RED</w:t>
            </w:r>
            <w:r w:rsidR="00F1557B" w:rsidRPr="00154E08">
              <w:rPr>
                <w:rFonts w:eastAsia="Calibri" w:cs="Times New Roman"/>
                <w:color w:val="000000"/>
                <w:spacing w:val="-2"/>
                <w:sz w:val="22"/>
                <w:szCs w:val="22"/>
              </w:rPr>
              <w:t xml:space="preserve"> </w:t>
            </w:r>
            <w:r w:rsidRPr="00154E08">
              <w:rPr>
                <w:rFonts w:eastAsia="Calibri" w:cs="Times New Roman"/>
                <w:color w:val="000000"/>
                <w:spacing w:val="-2"/>
                <w:sz w:val="22"/>
                <w:szCs w:val="22"/>
              </w:rPr>
              <w:t xml:space="preserve">II) </w:t>
            </w:r>
            <w:r w:rsidR="005170D1" w:rsidRPr="00154E08">
              <w:rPr>
                <w:rFonts w:eastAsia="Calibri" w:cs="Times New Roman"/>
                <w:color w:val="000000"/>
                <w:spacing w:val="-2"/>
                <w:sz w:val="22"/>
                <w:szCs w:val="22"/>
              </w:rPr>
              <w:t xml:space="preserve">w realizacji NCW na poziomie </w:t>
            </w:r>
            <w:r w:rsidR="005325E2" w:rsidRPr="00154E08">
              <w:rPr>
                <w:rFonts w:eastAsia="Calibri" w:cs="Times New Roman"/>
                <w:color w:val="000000"/>
                <w:spacing w:val="-2"/>
                <w:sz w:val="22"/>
                <w:szCs w:val="22"/>
              </w:rPr>
              <w:t xml:space="preserve">co najmniej </w:t>
            </w:r>
            <w:r w:rsidR="00E51147" w:rsidRPr="00154E08">
              <w:rPr>
                <w:rFonts w:eastAsia="Calibri" w:cs="Times New Roman"/>
                <w:color w:val="000000"/>
                <w:spacing w:val="-2"/>
                <w:sz w:val="22"/>
                <w:szCs w:val="22"/>
              </w:rPr>
              <w:t>3</w:t>
            </w:r>
            <w:r w:rsidR="005170D1" w:rsidRPr="00154E08">
              <w:rPr>
                <w:rFonts w:eastAsia="Calibri" w:cs="Times New Roman"/>
                <w:color w:val="000000"/>
                <w:spacing w:val="-2"/>
                <w:sz w:val="22"/>
                <w:szCs w:val="22"/>
              </w:rPr>
              <w:t xml:space="preserve">,5% ogólnej ilości </w:t>
            </w:r>
            <w:r w:rsidR="005170D1" w:rsidRPr="00154E08">
              <w:rPr>
                <w:rFonts w:eastAsia="Calibri" w:cs="Times New Roman"/>
                <w:iCs/>
                <w:color w:val="000000"/>
                <w:spacing w:val="-2"/>
                <w:sz w:val="22"/>
                <w:szCs w:val="22"/>
              </w:rPr>
              <w:t xml:space="preserve">paliw ciekłych </w:t>
            </w:r>
            <w:r w:rsidR="005170D1" w:rsidRPr="00154E08">
              <w:rPr>
                <w:rFonts w:eastAsia="Calibri" w:cs="Times New Roman"/>
                <w:color w:val="000000"/>
                <w:spacing w:val="-2"/>
                <w:sz w:val="22"/>
                <w:szCs w:val="22"/>
              </w:rPr>
              <w:t>lub</w:t>
            </w:r>
            <w:r w:rsidR="005170D1" w:rsidRPr="00154E08">
              <w:rPr>
                <w:rFonts w:eastAsia="Calibri" w:cs="Times New Roman"/>
                <w:iCs/>
                <w:color w:val="000000"/>
                <w:spacing w:val="-2"/>
                <w:sz w:val="22"/>
                <w:szCs w:val="22"/>
              </w:rPr>
              <w:t xml:space="preserve"> biopaliw ciekłych </w:t>
            </w:r>
            <w:r w:rsidR="003E2EBD" w:rsidRPr="00154E08">
              <w:rPr>
                <w:rFonts w:eastAsia="Calibri" w:cs="Times New Roman"/>
                <w:color w:val="000000"/>
                <w:spacing w:val="-2"/>
                <w:sz w:val="22"/>
                <w:szCs w:val="22"/>
              </w:rPr>
              <w:t>zu</w:t>
            </w:r>
            <w:r w:rsidR="008F4455" w:rsidRPr="00154E08">
              <w:rPr>
                <w:rFonts w:eastAsia="Calibri" w:cs="Times New Roman"/>
                <w:color w:val="000000"/>
                <w:spacing w:val="-2"/>
                <w:sz w:val="22"/>
                <w:szCs w:val="22"/>
              </w:rPr>
              <w:t>ż</w:t>
            </w:r>
            <w:r w:rsidR="003E2EBD" w:rsidRPr="00154E08">
              <w:rPr>
                <w:rFonts w:eastAsia="Calibri" w:cs="Times New Roman"/>
                <w:color w:val="000000"/>
                <w:spacing w:val="-2"/>
                <w:sz w:val="22"/>
                <w:szCs w:val="22"/>
              </w:rPr>
              <w:t>ytych</w:t>
            </w:r>
            <w:r w:rsidR="005170D1" w:rsidRPr="00154E08">
              <w:rPr>
                <w:rFonts w:eastAsia="Calibri" w:cs="Times New Roman"/>
                <w:color w:val="000000"/>
                <w:spacing w:val="-2"/>
                <w:sz w:val="22"/>
                <w:szCs w:val="22"/>
              </w:rPr>
              <w:t xml:space="preserve"> w transporcie – drogowym i kolejowym.</w:t>
            </w:r>
            <w:r w:rsidR="001E7F5B" w:rsidRPr="00154E08">
              <w:rPr>
                <w:rFonts w:eastAsia="Calibri" w:cs="Times New Roman"/>
                <w:iCs/>
                <w:color w:val="000000"/>
                <w:spacing w:val="-2"/>
                <w:sz w:val="22"/>
                <w:szCs w:val="22"/>
              </w:rPr>
              <w:t xml:space="preserve"> Zgodnie ze</w:t>
            </w:r>
            <w:r w:rsidR="008D2FC7" w:rsidRPr="00154E08">
              <w:rPr>
                <w:rFonts w:eastAsia="Calibri" w:cs="Times New Roman"/>
                <w:iCs/>
                <w:color w:val="000000"/>
                <w:spacing w:val="-2"/>
                <w:sz w:val="22"/>
                <w:szCs w:val="22"/>
              </w:rPr>
              <w:t> </w:t>
            </w:r>
            <w:r w:rsidR="001E7F5B" w:rsidRPr="00154E08">
              <w:rPr>
                <w:rFonts w:eastAsia="Calibri" w:cs="Times New Roman"/>
                <w:iCs/>
                <w:color w:val="000000"/>
                <w:spacing w:val="-2"/>
                <w:sz w:val="22"/>
                <w:szCs w:val="22"/>
              </w:rPr>
              <w:t>wskazaniem dyrektywy RED</w:t>
            </w:r>
            <w:r w:rsidR="004A585C" w:rsidRPr="00154E08">
              <w:rPr>
                <w:rFonts w:eastAsia="Calibri" w:cs="Times New Roman"/>
                <w:iCs/>
                <w:color w:val="000000"/>
                <w:spacing w:val="-2"/>
                <w:sz w:val="22"/>
                <w:szCs w:val="22"/>
              </w:rPr>
              <w:t xml:space="preserve"> </w:t>
            </w:r>
            <w:r w:rsidR="001E7F5B" w:rsidRPr="00154E08">
              <w:rPr>
                <w:rFonts w:eastAsia="Calibri" w:cs="Times New Roman"/>
                <w:iCs/>
                <w:color w:val="000000"/>
                <w:spacing w:val="-2"/>
                <w:sz w:val="22"/>
                <w:szCs w:val="22"/>
              </w:rPr>
              <w:t xml:space="preserve">II projekt ustawy </w:t>
            </w:r>
            <w:r w:rsidR="001E7F5B" w:rsidRPr="00154E08">
              <w:rPr>
                <w:rFonts w:eastAsia="Calibri" w:cs="Times New Roman"/>
                <w:color w:val="000000"/>
                <w:spacing w:val="-2"/>
                <w:sz w:val="22"/>
                <w:szCs w:val="22"/>
              </w:rPr>
              <w:t xml:space="preserve">zakłada ścieżkę dojścia dla biokomponentów zaawansowanych zużywanych w transporcie </w:t>
            </w:r>
            <w:r w:rsidR="002B6B80" w:rsidRPr="00154E08">
              <w:rPr>
                <w:rFonts w:eastAsia="Calibri" w:cs="Times New Roman"/>
                <w:color w:val="000000"/>
                <w:spacing w:val="-2"/>
                <w:sz w:val="22"/>
                <w:szCs w:val="22"/>
              </w:rPr>
              <w:t xml:space="preserve">od </w:t>
            </w:r>
            <w:r w:rsidR="001E7F5B" w:rsidRPr="00154E08">
              <w:rPr>
                <w:rFonts w:eastAsia="Calibri" w:cs="Times New Roman"/>
                <w:color w:val="000000"/>
                <w:spacing w:val="-2"/>
                <w:sz w:val="22"/>
                <w:szCs w:val="22"/>
              </w:rPr>
              <w:t>poziom</w:t>
            </w:r>
            <w:r w:rsidR="002B6B80" w:rsidRPr="00154E08">
              <w:rPr>
                <w:rFonts w:eastAsia="Calibri" w:cs="Times New Roman"/>
                <w:color w:val="000000"/>
                <w:spacing w:val="-2"/>
                <w:sz w:val="22"/>
                <w:szCs w:val="22"/>
              </w:rPr>
              <w:t>u</w:t>
            </w:r>
            <w:r w:rsidR="001E7F5B" w:rsidRPr="00154E08">
              <w:rPr>
                <w:rFonts w:eastAsia="Calibri" w:cs="Times New Roman"/>
                <w:color w:val="000000"/>
                <w:spacing w:val="-2"/>
                <w:sz w:val="22"/>
                <w:szCs w:val="22"/>
              </w:rPr>
              <w:t xml:space="preserve"> 1 % w 2025 r. </w:t>
            </w:r>
            <w:r w:rsidR="002B6B80" w:rsidRPr="00154E08">
              <w:rPr>
                <w:rFonts w:eastAsia="Calibri" w:cs="Times New Roman"/>
                <w:color w:val="000000"/>
                <w:spacing w:val="-2"/>
                <w:sz w:val="22"/>
                <w:szCs w:val="22"/>
              </w:rPr>
              <w:t>do</w:t>
            </w:r>
            <w:r w:rsidR="008D2FC7" w:rsidRPr="00154E08">
              <w:rPr>
                <w:rFonts w:eastAsia="Calibri" w:cs="Times New Roman"/>
                <w:color w:val="000000"/>
                <w:spacing w:val="-2"/>
                <w:sz w:val="22"/>
                <w:szCs w:val="22"/>
              </w:rPr>
              <w:t> </w:t>
            </w:r>
            <w:r w:rsidR="001E7F5B" w:rsidRPr="00154E08">
              <w:rPr>
                <w:rFonts w:eastAsia="Calibri" w:cs="Times New Roman"/>
                <w:color w:val="000000"/>
                <w:spacing w:val="-2"/>
                <w:sz w:val="22"/>
                <w:szCs w:val="22"/>
              </w:rPr>
              <w:t>3,5 % w</w:t>
            </w:r>
            <w:r w:rsidR="00837D94" w:rsidRPr="00154E08">
              <w:rPr>
                <w:rFonts w:eastAsia="Calibri" w:cs="Times New Roman"/>
                <w:color w:val="000000"/>
                <w:spacing w:val="-2"/>
                <w:sz w:val="22"/>
                <w:szCs w:val="22"/>
              </w:rPr>
              <w:t> </w:t>
            </w:r>
            <w:r w:rsidR="001E7F5B" w:rsidRPr="00154E08">
              <w:rPr>
                <w:rFonts w:eastAsia="Calibri" w:cs="Times New Roman"/>
                <w:color w:val="000000"/>
                <w:spacing w:val="-2"/>
                <w:sz w:val="22"/>
                <w:szCs w:val="22"/>
              </w:rPr>
              <w:t xml:space="preserve">docelowym 2030 r. </w:t>
            </w:r>
            <w:r w:rsidR="00DF1377" w:rsidRPr="00154E08">
              <w:rPr>
                <w:rFonts w:eastAsia="Calibri" w:cs="Times New Roman"/>
                <w:spacing w:val="-2"/>
                <w:sz w:val="22"/>
                <w:szCs w:val="22"/>
              </w:rPr>
              <w:t>Przyjęcie rozwiązań daje podstawę do rozwoju biopaliw II generacji.</w:t>
            </w:r>
            <w:r w:rsidR="00F64B5F" w:rsidRPr="00154E08">
              <w:rPr>
                <w:rFonts w:eastAsia="Calibri" w:cs="Times New Roman"/>
                <w:color w:val="000000"/>
                <w:spacing w:val="-2"/>
                <w:sz w:val="22"/>
                <w:szCs w:val="22"/>
              </w:rPr>
              <w:t xml:space="preserve"> </w:t>
            </w:r>
          </w:p>
          <w:p w14:paraId="3E2640A5" w14:textId="4CBC21E6" w:rsidR="007F6C31" w:rsidRPr="00154E08" w:rsidRDefault="00B33BD7" w:rsidP="00B279FD">
            <w:pPr>
              <w:spacing w:after="120" w:line="240" w:lineRule="auto"/>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W rozliczeniu celu </w:t>
            </w:r>
            <w:r w:rsidR="005170D1" w:rsidRPr="00154E08">
              <w:rPr>
                <w:rFonts w:eastAsia="Calibri" w:cs="Times New Roman"/>
                <w:color w:val="000000"/>
                <w:spacing w:val="-2"/>
                <w:sz w:val="22"/>
                <w:szCs w:val="22"/>
              </w:rPr>
              <w:t>minimalnego udziału</w:t>
            </w:r>
            <w:r w:rsidR="00684A87" w:rsidRPr="00154E08">
              <w:rPr>
                <w:rFonts w:eastAsia="Calibri" w:cs="Times New Roman"/>
                <w:color w:val="000000"/>
                <w:spacing w:val="-2"/>
                <w:sz w:val="22"/>
                <w:szCs w:val="22"/>
              </w:rPr>
              <w:t xml:space="preserve"> </w:t>
            </w:r>
            <w:r w:rsidR="00E6293A" w:rsidRPr="00154E08">
              <w:rPr>
                <w:rFonts w:eastAsia="Calibri" w:cs="Times New Roman"/>
                <w:color w:val="000000"/>
                <w:spacing w:val="-2"/>
                <w:sz w:val="22"/>
                <w:szCs w:val="22"/>
              </w:rPr>
              <w:t xml:space="preserve">paliw zaawansowanych może być wykorzystany </w:t>
            </w:r>
            <w:r w:rsidR="00C729A8" w:rsidRPr="00154E08">
              <w:rPr>
                <w:rFonts w:eastAsia="Calibri" w:cs="Times New Roman"/>
                <w:color w:val="000000"/>
                <w:spacing w:val="-2"/>
                <w:sz w:val="22"/>
                <w:szCs w:val="22"/>
              </w:rPr>
              <w:t xml:space="preserve">także </w:t>
            </w:r>
            <w:proofErr w:type="spellStart"/>
            <w:r w:rsidR="005170D1" w:rsidRPr="00154E08">
              <w:rPr>
                <w:rFonts w:eastAsia="Calibri" w:cs="Times New Roman"/>
                <w:color w:val="000000"/>
                <w:spacing w:val="-2"/>
                <w:sz w:val="22"/>
                <w:szCs w:val="22"/>
              </w:rPr>
              <w:t>biometan</w:t>
            </w:r>
            <w:proofErr w:type="spellEnd"/>
            <w:r w:rsidR="005170D1" w:rsidRPr="00154E08">
              <w:rPr>
                <w:rFonts w:eastAsia="Calibri" w:cs="Times New Roman"/>
                <w:color w:val="000000"/>
                <w:spacing w:val="-2"/>
                <w:sz w:val="22"/>
                <w:szCs w:val="22"/>
              </w:rPr>
              <w:t xml:space="preserve"> </w:t>
            </w:r>
            <w:r w:rsidR="00C729A8" w:rsidRPr="00154E08">
              <w:rPr>
                <w:rFonts w:eastAsia="Calibri" w:cs="Times New Roman"/>
                <w:color w:val="000000"/>
                <w:spacing w:val="-2"/>
                <w:sz w:val="22"/>
                <w:szCs w:val="22"/>
              </w:rPr>
              <w:t>zaawansowany używany</w:t>
            </w:r>
            <w:r w:rsidR="00E6293A" w:rsidRPr="00154E08">
              <w:rPr>
                <w:rFonts w:eastAsia="Calibri" w:cs="Times New Roman"/>
                <w:color w:val="000000"/>
                <w:spacing w:val="-2"/>
                <w:sz w:val="22"/>
                <w:szCs w:val="22"/>
              </w:rPr>
              <w:t xml:space="preserve"> </w:t>
            </w:r>
            <w:r w:rsidR="00C729A8" w:rsidRPr="00154E08">
              <w:rPr>
                <w:rFonts w:eastAsia="Calibri" w:cs="Times New Roman"/>
                <w:color w:val="000000"/>
                <w:spacing w:val="-2"/>
                <w:sz w:val="22"/>
                <w:szCs w:val="22"/>
              </w:rPr>
              <w:t>do</w:t>
            </w:r>
            <w:r w:rsidR="005325E2" w:rsidRPr="00154E08">
              <w:rPr>
                <w:rFonts w:eastAsia="Calibri" w:cs="Times New Roman"/>
                <w:color w:val="000000"/>
                <w:spacing w:val="-2"/>
                <w:sz w:val="22"/>
                <w:szCs w:val="22"/>
              </w:rPr>
              <w:t xml:space="preserve"> produkcji </w:t>
            </w:r>
            <w:proofErr w:type="spellStart"/>
            <w:r w:rsidR="005325E2" w:rsidRPr="00154E08">
              <w:rPr>
                <w:rFonts w:eastAsia="Calibri" w:cs="Times New Roman"/>
                <w:color w:val="000000"/>
                <w:spacing w:val="-2"/>
                <w:sz w:val="22"/>
                <w:szCs w:val="22"/>
              </w:rPr>
              <w:t>biowodoru</w:t>
            </w:r>
            <w:proofErr w:type="spellEnd"/>
            <w:r w:rsidR="000D0AD0" w:rsidRPr="00154E08">
              <w:rPr>
                <w:rFonts w:eastAsia="Calibri" w:cs="Times New Roman"/>
                <w:color w:val="000000"/>
                <w:spacing w:val="-2"/>
                <w:sz w:val="22"/>
                <w:szCs w:val="22"/>
              </w:rPr>
              <w:t>, który jest</w:t>
            </w:r>
            <w:r w:rsidR="005325E2" w:rsidRPr="00154E08">
              <w:rPr>
                <w:rFonts w:eastAsia="Calibri" w:cs="Times New Roman"/>
                <w:color w:val="000000"/>
                <w:spacing w:val="-2"/>
                <w:sz w:val="22"/>
                <w:szCs w:val="22"/>
              </w:rPr>
              <w:t xml:space="preserve"> </w:t>
            </w:r>
            <w:r w:rsidR="0015687B" w:rsidRPr="00154E08">
              <w:rPr>
                <w:rFonts w:eastAsia="Calibri" w:cs="Times New Roman"/>
                <w:color w:val="000000"/>
                <w:spacing w:val="-2"/>
                <w:sz w:val="22"/>
                <w:szCs w:val="22"/>
              </w:rPr>
              <w:t>zuż</w:t>
            </w:r>
            <w:r w:rsidR="003317A9" w:rsidRPr="00154E08">
              <w:rPr>
                <w:rFonts w:eastAsia="Calibri" w:cs="Times New Roman"/>
                <w:color w:val="000000"/>
                <w:spacing w:val="-2"/>
                <w:sz w:val="22"/>
                <w:szCs w:val="22"/>
              </w:rPr>
              <w:t>ywan</w:t>
            </w:r>
            <w:r w:rsidR="000D0AD0" w:rsidRPr="00154E08">
              <w:rPr>
                <w:rFonts w:eastAsia="Calibri" w:cs="Times New Roman"/>
                <w:color w:val="000000"/>
                <w:spacing w:val="-2"/>
                <w:sz w:val="22"/>
                <w:szCs w:val="22"/>
              </w:rPr>
              <w:t>y</w:t>
            </w:r>
            <w:r w:rsidR="003317A9" w:rsidRPr="00154E08">
              <w:rPr>
                <w:rFonts w:eastAsia="Calibri" w:cs="Times New Roman"/>
                <w:color w:val="000000"/>
                <w:spacing w:val="-2"/>
                <w:sz w:val="22"/>
                <w:szCs w:val="22"/>
              </w:rPr>
              <w:t xml:space="preserve"> </w:t>
            </w:r>
            <w:r w:rsidR="000D0AD0" w:rsidRPr="00154E08">
              <w:rPr>
                <w:rFonts w:eastAsia="Calibri" w:cs="Times New Roman"/>
                <w:color w:val="000000"/>
                <w:spacing w:val="-2"/>
                <w:sz w:val="22"/>
                <w:szCs w:val="22"/>
              </w:rPr>
              <w:t>przy</w:t>
            </w:r>
            <w:r w:rsidR="003317A9" w:rsidRPr="00154E08">
              <w:rPr>
                <w:rFonts w:eastAsia="Calibri" w:cs="Times New Roman"/>
                <w:color w:val="000000"/>
                <w:spacing w:val="-2"/>
                <w:sz w:val="22"/>
                <w:szCs w:val="22"/>
              </w:rPr>
              <w:t xml:space="preserve"> produkcji paliw </w:t>
            </w:r>
            <w:r w:rsidR="009A317F" w:rsidRPr="00154E08">
              <w:rPr>
                <w:rFonts w:eastAsia="Calibri" w:cs="Times New Roman"/>
                <w:color w:val="000000"/>
                <w:spacing w:val="-2"/>
                <w:sz w:val="22"/>
                <w:szCs w:val="22"/>
              </w:rPr>
              <w:t xml:space="preserve">lub </w:t>
            </w:r>
            <w:proofErr w:type="spellStart"/>
            <w:r w:rsidR="00B612DE" w:rsidRPr="00154E08">
              <w:rPr>
                <w:rFonts w:eastAsia="Calibri" w:cs="Times New Roman"/>
                <w:color w:val="000000"/>
                <w:spacing w:val="-2"/>
                <w:sz w:val="22"/>
                <w:szCs w:val="22"/>
              </w:rPr>
              <w:t>biometan</w:t>
            </w:r>
            <w:proofErr w:type="spellEnd"/>
            <w:r w:rsidR="00B612DE" w:rsidRPr="00154E08">
              <w:rPr>
                <w:rFonts w:eastAsia="Calibri" w:cs="Times New Roman"/>
                <w:color w:val="000000"/>
                <w:spacing w:val="-2"/>
                <w:sz w:val="22"/>
                <w:szCs w:val="22"/>
              </w:rPr>
              <w:t xml:space="preserve"> </w:t>
            </w:r>
            <w:r w:rsidR="009A317F" w:rsidRPr="00154E08">
              <w:rPr>
                <w:rFonts w:eastAsia="Calibri" w:cs="Times New Roman"/>
                <w:color w:val="000000"/>
                <w:spacing w:val="-2"/>
                <w:sz w:val="22"/>
                <w:szCs w:val="22"/>
              </w:rPr>
              <w:t>wykorzystan</w:t>
            </w:r>
            <w:r w:rsidR="00C729A8" w:rsidRPr="00154E08">
              <w:rPr>
                <w:rFonts w:eastAsia="Calibri" w:cs="Times New Roman"/>
                <w:color w:val="000000"/>
                <w:spacing w:val="-2"/>
                <w:sz w:val="22"/>
                <w:szCs w:val="22"/>
              </w:rPr>
              <w:t>y</w:t>
            </w:r>
            <w:r w:rsidR="009A317F" w:rsidRPr="00154E08">
              <w:rPr>
                <w:rFonts w:eastAsia="Calibri" w:cs="Times New Roman"/>
                <w:color w:val="000000"/>
                <w:spacing w:val="-2"/>
                <w:sz w:val="22"/>
                <w:szCs w:val="22"/>
              </w:rPr>
              <w:t xml:space="preserve"> w postaci </w:t>
            </w:r>
            <w:r w:rsidR="00C23157" w:rsidRPr="00154E08">
              <w:rPr>
                <w:rFonts w:eastAsia="Calibri" w:cs="Times New Roman"/>
                <w:color w:val="000000"/>
                <w:spacing w:val="-2"/>
                <w:sz w:val="22"/>
                <w:szCs w:val="22"/>
              </w:rPr>
              <w:t xml:space="preserve">paliwa samoistnego </w:t>
            </w:r>
            <w:proofErr w:type="spellStart"/>
            <w:r w:rsidR="00C23157" w:rsidRPr="00154E08">
              <w:rPr>
                <w:rFonts w:eastAsia="Calibri" w:cs="Times New Roman"/>
                <w:color w:val="000000"/>
                <w:spacing w:val="-2"/>
                <w:sz w:val="22"/>
                <w:szCs w:val="22"/>
              </w:rPr>
              <w:t>bio</w:t>
            </w:r>
            <w:r w:rsidR="009A317F" w:rsidRPr="00154E08">
              <w:rPr>
                <w:rFonts w:eastAsia="Calibri" w:cs="Times New Roman"/>
                <w:color w:val="000000"/>
                <w:spacing w:val="-2"/>
                <w:sz w:val="22"/>
                <w:szCs w:val="22"/>
              </w:rPr>
              <w:t>CNG</w:t>
            </w:r>
            <w:proofErr w:type="spellEnd"/>
            <w:r w:rsidR="009A317F" w:rsidRPr="00154E08">
              <w:rPr>
                <w:rFonts w:eastAsia="Calibri" w:cs="Times New Roman"/>
                <w:color w:val="000000"/>
                <w:spacing w:val="-2"/>
                <w:sz w:val="22"/>
                <w:szCs w:val="22"/>
              </w:rPr>
              <w:t xml:space="preserve"> oraz </w:t>
            </w:r>
            <w:proofErr w:type="spellStart"/>
            <w:r w:rsidR="00C23157" w:rsidRPr="00154E08">
              <w:rPr>
                <w:rFonts w:eastAsia="Calibri" w:cs="Times New Roman"/>
                <w:color w:val="000000"/>
                <w:spacing w:val="-2"/>
                <w:sz w:val="22"/>
                <w:szCs w:val="22"/>
              </w:rPr>
              <w:t>bio</w:t>
            </w:r>
            <w:r w:rsidR="009A317F" w:rsidRPr="00154E08">
              <w:rPr>
                <w:rFonts w:eastAsia="Calibri" w:cs="Times New Roman"/>
                <w:color w:val="000000"/>
                <w:spacing w:val="-2"/>
                <w:sz w:val="22"/>
                <w:szCs w:val="22"/>
              </w:rPr>
              <w:t>LNG</w:t>
            </w:r>
            <w:proofErr w:type="spellEnd"/>
            <w:r w:rsidR="00B612DE" w:rsidRPr="00154E08">
              <w:rPr>
                <w:rFonts w:eastAsia="Calibri" w:cs="Times New Roman"/>
                <w:color w:val="000000"/>
                <w:spacing w:val="-2"/>
                <w:sz w:val="22"/>
                <w:szCs w:val="22"/>
              </w:rPr>
              <w:t>,</w:t>
            </w:r>
            <w:r w:rsidR="001253B1" w:rsidRPr="00154E08">
              <w:rPr>
                <w:rFonts w:eastAsia="Calibri" w:cs="Times New Roman"/>
                <w:color w:val="000000"/>
                <w:spacing w:val="-2"/>
                <w:sz w:val="22"/>
                <w:szCs w:val="22"/>
              </w:rPr>
              <w:t xml:space="preserve"> jako zamiennik</w:t>
            </w:r>
            <w:r w:rsidR="00726AEB" w:rsidRPr="00154E08">
              <w:rPr>
                <w:rFonts w:eastAsia="Calibri" w:cs="Times New Roman"/>
                <w:color w:val="000000"/>
                <w:spacing w:val="-2"/>
                <w:sz w:val="22"/>
                <w:szCs w:val="22"/>
              </w:rPr>
              <w:t xml:space="preserve"> </w:t>
            </w:r>
            <w:r w:rsidR="001253B1" w:rsidRPr="00154E08">
              <w:rPr>
                <w:rFonts w:eastAsia="Calibri" w:cs="Times New Roman"/>
                <w:color w:val="000000"/>
                <w:spacing w:val="-2"/>
                <w:sz w:val="22"/>
                <w:szCs w:val="22"/>
              </w:rPr>
              <w:t xml:space="preserve">kopalnego </w:t>
            </w:r>
            <w:r w:rsidR="00052729" w:rsidRPr="00154E08">
              <w:rPr>
                <w:rFonts w:eastAsia="Calibri" w:cs="Times New Roman"/>
                <w:color w:val="000000"/>
                <w:spacing w:val="-2"/>
                <w:sz w:val="22"/>
                <w:szCs w:val="22"/>
              </w:rPr>
              <w:t>odpowiednika</w:t>
            </w:r>
            <w:r w:rsidR="003D42C2" w:rsidRPr="00154E08">
              <w:rPr>
                <w:rFonts w:eastAsia="Calibri" w:cs="Times New Roman"/>
                <w:color w:val="000000"/>
                <w:spacing w:val="-2"/>
                <w:sz w:val="22"/>
                <w:szCs w:val="22"/>
              </w:rPr>
              <w:t>.</w:t>
            </w:r>
            <w:r w:rsidR="00BC523C" w:rsidRPr="00154E08">
              <w:rPr>
                <w:rFonts w:eastAsia="Calibri" w:cs="Times New Roman"/>
                <w:color w:val="000000"/>
                <w:spacing w:val="-2"/>
                <w:sz w:val="22"/>
                <w:szCs w:val="22"/>
              </w:rPr>
              <w:t xml:space="preserve"> </w:t>
            </w:r>
            <w:proofErr w:type="spellStart"/>
            <w:r w:rsidR="005120A8" w:rsidRPr="00154E08">
              <w:rPr>
                <w:rFonts w:eastAsia="Calibri" w:cs="Times New Roman"/>
                <w:color w:val="000000"/>
                <w:spacing w:val="-2"/>
                <w:sz w:val="22"/>
                <w:szCs w:val="22"/>
              </w:rPr>
              <w:t>B</w:t>
            </w:r>
            <w:r w:rsidR="00BC523C" w:rsidRPr="00154E08">
              <w:rPr>
                <w:rFonts w:eastAsia="Calibri" w:cs="Times New Roman"/>
                <w:color w:val="000000"/>
                <w:spacing w:val="-2"/>
                <w:sz w:val="22"/>
                <w:szCs w:val="22"/>
              </w:rPr>
              <w:t>iometan</w:t>
            </w:r>
            <w:proofErr w:type="spellEnd"/>
            <w:r w:rsidR="00BC523C" w:rsidRPr="00154E08">
              <w:rPr>
                <w:rFonts w:eastAsia="Calibri" w:cs="Times New Roman"/>
                <w:color w:val="000000"/>
                <w:spacing w:val="-2"/>
                <w:sz w:val="22"/>
                <w:szCs w:val="22"/>
              </w:rPr>
              <w:t xml:space="preserve"> </w:t>
            </w:r>
            <w:r w:rsidR="005120A8" w:rsidRPr="00154E08">
              <w:rPr>
                <w:rFonts w:eastAsia="Calibri" w:cs="Times New Roman"/>
                <w:color w:val="000000"/>
                <w:spacing w:val="-2"/>
                <w:sz w:val="22"/>
                <w:szCs w:val="22"/>
              </w:rPr>
              <w:t xml:space="preserve">stosowany </w:t>
            </w:r>
            <w:r w:rsidR="00BC523C" w:rsidRPr="00154E08">
              <w:rPr>
                <w:rFonts w:eastAsia="Calibri" w:cs="Times New Roman"/>
                <w:color w:val="000000"/>
                <w:spacing w:val="-2"/>
                <w:sz w:val="22"/>
                <w:szCs w:val="22"/>
              </w:rPr>
              <w:t xml:space="preserve">w procesie produkcji </w:t>
            </w:r>
            <w:r w:rsidR="00BC523C" w:rsidRPr="00154E08">
              <w:rPr>
                <w:rFonts w:eastAsia="Calibri" w:cs="Times New Roman"/>
                <w:color w:val="000000"/>
                <w:spacing w:val="-2"/>
                <w:sz w:val="22"/>
                <w:szCs w:val="22"/>
              </w:rPr>
              <w:lastRenderedPageBreak/>
              <w:t>paliw pozw</w:t>
            </w:r>
            <w:r w:rsidR="00B612DE" w:rsidRPr="00154E08">
              <w:rPr>
                <w:rFonts w:eastAsia="Calibri" w:cs="Times New Roman"/>
                <w:color w:val="000000"/>
                <w:spacing w:val="-2"/>
                <w:sz w:val="22"/>
                <w:szCs w:val="22"/>
              </w:rPr>
              <w:t>ala</w:t>
            </w:r>
            <w:r w:rsidR="00BC523C" w:rsidRPr="00154E08">
              <w:rPr>
                <w:rFonts w:eastAsia="Calibri" w:cs="Times New Roman"/>
                <w:color w:val="000000"/>
                <w:spacing w:val="-2"/>
                <w:sz w:val="22"/>
                <w:szCs w:val="22"/>
              </w:rPr>
              <w:t xml:space="preserve"> zastępowanie gazu ziemnego</w:t>
            </w:r>
            <w:r w:rsidR="00A302C5" w:rsidRPr="00154E08">
              <w:rPr>
                <w:rFonts w:eastAsia="Calibri" w:cs="Times New Roman"/>
                <w:color w:val="000000"/>
                <w:spacing w:val="-2"/>
                <w:sz w:val="22"/>
                <w:szCs w:val="22"/>
              </w:rPr>
              <w:t xml:space="preserve"> (GZ)</w:t>
            </w:r>
            <w:r w:rsidR="00303725" w:rsidRPr="00154E08">
              <w:rPr>
                <w:rFonts w:eastAsia="Calibri" w:cs="Times New Roman"/>
                <w:color w:val="000000"/>
                <w:spacing w:val="-2"/>
                <w:sz w:val="22"/>
                <w:szCs w:val="22"/>
              </w:rPr>
              <w:t xml:space="preserve"> i</w:t>
            </w:r>
            <w:r w:rsidR="00A302C5" w:rsidRPr="00154E08">
              <w:rPr>
                <w:rFonts w:eastAsia="Calibri" w:cs="Times New Roman"/>
                <w:color w:val="000000"/>
                <w:spacing w:val="-2"/>
                <w:sz w:val="22"/>
                <w:szCs w:val="22"/>
              </w:rPr>
              <w:t xml:space="preserve"> redukcję emisji z</w:t>
            </w:r>
            <w:r w:rsidR="0064153C" w:rsidRPr="00154E08">
              <w:rPr>
                <w:rFonts w:eastAsia="Calibri" w:cs="Times New Roman"/>
                <w:color w:val="000000"/>
                <w:spacing w:val="-2"/>
                <w:sz w:val="22"/>
                <w:szCs w:val="22"/>
              </w:rPr>
              <w:t> </w:t>
            </w:r>
            <w:r w:rsidR="00A302C5" w:rsidRPr="00154E08">
              <w:rPr>
                <w:rFonts w:eastAsia="Calibri" w:cs="Times New Roman"/>
                <w:color w:val="000000"/>
                <w:spacing w:val="-2"/>
                <w:sz w:val="22"/>
                <w:szCs w:val="22"/>
              </w:rPr>
              <w:t>tradycyjnych paliw transport</w:t>
            </w:r>
            <w:r w:rsidR="0064153C" w:rsidRPr="00154E08">
              <w:rPr>
                <w:rFonts w:eastAsia="Calibri" w:cs="Times New Roman"/>
                <w:color w:val="000000"/>
                <w:spacing w:val="-2"/>
                <w:sz w:val="22"/>
                <w:szCs w:val="22"/>
              </w:rPr>
              <w:t>owych</w:t>
            </w:r>
            <w:r w:rsidR="0034786E" w:rsidRPr="00154E08">
              <w:rPr>
                <w:rFonts w:eastAsia="Calibri" w:cs="Times New Roman"/>
                <w:color w:val="000000"/>
                <w:spacing w:val="-2"/>
                <w:sz w:val="22"/>
                <w:szCs w:val="22"/>
              </w:rPr>
              <w:t>.</w:t>
            </w:r>
          </w:p>
          <w:p w14:paraId="5E729B69" w14:textId="070D5197" w:rsidR="00B17328" w:rsidRPr="00154E08" w:rsidRDefault="007F6C31" w:rsidP="00B279FD">
            <w:pPr>
              <w:spacing w:after="120" w:line="240" w:lineRule="auto"/>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Zakłada się wykorzystanie ok. 150 - 300 tys. Nm3 rocznie </w:t>
            </w:r>
            <w:proofErr w:type="spellStart"/>
            <w:r w:rsidRPr="00154E08">
              <w:rPr>
                <w:rFonts w:eastAsia="Calibri" w:cs="Times New Roman"/>
                <w:color w:val="000000"/>
                <w:spacing w:val="-2"/>
                <w:sz w:val="22"/>
                <w:szCs w:val="22"/>
              </w:rPr>
              <w:t>biometanu</w:t>
            </w:r>
            <w:proofErr w:type="spellEnd"/>
            <w:r w:rsidRPr="00154E08">
              <w:rPr>
                <w:rFonts w:eastAsia="Calibri" w:cs="Times New Roman"/>
                <w:color w:val="000000"/>
                <w:spacing w:val="-2"/>
                <w:sz w:val="22"/>
                <w:szCs w:val="22"/>
              </w:rPr>
              <w:t xml:space="preserve"> jako paliwa samoistnego – substytutu LNG lub CNG (estymacje własne), w oparciu o dobrowolne decyzje podmiotów zobowiązanych. Duży potencjał redukcyjny </w:t>
            </w:r>
            <w:proofErr w:type="spellStart"/>
            <w:r w:rsidRPr="00154E08">
              <w:rPr>
                <w:rFonts w:eastAsia="Calibri" w:cs="Times New Roman"/>
                <w:color w:val="000000"/>
                <w:spacing w:val="-2"/>
                <w:sz w:val="22"/>
                <w:szCs w:val="22"/>
              </w:rPr>
              <w:t>biometanu</w:t>
            </w:r>
            <w:proofErr w:type="spellEnd"/>
            <w:r w:rsidRPr="00154E08">
              <w:rPr>
                <w:rFonts w:eastAsia="Calibri" w:cs="Times New Roman"/>
                <w:color w:val="000000"/>
                <w:spacing w:val="-2"/>
                <w:sz w:val="22"/>
                <w:szCs w:val="22"/>
              </w:rPr>
              <w:t xml:space="preserve"> jako paliwa samoistnego, może wspomagać realizację celów redukcji wynikających obecnie ze stosowania gazu ziemnego. </w:t>
            </w:r>
          </w:p>
          <w:p w14:paraId="3DCB37C1" w14:textId="2C7AFEB5" w:rsidR="006B13F8" w:rsidRPr="00154E08" w:rsidRDefault="00051C52" w:rsidP="00B279FD">
            <w:pPr>
              <w:spacing w:after="120" w:line="240" w:lineRule="auto"/>
              <w:jc w:val="both"/>
              <w:rPr>
                <w:rFonts w:eastAsia="Calibri" w:cs="Times New Roman"/>
                <w:sz w:val="22"/>
                <w:szCs w:val="22"/>
              </w:rPr>
            </w:pPr>
            <w:r w:rsidRPr="00154E08">
              <w:rPr>
                <w:rFonts w:eastAsia="Calibri" w:cs="Times New Roman"/>
                <w:color w:val="000000"/>
                <w:sz w:val="22"/>
                <w:szCs w:val="22"/>
              </w:rPr>
              <w:t>W</w:t>
            </w:r>
            <w:r w:rsidR="002621C9" w:rsidRPr="00154E08">
              <w:rPr>
                <w:rFonts w:eastAsia="Calibri" w:cs="Times New Roman"/>
                <w:color w:val="000000"/>
                <w:sz w:val="22"/>
                <w:szCs w:val="22"/>
              </w:rPr>
              <w:t xml:space="preserve">ykorzystanie </w:t>
            </w:r>
            <w:proofErr w:type="spellStart"/>
            <w:r w:rsidR="002621C9" w:rsidRPr="00154E08">
              <w:rPr>
                <w:rFonts w:eastAsia="Calibri" w:cs="Times New Roman"/>
                <w:color w:val="000000"/>
                <w:sz w:val="22"/>
                <w:szCs w:val="22"/>
              </w:rPr>
              <w:t>biometanu</w:t>
            </w:r>
            <w:proofErr w:type="spellEnd"/>
            <w:r w:rsidR="002621C9" w:rsidRPr="00154E08">
              <w:rPr>
                <w:rFonts w:eastAsia="Calibri" w:cs="Times New Roman"/>
                <w:color w:val="000000"/>
                <w:sz w:val="22"/>
                <w:szCs w:val="22"/>
              </w:rPr>
              <w:t xml:space="preserve"> w</w:t>
            </w:r>
            <w:r w:rsidR="00DD1A3A" w:rsidRPr="00154E08">
              <w:rPr>
                <w:rFonts w:eastAsia="Calibri" w:cs="Times New Roman"/>
                <w:color w:val="000000"/>
                <w:sz w:val="22"/>
                <w:szCs w:val="22"/>
              </w:rPr>
              <w:t> </w:t>
            </w:r>
            <w:r w:rsidR="002621C9" w:rsidRPr="00154E08">
              <w:rPr>
                <w:rFonts w:eastAsia="Calibri" w:cs="Times New Roman"/>
                <w:color w:val="000000"/>
                <w:sz w:val="22"/>
                <w:szCs w:val="22"/>
              </w:rPr>
              <w:t xml:space="preserve">postaci </w:t>
            </w:r>
            <w:r w:rsidR="00DD1A3A" w:rsidRPr="00154E08">
              <w:rPr>
                <w:rFonts w:eastAsia="Calibri" w:cs="Times New Roman"/>
                <w:color w:val="000000"/>
                <w:sz w:val="22"/>
                <w:szCs w:val="22"/>
              </w:rPr>
              <w:t xml:space="preserve">paliwa samoistnego </w:t>
            </w:r>
            <w:proofErr w:type="spellStart"/>
            <w:r w:rsidR="002621C9" w:rsidRPr="00154E08">
              <w:rPr>
                <w:rFonts w:eastAsia="Calibri" w:cs="Times New Roman"/>
                <w:color w:val="000000"/>
                <w:sz w:val="22"/>
                <w:szCs w:val="22"/>
              </w:rPr>
              <w:t>bioCNG</w:t>
            </w:r>
            <w:proofErr w:type="spellEnd"/>
            <w:r w:rsidR="002621C9" w:rsidRPr="00154E08">
              <w:rPr>
                <w:rFonts w:eastAsia="Calibri" w:cs="Times New Roman"/>
                <w:color w:val="000000"/>
                <w:sz w:val="22"/>
                <w:szCs w:val="22"/>
              </w:rPr>
              <w:t>/</w:t>
            </w:r>
            <w:proofErr w:type="spellStart"/>
            <w:r w:rsidR="002621C9" w:rsidRPr="00154E08">
              <w:rPr>
                <w:rFonts w:eastAsia="Calibri" w:cs="Times New Roman"/>
                <w:color w:val="000000"/>
                <w:sz w:val="22"/>
                <w:szCs w:val="22"/>
              </w:rPr>
              <w:t>bioLNG</w:t>
            </w:r>
            <w:proofErr w:type="spellEnd"/>
            <w:r w:rsidR="002621C9" w:rsidRPr="00154E08">
              <w:rPr>
                <w:rFonts w:eastAsia="Calibri" w:cs="Times New Roman"/>
                <w:color w:val="000000"/>
                <w:sz w:val="22"/>
                <w:szCs w:val="22"/>
              </w:rPr>
              <w:t xml:space="preserve"> pozwala na efektywn</w:t>
            </w:r>
            <w:r w:rsidR="008D2FC7" w:rsidRPr="00154E08">
              <w:rPr>
                <w:rFonts w:eastAsia="Calibri" w:cs="Times New Roman"/>
                <w:color w:val="000000"/>
                <w:sz w:val="22"/>
                <w:szCs w:val="22"/>
              </w:rPr>
              <w:t>iejsze</w:t>
            </w:r>
            <w:r w:rsidR="00684A87" w:rsidRPr="00154E08">
              <w:rPr>
                <w:rFonts w:eastAsia="Calibri" w:cs="Times New Roman"/>
                <w:color w:val="000000"/>
                <w:sz w:val="22"/>
                <w:szCs w:val="22"/>
              </w:rPr>
              <w:t xml:space="preserve"> </w:t>
            </w:r>
            <w:r w:rsidR="002621C9" w:rsidRPr="00154E08">
              <w:rPr>
                <w:rFonts w:eastAsia="Calibri" w:cs="Times New Roman"/>
                <w:color w:val="000000"/>
                <w:sz w:val="22"/>
                <w:szCs w:val="22"/>
              </w:rPr>
              <w:t xml:space="preserve">rozliczenie NCW </w:t>
            </w:r>
            <w:r w:rsidR="008D2FC7" w:rsidRPr="00154E08">
              <w:rPr>
                <w:rFonts w:eastAsia="Calibri" w:cs="Times New Roman"/>
                <w:color w:val="000000"/>
                <w:sz w:val="22"/>
                <w:szCs w:val="22"/>
              </w:rPr>
              <w:t>niż</w:t>
            </w:r>
            <w:r w:rsidR="005C5995" w:rsidRPr="00154E08">
              <w:rPr>
                <w:rFonts w:eastAsia="Calibri" w:cs="Times New Roman"/>
                <w:color w:val="000000"/>
                <w:sz w:val="22"/>
                <w:szCs w:val="22"/>
              </w:rPr>
              <w:t> </w:t>
            </w:r>
            <w:r w:rsidR="002621C9" w:rsidRPr="00154E08">
              <w:rPr>
                <w:rFonts w:eastAsia="Calibri" w:cs="Times New Roman"/>
                <w:color w:val="000000"/>
                <w:sz w:val="22"/>
                <w:szCs w:val="22"/>
              </w:rPr>
              <w:t>przetwarzani</w:t>
            </w:r>
            <w:r w:rsidR="008D2FC7" w:rsidRPr="00154E08">
              <w:rPr>
                <w:rFonts w:eastAsia="Calibri" w:cs="Times New Roman"/>
                <w:color w:val="000000"/>
                <w:sz w:val="22"/>
                <w:szCs w:val="22"/>
              </w:rPr>
              <w:t xml:space="preserve">e </w:t>
            </w:r>
            <w:proofErr w:type="spellStart"/>
            <w:r w:rsidR="008D2FC7" w:rsidRPr="00154E08">
              <w:rPr>
                <w:rFonts w:eastAsia="Calibri" w:cs="Times New Roman"/>
                <w:color w:val="000000"/>
                <w:sz w:val="22"/>
                <w:szCs w:val="22"/>
              </w:rPr>
              <w:t>biometanu</w:t>
            </w:r>
            <w:proofErr w:type="spellEnd"/>
            <w:r w:rsidR="002621C9" w:rsidRPr="00154E08">
              <w:rPr>
                <w:rFonts w:eastAsia="Calibri" w:cs="Times New Roman"/>
                <w:color w:val="000000"/>
                <w:sz w:val="22"/>
                <w:szCs w:val="22"/>
              </w:rPr>
              <w:t xml:space="preserve"> w</w:t>
            </w:r>
            <w:r w:rsidR="005C5995" w:rsidRPr="00154E08">
              <w:rPr>
                <w:rFonts w:eastAsia="Calibri" w:cs="Times New Roman"/>
                <w:color w:val="000000"/>
                <w:sz w:val="22"/>
                <w:szCs w:val="22"/>
              </w:rPr>
              <w:t> </w:t>
            </w:r>
            <w:r w:rsidR="002621C9" w:rsidRPr="00154E08">
              <w:rPr>
                <w:rFonts w:eastAsia="Calibri" w:cs="Times New Roman"/>
                <w:color w:val="000000"/>
                <w:sz w:val="22"/>
                <w:szCs w:val="22"/>
              </w:rPr>
              <w:t xml:space="preserve">procesach rafineryjnych </w:t>
            </w:r>
            <w:r w:rsidR="002621C9" w:rsidRPr="00154E08">
              <w:rPr>
                <w:rFonts w:eastAsia="Calibri" w:cs="Times New Roman"/>
                <w:sz w:val="22"/>
                <w:szCs w:val="22"/>
              </w:rPr>
              <w:t>(efektywność</w:t>
            </w:r>
            <w:r w:rsidR="001E75CB" w:rsidRPr="00154E08">
              <w:rPr>
                <w:rFonts w:eastAsia="Calibri" w:cs="Times New Roman"/>
                <w:sz w:val="22"/>
                <w:szCs w:val="22"/>
              </w:rPr>
              <w:t xml:space="preserve"> </w:t>
            </w:r>
            <w:r w:rsidR="002621C9" w:rsidRPr="00154E08">
              <w:rPr>
                <w:rFonts w:eastAsia="Calibri" w:cs="Times New Roman"/>
                <w:sz w:val="22"/>
                <w:szCs w:val="22"/>
              </w:rPr>
              <w:t xml:space="preserve">wykorzystania </w:t>
            </w:r>
            <w:proofErr w:type="spellStart"/>
            <w:r w:rsidR="002621C9" w:rsidRPr="00154E08">
              <w:rPr>
                <w:rFonts w:eastAsia="Calibri" w:cs="Times New Roman"/>
                <w:sz w:val="22"/>
                <w:szCs w:val="22"/>
              </w:rPr>
              <w:t>biowodoru</w:t>
            </w:r>
            <w:proofErr w:type="spellEnd"/>
            <w:r w:rsidR="002621C9" w:rsidRPr="00154E08">
              <w:rPr>
                <w:rFonts w:eastAsia="Calibri" w:cs="Times New Roman"/>
                <w:sz w:val="22"/>
                <w:szCs w:val="22"/>
              </w:rPr>
              <w:t xml:space="preserve"> z</w:t>
            </w:r>
            <w:r w:rsidR="008629D2" w:rsidRPr="00154E08">
              <w:rPr>
                <w:rFonts w:eastAsia="Calibri" w:cs="Times New Roman"/>
                <w:sz w:val="22"/>
                <w:szCs w:val="22"/>
              </w:rPr>
              <w:t> </w:t>
            </w:r>
            <w:proofErr w:type="spellStart"/>
            <w:r w:rsidR="002621C9" w:rsidRPr="00154E08">
              <w:rPr>
                <w:rFonts w:eastAsia="Calibri" w:cs="Times New Roman"/>
                <w:sz w:val="22"/>
                <w:szCs w:val="22"/>
              </w:rPr>
              <w:t>biometanu</w:t>
            </w:r>
            <w:proofErr w:type="spellEnd"/>
            <w:r w:rsidR="001E75CB" w:rsidRPr="00154E08">
              <w:rPr>
                <w:rFonts w:eastAsia="Calibri" w:cs="Times New Roman"/>
                <w:i/>
                <w:iCs/>
                <w:sz w:val="22"/>
                <w:szCs w:val="22"/>
              </w:rPr>
              <w:t xml:space="preserve"> </w:t>
            </w:r>
            <w:r w:rsidR="008D2FC7" w:rsidRPr="00154E08">
              <w:rPr>
                <w:rFonts w:eastAsia="Calibri" w:cs="Times New Roman"/>
                <w:sz w:val="22"/>
                <w:szCs w:val="22"/>
              </w:rPr>
              <w:t>do wytworzenia paliw</w:t>
            </w:r>
            <w:r w:rsidR="008D2FC7" w:rsidRPr="00154E08">
              <w:rPr>
                <w:rFonts w:eastAsia="Calibri" w:cs="Times New Roman"/>
                <w:i/>
                <w:iCs/>
                <w:sz w:val="22"/>
                <w:szCs w:val="22"/>
              </w:rPr>
              <w:t xml:space="preserve"> </w:t>
            </w:r>
            <w:r w:rsidR="002621C9" w:rsidRPr="00154E08">
              <w:rPr>
                <w:rFonts w:eastAsia="Calibri" w:cs="Times New Roman"/>
                <w:sz w:val="22"/>
                <w:szCs w:val="22"/>
              </w:rPr>
              <w:t>jest</w:t>
            </w:r>
            <w:r w:rsidR="001E75CB" w:rsidRPr="00154E08">
              <w:rPr>
                <w:rFonts w:eastAsia="Calibri" w:cs="Times New Roman"/>
                <w:sz w:val="22"/>
                <w:szCs w:val="22"/>
              </w:rPr>
              <w:t xml:space="preserve"> </w:t>
            </w:r>
            <w:r w:rsidR="002621C9" w:rsidRPr="00154E08">
              <w:rPr>
                <w:rFonts w:eastAsia="Calibri" w:cs="Times New Roman"/>
                <w:sz w:val="22"/>
                <w:szCs w:val="22"/>
              </w:rPr>
              <w:t>zależna</w:t>
            </w:r>
            <w:r w:rsidR="001E75CB" w:rsidRPr="00154E08">
              <w:rPr>
                <w:rFonts w:eastAsia="Calibri" w:cs="Times New Roman"/>
                <w:sz w:val="22"/>
                <w:szCs w:val="22"/>
              </w:rPr>
              <w:t xml:space="preserve"> </w:t>
            </w:r>
            <w:r w:rsidR="002621C9" w:rsidRPr="00154E08">
              <w:rPr>
                <w:rFonts w:eastAsia="Calibri" w:cs="Times New Roman"/>
                <w:sz w:val="22"/>
                <w:szCs w:val="22"/>
              </w:rPr>
              <w:t>od</w:t>
            </w:r>
            <w:r w:rsidR="001E75CB" w:rsidRPr="00154E08">
              <w:rPr>
                <w:rFonts w:eastAsia="Calibri" w:cs="Times New Roman"/>
                <w:sz w:val="22"/>
                <w:szCs w:val="22"/>
              </w:rPr>
              <w:t xml:space="preserve"> </w:t>
            </w:r>
            <w:r w:rsidR="002621C9" w:rsidRPr="00154E08">
              <w:rPr>
                <w:rFonts w:eastAsia="Calibri" w:cs="Times New Roman"/>
                <w:sz w:val="22"/>
                <w:szCs w:val="22"/>
              </w:rPr>
              <w:t>wielu</w:t>
            </w:r>
            <w:r w:rsidR="001E75CB" w:rsidRPr="00154E08">
              <w:rPr>
                <w:rFonts w:eastAsia="Calibri" w:cs="Times New Roman"/>
                <w:sz w:val="22"/>
                <w:szCs w:val="22"/>
              </w:rPr>
              <w:t xml:space="preserve"> </w:t>
            </w:r>
            <w:r w:rsidR="002621C9" w:rsidRPr="00154E08">
              <w:rPr>
                <w:rFonts w:eastAsia="Calibri" w:cs="Times New Roman"/>
                <w:sz w:val="22"/>
                <w:szCs w:val="22"/>
              </w:rPr>
              <w:t>parametrów i waha się w przedziale od ok. 60 do 75</w:t>
            </w:r>
            <w:r w:rsidR="00303725" w:rsidRPr="00154E08">
              <w:rPr>
                <w:rFonts w:eastAsia="Calibri" w:cs="Times New Roman"/>
                <w:sz w:val="22"/>
                <w:szCs w:val="22"/>
              </w:rPr>
              <w:t>%)</w:t>
            </w:r>
            <w:r w:rsidR="002621C9" w:rsidRPr="00154E08">
              <w:rPr>
                <w:rFonts w:eastAsia="Calibri" w:cs="Times New Roman"/>
                <w:sz w:val="22"/>
                <w:szCs w:val="22"/>
              </w:rPr>
              <w:t xml:space="preserve">. </w:t>
            </w:r>
            <w:r w:rsidR="006B13F8" w:rsidRPr="00154E08">
              <w:rPr>
                <w:rFonts w:eastAsia="Calibri" w:cs="Times New Roman"/>
                <w:spacing w:val="-2"/>
                <w:sz w:val="22"/>
                <w:szCs w:val="22"/>
              </w:rPr>
              <w:t xml:space="preserve">Wykorzystanie </w:t>
            </w:r>
            <w:proofErr w:type="spellStart"/>
            <w:r w:rsidR="006B13F8" w:rsidRPr="00154E08">
              <w:rPr>
                <w:rFonts w:eastAsia="Calibri" w:cs="Times New Roman"/>
                <w:spacing w:val="-2"/>
                <w:sz w:val="22"/>
                <w:szCs w:val="22"/>
              </w:rPr>
              <w:t>biometanu</w:t>
            </w:r>
            <w:proofErr w:type="spellEnd"/>
            <w:r w:rsidR="006B13F8" w:rsidRPr="00154E08">
              <w:rPr>
                <w:rFonts w:eastAsia="Calibri" w:cs="Times New Roman"/>
                <w:spacing w:val="-2"/>
                <w:sz w:val="22"/>
                <w:szCs w:val="22"/>
              </w:rPr>
              <w:t xml:space="preserve"> zaawansowanego</w:t>
            </w:r>
            <w:r w:rsidR="006B13F8" w:rsidRPr="00154E08">
              <w:rPr>
                <w:rFonts w:eastAsia="Calibri" w:cs="Times New Roman"/>
                <w:i/>
                <w:iCs/>
                <w:spacing w:val="-2"/>
                <w:sz w:val="22"/>
                <w:szCs w:val="22"/>
              </w:rPr>
              <w:t xml:space="preserve"> </w:t>
            </w:r>
            <w:r w:rsidR="006B13F8" w:rsidRPr="00154E08">
              <w:rPr>
                <w:rFonts w:eastAsia="Calibri" w:cs="Times New Roman"/>
                <w:spacing w:val="-2"/>
                <w:sz w:val="22"/>
                <w:szCs w:val="22"/>
              </w:rPr>
              <w:t>pozw</w:t>
            </w:r>
            <w:r w:rsidR="008D2FC7" w:rsidRPr="00154E08">
              <w:rPr>
                <w:rFonts w:eastAsia="Calibri" w:cs="Times New Roman"/>
                <w:spacing w:val="-2"/>
                <w:sz w:val="22"/>
                <w:szCs w:val="22"/>
              </w:rPr>
              <w:t>ala</w:t>
            </w:r>
            <w:r w:rsidR="006B13F8" w:rsidRPr="00154E08">
              <w:rPr>
                <w:rFonts w:eastAsia="Calibri" w:cs="Times New Roman"/>
                <w:spacing w:val="-2"/>
                <w:sz w:val="22"/>
                <w:szCs w:val="22"/>
              </w:rPr>
              <w:t xml:space="preserve"> uzyskać znaczny poziom redukcji emisji – w</w:t>
            </w:r>
            <w:r w:rsidR="00837D94" w:rsidRPr="00154E08">
              <w:rPr>
                <w:rFonts w:eastAsia="Calibri" w:cs="Times New Roman"/>
                <w:spacing w:val="-2"/>
                <w:sz w:val="22"/>
                <w:szCs w:val="22"/>
              </w:rPr>
              <w:t> </w:t>
            </w:r>
            <w:r w:rsidR="006B13F8" w:rsidRPr="00154E08">
              <w:rPr>
                <w:rFonts w:eastAsia="Calibri" w:cs="Times New Roman"/>
                <w:spacing w:val="-2"/>
                <w:sz w:val="22"/>
                <w:szCs w:val="22"/>
              </w:rPr>
              <w:t xml:space="preserve">przypadku niektórych ścieżek produkcji nawet 202%, przy zapewnieniu odpowiedniej technologii produkcji i dystrybucji, m.in. </w:t>
            </w:r>
            <w:r w:rsidR="006B13F8" w:rsidRPr="00154E08">
              <w:rPr>
                <w:rFonts w:eastAsia="Calibri" w:cs="Times New Roman"/>
                <w:iCs/>
                <w:spacing w:val="-2"/>
                <w:sz w:val="22"/>
                <w:szCs w:val="22"/>
              </w:rPr>
              <w:t>stosowani</w:t>
            </w:r>
            <w:r w:rsidR="00A62BA6" w:rsidRPr="00154E08">
              <w:rPr>
                <w:rFonts w:eastAsia="Calibri" w:cs="Times New Roman"/>
                <w:iCs/>
                <w:spacing w:val="-2"/>
                <w:sz w:val="22"/>
                <w:szCs w:val="22"/>
              </w:rPr>
              <w:t>u</w:t>
            </w:r>
            <w:r w:rsidR="006B13F8" w:rsidRPr="00154E08">
              <w:rPr>
                <w:rFonts w:eastAsia="Calibri" w:cs="Times New Roman"/>
                <w:iCs/>
                <w:spacing w:val="-2"/>
                <w:sz w:val="22"/>
                <w:szCs w:val="22"/>
              </w:rPr>
              <w:t xml:space="preserve"> zamkniętych układów wytwarzania </w:t>
            </w:r>
            <w:r w:rsidR="006B13F8" w:rsidRPr="00154E08">
              <w:rPr>
                <w:rFonts w:cs="Times New Roman"/>
                <w:iCs/>
                <w:sz w:val="22"/>
                <w:szCs w:val="22"/>
              </w:rPr>
              <w:t>z surowców pozyskiwanych w okolicy bliskiej odbiorcy czy odgazowani</w:t>
            </w:r>
            <w:r w:rsidR="00F053F0" w:rsidRPr="00154E08">
              <w:rPr>
                <w:rFonts w:cs="Times New Roman"/>
                <w:iCs/>
                <w:sz w:val="22"/>
                <w:szCs w:val="22"/>
              </w:rPr>
              <w:t>u</w:t>
            </w:r>
            <w:r w:rsidR="006B13F8" w:rsidRPr="00154E08">
              <w:rPr>
                <w:rFonts w:cs="Times New Roman"/>
                <w:iCs/>
                <w:sz w:val="22"/>
                <w:szCs w:val="22"/>
              </w:rPr>
              <w:t xml:space="preserve"> </w:t>
            </w:r>
            <w:proofErr w:type="spellStart"/>
            <w:r w:rsidR="006B13F8" w:rsidRPr="00154E08">
              <w:rPr>
                <w:rFonts w:cs="Times New Roman"/>
                <w:iCs/>
                <w:sz w:val="22"/>
                <w:szCs w:val="22"/>
              </w:rPr>
              <w:t>pofermentu</w:t>
            </w:r>
            <w:proofErr w:type="spellEnd"/>
            <w:r w:rsidR="008D2FC7" w:rsidRPr="00154E08">
              <w:rPr>
                <w:rFonts w:cs="Times New Roman"/>
                <w:iCs/>
                <w:sz w:val="22"/>
                <w:szCs w:val="22"/>
              </w:rPr>
              <w:t xml:space="preserve"> </w:t>
            </w:r>
            <w:r w:rsidR="008D2FC7" w:rsidRPr="00154E08">
              <w:rPr>
                <w:rFonts w:eastAsia="Calibri" w:cs="Times New Roman"/>
                <w:spacing w:val="-2"/>
                <w:sz w:val="22"/>
                <w:szCs w:val="22"/>
              </w:rPr>
              <w:t>(</w:t>
            </w:r>
            <w:r w:rsidR="008D2FC7" w:rsidRPr="00154E08">
              <w:rPr>
                <w:rFonts w:eastAsia="Calibri" w:cs="Times New Roman"/>
                <w:iCs/>
                <w:spacing w:val="-2"/>
                <w:sz w:val="22"/>
                <w:szCs w:val="22"/>
              </w:rPr>
              <w:t>wg Instytutu Nafty i Gazu – Państwowego Instytutu Badawczego</w:t>
            </w:r>
            <w:r w:rsidR="008D2FC7" w:rsidRPr="00154E08">
              <w:rPr>
                <w:rFonts w:eastAsia="Calibri" w:cs="Times New Roman"/>
                <w:spacing w:val="-2"/>
                <w:sz w:val="22"/>
                <w:szCs w:val="22"/>
              </w:rPr>
              <w:t>)</w:t>
            </w:r>
            <w:r w:rsidR="006B13F8" w:rsidRPr="00154E08">
              <w:rPr>
                <w:rFonts w:eastAsia="Calibri" w:cs="Times New Roman"/>
                <w:spacing w:val="-2"/>
                <w:sz w:val="22"/>
                <w:szCs w:val="22"/>
              </w:rPr>
              <w:t>.</w:t>
            </w:r>
          </w:p>
          <w:p w14:paraId="1431A1D4" w14:textId="2AB3160C" w:rsidR="00544A06" w:rsidRPr="00154E08" w:rsidRDefault="002621C9" w:rsidP="00B279FD">
            <w:pPr>
              <w:spacing w:after="120" w:line="240" w:lineRule="auto"/>
              <w:jc w:val="both"/>
              <w:rPr>
                <w:rFonts w:eastAsia="Calibri" w:cs="Times New Roman"/>
                <w:spacing w:val="-2"/>
                <w:sz w:val="22"/>
                <w:szCs w:val="22"/>
              </w:rPr>
            </w:pPr>
            <w:r w:rsidRPr="00154E08">
              <w:rPr>
                <w:rFonts w:eastAsia="Calibri" w:cs="Times New Roman"/>
                <w:sz w:val="22"/>
                <w:szCs w:val="22"/>
              </w:rPr>
              <w:t xml:space="preserve">Z </w:t>
            </w:r>
            <w:r w:rsidRPr="00154E08">
              <w:rPr>
                <w:rFonts w:eastAsia="Calibri" w:cs="Times New Roman"/>
                <w:color w:val="000000"/>
                <w:sz w:val="22"/>
                <w:szCs w:val="22"/>
              </w:rPr>
              <w:t xml:space="preserve">tego względu ta opcja wykorzystania </w:t>
            </w:r>
            <w:proofErr w:type="spellStart"/>
            <w:r w:rsidRPr="00154E08">
              <w:rPr>
                <w:rFonts w:eastAsia="Calibri" w:cs="Times New Roman"/>
                <w:color w:val="000000"/>
                <w:sz w:val="22"/>
                <w:szCs w:val="22"/>
              </w:rPr>
              <w:t>biometanu</w:t>
            </w:r>
            <w:proofErr w:type="spellEnd"/>
            <w:r w:rsidRPr="00154E08">
              <w:rPr>
                <w:rFonts w:eastAsia="Calibri" w:cs="Times New Roman"/>
                <w:color w:val="000000"/>
                <w:sz w:val="22"/>
                <w:szCs w:val="22"/>
              </w:rPr>
              <w:t xml:space="preserve"> nie wymaga </w:t>
            </w:r>
            <w:r w:rsidR="00BC523C" w:rsidRPr="00154E08">
              <w:rPr>
                <w:rFonts w:eastAsia="Calibri" w:cs="Times New Roman"/>
                <w:color w:val="000000"/>
                <w:sz w:val="22"/>
                <w:szCs w:val="22"/>
              </w:rPr>
              <w:t xml:space="preserve">dedykowanego </w:t>
            </w:r>
            <w:r w:rsidRPr="00154E08">
              <w:rPr>
                <w:rFonts w:eastAsia="Calibri" w:cs="Times New Roman"/>
                <w:color w:val="000000"/>
                <w:sz w:val="22"/>
                <w:szCs w:val="22"/>
              </w:rPr>
              <w:t xml:space="preserve">wsparcia regulacyjnego. </w:t>
            </w:r>
            <w:r w:rsidR="00A01F5F" w:rsidRPr="00154E08">
              <w:rPr>
                <w:rFonts w:eastAsia="Calibri" w:cs="Times New Roman"/>
                <w:spacing w:val="-2"/>
                <w:sz w:val="22"/>
                <w:szCs w:val="22"/>
              </w:rPr>
              <w:t>Brak przepisów bezpośrednio zobowiązujących do</w:t>
            </w:r>
            <w:r w:rsidR="00684A87" w:rsidRPr="00154E08">
              <w:rPr>
                <w:rFonts w:eastAsia="Calibri" w:cs="Times New Roman"/>
                <w:spacing w:val="-2"/>
                <w:sz w:val="22"/>
                <w:szCs w:val="22"/>
              </w:rPr>
              <w:t xml:space="preserve"> </w:t>
            </w:r>
            <w:r w:rsidR="00A01F5F" w:rsidRPr="00154E08">
              <w:rPr>
                <w:rFonts w:eastAsia="Calibri" w:cs="Times New Roman"/>
                <w:spacing w:val="-2"/>
                <w:sz w:val="22"/>
                <w:szCs w:val="22"/>
              </w:rPr>
              <w:t xml:space="preserve">wykorzystania </w:t>
            </w:r>
            <w:proofErr w:type="spellStart"/>
            <w:r w:rsidR="00A01F5F" w:rsidRPr="00154E08">
              <w:rPr>
                <w:rFonts w:eastAsia="Calibri" w:cs="Times New Roman"/>
                <w:spacing w:val="-2"/>
                <w:sz w:val="22"/>
                <w:szCs w:val="22"/>
              </w:rPr>
              <w:t>bioCNG</w:t>
            </w:r>
            <w:proofErr w:type="spellEnd"/>
            <w:r w:rsidR="00A01F5F" w:rsidRPr="00154E08">
              <w:rPr>
                <w:rFonts w:eastAsia="Calibri" w:cs="Times New Roman"/>
                <w:spacing w:val="-2"/>
                <w:sz w:val="22"/>
                <w:szCs w:val="22"/>
              </w:rPr>
              <w:t xml:space="preserve"> lub </w:t>
            </w:r>
            <w:proofErr w:type="spellStart"/>
            <w:r w:rsidR="00A01F5F" w:rsidRPr="00154E08">
              <w:rPr>
                <w:rFonts w:eastAsia="Calibri" w:cs="Times New Roman"/>
                <w:spacing w:val="-2"/>
                <w:sz w:val="22"/>
                <w:szCs w:val="22"/>
              </w:rPr>
              <w:t>bioLNG</w:t>
            </w:r>
            <w:proofErr w:type="spellEnd"/>
            <w:r w:rsidR="00A01F5F" w:rsidRPr="00154E08">
              <w:rPr>
                <w:rFonts w:eastAsia="Calibri" w:cs="Times New Roman"/>
                <w:spacing w:val="-2"/>
                <w:sz w:val="22"/>
                <w:szCs w:val="22"/>
              </w:rPr>
              <w:t xml:space="preserve"> </w:t>
            </w:r>
            <w:r w:rsidR="007762EC" w:rsidRPr="00154E08">
              <w:rPr>
                <w:rFonts w:eastAsia="Calibri" w:cs="Times New Roman"/>
                <w:spacing w:val="-2"/>
                <w:sz w:val="22"/>
                <w:szCs w:val="22"/>
              </w:rPr>
              <w:t xml:space="preserve">służy uelastycznieniu </w:t>
            </w:r>
            <w:r w:rsidR="00A01F5F" w:rsidRPr="00154E08">
              <w:rPr>
                <w:rFonts w:eastAsia="Calibri" w:cs="Times New Roman"/>
                <w:spacing w:val="-2"/>
                <w:sz w:val="22"/>
                <w:szCs w:val="22"/>
              </w:rPr>
              <w:t>systemu</w:t>
            </w:r>
            <w:r w:rsidR="008629D2" w:rsidRPr="00154E08">
              <w:rPr>
                <w:rFonts w:eastAsia="Calibri" w:cs="Times New Roman"/>
                <w:spacing w:val="-2"/>
                <w:sz w:val="22"/>
                <w:szCs w:val="22"/>
              </w:rPr>
              <w:t xml:space="preserve"> – dostarczenia możliwości realizacji celu</w:t>
            </w:r>
            <w:r w:rsidR="00684A87" w:rsidRPr="00154E08">
              <w:rPr>
                <w:rFonts w:eastAsia="Calibri" w:cs="Times New Roman"/>
                <w:spacing w:val="-2"/>
                <w:sz w:val="22"/>
                <w:szCs w:val="22"/>
              </w:rPr>
              <w:t xml:space="preserve"> </w:t>
            </w:r>
            <w:r w:rsidR="008D2FC7" w:rsidRPr="00154E08">
              <w:rPr>
                <w:rFonts w:eastAsia="Calibri" w:cs="Times New Roman"/>
                <w:spacing w:val="-2"/>
                <w:sz w:val="22"/>
                <w:szCs w:val="22"/>
              </w:rPr>
              <w:t xml:space="preserve">również </w:t>
            </w:r>
            <w:r w:rsidR="008629D2" w:rsidRPr="00154E08">
              <w:rPr>
                <w:rFonts w:eastAsia="Calibri" w:cs="Times New Roman"/>
                <w:spacing w:val="-2"/>
                <w:sz w:val="22"/>
                <w:szCs w:val="22"/>
              </w:rPr>
              <w:t>za pomocą tego paliwa gazowego</w:t>
            </w:r>
            <w:r w:rsidR="00A01F5F" w:rsidRPr="00154E08">
              <w:rPr>
                <w:rFonts w:eastAsia="Calibri" w:cs="Times New Roman"/>
                <w:spacing w:val="-2"/>
                <w:sz w:val="22"/>
                <w:szCs w:val="22"/>
              </w:rPr>
              <w:t>.</w:t>
            </w:r>
            <w:r w:rsidR="00684A87" w:rsidRPr="00154E08">
              <w:rPr>
                <w:rFonts w:eastAsia="Calibri" w:cs="Times New Roman"/>
                <w:strike/>
                <w:spacing w:val="-2"/>
                <w:sz w:val="22"/>
                <w:szCs w:val="22"/>
              </w:rPr>
              <w:t xml:space="preserve"> </w:t>
            </w:r>
            <w:r w:rsidR="00544A06" w:rsidRPr="00154E08">
              <w:rPr>
                <w:rFonts w:eastAsia="Calibri" w:cs="Times New Roman"/>
                <w:spacing w:val="-2"/>
                <w:sz w:val="22"/>
                <w:szCs w:val="22"/>
              </w:rPr>
              <w:t xml:space="preserve">Działania prowadzone </w:t>
            </w:r>
            <w:r w:rsidR="00BC57BB" w:rsidRPr="00154E08">
              <w:rPr>
                <w:rFonts w:eastAsia="Calibri" w:cs="Times New Roman"/>
                <w:spacing w:val="-2"/>
                <w:sz w:val="22"/>
                <w:szCs w:val="22"/>
              </w:rPr>
              <w:t xml:space="preserve">przez </w:t>
            </w:r>
            <w:r w:rsidR="00544A06" w:rsidRPr="00154E08">
              <w:rPr>
                <w:rFonts w:eastAsia="Calibri" w:cs="Times New Roman"/>
                <w:spacing w:val="-2"/>
                <w:sz w:val="22"/>
                <w:szCs w:val="22"/>
              </w:rPr>
              <w:t>M</w:t>
            </w:r>
            <w:r w:rsidR="00C13902" w:rsidRPr="00154E08">
              <w:rPr>
                <w:rFonts w:eastAsia="Calibri" w:cs="Times New Roman"/>
                <w:spacing w:val="-2"/>
                <w:sz w:val="22"/>
                <w:szCs w:val="22"/>
              </w:rPr>
              <w:t xml:space="preserve">inisterstwo </w:t>
            </w:r>
            <w:r w:rsidR="00544A06" w:rsidRPr="00154E08">
              <w:rPr>
                <w:rFonts w:eastAsia="Calibri" w:cs="Times New Roman"/>
                <w:spacing w:val="-2"/>
                <w:sz w:val="22"/>
                <w:szCs w:val="22"/>
              </w:rPr>
              <w:t>K</w:t>
            </w:r>
            <w:r w:rsidR="00C13902" w:rsidRPr="00154E08">
              <w:rPr>
                <w:rFonts w:eastAsia="Calibri" w:cs="Times New Roman"/>
                <w:spacing w:val="-2"/>
                <w:sz w:val="22"/>
                <w:szCs w:val="22"/>
              </w:rPr>
              <w:t xml:space="preserve">limatu </w:t>
            </w:r>
            <w:r w:rsidR="00544A06" w:rsidRPr="00154E08">
              <w:rPr>
                <w:rFonts w:eastAsia="Calibri" w:cs="Times New Roman"/>
                <w:spacing w:val="-2"/>
                <w:sz w:val="22"/>
                <w:szCs w:val="22"/>
              </w:rPr>
              <w:t>i</w:t>
            </w:r>
            <w:r w:rsidR="00C13902" w:rsidRPr="00154E08">
              <w:rPr>
                <w:rFonts w:eastAsia="Calibri" w:cs="Times New Roman"/>
                <w:spacing w:val="-2"/>
                <w:sz w:val="22"/>
                <w:szCs w:val="22"/>
              </w:rPr>
              <w:t xml:space="preserve"> </w:t>
            </w:r>
            <w:r w:rsidR="00544A06" w:rsidRPr="00154E08">
              <w:rPr>
                <w:rFonts w:eastAsia="Calibri" w:cs="Times New Roman"/>
                <w:spacing w:val="-2"/>
                <w:sz w:val="22"/>
                <w:szCs w:val="22"/>
              </w:rPr>
              <w:t>Ś</w:t>
            </w:r>
            <w:r w:rsidR="00C13902" w:rsidRPr="00154E08">
              <w:rPr>
                <w:rFonts w:eastAsia="Calibri" w:cs="Times New Roman"/>
                <w:spacing w:val="-2"/>
                <w:sz w:val="22"/>
                <w:szCs w:val="22"/>
              </w:rPr>
              <w:t>rodowiska</w:t>
            </w:r>
            <w:r w:rsidR="00544A06" w:rsidRPr="00154E08">
              <w:rPr>
                <w:rFonts w:eastAsia="Calibri" w:cs="Times New Roman"/>
                <w:spacing w:val="-2"/>
                <w:sz w:val="22"/>
                <w:szCs w:val="22"/>
              </w:rPr>
              <w:t xml:space="preserve"> dotycząc</w:t>
            </w:r>
            <w:r w:rsidR="00BC57BB" w:rsidRPr="00154E08">
              <w:rPr>
                <w:rFonts w:eastAsia="Calibri" w:cs="Times New Roman"/>
                <w:spacing w:val="-2"/>
                <w:sz w:val="22"/>
                <w:szCs w:val="22"/>
              </w:rPr>
              <w:t>e zbadania</w:t>
            </w:r>
            <w:r w:rsidR="00544A06" w:rsidRPr="00154E08">
              <w:rPr>
                <w:rFonts w:eastAsia="Calibri" w:cs="Times New Roman"/>
                <w:spacing w:val="-2"/>
                <w:sz w:val="22"/>
                <w:szCs w:val="22"/>
              </w:rPr>
              <w:t xml:space="preserve"> możliwości wykorzystania </w:t>
            </w:r>
            <w:proofErr w:type="spellStart"/>
            <w:r w:rsidR="00544A06" w:rsidRPr="00154E08">
              <w:rPr>
                <w:rFonts w:eastAsia="Calibri" w:cs="Times New Roman"/>
                <w:spacing w:val="-2"/>
                <w:sz w:val="22"/>
                <w:szCs w:val="22"/>
              </w:rPr>
              <w:t>biometanu</w:t>
            </w:r>
            <w:proofErr w:type="spellEnd"/>
            <w:r w:rsidR="00544A06" w:rsidRPr="00154E08">
              <w:rPr>
                <w:rFonts w:eastAsia="Calibri" w:cs="Times New Roman"/>
                <w:i/>
                <w:iCs/>
                <w:spacing w:val="-2"/>
                <w:sz w:val="22"/>
                <w:szCs w:val="22"/>
              </w:rPr>
              <w:t xml:space="preserve"> </w:t>
            </w:r>
            <w:r w:rsidR="00544A06" w:rsidRPr="00154E08">
              <w:rPr>
                <w:rFonts w:eastAsia="Calibri" w:cs="Times New Roman"/>
                <w:iCs/>
                <w:spacing w:val="-2"/>
                <w:sz w:val="22"/>
                <w:szCs w:val="22"/>
              </w:rPr>
              <w:t>do celów transportowych</w:t>
            </w:r>
            <w:r w:rsidR="00544A06" w:rsidRPr="00154E08">
              <w:rPr>
                <w:rFonts w:eastAsia="Calibri" w:cs="Times New Roman"/>
                <w:spacing w:val="-2"/>
                <w:sz w:val="22"/>
                <w:szCs w:val="22"/>
              </w:rPr>
              <w:t xml:space="preserve"> potwierdziły, że</w:t>
            </w:r>
            <w:r w:rsidR="008D2FC7" w:rsidRPr="00154E08">
              <w:rPr>
                <w:rFonts w:eastAsia="Calibri" w:cs="Times New Roman"/>
                <w:spacing w:val="-2"/>
                <w:sz w:val="22"/>
                <w:szCs w:val="22"/>
              </w:rPr>
              <w:t> </w:t>
            </w:r>
            <w:r w:rsidR="00544A06" w:rsidRPr="00154E08">
              <w:rPr>
                <w:rFonts w:eastAsia="Calibri" w:cs="Times New Roman"/>
                <w:spacing w:val="-2"/>
                <w:sz w:val="22"/>
                <w:szCs w:val="22"/>
              </w:rPr>
              <w:t>w</w:t>
            </w:r>
            <w:r w:rsidR="008D2FC7" w:rsidRPr="00154E08">
              <w:rPr>
                <w:rFonts w:eastAsia="Calibri" w:cs="Times New Roman"/>
                <w:spacing w:val="-2"/>
                <w:sz w:val="22"/>
                <w:szCs w:val="22"/>
              </w:rPr>
              <w:t> </w:t>
            </w:r>
            <w:r w:rsidR="00544A06" w:rsidRPr="00154E08">
              <w:rPr>
                <w:rFonts w:eastAsia="Calibri" w:cs="Times New Roman"/>
                <w:spacing w:val="-2"/>
                <w:sz w:val="22"/>
                <w:szCs w:val="22"/>
              </w:rPr>
              <w:t>perspektywie 2030</w:t>
            </w:r>
            <w:r w:rsidR="00F563EC" w:rsidRPr="00154E08">
              <w:rPr>
                <w:rFonts w:eastAsia="Calibri" w:cs="Times New Roman"/>
                <w:spacing w:val="-2"/>
                <w:sz w:val="22"/>
                <w:szCs w:val="22"/>
              </w:rPr>
              <w:t xml:space="preserve"> r.</w:t>
            </w:r>
            <w:r w:rsidR="00544A06" w:rsidRPr="00154E08">
              <w:rPr>
                <w:rFonts w:eastAsia="Calibri" w:cs="Times New Roman"/>
                <w:spacing w:val="-2"/>
                <w:sz w:val="22"/>
                <w:szCs w:val="22"/>
              </w:rPr>
              <w:t xml:space="preserve"> </w:t>
            </w:r>
            <w:proofErr w:type="spellStart"/>
            <w:r w:rsidR="00544A06" w:rsidRPr="00154E08">
              <w:rPr>
                <w:rFonts w:eastAsia="Calibri" w:cs="Times New Roman"/>
                <w:spacing w:val="-2"/>
                <w:sz w:val="22"/>
                <w:szCs w:val="22"/>
              </w:rPr>
              <w:t>biometan</w:t>
            </w:r>
            <w:proofErr w:type="spellEnd"/>
            <w:r w:rsidR="00544A06" w:rsidRPr="00154E08">
              <w:rPr>
                <w:rFonts w:eastAsia="Calibri" w:cs="Times New Roman"/>
                <w:spacing w:val="-2"/>
                <w:sz w:val="22"/>
                <w:szCs w:val="22"/>
              </w:rPr>
              <w:t xml:space="preserve"> może być jednym z</w:t>
            </w:r>
            <w:r w:rsidR="00837D94" w:rsidRPr="00154E08">
              <w:rPr>
                <w:rFonts w:eastAsia="Calibri" w:cs="Times New Roman"/>
                <w:spacing w:val="-2"/>
                <w:sz w:val="22"/>
                <w:szCs w:val="22"/>
              </w:rPr>
              <w:t> </w:t>
            </w:r>
            <w:r w:rsidR="00544A06" w:rsidRPr="00154E08">
              <w:rPr>
                <w:rFonts w:eastAsia="Calibri" w:cs="Times New Roman"/>
                <w:spacing w:val="-2"/>
                <w:sz w:val="22"/>
                <w:szCs w:val="22"/>
              </w:rPr>
              <w:t xml:space="preserve">nielicznych powszechnie dostępnych nośników energii, umożliwiających realizację </w:t>
            </w:r>
            <w:r w:rsidR="00544A06" w:rsidRPr="00154E08">
              <w:rPr>
                <w:rFonts w:eastAsia="Calibri" w:cs="Times New Roman"/>
                <w:iCs/>
                <w:spacing w:val="-2"/>
                <w:sz w:val="22"/>
                <w:szCs w:val="22"/>
              </w:rPr>
              <w:t>minimalnych celów</w:t>
            </w:r>
            <w:r w:rsidR="00837D94" w:rsidRPr="00154E08">
              <w:rPr>
                <w:rFonts w:eastAsia="Calibri" w:cs="Times New Roman"/>
                <w:iCs/>
                <w:spacing w:val="-2"/>
                <w:sz w:val="22"/>
                <w:szCs w:val="22"/>
              </w:rPr>
              <w:t xml:space="preserve"> </w:t>
            </w:r>
            <w:r w:rsidR="00544A06" w:rsidRPr="00154E08">
              <w:rPr>
                <w:rFonts w:eastAsia="Calibri" w:cs="Times New Roman"/>
                <w:spacing w:val="-2"/>
                <w:sz w:val="22"/>
                <w:szCs w:val="22"/>
              </w:rPr>
              <w:t>w</w:t>
            </w:r>
            <w:r w:rsidR="00837D94" w:rsidRPr="00154E08">
              <w:rPr>
                <w:rFonts w:eastAsia="Calibri" w:cs="Times New Roman"/>
                <w:spacing w:val="-2"/>
                <w:sz w:val="22"/>
                <w:szCs w:val="22"/>
              </w:rPr>
              <w:t> </w:t>
            </w:r>
            <w:r w:rsidR="00544A06" w:rsidRPr="00154E08">
              <w:rPr>
                <w:rFonts w:eastAsia="Calibri" w:cs="Times New Roman"/>
                <w:spacing w:val="-2"/>
                <w:sz w:val="22"/>
                <w:szCs w:val="22"/>
              </w:rPr>
              <w:t>zakresie udziału odnawialnych źródeł energii w</w:t>
            </w:r>
            <w:r w:rsidR="008A206D" w:rsidRPr="00154E08">
              <w:rPr>
                <w:rFonts w:eastAsia="Calibri" w:cs="Times New Roman"/>
                <w:spacing w:val="-2"/>
                <w:sz w:val="22"/>
                <w:szCs w:val="22"/>
              </w:rPr>
              <w:t> </w:t>
            </w:r>
            <w:r w:rsidR="00544A06" w:rsidRPr="00154E08">
              <w:rPr>
                <w:rFonts w:eastAsia="Calibri" w:cs="Times New Roman"/>
                <w:spacing w:val="-2"/>
                <w:sz w:val="22"/>
                <w:szCs w:val="22"/>
              </w:rPr>
              <w:t>sektorze transportu,</w:t>
            </w:r>
            <w:r w:rsidR="00544A06" w:rsidRPr="00154E08">
              <w:rPr>
                <w:rFonts w:cs="Times New Roman"/>
                <w:sz w:val="22"/>
                <w:szCs w:val="22"/>
              </w:rPr>
              <w:t xml:space="preserve"> </w:t>
            </w:r>
            <w:r w:rsidR="00544A06" w:rsidRPr="00154E08">
              <w:rPr>
                <w:rFonts w:eastAsia="Calibri" w:cs="Times New Roman"/>
                <w:spacing w:val="-2"/>
                <w:sz w:val="22"/>
                <w:szCs w:val="22"/>
              </w:rPr>
              <w:t>o</w:t>
            </w:r>
            <w:r w:rsidR="009E2D6F" w:rsidRPr="00154E08">
              <w:rPr>
                <w:rFonts w:eastAsia="Calibri" w:cs="Times New Roman"/>
                <w:spacing w:val="-2"/>
                <w:sz w:val="22"/>
                <w:szCs w:val="22"/>
              </w:rPr>
              <w:t> </w:t>
            </w:r>
            <w:r w:rsidR="00544A06" w:rsidRPr="00154E08">
              <w:rPr>
                <w:rFonts w:eastAsia="Calibri" w:cs="Times New Roman"/>
                <w:spacing w:val="-2"/>
                <w:sz w:val="22"/>
                <w:szCs w:val="22"/>
              </w:rPr>
              <w:t>którym m</w:t>
            </w:r>
            <w:r w:rsidR="00F563EC" w:rsidRPr="00154E08">
              <w:rPr>
                <w:rFonts w:eastAsia="Calibri" w:cs="Times New Roman"/>
                <w:spacing w:val="-2"/>
                <w:sz w:val="22"/>
                <w:szCs w:val="22"/>
              </w:rPr>
              <w:t>ó</w:t>
            </w:r>
            <w:r w:rsidR="00544A06" w:rsidRPr="00154E08">
              <w:rPr>
                <w:rFonts w:eastAsia="Calibri" w:cs="Times New Roman"/>
                <w:spacing w:val="-2"/>
                <w:sz w:val="22"/>
                <w:szCs w:val="22"/>
              </w:rPr>
              <w:t>w</w:t>
            </w:r>
            <w:r w:rsidR="00F563EC" w:rsidRPr="00154E08">
              <w:rPr>
                <w:rFonts w:eastAsia="Calibri" w:cs="Times New Roman"/>
                <w:spacing w:val="-2"/>
                <w:sz w:val="22"/>
                <w:szCs w:val="22"/>
              </w:rPr>
              <w:t xml:space="preserve">i </w:t>
            </w:r>
            <w:r w:rsidR="00544A06" w:rsidRPr="00154E08">
              <w:rPr>
                <w:rFonts w:eastAsia="Calibri" w:cs="Times New Roman"/>
                <w:spacing w:val="-2"/>
                <w:sz w:val="22"/>
                <w:szCs w:val="22"/>
              </w:rPr>
              <w:t>art. 23 ust. 1</w:t>
            </w:r>
            <w:r w:rsidR="00C13902" w:rsidRPr="00154E08">
              <w:rPr>
                <w:rFonts w:eastAsia="Calibri" w:cs="Times New Roman"/>
                <w:iCs/>
                <w:spacing w:val="-2"/>
                <w:sz w:val="22"/>
                <w:szCs w:val="22"/>
              </w:rPr>
              <w:t xml:space="preserve"> </w:t>
            </w:r>
            <w:r w:rsidR="00C13902" w:rsidRPr="00154E08">
              <w:rPr>
                <w:rFonts w:cs="Times New Roman"/>
                <w:sz w:val="22"/>
                <w:szCs w:val="22"/>
              </w:rPr>
              <w:t xml:space="preserve">ustawy </w:t>
            </w:r>
            <w:r w:rsidR="00C13902" w:rsidRPr="00154E08">
              <w:rPr>
                <w:rFonts w:eastAsia="Calibri" w:cs="Times New Roman"/>
                <w:color w:val="000000" w:themeColor="text1"/>
                <w:sz w:val="22"/>
                <w:szCs w:val="22"/>
              </w:rPr>
              <w:t>z dnia 25 sierpnia 2006 r. o</w:t>
            </w:r>
            <w:r w:rsidR="001F1245" w:rsidRPr="00154E08">
              <w:rPr>
                <w:rFonts w:eastAsia="Calibri" w:cs="Times New Roman"/>
                <w:color w:val="000000" w:themeColor="text1"/>
                <w:sz w:val="22"/>
                <w:szCs w:val="22"/>
              </w:rPr>
              <w:t> </w:t>
            </w:r>
            <w:r w:rsidR="00C13902" w:rsidRPr="00154E08">
              <w:rPr>
                <w:rFonts w:eastAsia="Calibri" w:cs="Times New Roman"/>
                <w:color w:val="000000" w:themeColor="text1"/>
                <w:sz w:val="22"/>
                <w:szCs w:val="22"/>
              </w:rPr>
              <w:t>biokomponentach i biopaliwach ciekłych</w:t>
            </w:r>
            <w:r w:rsidR="00544A06" w:rsidRPr="00154E08">
              <w:rPr>
                <w:rFonts w:eastAsia="Calibri" w:cs="Times New Roman"/>
                <w:i/>
                <w:iCs/>
                <w:spacing w:val="-2"/>
                <w:sz w:val="22"/>
                <w:szCs w:val="22"/>
              </w:rPr>
              <w:t>.</w:t>
            </w:r>
            <w:r w:rsidR="00A573AD" w:rsidRPr="00154E08">
              <w:rPr>
                <w:rFonts w:eastAsia="Calibri" w:cs="Times New Roman"/>
                <w:spacing w:val="-2"/>
                <w:sz w:val="22"/>
                <w:szCs w:val="22"/>
              </w:rPr>
              <w:t xml:space="preserve"> </w:t>
            </w:r>
            <w:r w:rsidR="00544A06" w:rsidRPr="00154E08">
              <w:rPr>
                <w:rFonts w:eastAsia="Calibri" w:cs="Times New Roman"/>
                <w:spacing w:val="-2"/>
                <w:sz w:val="22"/>
                <w:szCs w:val="22"/>
              </w:rPr>
              <w:t xml:space="preserve">Warunkiem powszechnego stosowania </w:t>
            </w:r>
            <w:proofErr w:type="spellStart"/>
            <w:r w:rsidR="00544A06" w:rsidRPr="00154E08">
              <w:rPr>
                <w:rFonts w:eastAsia="Calibri" w:cs="Times New Roman"/>
                <w:spacing w:val="-2"/>
                <w:sz w:val="22"/>
                <w:szCs w:val="22"/>
              </w:rPr>
              <w:t>biometanu</w:t>
            </w:r>
            <w:proofErr w:type="spellEnd"/>
            <w:r w:rsidR="00544A06" w:rsidRPr="00154E08">
              <w:rPr>
                <w:rFonts w:eastAsia="Calibri" w:cs="Times New Roman"/>
                <w:spacing w:val="-2"/>
                <w:sz w:val="22"/>
                <w:szCs w:val="22"/>
              </w:rPr>
              <w:t xml:space="preserve"> jest koordynacja kluczowych elementów rynku: zapewnienia stabilnego długookresowego mechanizmu wsparcia wytwórców</w:t>
            </w:r>
            <w:r w:rsidR="00931878" w:rsidRPr="00154E08">
              <w:rPr>
                <w:rFonts w:eastAsia="Calibri" w:cs="Times New Roman"/>
                <w:spacing w:val="-2"/>
                <w:sz w:val="22"/>
                <w:szCs w:val="22"/>
              </w:rPr>
              <w:t xml:space="preserve"> </w:t>
            </w:r>
            <w:proofErr w:type="spellStart"/>
            <w:r w:rsidR="00931878" w:rsidRPr="00154E08">
              <w:rPr>
                <w:rFonts w:eastAsia="Calibri" w:cs="Times New Roman"/>
                <w:spacing w:val="-2"/>
                <w:sz w:val="22"/>
                <w:szCs w:val="22"/>
              </w:rPr>
              <w:t>biometanu</w:t>
            </w:r>
            <w:proofErr w:type="spellEnd"/>
            <w:r w:rsidR="00931878" w:rsidRPr="00154E08">
              <w:rPr>
                <w:rFonts w:eastAsia="Calibri" w:cs="Times New Roman"/>
                <w:spacing w:val="-2"/>
                <w:sz w:val="22"/>
                <w:szCs w:val="22"/>
              </w:rPr>
              <w:t xml:space="preserve"> na cele transpor</w:t>
            </w:r>
            <w:r w:rsidR="00B82912" w:rsidRPr="00154E08">
              <w:rPr>
                <w:rFonts w:eastAsia="Calibri" w:cs="Times New Roman"/>
                <w:spacing w:val="-2"/>
                <w:sz w:val="22"/>
                <w:szCs w:val="22"/>
              </w:rPr>
              <w:t>t</w:t>
            </w:r>
            <w:r w:rsidR="00931878" w:rsidRPr="00154E08">
              <w:rPr>
                <w:rFonts w:eastAsia="Calibri" w:cs="Times New Roman"/>
                <w:spacing w:val="-2"/>
                <w:sz w:val="22"/>
                <w:szCs w:val="22"/>
              </w:rPr>
              <w:t>u</w:t>
            </w:r>
            <w:r w:rsidR="00544A06" w:rsidRPr="00154E08">
              <w:rPr>
                <w:rFonts w:eastAsia="Calibri" w:cs="Times New Roman"/>
                <w:spacing w:val="-2"/>
                <w:sz w:val="22"/>
                <w:szCs w:val="22"/>
              </w:rPr>
              <w:t xml:space="preserve"> (1), zapewnienia logistyki </w:t>
            </w:r>
            <w:proofErr w:type="spellStart"/>
            <w:r w:rsidR="00544A06" w:rsidRPr="00154E08">
              <w:rPr>
                <w:rFonts w:eastAsia="Calibri" w:cs="Times New Roman"/>
                <w:spacing w:val="-2"/>
                <w:sz w:val="22"/>
                <w:szCs w:val="22"/>
              </w:rPr>
              <w:t>przesyłu</w:t>
            </w:r>
            <w:proofErr w:type="spellEnd"/>
            <w:r w:rsidR="00544A06" w:rsidRPr="00154E08">
              <w:rPr>
                <w:rFonts w:eastAsia="Calibri" w:cs="Times New Roman"/>
                <w:spacing w:val="-2"/>
                <w:sz w:val="22"/>
                <w:szCs w:val="22"/>
              </w:rPr>
              <w:t xml:space="preserve"> </w:t>
            </w:r>
            <w:r w:rsidR="004835D8" w:rsidRPr="00154E08">
              <w:rPr>
                <w:rFonts w:eastAsia="Calibri" w:cs="Times New Roman"/>
                <w:spacing w:val="-2"/>
                <w:sz w:val="22"/>
                <w:szCs w:val="22"/>
              </w:rPr>
              <w:t xml:space="preserve">lub dostaw </w:t>
            </w:r>
            <w:r w:rsidR="00544A06" w:rsidRPr="00154E08">
              <w:rPr>
                <w:rFonts w:eastAsia="Calibri" w:cs="Times New Roman"/>
                <w:spacing w:val="-2"/>
                <w:sz w:val="22"/>
                <w:szCs w:val="22"/>
              </w:rPr>
              <w:t>do odbiorcy (</w:t>
            </w:r>
            <w:r w:rsidR="00544A06" w:rsidRPr="00154E08">
              <w:rPr>
                <w:rFonts w:eastAsia="Calibri" w:cs="Times New Roman"/>
                <w:iCs/>
                <w:spacing w:val="-2"/>
                <w:sz w:val="22"/>
                <w:szCs w:val="22"/>
              </w:rPr>
              <w:t>fizyczn</w:t>
            </w:r>
            <w:r w:rsidR="0011451C" w:rsidRPr="00154E08">
              <w:rPr>
                <w:rFonts w:eastAsia="Calibri" w:cs="Times New Roman"/>
                <w:iCs/>
                <w:spacing w:val="-2"/>
                <w:sz w:val="22"/>
                <w:szCs w:val="22"/>
              </w:rPr>
              <w:t>ych</w:t>
            </w:r>
            <w:r w:rsidR="00544A06" w:rsidRPr="00154E08">
              <w:rPr>
                <w:rFonts w:eastAsia="Calibri" w:cs="Times New Roman"/>
                <w:iCs/>
                <w:spacing w:val="-2"/>
                <w:sz w:val="22"/>
                <w:szCs w:val="22"/>
              </w:rPr>
              <w:t xml:space="preserve"> lub wirtu</w:t>
            </w:r>
            <w:r w:rsidR="00D93922" w:rsidRPr="00154E08">
              <w:rPr>
                <w:rFonts w:eastAsia="Calibri" w:cs="Times New Roman"/>
                <w:iCs/>
                <w:spacing w:val="-2"/>
                <w:sz w:val="22"/>
                <w:szCs w:val="22"/>
              </w:rPr>
              <w:t>a</w:t>
            </w:r>
            <w:r w:rsidR="00544A06" w:rsidRPr="00154E08">
              <w:rPr>
                <w:rFonts w:eastAsia="Calibri" w:cs="Times New Roman"/>
                <w:iCs/>
                <w:spacing w:val="-2"/>
                <w:sz w:val="22"/>
                <w:szCs w:val="22"/>
              </w:rPr>
              <w:t>ln</w:t>
            </w:r>
            <w:r w:rsidR="0011451C" w:rsidRPr="00154E08">
              <w:rPr>
                <w:rFonts w:eastAsia="Calibri" w:cs="Times New Roman"/>
                <w:iCs/>
                <w:spacing w:val="-2"/>
                <w:sz w:val="22"/>
                <w:szCs w:val="22"/>
              </w:rPr>
              <w:t>yc</w:t>
            </w:r>
            <w:r w:rsidR="00D72D94" w:rsidRPr="00154E08">
              <w:rPr>
                <w:rFonts w:eastAsia="Calibri" w:cs="Times New Roman"/>
                <w:iCs/>
                <w:spacing w:val="-2"/>
                <w:sz w:val="22"/>
                <w:szCs w:val="22"/>
              </w:rPr>
              <w:t>h</w:t>
            </w:r>
            <w:r w:rsidR="00D93922" w:rsidRPr="00154E08">
              <w:rPr>
                <w:rFonts w:eastAsia="Calibri" w:cs="Times New Roman"/>
                <w:iCs/>
                <w:spacing w:val="-2"/>
                <w:sz w:val="22"/>
                <w:szCs w:val="22"/>
              </w:rPr>
              <w:t>)</w:t>
            </w:r>
            <w:r w:rsidR="00BC57BB" w:rsidRPr="00154E08">
              <w:rPr>
                <w:rFonts w:eastAsia="Calibri" w:cs="Times New Roman"/>
                <w:spacing w:val="-2"/>
                <w:sz w:val="22"/>
                <w:szCs w:val="22"/>
              </w:rPr>
              <w:t xml:space="preserve"> </w:t>
            </w:r>
            <w:r w:rsidR="00D93922" w:rsidRPr="00154E08">
              <w:rPr>
                <w:rFonts w:eastAsia="Calibri" w:cs="Times New Roman"/>
                <w:spacing w:val="-2"/>
                <w:sz w:val="22"/>
                <w:szCs w:val="22"/>
              </w:rPr>
              <w:t>(</w:t>
            </w:r>
            <w:r w:rsidR="00544A06" w:rsidRPr="00154E08">
              <w:rPr>
                <w:rFonts w:eastAsia="Calibri" w:cs="Times New Roman"/>
                <w:spacing w:val="-2"/>
                <w:sz w:val="22"/>
                <w:szCs w:val="22"/>
              </w:rPr>
              <w:t xml:space="preserve">2), zbudowania stabilnego </w:t>
            </w:r>
            <w:r w:rsidR="00D93922" w:rsidRPr="00154E08">
              <w:rPr>
                <w:rFonts w:eastAsia="Calibri" w:cs="Times New Roman"/>
                <w:spacing w:val="-2"/>
                <w:sz w:val="22"/>
                <w:szCs w:val="22"/>
              </w:rPr>
              <w:t>zapotrzebowania,</w:t>
            </w:r>
            <w:r w:rsidR="00544A06" w:rsidRPr="00154E08">
              <w:rPr>
                <w:rFonts w:eastAsia="Calibri" w:cs="Times New Roman"/>
                <w:spacing w:val="-2"/>
                <w:sz w:val="22"/>
                <w:szCs w:val="22"/>
              </w:rPr>
              <w:t xml:space="preserve"> np. z sektora transportu (3). </w:t>
            </w:r>
          </w:p>
          <w:p w14:paraId="4C238EE0" w14:textId="0462C85A" w:rsidR="004641B7" w:rsidRPr="00154E08" w:rsidRDefault="008629D2" w:rsidP="00B279FD">
            <w:pPr>
              <w:spacing w:after="120" w:line="240" w:lineRule="auto"/>
              <w:jc w:val="both"/>
              <w:rPr>
                <w:rFonts w:eastAsia="Calibri" w:cs="Times New Roman"/>
                <w:sz w:val="22"/>
                <w:szCs w:val="22"/>
                <w:highlight w:val="cyan"/>
              </w:rPr>
            </w:pPr>
            <w:r w:rsidRPr="00154E08">
              <w:rPr>
                <w:rFonts w:eastAsia="Calibri" w:cs="Times New Roman"/>
                <w:spacing w:val="-2"/>
                <w:sz w:val="22"/>
                <w:szCs w:val="22"/>
              </w:rPr>
              <w:t>P</w:t>
            </w:r>
            <w:r w:rsidR="0049473E" w:rsidRPr="00154E08">
              <w:rPr>
                <w:rFonts w:eastAsia="Calibri" w:cs="Times New Roman"/>
                <w:spacing w:val="-2"/>
                <w:sz w:val="22"/>
                <w:szCs w:val="22"/>
              </w:rPr>
              <w:t>rojekt ustawy</w:t>
            </w:r>
            <w:r w:rsidR="00544A06" w:rsidRPr="00154E08">
              <w:rPr>
                <w:rFonts w:eastAsia="Calibri" w:cs="Times New Roman"/>
                <w:spacing w:val="-2"/>
                <w:sz w:val="22"/>
                <w:szCs w:val="22"/>
              </w:rPr>
              <w:t xml:space="preserve"> ma na celu wskazanie kierunków </w:t>
            </w:r>
            <w:r w:rsidRPr="00154E08">
              <w:rPr>
                <w:rFonts w:eastAsia="Calibri" w:cs="Times New Roman"/>
                <w:spacing w:val="-2"/>
                <w:sz w:val="22"/>
                <w:szCs w:val="22"/>
              </w:rPr>
              <w:t xml:space="preserve">rozwoju </w:t>
            </w:r>
            <w:r w:rsidR="00544A06" w:rsidRPr="00154E08">
              <w:rPr>
                <w:rFonts w:eastAsia="Calibri" w:cs="Times New Roman"/>
                <w:spacing w:val="-2"/>
                <w:sz w:val="22"/>
                <w:szCs w:val="22"/>
              </w:rPr>
              <w:t>zapewni</w:t>
            </w:r>
            <w:r w:rsidR="00D734B2" w:rsidRPr="00154E08">
              <w:rPr>
                <w:rFonts w:eastAsia="Calibri" w:cs="Times New Roman"/>
                <w:spacing w:val="-2"/>
                <w:sz w:val="22"/>
                <w:szCs w:val="22"/>
              </w:rPr>
              <w:t xml:space="preserve">ających </w:t>
            </w:r>
            <w:r w:rsidR="00544A06" w:rsidRPr="00154E08">
              <w:rPr>
                <w:rFonts w:eastAsia="Calibri" w:cs="Times New Roman"/>
                <w:spacing w:val="-2"/>
                <w:sz w:val="22"/>
                <w:szCs w:val="22"/>
              </w:rPr>
              <w:t>stabilne zapotrzebowani</w:t>
            </w:r>
            <w:r w:rsidR="00D734B2" w:rsidRPr="00154E08">
              <w:rPr>
                <w:rFonts w:eastAsia="Calibri" w:cs="Times New Roman"/>
                <w:spacing w:val="-2"/>
                <w:sz w:val="22"/>
                <w:szCs w:val="22"/>
              </w:rPr>
              <w:t>e</w:t>
            </w:r>
            <w:r w:rsidR="00544A06" w:rsidRPr="00154E08">
              <w:rPr>
                <w:rFonts w:eastAsia="Calibri" w:cs="Times New Roman"/>
                <w:spacing w:val="-2"/>
                <w:sz w:val="22"/>
                <w:szCs w:val="22"/>
              </w:rPr>
              <w:t xml:space="preserve"> na</w:t>
            </w:r>
            <w:r w:rsidR="002A6675" w:rsidRPr="00154E08">
              <w:rPr>
                <w:rFonts w:eastAsia="Calibri" w:cs="Times New Roman"/>
                <w:spacing w:val="-2"/>
                <w:sz w:val="22"/>
                <w:szCs w:val="22"/>
              </w:rPr>
              <w:t xml:space="preserve"> </w:t>
            </w:r>
            <w:r w:rsidR="002A6675" w:rsidRPr="00154E08">
              <w:rPr>
                <w:rFonts w:eastAsia="Calibri" w:cs="Times New Roman"/>
                <w:color w:val="000000"/>
                <w:spacing w:val="-2"/>
                <w:sz w:val="22"/>
                <w:szCs w:val="22"/>
              </w:rPr>
              <w:t xml:space="preserve">biokomponenty i biopaliwa zaawansowane, w tym </w:t>
            </w:r>
            <w:proofErr w:type="spellStart"/>
            <w:r w:rsidR="00544A06" w:rsidRPr="00154E08">
              <w:rPr>
                <w:rFonts w:eastAsia="Calibri" w:cs="Times New Roman"/>
                <w:spacing w:val="-2"/>
                <w:sz w:val="22"/>
                <w:szCs w:val="22"/>
              </w:rPr>
              <w:t>biometan</w:t>
            </w:r>
            <w:proofErr w:type="spellEnd"/>
            <w:r w:rsidR="00544A06" w:rsidRPr="00154E08">
              <w:rPr>
                <w:rFonts w:eastAsia="Calibri" w:cs="Times New Roman"/>
                <w:spacing w:val="-2"/>
                <w:sz w:val="22"/>
                <w:szCs w:val="22"/>
              </w:rPr>
              <w:t xml:space="preserve">, co pozwoli realizować nie tylko cele wynikające z NCW, </w:t>
            </w:r>
            <w:r w:rsidR="00824D8A" w:rsidRPr="00154E08">
              <w:rPr>
                <w:rFonts w:eastAsia="Calibri" w:cs="Times New Roman"/>
                <w:spacing w:val="-2"/>
                <w:sz w:val="22"/>
                <w:szCs w:val="22"/>
              </w:rPr>
              <w:t xml:space="preserve">ale </w:t>
            </w:r>
            <w:r w:rsidR="00544A06" w:rsidRPr="00154E08">
              <w:rPr>
                <w:rFonts w:eastAsia="Calibri" w:cs="Times New Roman"/>
                <w:spacing w:val="-2"/>
                <w:sz w:val="22"/>
                <w:szCs w:val="22"/>
              </w:rPr>
              <w:t xml:space="preserve">jednocześnie </w:t>
            </w:r>
            <w:r w:rsidR="00824D8A" w:rsidRPr="00154E08">
              <w:rPr>
                <w:rFonts w:eastAsia="Calibri" w:cs="Times New Roman"/>
                <w:spacing w:val="-2"/>
                <w:sz w:val="22"/>
                <w:szCs w:val="22"/>
              </w:rPr>
              <w:t xml:space="preserve">z </w:t>
            </w:r>
            <w:r w:rsidR="00544A06" w:rsidRPr="00154E08">
              <w:rPr>
                <w:rFonts w:eastAsia="Calibri" w:cs="Times New Roman"/>
                <w:spacing w:val="-2"/>
                <w:sz w:val="22"/>
                <w:szCs w:val="22"/>
              </w:rPr>
              <w:t xml:space="preserve">Narodowego Celu Redukcyjnego (NCR), </w:t>
            </w:r>
            <w:r w:rsidR="00846C6A" w:rsidRPr="00154E08">
              <w:rPr>
                <w:rFonts w:eastAsia="Calibri" w:cs="Times New Roman"/>
                <w:spacing w:val="-2"/>
                <w:sz w:val="22"/>
                <w:szCs w:val="22"/>
              </w:rPr>
              <w:t xml:space="preserve">a </w:t>
            </w:r>
            <w:r w:rsidR="00BC57BB" w:rsidRPr="00154E08">
              <w:rPr>
                <w:rFonts w:eastAsia="Calibri" w:cs="Times New Roman"/>
                <w:spacing w:val="-2"/>
                <w:sz w:val="22"/>
                <w:szCs w:val="22"/>
              </w:rPr>
              <w:t xml:space="preserve">pośrednio </w:t>
            </w:r>
            <w:r w:rsidR="00544A06" w:rsidRPr="00154E08">
              <w:rPr>
                <w:rFonts w:eastAsia="Calibri" w:cs="Times New Roman"/>
                <w:spacing w:val="-2"/>
                <w:sz w:val="22"/>
                <w:szCs w:val="22"/>
              </w:rPr>
              <w:t>również cele w zakresie zagospodarowania uciążliwych środowiskowo materiałów i surowców odpadowy</w:t>
            </w:r>
            <w:r w:rsidR="00846C6A" w:rsidRPr="00154E08">
              <w:rPr>
                <w:rFonts w:eastAsia="Calibri" w:cs="Times New Roman"/>
                <w:spacing w:val="-2"/>
                <w:sz w:val="22"/>
                <w:szCs w:val="22"/>
              </w:rPr>
              <w:t>ch.</w:t>
            </w:r>
          </w:p>
          <w:p w14:paraId="7A4CC97D" w14:textId="7BE980E4" w:rsidR="00A10E21" w:rsidRPr="00154E08" w:rsidRDefault="00902995" w:rsidP="00B279FD">
            <w:pPr>
              <w:pStyle w:val="Akapitzlist"/>
              <w:numPr>
                <w:ilvl w:val="0"/>
                <w:numId w:val="25"/>
              </w:numPr>
              <w:spacing w:after="120" w:line="240" w:lineRule="auto"/>
              <w:jc w:val="both"/>
              <w:rPr>
                <w:rFonts w:ascii="Times New Roman" w:eastAsia="Calibri" w:hAnsi="Times New Roman"/>
                <w:b/>
                <w:bCs/>
                <w:color w:val="000000"/>
                <w:spacing w:val="-2"/>
                <w:sz w:val="22"/>
                <w:szCs w:val="22"/>
              </w:rPr>
            </w:pPr>
            <w:r w:rsidRPr="00154E08">
              <w:rPr>
                <w:rFonts w:ascii="Times New Roman" w:eastAsia="Calibri" w:hAnsi="Times New Roman"/>
                <w:b/>
                <w:bCs/>
                <w:color w:val="000000"/>
                <w:spacing w:val="-2"/>
                <w:sz w:val="22"/>
                <w:szCs w:val="22"/>
              </w:rPr>
              <w:t>R</w:t>
            </w:r>
            <w:r w:rsidR="00D734B2" w:rsidRPr="00154E08">
              <w:rPr>
                <w:rFonts w:ascii="Times New Roman" w:eastAsia="Calibri" w:hAnsi="Times New Roman"/>
                <w:b/>
                <w:bCs/>
                <w:color w:val="000000"/>
                <w:spacing w:val="-2"/>
                <w:sz w:val="22"/>
                <w:szCs w:val="22"/>
              </w:rPr>
              <w:t>e</w:t>
            </w:r>
            <w:r w:rsidR="00A10E21" w:rsidRPr="00154E08">
              <w:rPr>
                <w:rFonts w:ascii="Times New Roman" w:eastAsia="Calibri" w:hAnsi="Times New Roman"/>
                <w:b/>
                <w:bCs/>
                <w:color w:val="000000"/>
                <w:spacing w:val="-2"/>
                <w:sz w:val="22"/>
                <w:szCs w:val="22"/>
              </w:rPr>
              <w:t>alizacj</w:t>
            </w:r>
            <w:r w:rsidR="00F37624" w:rsidRPr="00154E08">
              <w:rPr>
                <w:rFonts w:ascii="Times New Roman" w:eastAsia="Calibri" w:hAnsi="Times New Roman"/>
                <w:b/>
                <w:bCs/>
                <w:color w:val="000000"/>
                <w:spacing w:val="-2"/>
                <w:sz w:val="22"/>
                <w:szCs w:val="22"/>
              </w:rPr>
              <w:t>a</w:t>
            </w:r>
            <w:r w:rsidR="00A10E21" w:rsidRPr="00154E08">
              <w:rPr>
                <w:rFonts w:ascii="Times New Roman" w:eastAsia="Calibri" w:hAnsi="Times New Roman"/>
                <w:b/>
                <w:bCs/>
                <w:color w:val="000000"/>
                <w:spacing w:val="-2"/>
                <w:sz w:val="22"/>
                <w:szCs w:val="22"/>
              </w:rPr>
              <w:t xml:space="preserve"> NCW z wykorzystaniem innych niskoemisyjnych nośników energii</w:t>
            </w:r>
          </w:p>
          <w:p w14:paraId="7400CB4D" w14:textId="1B979763" w:rsidR="00C23157" w:rsidRPr="00154E08" w:rsidRDefault="00F12DAB"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Rozbudowa katalogu </w:t>
            </w:r>
            <w:r w:rsidR="00310E33" w:rsidRPr="00154E08">
              <w:rPr>
                <w:rFonts w:eastAsia="Calibri" w:cs="Times New Roman"/>
                <w:color w:val="000000"/>
                <w:spacing w:val="-2"/>
                <w:sz w:val="22"/>
                <w:szCs w:val="22"/>
              </w:rPr>
              <w:t xml:space="preserve">ścieżek </w:t>
            </w:r>
            <w:r w:rsidRPr="00154E08">
              <w:rPr>
                <w:rFonts w:eastAsia="Calibri" w:cs="Times New Roman"/>
                <w:color w:val="000000"/>
                <w:spacing w:val="-2"/>
                <w:sz w:val="22"/>
                <w:szCs w:val="22"/>
              </w:rPr>
              <w:t>uwzględnianych przy realiz</w:t>
            </w:r>
            <w:r w:rsidR="00D93922" w:rsidRPr="00154E08">
              <w:rPr>
                <w:rFonts w:eastAsia="Calibri" w:cs="Times New Roman"/>
                <w:color w:val="000000"/>
                <w:spacing w:val="-2"/>
                <w:sz w:val="22"/>
                <w:szCs w:val="22"/>
              </w:rPr>
              <w:t>acji</w:t>
            </w:r>
            <w:r w:rsidRPr="00154E08">
              <w:rPr>
                <w:rFonts w:eastAsia="Calibri" w:cs="Times New Roman"/>
                <w:color w:val="000000"/>
                <w:spacing w:val="-2"/>
                <w:sz w:val="22"/>
                <w:szCs w:val="22"/>
              </w:rPr>
              <w:t xml:space="preserve"> NCW</w:t>
            </w:r>
            <w:r w:rsidR="00D93922"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w:t>
            </w:r>
            <w:r w:rsidR="00D734B2" w:rsidRPr="00154E08">
              <w:rPr>
                <w:rFonts w:eastAsia="Calibri" w:cs="Times New Roman"/>
                <w:color w:val="000000"/>
                <w:spacing w:val="-2"/>
                <w:sz w:val="22"/>
                <w:szCs w:val="22"/>
              </w:rPr>
              <w:t xml:space="preserve">m.in.: </w:t>
            </w:r>
            <w:r w:rsidRPr="00154E08">
              <w:rPr>
                <w:rFonts w:eastAsia="Calibri" w:cs="Times New Roman"/>
                <w:color w:val="000000"/>
                <w:spacing w:val="-2"/>
                <w:sz w:val="22"/>
                <w:szCs w:val="22"/>
              </w:rPr>
              <w:t xml:space="preserve">o paliwa węglowe pochodzące z recyklingu, </w:t>
            </w:r>
            <w:proofErr w:type="spellStart"/>
            <w:r w:rsidRPr="00154E08">
              <w:rPr>
                <w:rFonts w:eastAsia="Calibri" w:cs="Times New Roman"/>
                <w:color w:val="000000"/>
                <w:spacing w:val="-2"/>
                <w:sz w:val="22"/>
                <w:szCs w:val="22"/>
              </w:rPr>
              <w:t>biometan</w:t>
            </w:r>
            <w:proofErr w:type="spellEnd"/>
            <w:r w:rsidRPr="00154E08">
              <w:rPr>
                <w:rFonts w:eastAsia="Calibri" w:cs="Times New Roman"/>
                <w:color w:val="000000"/>
                <w:spacing w:val="-2"/>
                <w:sz w:val="22"/>
                <w:szCs w:val="22"/>
              </w:rPr>
              <w:t>, biokomponenty zaawansowane</w:t>
            </w:r>
            <w:r w:rsidR="00D93922"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zwiększa możliwości i</w:t>
            </w:r>
            <w:r w:rsidR="009E2D6F" w:rsidRPr="00154E08">
              <w:rPr>
                <w:rFonts w:eastAsia="Calibri" w:cs="Times New Roman"/>
                <w:color w:val="000000"/>
                <w:spacing w:val="-2"/>
                <w:sz w:val="22"/>
                <w:szCs w:val="22"/>
              </w:rPr>
              <w:t> </w:t>
            </w:r>
            <w:r w:rsidRPr="00154E08">
              <w:rPr>
                <w:rFonts w:eastAsia="Calibri" w:cs="Times New Roman"/>
                <w:color w:val="000000"/>
                <w:spacing w:val="-2"/>
                <w:sz w:val="22"/>
                <w:szCs w:val="22"/>
              </w:rPr>
              <w:t xml:space="preserve">prawdopodobieństwo realizacji podwyższonego poziomu celu. </w:t>
            </w:r>
            <w:r w:rsidR="007762EC" w:rsidRPr="00154E08">
              <w:rPr>
                <w:rFonts w:eastAsia="Calibri" w:cs="Times New Roman"/>
                <w:color w:val="000000"/>
                <w:spacing w:val="-2"/>
                <w:sz w:val="22"/>
                <w:szCs w:val="22"/>
              </w:rPr>
              <w:t xml:space="preserve">Proponuje się </w:t>
            </w:r>
            <w:r w:rsidR="0090008B" w:rsidRPr="00154E08">
              <w:rPr>
                <w:rFonts w:eastAsia="Calibri" w:cs="Times New Roman"/>
                <w:color w:val="000000"/>
                <w:spacing w:val="-2"/>
                <w:sz w:val="22"/>
                <w:szCs w:val="22"/>
              </w:rPr>
              <w:t xml:space="preserve">zatem </w:t>
            </w:r>
            <w:r w:rsidR="007762EC" w:rsidRPr="00154E08">
              <w:rPr>
                <w:rFonts w:eastAsia="Calibri" w:cs="Times New Roman"/>
                <w:color w:val="000000"/>
                <w:spacing w:val="-2"/>
                <w:sz w:val="22"/>
                <w:szCs w:val="22"/>
              </w:rPr>
              <w:t xml:space="preserve">wprowadzenie zmiany </w:t>
            </w:r>
            <w:r w:rsidR="0090008B" w:rsidRPr="00154E08">
              <w:rPr>
                <w:rFonts w:eastAsia="Calibri" w:cs="Times New Roman"/>
                <w:color w:val="000000"/>
                <w:spacing w:val="-2"/>
                <w:sz w:val="22"/>
                <w:szCs w:val="22"/>
              </w:rPr>
              <w:t>definicji</w:t>
            </w:r>
            <w:r w:rsidRPr="00154E08">
              <w:rPr>
                <w:rFonts w:eastAsia="Calibri" w:cs="Times New Roman"/>
                <w:color w:val="000000"/>
                <w:spacing w:val="-2"/>
                <w:sz w:val="22"/>
                <w:szCs w:val="22"/>
              </w:rPr>
              <w:t xml:space="preserve"> </w:t>
            </w:r>
            <w:r w:rsidR="00D734B2" w:rsidRPr="00154E08">
              <w:rPr>
                <w:rFonts w:eastAsia="Calibri" w:cs="Times New Roman"/>
                <w:color w:val="000000"/>
                <w:spacing w:val="-2"/>
                <w:sz w:val="22"/>
                <w:szCs w:val="22"/>
              </w:rPr>
              <w:t xml:space="preserve">NCW </w:t>
            </w:r>
            <w:r w:rsidR="00867686" w:rsidRPr="00154E08">
              <w:rPr>
                <w:rFonts w:eastAsia="Calibri" w:cs="Times New Roman"/>
                <w:color w:val="000000"/>
                <w:spacing w:val="-2"/>
                <w:sz w:val="22"/>
                <w:szCs w:val="22"/>
              </w:rPr>
              <w:t>z</w:t>
            </w:r>
            <w:r w:rsidR="008629D2" w:rsidRPr="00154E08">
              <w:rPr>
                <w:rFonts w:eastAsia="Calibri" w:cs="Times New Roman"/>
                <w:color w:val="000000"/>
                <w:spacing w:val="-2"/>
                <w:sz w:val="22"/>
                <w:szCs w:val="22"/>
              </w:rPr>
              <w:t> </w:t>
            </w:r>
            <w:r w:rsidRPr="00154E08">
              <w:rPr>
                <w:rFonts w:eastAsia="Calibri" w:cs="Times New Roman"/>
                <w:color w:val="000000"/>
                <w:spacing w:val="-2"/>
                <w:sz w:val="22"/>
                <w:szCs w:val="22"/>
              </w:rPr>
              <w:t>ustaw</w:t>
            </w:r>
            <w:r w:rsidR="00867686" w:rsidRPr="00154E08">
              <w:rPr>
                <w:rFonts w:eastAsia="Calibri" w:cs="Times New Roman"/>
                <w:color w:val="000000"/>
                <w:spacing w:val="-2"/>
                <w:sz w:val="22"/>
                <w:szCs w:val="22"/>
              </w:rPr>
              <w:t>y</w:t>
            </w:r>
            <w:r w:rsidRPr="00154E08">
              <w:rPr>
                <w:rFonts w:eastAsia="Calibri" w:cs="Times New Roman"/>
                <w:color w:val="000000"/>
                <w:spacing w:val="-2"/>
                <w:sz w:val="22"/>
                <w:szCs w:val="22"/>
              </w:rPr>
              <w:t xml:space="preserve"> </w:t>
            </w:r>
            <w:r w:rsidR="004535C8" w:rsidRPr="00154E08">
              <w:rPr>
                <w:rFonts w:eastAsia="Calibri" w:cs="Times New Roman"/>
                <w:color w:val="000000"/>
                <w:spacing w:val="-2"/>
                <w:sz w:val="22"/>
                <w:szCs w:val="22"/>
              </w:rPr>
              <w:t>z 25 sierpnia 2006</w:t>
            </w:r>
            <w:r w:rsidR="00BD019B" w:rsidRPr="00154E08">
              <w:rPr>
                <w:rFonts w:eastAsia="Calibri" w:cs="Times New Roman"/>
                <w:color w:val="000000"/>
                <w:spacing w:val="-2"/>
                <w:sz w:val="22"/>
                <w:szCs w:val="22"/>
              </w:rPr>
              <w:t xml:space="preserve"> r.</w:t>
            </w:r>
            <w:r w:rsidR="004535C8" w:rsidRPr="00154E08">
              <w:rPr>
                <w:rFonts w:eastAsia="Calibri" w:cs="Times New Roman"/>
                <w:color w:val="000000"/>
                <w:spacing w:val="-2"/>
                <w:sz w:val="22"/>
                <w:szCs w:val="22"/>
              </w:rPr>
              <w:t xml:space="preserve"> </w:t>
            </w:r>
            <w:r w:rsidRPr="00154E08">
              <w:rPr>
                <w:rFonts w:eastAsia="Calibri" w:cs="Times New Roman"/>
                <w:color w:val="000000"/>
                <w:spacing w:val="-2"/>
                <w:sz w:val="22"/>
                <w:szCs w:val="22"/>
              </w:rPr>
              <w:t xml:space="preserve">o biokomponentach i biopaliwach ciekłych: </w:t>
            </w:r>
          </w:p>
          <w:p w14:paraId="26F85A81" w14:textId="77777777" w:rsidR="00E57EE4" w:rsidRPr="00154E08" w:rsidRDefault="00E57EE4" w:rsidP="00B279FD">
            <w:pPr>
              <w:spacing w:after="120" w:line="240" w:lineRule="auto"/>
              <w:contextualSpacing/>
              <w:jc w:val="both"/>
              <w:rPr>
                <w:rFonts w:eastAsia="Calibri" w:cs="Times New Roman"/>
                <w:color w:val="000000"/>
                <w:spacing w:val="-2"/>
                <w:sz w:val="22"/>
                <w:szCs w:val="22"/>
              </w:rPr>
            </w:pPr>
          </w:p>
          <w:p w14:paraId="7E7CDEA8" w14:textId="1F21FCC4" w:rsidR="008629D2" w:rsidRPr="00154E08" w:rsidRDefault="008629D2" w:rsidP="00B279FD">
            <w:pPr>
              <w:spacing w:after="120" w:line="240" w:lineRule="auto"/>
              <w:ind w:left="318" w:right="436"/>
              <w:jc w:val="both"/>
              <w:rPr>
                <w:rFonts w:eastAsia="Calibri" w:cs="Times New Roman"/>
                <w:color w:val="000000"/>
                <w:spacing w:val="-2"/>
                <w:sz w:val="22"/>
                <w:szCs w:val="22"/>
              </w:rPr>
            </w:pPr>
            <w:r w:rsidRPr="00154E08">
              <w:rPr>
                <w:rFonts w:eastAsia="Calibri" w:cs="Times New Roman"/>
                <w:b/>
                <w:bCs/>
                <w:color w:val="000000"/>
                <w:spacing w:val="-2"/>
                <w:sz w:val="22"/>
                <w:szCs w:val="22"/>
              </w:rPr>
              <w:t xml:space="preserve">Narodowy Cel Wskaźnikowy </w:t>
            </w:r>
            <w:r w:rsidRPr="00154E08">
              <w:rPr>
                <w:rFonts w:eastAsia="Calibri" w:cs="Times New Roman"/>
                <w:color w:val="000000"/>
                <w:spacing w:val="-2"/>
                <w:sz w:val="22"/>
                <w:szCs w:val="22"/>
              </w:rPr>
              <w:t>–</w:t>
            </w:r>
            <w:r w:rsidR="00707B30" w:rsidRPr="00154E08">
              <w:rPr>
                <w:rFonts w:eastAsia="Calibri" w:cs="Times New Roman"/>
                <w:color w:val="000000"/>
                <w:spacing w:val="-2"/>
                <w:sz w:val="22"/>
                <w:szCs w:val="22"/>
              </w:rPr>
              <w:t xml:space="preserve"> </w:t>
            </w:r>
            <w:r w:rsidR="00C23157" w:rsidRPr="00154E08">
              <w:rPr>
                <w:rFonts w:eastAsia="Calibri" w:cs="Times New Roman"/>
                <w:color w:val="000000"/>
                <w:spacing w:val="-2"/>
                <w:sz w:val="22"/>
                <w:szCs w:val="22"/>
              </w:rPr>
              <w:t>minimalny udział innych paliw odnawialnych i</w:t>
            </w:r>
            <w:r w:rsidR="00FA4F12" w:rsidRPr="00154E08">
              <w:rPr>
                <w:rFonts w:eastAsia="Calibri" w:cs="Times New Roman"/>
                <w:color w:val="000000"/>
                <w:spacing w:val="-2"/>
                <w:sz w:val="22"/>
                <w:szCs w:val="22"/>
              </w:rPr>
              <w:t> </w:t>
            </w:r>
            <w:r w:rsidR="00C23157" w:rsidRPr="00154E08">
              <w:rPr>
                <w:rFonts w:eastAsia="Calibri" w:cs="Times New Roman"/>
                <w:color w:val="000000"/>
                <w:spacing w:val="-2"/>
                <w:sz w:val="22"/>
                <w:szCs w:val="22"/>
              </w:rPr>
              <w:t>biokomponentów zawartych w paliwach, biopaliw gazowych, paliw węglowych pochodzących z recyklingu i energii elektrycznej z odnawialnych źródeł energii stosowanych we wszystkich rodzajach transportu w ogólnej ilości paliw ciekłych, biopaliw ciekłych, paliw gazowych, biopaliw gazowych, innych paliw odnawialnych, paliw węglowych pochodzących z</w:t>
            </w:r>
            <w:r w:rsidR="000C3961" w:rsidRPr="00154E08">
              <w:rPr>
                <w:rFonts w:eastAsia="Calibri" w:cs="Times New Roman"/>
                <w:color w:val="000000"/>
                <w:spacing w:val="-2"/>
                <w:sz w:val="22"/>
                <w:szCs w:val="22"/>
              </w:rPr>
              <w:t> </w:t>
            </w:r>
            <w:r w:rsidR="00C23157" w:rsidRPr="00154E08">
              <w:rPr>
                <w:rFonts w:eastAsia="Calibri" w:cs="Times New Roman"/>
                <w:color w:val="000000"/>
                <w:spacing w:val="-2"/>
                <w:sz w:val="22"/>
                <w:szCs w:val="22"/>
              </w:rPr>
              <w:t xml:space="preserve">recyklingu </w:t>
            </w:r>
            <w:r w:rsidR="0050062E" w:rsidRPr="00154E08">
              <w:rPr>
                <w:rFonts w:eastAsia="Calibri" w:cs="Times New Roman"/>
                <w:color w:val="000000"/>
                <w:spacing w:val="-2"/>
                <w:sz w:val="22"/>
                <w:szCs w:val="22"/>
              </w:rPr>
              <w:t>i</w:t>
            </w:r>
            <w:r w:rsidR="00C23157" w:rsidRPr="00154E08">
              <w:rPr>
                <w:rFonts w:eastAsia="Calibri" w:cs="Times New Roman"/>
                <w:color w:val="000000"/>
                <w:spacing w:val="-2"/>
                <w:sz w:val="22"/>
                <w:szCs w:val="22"/>
              </w:rPr>
              <w:t xml:space="preserve"> energii elektrycznej zużywanych w danym roku kalendarzowym w</w:t>
            </w:r>
            <w:r w:rsidR="000C3961" w:rsidRPr="00154E08">
              <w:rPr>
                <w:rFonts w:eastAsia="Calibri" w:cs="Times New Roman"/>
                <w:color w:val="000000"/>
                <w:spacing w:val="-2"/>
                <w:sz w:val="22"/>
                <w:szCs w:val="22"/>
              </w:rPr>
              <w:t> </w:t>
            </w:r>
            <w:r w:rsidR="00C23157" w:rsidRPr="00154E08">
              <w:rPr>
                <w:rFonts w:eastAsia="Calibri" w:cs="Times New Roman"/>
                <w:color w:val="000000"/>
                <w:spacing w:val="-2"/>
                <w:sz w:val="22"/>
                <w:szCs w:val="22"/>
              </w:rPr>
              <w:t>transporcie</w:t>
            </w:r>
            <w:r w:rsidR="000C3961" w:rsidRPr="00154E08">
              <w:rPr>
                <w:rFonts w:eastAsia="Calibri" w:cs="Times New Roman"/>
                <w:color w:val="000000"/>
                <w:spacing w:val="-2"/>
                <w:sz w:val="22"/>
                <w:szCs w:val="22"/>
              </w:rPr>
              <w:t xml:space="preserve"> </w:t>
            </w:r>
            <w:r w:rsidR="00C23157" w:rsidRPr="00154E08">
              <w:rPr>
                <w:rFonts w:eastAsia="Calibri" w:cs="Times New Roman"/>
                <w:color w:val="000000"/>
                <w:spacing w:val="-2"/>
                <w:sz w:val="22"/>
                <w:szCs w:val="22"/>
              </w:rPr>
              <w:t>drogowym lub kolejowym, liczony według wartości energetycznej.</w:t>
            </w:r>
          </w:p>
          <w:p w14:paraId="1823C58E" w14:textId="67E19330" w:rsidR="00D736FA" w:rsidRPr="00154E08" w:rsidRDefault="00B3501F" w:rsidP="00B279FD">
            <w:pPr>
              <w:spacing w:after="120" w:line="240" w:lineRule="auto"/>
              <w:jc w:val="both"/>
              <w:rPr>
                <w:rFonts w:eastAsia="Calibri" w:cs="Times New Roman"/>
                <w:iCs/>
                <w:color w:val="000000"/>
                <w:sz w:val="22"/>
                <w:szCs w:val="22"/>
              </w:rPr>
            </w:pPr>
            <w:r w:rsidRPr="00154E08">
              <w:rPr>
                <w:rFonts w:eastAsia="Calibri" w:cs="Times New Roman"/>
                <w:color w:val="000000"/>
                <w:spacing w:val="-2"/>
                <w:sz w:val="22"/>
                <w:szCs w:val="22"/>
              </w:rPr>
              <w:t xml:space="preserve">Proponowane </w:t>
            </w:r>
            <w:r w:rsidR="00F12DAB" w:rsidRPr="00154E08">
              <w:rPr>
                <w:rFonts w:eastAsia="Calibri" w:cs="Times New Roman"/>
                <w:color w:val="000000"/>
                <w:spacing w:val="-2"/>
                <w:sz w:val="22"/>
                <w:szCs w:val="22"/>
              </w:rPr>
              <w:t xml:space="preserve">rozwiązania </w:t>
            </w:r>
            <w:r w:rsidR="00F96E4C" w:rsidRPr="00154E08">
              <w:rPr>
                <w:rFonts w:eastAsia="Calibri" w:cs="Times New Roman"/>
                <w:color w:val="000000"/>
                <w:spacing w:val="-2"/>
                <w:sz w:val="22"/>
                <w:szCs w:val="22"/>
              </w:rPr>
              <w:t xml:space="preserve">tworzą bazę prawną dla rozwoju rynku paliw odnawialnych, </w:t>
            </w:r>
            <w:r w:rsidR="00264332" w:rsidRPr="00154E08">
              <w:rPr>
                <w:rFonts w:eastAsia="Calibri" w:cs="Times New Roman"/>
                <w:color w:val="000000"/>
                <w:spacing w:val="-2"/>
                <w:sz w:val="22"/>
                <w:szCs w:val="22"/>
              </w:rPr>
              <w:t xml:space="preserve">powinny </w:t>
            </w:r>
            <w:r w:rsidR="00F12DAB" w:rsidRPr="00154E08">
              <w:rPr>
                <w:rFonts w:eastAsia="Calibri" w:cs="Times New Roman"/>
                <w:color w:val="000000"/>
                <w:spacing w:val="-2"/>
                <w:sz w:val="22"/>
                <w:szCs w:val="22"/>
              </w:rPr>
              <w:t>ułatwić realizację obowiązków w zakresie osiągnięcia w 2030</w:t>
            </w:r>
            <w:r w:rsidR="00707B30" w:rsidRPr="00154E08">
              <w:rPr>
                <w:rFonts w:eastAsia="Calibri" w:cs="Times New Roman"/>
                <w:color w:val="000000"/>
                <w:spacing w:val="-2"/>
                <w:sz w:val="22"/>
                <w:szCs w:val="22"/>
              </w:rPr>
              <w:t xml:space="preserve"> r.</w:t>
            </w:r>
            <w:r w:rsidR="00F12DAB" w:rsidRPr="00154E08">
              <w:rPr>
                <w:rFonts w:eastAsia="Calibri" w:cs="Times New Roman"/>
                <w:color w:val="000000"/>
                <w:spacing w:val="-2"/>
                <w:sz w:val="22"/>
                <w:szCs w:val="22"/>
              </w:rPr>
              <w:t xml:space="preserve"> minimalnego 3,5% udziału biokomponentów</w:t>
            </w:r>
            <w:r w:rsidR="00F12DAB" w:rsidRPr="00154E08">
              <w:rPr>
                <w:rFonts w:eastAsia="Calibri" w:cs="Times New Roman"/>
                <w:i/>
                <w:iCs/>
                <w:color w:val="000000"/>
                <w:spacing w:val="-2"/>
                <w:sz w:val="22"/>
                <w:szCs w:val="22"/>
              </w:rPr>
              <w:t xml:space="preserve"> </w:t>
            </w:r>
            <w:r w:rsidR="00F12DAB" w:rsidRPr="00154E08">
              <w:rPr>
                <w:rFonts w:eastAsia="Calibri" w:cs="Times New Roman"/>
                <w:color w:val="000000"/>
                <w:spacing w:val="-2"/>
                <w:sz w:val="22"/>
                <w:szCs w:val="22"/>
              </w:rPr>
              <w:t xml:space="preserve">wytworzonych z surowców </w:t>
            </w:r>
            <w:r w:rsidR="00F10C5D" w:rsidRPr="00154E08">
              <w:rPr>
                <w:rFonts w:eastAsia="Calibri" w:cs="Times New Roman"/>
                <w:color w:val="000000"/>
                <w:spacing w:val="-2"/>
                <w:sz w:val="22"/>
                <w:szCs w:val="22"/>
              </w:rPr>
              <w:t>zg</w:t>
            </w:r>
            <w:r w:rsidR="00B279FD" w:rsidRPr="00154E08">
              <w:rPr>
                <w:rFonts w:eastAsia="Calibri" w:cs="Times New Roman"/>
                <w:color w:val="000000"/>
                <w:spacing w:val="-2"/>
                <w:sz w:val="22"/>
                <w:szCs w:val="22"/>
              </w:rPr>
              <w:t>odnie</w:t>
            </w:r>
            <w:r w:rsidR="00F824D0" w:rsidRPr="00154E08">
              <w:rPr>
                <w:rFonts w:eastAsia="Calibri" w:cs="Times New Roman"/>
                <w:color w:val="000000"/>
                <w:spacing w:val="-2"/>
                <w:sz w:val="22"/>
                <w:szCs w:val="22"/>
              </w:rPr>
              <w:t xml:space="preserve"> z </w:t>
            </w:r>
            <w:r w:rsidR="00F12DAB" w:rsidRPr="00154E08">
              <w:rPr>
                <w:rFonts w:eastAsia="Calibri" w:cs="Times New Roman"/>
                <w:color w:val="000000"/>
                <w:spacing w:val="-2"/>
                <w:sz w:val="22"/>
                <w:szCs w:val="22"/>
              </w:rPr>
              <w:t>zał</w:t>
            </w:r>
            <w:r w:rsidR="00707B30" w:rsidRPr="00154E08">
              <w:rPr>
                <w:rFonts w:eastAsia="Calibri" w:cs="Times New Roman"/>
                <w:color w:val="000000"/>
                <w:spacing w:val="-2"/>
                <w:sz w:val="22"/>
                <w:szCs w:val="22"/>
              </w:rPr>
              <w:t>ącznik</w:t>
            </w:r>
            <w:r w:rsidR="00F824D0" w:rsidRPr="00154E08">
              <w:rPr>
                <w:rFonts w:eastAsia="Calibri" w:cs="Times New Roman"/>
                <w:color w:val="000000"/>
                <w:spacing w:val="-2"/>
                <w:sz w:val="22"/>
                <w:szCs w:val="22"/>
              </w:rPr>
              <w:t>iem</w:t>
            </w:r>
            <w:r w:rsidR="00707B30" w:rsidRPr="00154E08">
              <w:rPr>
                <w:rFonts w:eastAsia="Calibri" w:cs="Times New Roman"/>
                <w:color w:val="000000"/>
                <w:spacing w:val="-2"/>
                <w:sz w:val="22"/>
                <w:szCs w:val="22"/>
              </w:rPr>
              <w:t xml:space="preserve"> nr</w:t>
            </w:r>
            <w:r w:rsidR="00F12DAB" w:rsidRPr="00154E08">
              <w:rPr>
                <w:rFonts w:eastAsia="Calibri" w:cs="Times New Roman"/>
                <w:color w:val="000000"/>
                <w:spacing w:val="-2"/>
                <w:sz w:val="22"/>
                <w:szCs w:val="22"/>
              </w:rPr>
              <w:t xml:space="preserve"> </w:t>
            </w:r>
            <w:r w:rsidR="00DD5E45" w:rsidRPr="00154E08">
              <w:rPr>
                <w:rFonts w:eastAsia="Calibri" w:cs="Times New Roman"/>
                <w:color w:val="000000"/>
                <w:spacing w:val="-2"/>
                <w:sz w:val="22"/>
                <w:szCs w:val="22"/>
              </w:rPr>
              <w:t>1</w:t>
            </w:r>
            <w:r w:rsidR="00F12DAB" w:rsidRPr="00154E08">
              <w:rPr>
                <w:rFonts w:eastAsia="Calibri" w:cs="Times New Roman"/>
                <w:color w:val="000000"/>
                <w:spacing w:val="-2"/>
                <w:sz w:val="22"/>
                <w:szCs w:val="22"/>
              </w:rPr>
              <w:t xml:space="preserve"> </w:t>
            </w:r>
            <w:r w:rsidR="00F824D0" w:rsidRPr="00154E08">
              <w:rPr>
                <w:rFonts w:eastAsia="Calibri" w:cs="Times New Roman"/>
                <w:spacing w:val="-2"/>
                <w:sz w:val="22"/>
                <w:szCs w:val="22"/>
              </w:rPr>
              <w:t>u</w:t>
            </w:r>
            <w:r w:rsidR="00FC0C58" w:rsidRPr="00154E08">
              <w:rPr>
                <w:rFonts w:eastAsia="Calibri" w:cs="Times New Roman"/>
                <w:spacing w:val="-2"/>
                <w:sz w:val="22"/>
                <w:szCs w:val="22"/>
              </w:rPr>
              <w:t>stawy</w:t>
            </w:r>
            <w:r w:rsidR="008F6F65" w:rsidRPr="00154E08">
              <w:rPr>
                <w:rFonts w:cs="Times New Roman"/>
                <w:sz w:val="22"/>
                <w:szCs w:val="22"/>
              </w:rPr>
              <w:t>,</w:t>
            </w:r>
            <w:r w:rsidR="008F6F65" w:rsidRPr="00154E08">
              <w:rPr>
                <w:rFonts w:eastAsia="Calibri" w:cs="Times New Roman"/>
                <w:i/>
                <w:color w:val="000000"/>
                <w:spacing w:val="-2"/>
                <w:sz w:val="22"/>
                <w:szCs w:val="22"/>
              </w:rPr>
              <w:t xml:space="preserve"> </w:t>
            </w:r>
            <w:r w:rsidR="00B03294" w:rsidRPr="00154E08">
              <w:rPr>
                <w:rFonts w:eastAsia="Calibri" w:cs="Times New Roman"/>
                <w:iCs/>
                <w:color w:val="000000"/>
                <w:spacing w:val="-2"/>
                <w:sz w:val="22"/>
                <w:szCs w:val="22"/>
              </w:rPr>
              <w:t>jak i</w:t>
            </w:r>
            <w:r w:rsidR="00F12DAB" w:rsidRPr="00154E08">
              <w:rPr>
                <w:rFonts w:eastAsia="Calibri" w:cs="Times New Roman"/>
                <w:i/>
                <w:iCs/>
                <w:color w:val="000000"/>
                <w:spacing w:val="-2"/>
                <w:sz w:val="22"/>
                <w:szCs w:val="22"/>
              </w:rPr>
              <w:t xml:space="preserve"> </w:t>
            </w:r>
            <w:r w:rsidR="00F12DAB" w:rsidRPr="00154E08">
              <w:rPr>
                <w:rFonts w:eastAsia="Calibri" w:cs="Times New Roman"/>
                <w:color w:val="000000"/>
                <w:spacing w:val="-2"/>
                <w:sz w:val="22"/>
                <w:szCs w:val="22"/>
              </w:rPr>
              <w:t>celu łącznego</w:t>
            </w:r>
            <w:r w:rsidR="008629D2" w:rsidRPr="00154E08">
              <w:rPr>
                <w:rFonts w:eastAsia="Calibri" w:cs="Times New Roman"/>
                <w:color w:val="000000"/>
                <w:spacing w:val="-2"/>
                <w:sz w:val="22"/>
                <w:szCs w:val="22"/>
              </w:rPr>
              <w:t> </w:t>
            </w:r>
            <w:r w:rsidR="00F12DAB" w:rsidRPr="00154E08">
              <w:rPr>
                <w:rFonts w:eastAsia="Calibri" w:cs="Times New Roman"/>
                <w:color w:val="000000"/>
                <w:spacing w:val="-2"/>
                <w:sz w:val="22"/>
                <w:szCs w:val="22"/>
              </w:rPr>
              <w:t>NCW</w:t>
            </w:r>
            <w:r w:rsidR="00B03294" w:rsidRPr="00154E08">
              <w:rPr>
                <w:rFonts w:eastAsia="Calibri" w:cs="Times New Roman"/>
                <w:color w:val="000000"/>
                <w:spacing w:val="-2"/>
                <w:sz w:val="22"/>
                <w:szCs w:val="22"/>
              </w:rPr>
              <w:t xml:space="preserve">. </w:t>
            </w:r>
          </w:p>
          <w:p w14:paraId="13DB0E6D" w14:textId="0751E11A" w:rsidR="007C74DA" w:rsidRPr="00154E08" w:rsidRDefault="00D736FA" w:rsidP="00B279FD">
            <w:pPr>
              <w:spacing w:after="120" w:line="240" w:lineRule="auto"/>
              <w:contextualSpacing/>
              <w:jc w:val="both"/>
              <w:rPr>
                <w:rFonts w:eastAsia="Calibri" w:cs="Times New Roman"/>
                <w:b/>
                <w:bCs/>
                <w:color w:val="000000"/>
                <w:sz w:val="22"/>
                <w:szCs w:val="22"/>
              </w:rPr>
            </w:pPr>
            <w:r w:rsidRPr="00154E08">
              <w:rPr>
                <w:rFonts w:eastAsia="Calibri" w:cs="Times New Roman"/>
                <w:iCs/>
                <w:color w:val="000000"/>
                <w:sz w:val="22"/>
                <w:szCs w:val="22"/>
              </w:rPr>
              <w:t>Projekt r</w:t>
            </w:r>
            <w:r w:rsidR="001570CC" w:rsidRPr="00154E08">
              <w:rPr>
                <w:rFonts w:eastAsia="Calibri" w:cs="Times New Roman"/>
                <w:iCs/>
                <w:color w:val="000000"/>
                <w:sz w:val="22"/>
                <w:szCs w:val="22"/>
              </w:rPr>
              <w:t>ozszerz</w:t>
            </w:r>
            <w:r w:rsidRPr="00154E08">
              <w:rPr>
                <w:rFonts w:eastAsia="Calibri" w:cs="Times New Roman"/>
                <w:iCs/>
                <w:color w:val="000000"/>
                <w:sz w:val="22"/>
                <w:szCs w:val="22"/>
              </w:rPr>
              <w:t>a</w:t>
            </w:r>
            <w:r w:rsidR="001570CC" w:rsidRPr="00154E08">
              <w:rPr>
                <w:rFonts w:eastAsia="Calibri" w:cs="Times New Roman"/>
                <w:i/>
                <w:iCs/>
                <w:color w:val="000000"/>
                <w:sz w:val="22"/>
                <w:szCs w:val="22"/>
              </w:rPr>
              <w:t xml:space="preserve"> </w:t>
            </w:r>
            <w:r w:rsidR="007C74DA" w:rsidRPr="00154E08">
              <w:rPr>
                <w:rFonts w:eastAsia="Calibri" w:cs="Times New Roman"/>
                <w:color w:val="000000"/>
                <w:sz w:val="22"/>
                <w:szCs w:val="22"/>
              </w:rPr>
              <w:t xml:space="preserve">katalog rozwiązań o możliwość </w:t>
            </w:r>
            <w:r w:rsidR="005932CE" w:rsidRPr="00154E08">
              <w:rPr>
                <w:rFonts w:eastAsia="Calibri" w:cs="Times New Roman"/>
                <w:color w:val="000000"/>
                <w:sz w:val="22"/>
                <w:szCs w:val="22"/>
              </w:rPr>
              <w:t>za</w:t>
            </w:r>
            <w:r w:rsidR="003C5B29" w:rsidRPr="00154E08">
              <w:rPr>
                <w:rFonts w:eastAsia="Calibri" w:cs="Times New Roman"/>
                <w:color w:val="000000"/>
                <w:sz w:val="22"/>
                <w:szCs w:val="22"/>
              </w:rPr>
              <w:t>liczenia w NCW</w:t>
            </w:r>
            <w:r w:rsidR="005932CE" w:rsidRPr="00154E08">
              <w:rPr>
                <w:rFonts w:eastAsia="Calibri" w:cs="Times New Roman"/>
                <w:sz w:val="22"/>
                <w:szCs w:val="22"/>
              </w:rPr>
              <w:t xml:space="preserve"> </w:t>
            </w:r>
            <w:r w:rsidR="007C74DA" w:rsidRPr="00154E08">
              <w:rPr>
                <w:rFonts w:eastAsia="Calibri" w:cs="Times New Roman"/>
                <w:sz w:val="22"/>
                <w:szCs w:val="22"/>
              </w:rPr>
              <w:t>paliw węglowych pochodzących z</w:t>
            </w:r>
            <w:r w:rsidR="00D734B2" w:rsidRPr="00154E08">
              <w:rPr>
                <w:rFonts w:eastAsia="Calibri" w:cs="Times New Roman"/>
                <w:sz w:val="22"/>
                <w:szCs w:val="22"/>
              </w:rPr>
              <w:t> </w:t>
            </w:r>
            <w:r w:rsidR="007C74DA" w:rsidRPr="00154E08">
              <w:rPr>
                <w:rFonts w:eastAsia="Calibri" w:cs="Times New Roman"/>
                <w:sz w:val="22"/>
                <w:szCs w:val="22"/>
              </w:rPr>
              <w:t>recyklingu (RCF)</w:t>
            </w:r>
            <w:r w:rsidR="007C74DA" w:rsidRPr="00154E08">
              <w:rPr>
                <w:rFonts w:eastAsia="Calibri" w:cs="Times New Roman"/>
                <w:i/>
                <w:iCs/>
                <w:sz w:val="22"/>
                <w:szCs w:val="22"/>
              </w:rPr>
              <w:t xml:space="preserve"> </w:t>
            </w:r>
            <w:r w:rsidR="007C74DA" w:rsidRPr="00154E08">
              <w:rPr>
                <w:rFonts w:eastAsia="Calibri" w:cs="Times New Roman"/>
                <w:color w:val="000000"/>
                <w:sz w:val="22"/>
                <w:szCs w:val="22"/>
              </w:rPr>
              <w:t>opisanych w dyrektywie RED</w:t>
            </w:r>
            <w:r w:rsidR="00F1557B" w:rsidRPr="00154E08">
              <w:rPr>
                <w:rFonts w:eastAsia="Calibri" w:cs="Times New Roman"/>
                <w:color w:val="000000"/>
                <w:sz w:val="22"/>
                <w:szCs w:val="22"/>
              </w:rPr>
              <w:t xml:space="preserve"> </w:t>
            </w:r>
            <w:r w:rsidR="007C74DA" w:rsidRPr="00154E08">
              <w:rPr>
                <w:rFonts w:eastAsia="Calibri" w:cs="Times New Roman"/>
                <w:color w:val="000000"/>
                <w:sz w:val="22"/>
                <w:szCs w:val="22"/>
              </w:rPr>
              <w:t>II</w:t>
            </w:r>
            <w:r w:rsidR="007E4397" w:rsidRPr="00154E08">
              <w:rPr>
                <w:rFonts w:eastAsia="Calibri" w:cs="Times New Roman"/>
                <w:color w:val="000000"/>
                <w:sz w:val="22"/>
                <w:szCs w:val="22"/>
              </w:rPr>
              <w:t>, co</w:t>
            </w:r>
            <w:r w:rsidR="007C74DA" w:rsidRPr="00154E08">
              <w:rPr>
                <w:rFonts w:eastAsia="Calibri" w:cs="Times New Roman"/>
                <w:color w:val="000000"/>
                <w:sz w:val="22"/>
                <w:szCs w:val="22"/>
              </w:rPr>
              <w:t xml:space="preserve"> umożliwi zagospodarowanie nieprzydatnych </w:t>
            </w:r>
            <w:r w:rsidR="008629D2" w:rsidRPr="00154E08">
              <w:rPr>
                <w:rFonts w:eastAsia="Calibri" w:cs="Times New Roman"/>
                <w:color w:val="000000"/>
                <w:sz w:val="22"/>
                <w:szCs w:val="22"/>
              </w:rPr>
              <w:t xml:space="preserve">dotychczas </w:t>
            </w:r>
            <w:r w:rsidR="007C74DA" w:rsidRPr="00154E08">
              <w:rPr>
                <w:rFonts w:eastAsia="Calibri" w:cs="Times New Roman"/>
                <w:color w:val="000000"/>
                <w:sz w:val="22"/>
                <w:szCs w:val="22"/>
              </w:rPr>
              <w:t>materiałów i frakcji węglowodorowych. Definicja obejmuje paliwa węglowe wytworzone ze źródeł nieodnawialnych:</w:t>
            </w:r>
            <w:r w:rsidR="00B775D6" w:rsidRPr="00154E08">
              <w:rPr>
                <w:rFonts w:eastAsia="Calibri" w:cs="Times New Roman"/>
                <w:color w:val="000000"/>
                <w:sz w:val="22"/>
                <w:szCs w:val="22"/>
              </w:rPr>
              <w:t xml:space="preserve"> </w:t>
            </w:r>
            <w:r w:rsidR="007C74DA" w:rsidRPr="00154E08">
              <w:rPr>
                <w:rFonts w:eastAsia="Calibri" w:cs="Times New Roman"/>
                <w:color w:val="000000"/>
                <w:sz w:val="22"/>
                <w:szCs w:val="22"/>
              </w:rPr>
              <w:t>ciekłych i stałych strumieni odpadów, które nie nadają się do odzysku, oraz</w:t>
            </w:r>
            <w:r w:rsidR="00B775D6" w:rsidRPr="00154E08">
              <w:rPr>
                <w:rFonts w:eastAsia="Calibri" w:cs="Times New Roman"/>
                <w:color w:val="000000"/>
                <w:sz w:val="22"/>
                <w:szCs w:val="22"/>
              </w:rPr>
              <w:t xml:space="preserve"> </w:t>
            </w:r>
            <w:r w:rsidR="007C74DA" w:rsidRPr="00154E08">
              <w:rPr>
                <w:rFonts w:eastAsia="Calibri" w:cs="Times New Roman"/>
                <w:color w:val="000000"/>
                <w:sz w:val="22"/>
                <w:szCs w:val="22"/>
              </w:rPr>
              <w:t>gazów odlotowych z</w:t>
            </w:r>
            <w:r w:rsidR="003C5B29" w:rsidRPr="00154E08">
              <w:rPr>
                <w:rFonts w:eastAsia="Calibri" w:cs="Times New Roman"/>
                <w:color w:val="000000"/>
                <w:sz w:val="22"/>
                <w:szCs w:val="22"/>
              </w:rPr>
              <w:t> </w:t>
            </w:r>
            <w:r w:rsidR="007C74DA" w:rsidRPr="00154E08">
              <w:rPr>
                <w:rFonts w:eastAsia="Calibri" w:cs="Times New Roman"/>
                <w:color w:val="000000"/>
                <w:sz w:val="22"/>
                <w:szCs w:val="22"/>
              </w:rPr>
              <w:t>procesów technologicznych, gazów spalinowych, powstałych jako nieuniknione i niezamierzone następstwo produkcji w instalacjach przemysłowych.</w:t>
            </w:r>
          </w:p>
          <w:p w14:paraId="798FCA91" w14:textId="06F6CEEE" w:rsidR="003F19A5" w:rsidRPr="00154E08" w:rsidRDefault="00D734B2" w:rsidP="00B279FD">
            <w:pPr>
              <w:pStyle w:val="Akapitzlist"/>
              <w:numPr>
                <w:ilvl w:val="0"/>
                <w:numId w:val="25"/>
              </w:numPr>
              <w:spacing w:after="120" w:line="240" w:lineRule="auto"/>
              <w:jc w:val="both"/>
              <w:rPr>
                <w:rFonts w:ascii="Times New Roman" w:eastAsia="Calibri" w:hAnsi="Times New Roman"/>
                <w:b/>
                <w:bCs/>
                <w:color w:val="000000"/>
                <w:spacing w:val="-2"/>
                <w:sz w:val="22"/>
                <w:szCs w:val="22"/>
              </w:rPr>
            </w:pPr>
            <w:r w:rsidRPr="00154E08">
              <w:rPr>
                <w:rFonts w:ascii="Times New Roman" w:eastAsia="Calibri" w:hAnsi="Times New Roman"/>
                <w:b/>
                <w:bCs/>
                <w:color w:val="000000"/>
                <w:spacing w:val="-2"/>
                <w:sz w:val="22"/>
                <w:szCs w:val="22"/>
              </w:rPr>
              <w:t>Z</w:t>
            </w:r>
            <w:r w:rsidR="003F3016" w:rsidRPr="00154E08">
              <w:rPr>
                <w:rFonts w:ascii="Times New Roman" w:eastAsia="Calibri" w:hAnsi="Times New Roman"/>
                <w:b/>
                <w:bCs/>
                <w:color w:val="000000"/>
                <w:spacing w:val="-2"/>
                <w:sz w:val="22"/>
                <w:szCs w:val="22"/>
              </w:rPr>
              <w:t>aliczeni</w:t>
            </w:r>
            <w:r w:rsidR="00D30621" w:rsidRPr="00154E08">
              <w:rPr>
                <w:rFonts w:ascii="Times New Roman" w:eastAsia="Calibri" w:hAnsi="Times New Roman"/>
                <w:b/>
                <w:bCs/>
                <w:color w:val="000000"/>
                <w:spacing w:val="-2"/>
                <w:sz w:val="22"/>
                <w:szCs w:val="22"/>
              </w:rPr>
              <w:t>e</w:t>
            </w:r>
            <w:r w:rsidR="003F3016" w:rsidRPr="00154E08">
              <w:rPr>
                <w:rFonts w:ascii="Times New Roman" w:eastAsia="Calibri" w:hAnsi="Times New Roman"/>
                <w:b/>
                <w:bCs/>
                <w:color w:val="000000"/>
                <w:spacing w:val="-2"/>
                <w:sz w:val="22"/>
                <w:szCs w:val="22"/>
              </w:rPr>
              <w:t xml:space="preserve"> energii elektrycznej ze źródeł OZE zawartej w energii wykorzystywanej w</w:t>
            </w:r>
            <w:r w:rsidR="00851D70" w:rsidRPr="00154E08">
              <w:rPr>
                <w:rFonts w:ascii="Times New Roman" w:eastAsia="Calibri" w:hAnsi="Times New Roman"/>
                <w:b/>
                <w:bCs/>
                <w:color w:val="000000"/>
                <w:spacing w:val="-2"/>
                <w:sz w:val="22"/>
                <w:szCs w:val="22"/>
              </w:rPr>
              <w:t> </w:t>
            </w:r>
            <w:r w:rsidR="003F3016" w:rsidRPr="00154E08">
              <w:rPr>
                <w:rFonts w:ascii="Times New Roman" w:eastAsia="Calibri" w:hAnsi="Times New Roman"/>
                <w:b/>
                <w:bCs/>
                <w:color w:val="000000"/>
                <w:spacing w:val="-2"/>
                <w:sz w:val="22"/>
                <w:szCs w:val="22"/>
              </w:rPr>
              <w:t>transporcie</w:t>
            </w:r>
            <w:r w:rsidR="00264332" w:rsidRPr="00154E08">
              <w:rPr>
                <w:rFonts w:ascii="Times New Roman" w:eastAsia="Calibri" w:hAnsi="Times New Roman"/>
                <w:b/>
                <w:bCs/>
                <w:color w:val="000000"/>
                <w:spacing w:val="-2"/>
                <w:sz w:val="22"/>
                <w:szCs w:val="22"/>
              </w:rPr>
              <w:t xml:space="preserve"> do realizacji celu </w:t>
            </w:r>
            <w:r w:rsidR="004610A1" w:rsidRPr="00154E08">
              <w:rPr>
                <w:rFonts w:ascii="Times New Roman" w:eastAsia="Calibri" w:hAnsi="Times New Roman"/>
                <w:b/>
                <w:bCs/>
                <w:color w:val="000000"/>
                <w:spacing w:val="-2"/>
                <w:sz w:val="22"/>
                <w:szCs w:val="22"/>
              </w:rPr>
              <w:t>OZE</w:t>
            </w:r>
            <w:r w:rsidR="00264332" w:rsidRPr="00154E08">
              <w:rPr>
                <w:rFonts w:ascii="Times New Roman" w:eastAsia="Calibri" w:hAnsi="Times New Roman"/>
                <w:b/>
                <w:bCs/>
                <w:color w:val="000000"/>
                <w:spacing w:val="-2"/>
                <w:sz w:val="22"/>
                <w:szCs w:val="22"/>
              </w:rPr>
              <w:t xml:space="preserve"> w transporcie</w:t>
            </w:r>
            <w:r w:rsidR="003F3016" w:rsidRPr="00154E08">
              <w:rPr>
                <w:rFonts w:ascii="Times New Roman" w:eastAsia="Calibri" w:hAnsi="Times New Roman"/>
                <w:b/>
                <w:bCs/>
                <w:color w:val="000000"/>
                <w:spacing w:val="-2"/>
                <w:sz w:val="22"/>
                <w:szCs w:val="22"/>
              </w:rPr>
              <w:t xml:space="preserve"> oraz określenie zasad jej rozliczania</w:t>
            </w:r>
          </w:p>
          <w:p w14:paraId="248D1A06" w14:textId="39019F70" w:rsidR="005A49CE" w:rsidRPr="00154E08" w:rsidRDefault="00F12DAB"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W celu zapewnienia realizacji 14% celu </w:t>
            </w:r>
            <w:r w:rsidR="001F1095" w:rsidRPr="00154E08">
              <w:rPr>
                <w:rFonts w:eastAsia="Calibri" w:cs="Times New Roman"/>
                <w:color w:val="000000"/>
                <w:spacing w:val="-2"/>
                <w:sz w:val="22"/>
                <w:szCs w:val="22"/>
              </w:rPr>
              <w:t>okreś</w:t>
            </w:r>
            <w:r w:rsidR="00AE6B4C" w:rsidRPr="00154E08">
              <w:rPr>
                <w:rFonts w:eastAsia="Calibri" w:cs="Times New Roman"/>
                <w:color w:val="000000"/>
                <w:spacing w:val="-2"/>
                <w:sz w:val="22"/>
                <w:szCs w:val="22"/>
              </w:rPr>
              <w:t xml:space="preserve">lonego dyrektywą 2018/2001 </w:t>
            </w:r>
            <w:r w:rsidR="00E54E69" w:rsidRPr="00154E08">
              <w:rPr>
                <w:rFonts w:eastAsia="Calibri" w:cs="Times New Roman"/>
                <w:color w:val="000000"/>
                <w:spacing w:val="-2"/>
                <w:sz w:val="22"/>
                <w:szCs w:val="22"/>
              </w:rPr>
              <w:t>w projekcie</w:t>
            </w:r>
            <w:r w:rsidR="00684A87" w:rsidRPr="00154E08">
              <w:rPr>
                <w:rFonts w:eastAsia="Calibri" w:cs="Times New Roman"/>
                <w:color w:val="000000"/>
                <w:spacing w:val="-2"/>
                <w:sz w:val="22"/>
                <w:szCs w:val="22"/>
              </w:rPr>
              <w:t xml:space="preserve"> </w:t>
            </w:r>
            <w:r w:rsidRPr="00154E08">
              <w:rPr>
                <w:rFonts w:eastAsia="Calibri" w:cs="Times New Roman"/>
                <w:color w:val="000000"/>
                <w:spacing w:val="-2"/>
                <w:sz w:val="22"/>
                <w:szCs w:val="22"/>
              </w:rPr>
              <w:t xml:space="preserve">ustawy </w:t>
            </w:r>
            <w:r w:rsidR="00707B30" w:rsidRPr="00154E08">
              <w:rPr>
                <w:rFonts w:eastAsia="Calibri" w:cs="Times New Roman"/>
                <w:color w:val="000000"/>
                <w:spacing w:val="-2"/>
                <w:sz w:val="22"/>
                <w:szCs w:val="22"/>
              </w:rPr>
              <w:t xml:space="preserve">zostaną </w:t>
            </w:r>
            <w:r w:rsidRPr="00154E08">
              <w:rPr>
                <w:rFonts w:eastAsia="Calibri" w:cs="Times New Roman"/>
                <w:color w:val="000000"/>
                <w:spacing w:val="-2"/>
                <w:sz w:val="22"/>
                <w:szCs w:val="22"/>
              </w:rPr>
              <w:t>wprowadzone mechanizmy ułatwiające zastosowanie energii elektrycznej wyprodukowanej z odnawialnych źródeł energii w</w:t>
            </w:r>
            <w:r w:rsidR="00D41ADA" w:rsidRPr="00154E08">
              <w:rPr>
                <w:rFonts w:eastAsia="Calibri" w:cs="Times New Roman"/>
                <w:color w:val="000000"/>
                <w:spacing w:val="-2"/>
                <w:sz w:val="22"/>
                <w:szCs w:val="22"/>
              </w:rPr>
              <w:t> </w:t>
            </w:r>
            <w:r w:rsidRPr="00154E08">
              <w:rPr>
                <w:rFonts w:eastAsia="Calibri" w:cs="Times New Roman"/>
                <w:color w:val="000000"/>
                <w:spacing w:val="-2"/>
                <w:sz w:val="22"/>
                <w:szCs w:val="22"/>
              </w:rPr>
              <w:t xml:space="preserve">rozliczeniu NCW przez podmioty zobowiązane. Promowanie rozwoju </w:t>
            </w:r>
            <w:proofErr w:type="spellStart"/>
            <w:r w:rsidR="00A5766D" w:rsidRPr="00154E08">
              <w:rPr>
                <w:rFonts w:eastAsia="Calibri" w:cs="Times New Roman"/>
                <w:color w:val="000000"/>
                <w:spacing w:val="-2"/>
                <w:sz w:val="22"/>
                <w:szCs w:val="22"/>
              </w:rPr>
              <w:t>elektro</w:t>
            </w:r>
            <w:r w:rsidRPr="00154E08">
              <w:rPr>
                <w:rFonts w:eastAsia="Calibri" w:cs="Times New Roman"/>
                <w:color w:val="000000"/>
                <w:spacing w:val="-2"/>
                <w:sz w:val="22"/>
                <w:szCs w:val="22"/>
              </w:rPr>
              <w:t>mobilności</w:t>
            </w:r>
            <w:proofErr w:type="spellEnd"/>
            <w:r w:rsidRPr="00154E08">
              <w:rPr>
                <w:rFonts w:eastAsia="Calibri" w:cs="Times New Roman"/>
                <w:color w:val="000000"/>
                <w:spacing w:val="-2"/>
                <w:sz w:val="22"/>
                <w:szCs w:val="22"/>
              </w:rPr>
              <w:t xml:space="preserve">, zachęcanie podmiotów do powszechnego stosowania odnawialnej energii elektrycznej – jest spójne ze strategiami wdrażanymi w innych państwach członkowskich </w:t>
            </w:r>
            <w:r w:rsidRPr="00154E08">
              <w:rPr>
                <w:rFonts w:eastAsia="Calibri" w:cs="Times New Roman"/>
                <w:color w:val="000000"/>
                <w:spacing w:val="-2"/>
                <w:sz w:val="22"/>
                <w:szCs w:val="22"/>
              </w:rPr>
              <w:lastRenderedPageBreak/>
              <w:t>U</w:t>
            </w:r>
            <w:r w:rsidR="00BD019B" w:rsidRPr="00154E08">
              <w:rPr>
                <w:rFonts w:eastAsia="Calibri" w:cs="Times New Roman"/>
                <w:color w:val="000000"/>
                <w:spacing w:val="-2"/>
                <w:sz w:val="22"/>
                <w:szCs w:val="22"/>
              </w:rPr>
              <w:t xml:space="preserve">nii </w:t>
            </w:r>
            <w:r w:rsidRPr="00154E08">
              <w:rPr>
                <w:rFonts w:eastAsia="Calibri" w:cs="Times New Roman"/>
                <w:color w:val="000000"/>
                <w:spacing w:val="-2"/>
                <w:sz w:val="22"/>
                <w:szCs w:val="22"/>
              </w:rPr>
              <w:t>E</w:t>
            </w:r>
            <w:r w:rsidR="00BD019B" w:rsidRPr="00154E08">
              <w:rPr>
                <w:rFonts w:eastAsia="Calibri" w:cs="Times New Roman"/>
                <w:color w:val="000000"/>
                <w:spacing w:val="-2"/>
                <w:sz w:val="22"/>
                <w:szCs w:val="22"/>
              </w:rPr>
              <w:t>uropejskiej</w:t>
            </w:r>
            <w:r w:rsidRPr="00154E08">
              <w:rPr>
                <w:rFonts w:eastAsia="Calibri" w:cs="Times New Roman"/>
                <w:color w:val="000000"/>
                <w:spacing w:val="-2"/>
                <w:sz w:val="22"/>
                <w:szCs w:val="22"/>
              </w:rPr>
              <w:t xml:space="preserve">. </w:t>
            </w:r>
          </w:p>
          <w:p w14:paraId="4D9DEE86" w14:textId="77777777" w:rsidR="000854A4" w:rsidRPr="00154E08" w:rsidRDefault="000854A4" w:rsidP="00F12DAB">
            <w:pPr>
              <w:spacing w:before="60" w:line="240" w:lineRule="auto"/>
              <w:contextualSpacing/>
              <w:jc w:val="both"/>
              <w:rPr>
                <w:rFonts w:eastAsia="Calibri" w:cs="Times New Roman"/>
                <w:color w:val="000000"/>
                <w:spacing w:val="-2"/>
                <w:sz w:val="22"/>
                <w:szCs w:val="22"/>
              </w:rPr>
            </w:pPr>
          </w:p>
          <w:p w14:paraId="3ED46438" w14:textId="386F1F22" w:rsidR="000854A4" w:rsidRPr="00154E08" w:rsidRDefault="000854A4" w:rsidP="00F12DAB">
            <w:pPr>
              <w:spacing w:before="60" w:line="240" w:lineRule="auto"/>
              <w:contextualSpacing/>
              <w:jc w:val="both"/>
              <w:rPr>
                <w:rFonts w:eastAsia="Calibri" w:cs="Times New Roman"/>
                <w:bCs/>
                <w:color w:val="000000"/>
                <w:spacing w:val="-2"/>
                <w:sz w:val="22"/>
                <w:szCs w:val="22"/>
              </w:rPr>
            </w:pPr>
            <w:r w:rsidRPr="00154E08">
              <w:rPr>
                <w:rFonts w:eastAsia="Calibri" w:cs="Times New Roman"/>
                <w:bCs/>
                <w:color w:val="000000"/>
                <w:spacing w:val="-2"/>
                <w:sz w:val="22"/>
                <w:szCs w:val="22"/>
              </w:rPr>
              <w:t xml:space="preserve">Tabela </w:t>
            </w:r>
            <w:r w:rsidR="00545B35" w:rsidRPr="00154E08">
              <w:rPr>
                <w:rFonts w:eastAsia="Calibri" w:cs="Times New Roman"/>
                <w:bCs/>
                <w:color w:val="000000"/>
                <w:spacing w:val="-2"/>
                <w:sz w:val="22"/>
                <w:szCs w:val="22"/>
              </w:rPr>
              <w:t xml:space="preserve">4 – </w:t>
            </w:r>
            <w:r w:rsidR="00545B35" w:rsidRPr="00154E08">
              <w:rPr>
                <w:rFonts w:eastAsia="Calibri" w:cs="Times New Roman"/>
                <w:color w:val="000000"/>
                <w:spacing w:val="-2"/>
                <w:sz w:val="22"/>
                <w:szCs w:val="22"/>
              </w:rPr>
              <w:t>pr</w:t>
            </w:r>
            <w:r w:rsidRPr="00154E08">
              <w:rPr>
                <w:rFonts w:eastAsia="Calibri" w:cs="Times New Roman"/>
                <w:color w:val="000000"/>
                <w:spacing w:val="-2"/>
                <w:sz w:val="22"/>
                <w:szCs w:val="22"/>
              </w:rPr>
              <w:t>ognoza rozwoju</w:t>
            </w:r>
            <w:r w:rsidRPr="00154E08">
              <w:rPr>
                <w:rFonts w:eastAsia="Calibri" w:cs="Times New Roman"/>
                <w:bCs/>
                <w:color w:val="000000"/>
                <w:spacing w:val="-2"/>
                <w:sz w:val="22"/>
                <w:szCs w:val="22"/>
              </w:rPr>
              <w:t xml:space="preserve"> </w:t>
            </w:r>
            <w:proofErr w:type="spellStart"/>
            <w:r w:rsidR="00A5766D" w:rsidRPr="00154E08">
              <w:rPr>
                <w:rFonts w:eastAsia="Calibri" w:cs="Times New Roman"/>
                <w:bCs/>
                <w:color w:val="000000"/>
                <w:spacing w:val="-2"/>
                <w:sz w:val="22"/>
                <w:szCs w:val="22"/>
              </w:rPr>
              <w:t>elektro</w:t>
            </w:r>
            <w:r w:rsidRPr="00154E08">
              <w:rPr>
                <w:rFonts w:eastAsia="Calibri" w:cs="Times New Roman"/>
                <w:bCs/>
                <w:color w:val="000000"/>
                <w:spacing w:val="-2"/>
                <w:sz w:val="22"/>
                <w:szCs w:val="22"/>
              </w:rPr>
              <w:t>mobilności</w:t>
            </w:r>
            <w:proofErr w:type="spellEnd"/>
            <w:r w:rsidRPr="00154E08">
              <w:rPr>
                <w:rFonts w:eastAsia="Calibri" w:cs="Times New Roman"/>
                <w:bCs/>
                <w:color w:val="000000"/>
                <w:spacing w:val="-2"/>
                <w:sz w:val="22"/>
                <w:szCs w:val="22"/>
              </w:rPr>
              <w:t xml:space="preserve"> w </w:t>
            </w:r>
            <w:r w:rsidR="00EE7412" w:rsidRPr="00154E08">
              <w:rPr>
                <w:rFonts w:eastAsia="Calibri" w:cs="Times New Roman"/>
                <w:bCs/>
                <w:color w:val="000000"/>
                <w:spacing w:val="-2"/>
                <w:sz w:val="22"/>
                <w:szCs w:val="22"/>
              </w:rPr>
              <w:t>R</w:t>
            </w:r>
            <w:r w:rsidR="00707B30" w:rsidRPr="00154E08">
              <w:rPr>
                <w:rFonts w:eastAsia="Calibri" w:cs="Times New Roman"/>
                <w:bCs/>
                <w:color w:val="000000"/>
                <w:spacing w:val="-2"/>
                <w:sz w:val="22"/>
                <w:szCs w:val="22"/>
              </w:rPr>
              <w:t>z</w:t>
            </w:r>
            <w:r w:rsidR="00EE7412" w:rsidRPr="00154E08">
              <w:rPr>
                <w:rFonts w:eastAsia="Calibri" w:cs="Times New Roman"/>
                <w:bCs/>
                <w:color w:val="000000"/>
                <w:spacing w:val="-2"/>
                <w:sz w:val="22"/>
                <w:szCs w:val="22"/>
              </w:rPr>
              <w:t xml:space="preserve">eczypospolitej </w:t>
            </w:r>
            <w:r w:rsidRPr="00154E08">
              <w:rPr>
                <w:rFonts w:eastAsia="Calibri" w:cs="Times New Roman"/>
                <w:bCs/>
                <w:color w:val="000000"/>
                <w:spacing w:val="-2"/>
                <w:sz w:val="22"/>
                <w:szCs w:val="22"/>
              </w:rPr>
              <w:t>Pols</w:t>
            </w:r>
            <w:r w:rsidR="00EE7412" w:rsidRPr="00154E08">
              <w:rPr>
                <w:rFonts w:eastAsia="Calibri" w:cs="Times New Roman"/>
                <w:bCs/>
                <w:color w:val="000000"/>
                <w:spacing w:val="-2"/>
                <w:sz w:val="22"/>
                <w:szCs w:val="22"/>
              </w:rPr>
              <w:t>kiej</w:t>
            </w:r>
            <w:r w:rsidRPr="00154E08">
              <w:rPr>
                <w:rFonts w:eastAsia="Calibri" w:cs="Times New Roman"/>
                <w:bCs/>
                <w:color w:val="000000"/>
                <w:spacing w:val="-2"/>
                <w:sz w:val="22"/>
                <w:szCs w:val="22"/>
              </w:rPr>
              <w:t xml:space="preserve"> w latach 202</w:t>
            </w:r>
            <w:r w:rsidR="001E3072" w:rsidRPr="00154E08">
              <w:rPr>
                <w:rFonts w:eastAsia="Calibri" w:cs="Times New Roman"/>
                <w:bCs/>
                <w:color w:val="000000"/>
                <w:spacing w:val="-2"/>
                <w:sz w:val="22"/>
                <w:szCs w:val="22"/>
              </w:rPr>
              <w:t>4</w:t>
            </w:r>
            <w:r w:rsidR="00684A87" w:rsidRPr="00154E08">
              <w:rPr>
                <w:rFonts w:eastAsia="Calibri" w:cs="Times New Roman"/>
                <w:bCs/>
                <w:color w:val="000000"/>
                <w:spacing w:val="-2"/>
                <w:sz w:val="22"/>
                <w:szCs w:val="22"/>
              </w:rPr>
              <w:t xml:space="preserve"> –</w:t>
            </w:r>
            <w:r w:rsidRPr="00154E08">
              <w:rPr>
                <w:rFonts w:eastAsia="Calibri" w:cs="Times New Roman"/>
                <w:bCs/>
                <w:color w:val="000000"/>
                <w:spacing w:val="-2"/>
                <w:sz w:val="22"/>
                <w:szCs w:val="22"/>
              </w:rPr>
              <w:t>20</w:t>
            </w:r>
            <w:r w:rsidR="00541E09" w:rsidRPr="00154E08">
              <w:rPr>
                <w:rFonts w:eastAsia="Calibri" w:cs="Times New Roman"/>
                <w:bCs/>
                <w:color w:val="000000"/>
                <w:spacing w:val="-2"/>
                <w:sz w:val="22"/>
                <w:szCs w:val="22"/>
              </w:rPr>
              <w:t>30</w:t>
            </w:r>
            <w:r w:rsidRPr="00154E08">
              <w:rPr>
                <w:rFonts w:eastAsia="Calibri" w:cs="Times New Roman"/>
                <w:bCs/>
                <w:color w:val="000000"/>
                <w:spacing w:val="-2"/>
                <w:sz w:val="22"/>
                <w:szCs w:val="22"/>
              </w:rPr>
              <w:t>.</w:t>
            </w:r>
          </w:p>
          <w:tbl>
            <w:tblPr>
              <w:tblStyle w:val="Tabela-Siatka1"/>
              <w:tblW w:w="0" w:type="auto"/>
              <w:jc w:val="center"/>
              <w:tblLayout w:type="fixed"/>
              <w:tblLook w:val="04A0" w:firstRow="1" w:lastRow="0" w:firstColumn="1" w:lastColumn="0" w:noHBand="0" w:noVBand="1"/>
            </w:tblPr>
            <w:tblGrid>
              <w:gridCol w:w="688"/>
              <w:gridCol w:w="2831"/>
              <w:gridCol w:w="2649"/>
            </w:tblGrid>
            <w:tr w:rsidR="000854A4" w:rsidRPr="00154E08" w14:paraId="25569C7F" w14:textId="77777777" w:rsidTr="00C95844">
              <w:trPr>
                <w:trHeight w:val="664"/>
                <w:jc w:val="center"/>
              </w:trPr>
              <w:tc>
                <w:tcPr>
                  <w:tcW w:w="688" w:type="dxa"/>
                </w:tcPr>
                <w:p w14:paraId="15A30F46" w14:textId="4355F84A" w:rsidR="000854A4" w:rsidRPr="00154E08" w:rsidRDefault="00707B30" w:rsidP="000854A4">
                  <w:pPr>
                    <w:jc w:val="center"/>
                    <w:rPr>
                      <w:rFonts w:cs="Times New Roman"/>
                      <w:szCs w:val="22"/>
                    </w:rPr>
                  </w:pPr>
                  <w:r w:rsidRPr="00154E08">
                    <w:rPr>
                      <w:rFonts w:cs="Times New Roman"/>
                      <w:szCs w:val="22"/>
                    </w:rPr>
                    <w:t>Rok</w:t>
                  </w:r>
                </w:p>
              </w:tc>
              <w:tc>
                <w:tcPr>
                  <w:tcW w:w="2831" w:type="dxa"/>
                </w:tcPr>
                <w:p w14:paraId="6E85C5E4" w14:textId="41B2AE9D" w:rsidR="00AE6B4C" w:rsidRPr="00154E08" w:rsidRDefault="000854A4" w:rsidP="00C95844">
                  <w:pPr>
                    <w:spacing w:line="240" w:lineRule="auto"/>
                    <w:jc w:val="center"/>
                    <w:rPr>
                      <w:rFonts w:cs="Times New Roman"/>
                      <w:szCs w:val="22"/>
                    </w:rPr>
                  </w:pPr>
                  <w:r w:rsidRPr="00154E08">
                    <w:rPr>
                      <w:rFonts w:cs="Times New Roman"/>
                      <w:szCs w:val="22"/>
                    </w:rPr>
                    <w:t>Prognozowana liczba samochodów</w:t>
                  </w:r>
                  <w:r w:rsidR="00AE6B4C" w:rsidRPr="00154E08">
                    <w:rPr>
                      <w:rFonts w:cs="Times New Roman"/>
                      <w:szCs w:val="22"/>
                    </w:rPr>
                    <w:t xml:space="preserve"> </w:t>
                  </w:r>
                  <w:r w:rsidRPr="00154E08">
                    <w:rPr>
                      <w:rFonts w:cs="Times New Roman"/>
                      <w:szCs w:val="22"/>
                    </w:rPr>
                    <w:t xml:space="preserve">elektrycznych </w:t>
                  </w:r>
                </w:p>
                <w:p w14:paraId="2B8DA2EF" w14:textId="4B85FE9E" w:rsidR="000854A4" w:rsidRPr="00154E08" w:rsidRDefault="000854A4" w:rsidP="00C95844">
                  <w:pPr>
                    <w:spacing w:line="240" w:lineRule="auto"/>
                    <w:jc w:val="center"/>
                    <w:rPr>
                      <w:rFonts w:cs="Times New Roman"/>
                      <w:szCs w:val="22"/>
                    </w:rPr>
                  </w:pPr>
                  <w:r w:rsidRPr="00154E08">
                    <w:rPr>
                      <w:rFonts w:cs="Times New Roman"/>
                      <w:szCs w:val="22"/>
                    </w:rPr>
                    <w:t>[w tys. szt.]</w:t>
                  </w:r>
                </w:p>
              </w:tc>
              <w:tc>
                <w:tcPr>
                  <w:tcW w:w="2649" w:type="dxa"/>
                </w:tcPr>
                <w:p w14:paraId="52912573" w14:textId="3AA13F57" w:rsidR="000854A4" w:rsidRPr="00154E08" w:rsidRDefault="000854A4" w:rsidP="004610A1">
                  <w:pPr>
                    <w:spacing w:line="240" w:lineRule="auto"/>
                    <w:jc w:val="center"/>
                    <w:rPr>
                      <w:rFonts w:cs="Times New Roman"/>
                      <w:szCs w:val="22"/>
                    </w:rPr>
                  </w:pPr>
                  <w:r w:rsidRPr="00154E08">
                    <w:rPr>
                      <w:rFonts w:cs="Times New Roman"/>
                      <w:szCs w:val="22"/>
                    </w:rPr>
                    <w:t>Roczne zapotrzebowanie na energię elektryczną w transporcie</w:t>
                  </w:r>
                  <w:r w:rsidR="00851D70" w:rsidRPr="00154E08">
                    <w:rPr>
                      <w:rFonts w:cs="Times New Roman"/>
                      <w:szCs w:val="22"/>
                    </w:rPr>
                    <w:t xml:space="preserve"> </w:t>
                  </w:r>
                  <w:r w:rsidRPr="00154E08">
                    <w:rPr>
                      <w:rFonts w:cs="Times New Roman"/>
                      <w:szCs w:val="22"/>
                    </w:rPr>
                    <w:t>[</w:t>
                  </w:r>
                  <w:proofErr w:type="spellStart"/>
                  <w:r w:rsidRPr="00154E08">
                    <w:rPr>
                      <w:rFonts w:cs="Times New Roman"/>
                      <w:szCs w:val="22"/>
                    </w:rPr>
                    <w:t>GWh</w:t>
                  </w:r>
                  <w:proofErr w:type="spellEnd"/>
                  <w:r w:rsidRPr="00154E08">
                    <w:rPr>
                      <w:rFonts w:cs="Times New Roman"/>
                      <w:szCs w:val="22"/>
                    </w:rPr>
                    <w:t>]</w:t>
                  </w:r>
                </w:p>
              </w:tc>
            </w:tr>
            <w:tr w:rsidR="00BC3F8B" w:rsidRPr="00154E08" w14:paraId="71491BDB" w14:textId="77777777" w:rsidTr="00C95844">
              <w:trPr>
                <w:jc w:val="center"/>
              </w:trPr>
              <w:tc>
                <w:tcPr>
                  <w:tcW w:w="688" w:type="dxa"/>
                </w:tcPr>
                <w:p w14:paraId="3F0AB4D2" w14:textId="00CD79D7" w:rsidR="00BC3F8B" w:rsidRPr="00154E08" w:rsidRDefault="00BC3F8B" w:rsidP="00BC3F8B">
                  <w:pPr>
                    <w:rPr>
                      <w:rFonts w:cs="Times New Roman"/>
                      <w:szCs w:val="22"/>
                    </w:rPr>
                  </w:pPr>
                  <w:r w:rsidRPr="00154E08">
                    <w:rPr>
                      <w:rFonts w:cs="Times New Roman"/>
                      <w:szCs w:val="22"/>
                    </w:rPr>
                    <w:t>2024</w:t>
                  </w:r>
                </w:p>
              </w:tc>
              <w:tc>
                <w:tcPr>
                  <w:tcW w:w="2831" w:type="dxa"/>
                </w:tcPr>
                <w:p w14:paraId="18C7AB1E" w14:textId="408C5F77" w:rsidR="00BC3F8B" w:rsidRPr="00154E08" w:rsidRDefault="00BC3F8B" w:rsidP="004610A1">
                  <w:pPr>
                    <w:jc w:val="center"/>
                    <w:rPr>
                      <w:rFonts w:cs="Times New Roman"/>
                      <w:szCs w:val="22"/>
                    </w:rPr>
                  </w:pPr>
                  <w:r w:rsidRPr="00154E08">
                    <w:rPr>
                      <w:rFonts w:cs="Times New Roman"/>
                      <w:szCs w:val="22"/>
                    </w:rPr>
                    <w:t>127,9</w:t>
                  </w:r>
                </w:p>
              </w:tc>
              <w:tc>
                <w:tcPr>
                  <w:tcW w:w="2649" w:type="dxa"/>
                </w:tcPr>
                <w:p w14:paraId="3EFC54AC" w14:textId="34AB2CA9" w:rsidR="00BC3F8B" w:rsidRPr="00154E08" w:rsidRDefault="00BC3F8B" w:rsidP="004610A1">
                  <w:pPr>
                    <w:jc w:val="center"/>
                    <w:rPr>
                      <w:rFonts w:cs="Times New Roman"/>
                      <w:szCs w:val="22"/>
                    </w:rPr>
                  </w:pPr>
                  <w:r w:rsidRPr="00154E08">
                    <w:rPr>
                      <w:rFonts w:cs="Times New Roman"/>
                      <w:szCs w:val="22"/>
                    </w:rPr>
                    <w:t>581</w:t>
                  </w:r>
                </w:p>
              </w:tc>
            </w:tr>
            <w:tr w:rsidR="00BC3F8B" w:rsidRPr="00154E08" w14:paraId="07CFB4A8" w14:textId="77777777" w:rsidTr="00C95844">
              <w:trPr>
                <w:jc w:val="center"/>
              </w:trPr>
              <w:tc>
                <w:tcPr>
                  <w:tcW w:w="688" w:type="dxa"/>
                </w:tcPr>
                <w:p w14:paraId="1CBE8471" w14:textId="2EC90863" w:rsidR="00BC3F8B" w:rsidRPr="00154E08" w:rsidRDefault="00BC3F8B" w:rsidP="00BC3F8B">
                  <w:pPr>
                    <w:rPr>
                      <w:rFonts w:cs="Times New Roman"/>
                      <w:szCs w:val="22"/>
                    </w:rPr>
                  </w:pPr>
                  <w:r w:rsidRPr="00154E08">
                    <w:rPr>
                      <w:rFonts w:cs="Times New Roman"/>
                      <w:szCs w:val="22"/>
                    </w:rPr>
                    <w:t>2025</w:t>
                  </w:r>
                </w:p>
              </w:tc>
              <w:tc>
                <w:tcPr>
                  <w:tcW w:w="2831" w:type="dxa"/>
                </w:tcPr>
                <w:p w14:paraId="53EB9B79" w14:textId="2C41AA8C" w:rsidR="00BC3F8B" w:rsidRPr="00154E08" w:rsidRDefault="00BC3F8B" w:rsidP="004610A1">
                  <w:pPr>
                    <w:jc w:val="center"/>
                    <w:rPr>
                      <w:rFonts w:cs="Times New Roman"/>
                      <w:szCs w:val="22"/>
                    </w:rPr>
                  </w:pPr>
                  <w:r w:rsidRPr="00154E08">
                    <w:rPr>
                      <w:rFonts w:cs="Times New Roman"/>
                      <w:szCs w:val="22"/>
                    </w:rPr>
                    <w:t>194,1</w:t>
                  </w:r>
                </w:p>
              </w:tc>
              <w:tc>
                <w:tcPr>
                  <w:tcW w:w="2649" w:type="dxa"/>
                </w:tcPr>
                <w:p w14:paraId="10B8422F" w14:textId="0AACB1B4" w:rsidR="00BC3F8B" w:rsidRPr="00154E08" w:rsidRDefault="00BC3F8B" w:rsidP="004610A1">
                  <w:pPr>
                    <w:jc w:val="center"/>
                    <w:rPr>
                      <w:rFonts w:cs="Times New Roman"/>
                      <w:szCs w:val="22"/>
                    </w:rPr>
                  </w:pPr>
                  <w:r w:rsidRPr="00154E08">
                    <w:rPr>
                      <w:rFonts w:cs="Times New Roman"/>
                      <w:szCs w:val="22"/>
                    </w:rPr>
                    <w:t>873</w:t>
                  </w:r>
                </w:p>
              </w:tc>
            </w:tr>
            <w:tr w:rsidR="00BC3F8B" w:rsidRPr="00154E08" w14:paraId="4B9EF59F" w14:textId="77777777" w:rsidTr="00C95844">
              <w:trPr>
                <w:jc w:val="center"/>
              </w:trPr>
              <w:tc>
                <w:tcPr>
                  <w:tcW w:w="688" w:type="dxa"/>
                </w:tcPr>
                <w:p w14:paraId="4652519F" w14:textId="4DFE6D51" w:rsidR="00BC3F8B" w:rsidRPr="00154E08" w:rsidRDefault="00BC3F8B" w:rsidP="00BC3F8B">
                  <w:pPr>
                    <w:rPr>
                      <w:rFonts w:cs="Times New Roman"/>
                      <w:szCs w:val="22"/>
                    </w:rPr>
                  </w:pPr>
                  <w:r w:rsidRPr="00154E08">
                    <w:rPr>
                      <w:rFonts w:cs="Times New Roman"/>
                      <w:szCs w:val="22"/>
                    </w:rPr>
                    <w:t>2026</w:t>
                  </w:r>
                </w:p>
              </w:tc>
              <w:tc>
                <w:tcPr>
                  <w:tcW w:w="2831" w:type="dxa"/>
                </w:tcPr>
                <w:p w14:paraId="5F120A44" w14:textId="0F573BFB" w:rsidR="00BC3F8B" w:rsidRPr="00154E08" w:rsidRDefault="00BC3F8B" w:rsidP="004610A1">
                  <w:pPr>
                    <w:jc w:val="center"/>
                    <w:rPr>
                      <w:rFonts w:cs="Times New Roman"/>
                      <w:szCs w:val="22"/>
                    </w:rPr>
                  </w:pPr>
                  <w:r w:rsidRPr="00154E08">
                    <w:rPr>
                      <w:rFonts w:cs="Times New Roman"/>
                      <w:szCs w:val="22"/>
                    </w:rPr>
                    <w:t>293,4</w:t>
                  </w:r>
                </w:p>
              </w:tc>
              <w:tc>
                <w:tcPr>
                  <w:tcW w:w="2649" w:type="dxa"/>
                </w:tcPr>
                <w:p w14:paraId="5220B3CF" w14:textId="6D47F1D2" w:rsidR="00BC3F8B" w:rsidRPr="00154E08" w:rsidRDefault="00BC3F8B" w:rsidP="004610A1">
                  <w:pPr>
                    <w:jc w:val="center"/>
                    <w:rPr>
                      <w:rFonts w:cs="Times New Roman"/>
                      <w:szCs w:val="22"/>
                    </w:rPr>
                  </w:pPr>
                  <w:r w:rsidRPr="00154E08">
                    <w:rPr>
                      <w:rFonts w:cs="Times New Roman"/>
                      <w:szCs w:val="22"/>
                    </w:rPr>
                    <w:t>1307</w:t>
                  </w:r>
                </w:p>
              </w:tc>
            </w:tr>
            <w:tr w:rsidR="00BC3F8B" w:rsidRPr="00154E08" w14:paraId="648B1F9C" w14:textId="77777777" w:rsidTr="00C95844">
              <w:trPr>
                <w:jc w:val="center"/>
              </w:trPr>
              <w:tc>
                <w:tcPr>
                  <w:tcW w:w="688" w:type="dxa"/>
                </w:tcPr>
                <w:p w14:paraId="2C41C468" w14:textId="4AB1E4DA" w:rsidR="00BC3F8B" w:rsidRPr="00154E08" w:rsidRDefault="00BC3F8B" w:rsidP="00BC3F8B">
                  <w:pPr>
                    <w:rPr>
                      <w:rFonts w:cs="Times New Roman"/>
                      <w:szCs w:val="22"/>
                    </w:rPr>
                  </w:pPr>
                  <w:r w:rsidRPr="00154E08">
                    <w:rPr>
                      <w:rFonts w:cs="Times New Roman"/>
                      <w:szCs w:val="22"/>
                    </w:rPr>
                    <w:t>2027</w:t>
                  </w:r>
                </w:p>
              </w:tc>
              <w:tc>
                <w:tcPr>
                  <w:tcW w:w="2831" w:type="dxa"/>
                </w:tcPr>
                <w:p w14:paraId="721895FB" w14:textId="537DBE21" w:rsidR="00BC3F8B" w:rsidRPr="00154E08" w:rsidRDefault="00BC3F8B" w:rsidP="004610A1">
                  <w:pPr>
                    <w:jc w:val="center"/>
                    <w:rPr>
                      <w:rFonts w:cs="Times New Roman"/>
                      <w:szCs w:val="22"/>
                    </w:rPr>
                  </w:pPr>
                  <w:r w:rsidRPr="00154E08">
                    <w:rPr>
                      <w:rFonts w:cs="Times New Roman"/>
                      <w:szCs w:val="22"/>
                    </w:rPr>
                    <w:t>442,3</w:t>
                  </w:r>
                </w:p>
              </w:tc>
              <w:tc>
                <w:tcPr>
                  <w:tcW w:w="2649" w:type="dxa"/>
                </w:tcPr>
                <w:p w14:paraId="343EB3F9" w14:textId="3C8E639D" w:rsidR="00BC3F8B" w:rsidRPr="00154E08" w:rsidRDefault="00BC3F8B" w:rsidP="004610A1">
                  <w:pPr>
                    <w:jc w:val="center"/>
                    <w:rPr>
                      <w:rFonts w:cs="Times New Roman"/>
                      <w:szCs w:val="22"/>
                    </w:rPr>
                  </w:pPr>
                  <w:r w:rsidRPr="00154E08">
                    <w:rPr>
                      <w:rFonts w:cs="Times New Roman"/>
                      <w:szCs w:val="22"/>
                    </w:rPr>
                    <w:t>1950</w:t>
                  </w:r>
                </w:p>
              </w:tc>
            </w:tr>
            <w:tr w:rsidR="00BC3F8B" w:rsidRPr="00154E08" w14:paraId="0A0696AA" w14:textId="77777777" w:rsidTr="00C95844">
              <w:trPr>
                <w:jc w:val="center"/>
              </w:trPr>
              <w:tc>
                <w:tcPr>
                  <w:tcW w:w="688" w:type="dxa"/>
                </w:tcPr>
                <w:p w14:paraId="4848A0CD" w14:textId="6787A706" w:rsidR="00BC3F8B" w:rsidRPr="00154E08" w:rsidRDefault="00BC3F8B" w:rsidP="00BC3F8B">
                  <w:pPr>
                    <w:rPr>
                      <w:rFonts w:cs="Times New Roman"/>
                      <w:szCs w:val="22"/>
                    </w:rPr>
                  </w:pPr>
                  <w:r w:rsidRPr="00154E08">
                    <w:rPr>
                      <w:rFonts w:cs="Times New Roman"/>
                      <w:szCs w:val="22"/>
                    </w:rPr>
                    <w:t>2028</w:t>
                  </w:r>
                </w:p>
              </w:tc>
              <w:tc>
                <w:tcPr>
                  <w:tcW w:w="2831" w:type="dxa"/>
                </w:tcPr>
                <w:p w14:paraId="254DBF5A" w14:textId="0755B712" w:rsidR="00BC3F8B" w:rsidRPr="00154E08" w:rsidRDefault="00BC3F8B" w:rsidP="004610A1">
                  <w:pPr>
                    <w:jc w:val="center"/>
                    <w:rPr>
                      <w:rFonts w:cs="Times New Roman"/>
                      <w:szCs w:val="22"/>
                    </w:rPr>
                  </w:pPr>
                  <w:r w:rsidRPr="00154E08">
                    <w:rPr>
                      <w:rFonts w:cs="Times New Roman"/>
                      <w:szCs w:val="22"/>
                    </w:rPr>
                    <w:t>665,8</w:t>
                  </w:r>
                </w:p>
              </w:tc>
              <w:tc>
                <w:tcPr>
                  <w:tcW w:w="2649" w:type="dxa"/>
                </w:tcPr>
                <w:p w14:paraId="32B2A23C" w14:textId="4DE054BA" w:rsidR="00BC3F8B" w:rsidRPr="00154E08" w:rsidRDefault="00BC3F8B" w:rsidP="004610A1">
                  <w:pPr>
                    <w:jc w:val="center"/>
                    <w:rPr>
                      <w:rFonts w:cs="Times New Roman"/>
                      <w:szCs w:val="22"/>
                    </w:rPr>
                  </w:pPr>
                  <w:r w:rsidRPr="00154E08">
                    <w:rPr>
                      <w:rFonts w:cs="Times New Roman"/>
                      <w:szCs w:val="22"/>
                    </w:rPr>
                    <w:t>2906</w:t>
                  </w:r>
                </w:p>
              </w:tc>
            </w:tr>
            <w:tr w:rsidR="00BC3F8B" w:rsidRPr="00154E08" w14:paraId="7CF50CEE" w14:textId="77777777" w:rsidTr="00C95844">
              <w:trPr>
                <w:jc w:val="center"/>
              </w:trPr>
              <w:tc>
                <w:tcPr>
                  <w:tcW w:w="688" w:type="dxa"/>
                </w:tcPr>
                <w:p w14:paraId="39CEBA72" w14:textId="72CBBF17" w:rsidR="00BC3F8B" w:rsidRPr="00154E08" w:rsidRDefault="00BC3F8B" w:rsidP="00BC3F8B">
                  <w:pPr>
                    <w:rPr>
                      <w:rFonts w:cs="Times New Roman"/>
                      <w:szCs w:val="22"/>
                    </w:rPr>
                  </w:pPr>
                  <w:r w:rsidRPr="00154E08">
                    <w:rPr>
                      <w:rFonts w:cs="Times New Roman"/>
                      <w:szCs w:val="22"/>
                    </w:rPr>
                    <w:t>2029</w:t>
                  </w:r>
                </w:p>
              </w:tc>
              <w:tc>
                <w:tcPr>
                  <w:tcW w:w="2831" w:type="dxa"/>
                </w:tcPr>
                <w:p w14:paraId="4AD37437" w14:textId="6F3A69BF" w:rsidR="00BC3F8B" w:rsidRPr="00154E08" w:rsidRDefault="00BC3F8B" w:rsidP="004610A1">
                  <w:pPr>
                    <w:jc w:val="center"/>
                    <w:rPr>
                      <w:rFonts w:cs="Times New Roman"/>
                      <w:szCs w:val="22"/>
                    </w:rPr>
                  </w:pPr>
                  <w:r w:rsidRPr="00154E08">
                    <w:rPr>
                      <w:rFonts w:cs="Times New Roman"/>
                      <w:szCs w:val="22"/>
                    </w:rPr>
                    <w:t>1 000,9</w:t>
                  </w:r>
                </w:p>
              </w:tc>
              <w:tc>
                <w:tcPr>
                  <w:tcW w:w="2649" w:type="dxa"/>
                </w:tcPr>
                <w:p w14:paraId="2D1E42CA" w14:textId="70749B16" w:rsidR="00BC3F8B" w:rsidRPr="00154E08" w:rsidRDefault="00BC3F8B" w:rsidP="004610A1">
                  <w:pPr>
                    <w:jc w:val="center"/>
                    <w:rPr>
                      <w:rFonts w:cs="Times New Roman"/>
                      <w:szCs w:val="22"/>
                    </w:rPr>
                  </w:pPr>
                  <w:r w:rsidRPr="00154E08">
                    <w:rPr>
                      <w:rFonts w:cs="Times New Roman"/>
                      <w:szCs w:val="22"/>
                    </w:rPr>
                    <w:t>4326</w:t>
                  </w:r>
                </w:p>
              </w:tc>
            </w:tr>
            <w:tr w:rsidR="00BC3F8B" w:rsidRPr="00154E08" w14:paraId="7AB6B07F" w14:textId="77777777" w:rsidTr="00C95844">
              <w:trPr>
                <w:jc w:val="center"/>
              </w:trPr>
              <w:tc>
                <w:tcPr>
                  <w:tcW w:w="688" w:type="dxa"/>
                </w:tcPr>
                <w:p w14:paraId="5FFE0696" w14:textId="62A93A75" w:rsidR="00BC3F8B" w:rsidRPr="00154E08" w:rsidRDefault="00BC3F8B" w:rsidP="00BC3F8B">
                  <w:pPr>
                    <w:rPr>
                      <w:rFonts w:cs="Times New Roman"/>
                      <w:szCs w:val="22"/>
                    </w:rPr>
                  </w:pPr>
                  <w:r w:rsidRPr="00154E08">
                    <w:rPr>
                      <w:rFonts w:cs="Times New Roman"/>
                      <w:szCs w:val="22"/>
                    </w:rPr>
                    <w:t>2030</w:t>
                  </w:r>
                </w:p>
              </w:tc>
              <w:tc>
                <w:tcPr>
                  <w:tcW w:w="2831" w:type="dxa"/>
                </w:tcPr>
                <w:p w14:paraId="2F4F99B6" w14:textId="27C71E75" w:rsidR="00BC3F8B" w:rsidRPr="00154E08" w:rsidRDefault="00BC3F8B" w:rsidP="004610A1">
                  <w:pPr>
                    <w:jc w:val="center"/>
                    <w:rPr>
                      <w:rFonts w:cs="Times New Roman"/>
                      <w:szCs w:val="22"/>
                    </w:rPr>
                  </w:pPr>
                  <w:r w:rsidRPr="00154E08">
                    <w:rPr>
                      <w:rFonts w:cs="Times New Roman"/>
                      <w:szCs w:val="22"/>
                    </w:rPr>
                    <w:t>1 503,8</w:t>
                  </w:r>
                </w:p>
              </w:tc>
              <w:tc>
                <w:tcPr>
                  <w:tcW w:w="2649" w:type="dxa"/>
                </w:tcPr>
                <w:p w14:paraId="1BC8A034" w14:textId="12F32EC3" w:rsidR="00BC3F8B" w:rsidRPr="00154E08" w:rsidRDefault="00BC3F8B" w:rsidP="004610A1">
                  <w:pPr>
                    <w:jc w:val="center"/>
                    <w:rPr>
                      <w:rFonts w:cs="Times New Roman"/>
                      <w:szCs w:val="22"/>
                    </w:rPr>
                  </w:pPr>
                  <w:r w:rsidRPr="00154E08">
                    <w:rPr>
                      <w:rFonts w:cs="Times New Roman"/>
                      <w:szCs w:val="22"/>
                    </w:rPr>
                    <w:t>6433</w:t>
                  </w:r>
                </w:p>
              </w:tc>
            </w:tr>
          </w:tbl>
          <w:p w14:paraId="2C903CEA" w14:textId="1EE22F11" w:rsidR="008B4253" w:rsidRPr="00154E08" w:rsidRDefault="000854A4" w:rsidP="00F12DAB">
            <w:pPr>
              <w:spacing w:before="60" w:line="240" w:lineRule="auto"/>
              <w:jc w:val="both"/>
              <w:rPr>
                <w:rFonts w:eastAsia="Calibri" w:cs="Times New Roman"/>
                <w:color w:val="000000"/>
                <w:spacing w:val="-2"/>
                <w:sz w:val="22"/>
                <w:szCs w:val="22"/>
              </w:rPr>
            </w:pPr>
            <w:r w:rsidRPr="00154E08">
              <w:rPr>
                <w:rFonts w:eastAsia="Calibri" w:cs="Times New Roman"/>
                <w:color w:val="000000"/>
                <w:spacing w:val="-2"/>
                <w:sz w:val="22"/>
                <w:szCs w:val="22"/>
              </w:rPr>
              <w:t>Źródło: opracowanie własne</w:t>
            </w:r>
            <w:r w:rsidR="00DC0C21" w:rsidRPr="00154E08">
              <w:rPr>
                <w:rFonts w:eastAsia="Calibri" w:cs="Times New Roman"/>
                <w:color w:val="000000"/>
                <w:spacing w:val="-2"/>
                <w:sz w:val="22"/>
                <w:szCs w:val="22"/>
              </w:rPr>
              <w:t xml:space="preserve"> </w:t>
            </w:r>
            <w:proofErr w:type="spellStart"/>
            <w:r w:rsidR="00DC0C21" w:rsidRPr="00154E08">
              <w:rPr>
                <w:rFonts w:eastAsia="Calibri" w:cs="Times New Roman"/>
                <w:color w:val="000000"/>
                <w:spacing w:val="-2"/>
                <w:sz w:val="22"/>
                <w:szCs w:val="22"/>
              </w:rPr>
              <w:t>MKiŚ</w:t>
            </w:r>
            <w:proofErr w:type="spellEnd"/>
            <w:r w:rsidRPr="00154E08">
              <w:rPr>
                <w:rFonts w:eastAsia="Calibri" w:cs="Times New Roman"/>
                <w:color w:val="000000"/>
                <w:spacing w:val="-2"/>
                <w:sz w:val="22"/>
                <w:szCs w:val="22"/>
              </w:rPr>
              <w:t>.</w:t>
            </w:r>
          </w:p>
          <w:p w14:paraId="18072FAB" w14:textId="77777777" w:rsidR="00707B30" w:rsidRPr="00154E08" w:rsidRDefault="00707B30" w:rsidP="00F12DAB">
            <w:pPr>
              <w:spacing w:before="60" w:line="240" w:lineRule="auto"/>
              <w:contextualSpacing/>
              <w:jc w:val="both"/>
              <w:rPr>
                <w:rFonts w:eastAsia="Calibri" w:cs="Times New Roman"/>
                <w:color w:val="000000"/>
                <w:spacing w:val="-2"/>
                <w:sz w:val="22"/>
                <w:szCs w:val="22"/>
              </w:rPr>
            </w:pPr>
          </w:p>
          <w:p w14:paraId="43D42977" w14:textId="71DE6537" w:rsidR="004610A1" w:rsidRPr="00154E08" w:rsidRDefault="00550446"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P</w:t>
            </w:r>
            <w:r w:rsidR="006F17F3" w:rsidRPr="00154E08">
              <w:rPr>
                <w:rFonts w:eastAsia="Calibri" w:cs="Times New Roman"/>
                <w:color w:val="000000"/>
                <w:spacing w:val="-2"/>
                <w:sz w:val="22"/>
                <w:szCs w:val="22"/>
              </w:rPr>
              <w:t>rojek</w:t>
            </w:r>
            <w:r w:rsidRPr="00154E08">
              <w:rPr>
                <w:rFonts w:eastAsia="Calibri" w:cs="Times New Roman"/>
                <w:color w:val="000000"/>
                <w:spacing w:val="-2"/>
                <w:sz w:val="22"/>
                <w:szCs w:val="22"/>
              </w:rPr>
              <w:t>t</w:t>
            </w:r>
            <w:r w:rsidR="006F17F3" w:rsidRPr="00154E08">
              <w:rPr>
                <w:rFonts w:eastAsia="Calibri" w:cs="Times New Roman"/>
                <w:color w:val="000000"/>
                <w:spacing w:val="-2"/>
                <w:sz w:val="22"/>
                <w:szCs w:val="22"/>
              </w:rPr>
              <w:t xml:space="preserve"> </w:t>
            </w:r>
            <w:r w:rsidR="00F12DAB" w:rsidRPr="00154E08">
              <w:rPr>
                <w:rFonts w:eastAsia="Calibri" w:cs="Times New Roman"/>
                <w:color w:val="000000"/>
                <w:spacing w:val="-2"/>
                <w:sz w:val="22"/>
                <w:szCs w:val="22"/>
              </w:rPr>
              <w:t>ustaw</w:t>
            </w:r>
            <w:r w:rsidR="006F17F3" w:rsidRPr="00154E08">
              <w:rPr>
                <w:rFonts w:eastAsia="Calibri" w:cs="Times New Roman"/>
                <w:color w:val="000000"/>
                <w:spacing w:val="-2"/>
                <w:sz w:val="22"/>
                <w:szCs w:val="22"/>
              </w:rPr>
              <w:t>y</w:t>
            </w:r>
            <w:r w:rsidR="00F12DAB" w:rsidRPr="00154E08">
              <w:rPr>
                <w:rFonts w:eastAsia="Calibri" w:cs="Times New Roman"/>
                <w:color w:val="000000"/>
                <w:spacing w:val="-2"/>
                <w:sz w:val="22"/>
                <w:szCs w:val="22"/>
              </w:rPr>
              <w:t xml:space="preserve"> uwzględni</w:t>
            </w:r>
            <w:r w:rsidRPr="00154E08">
              <w:rPr>
                <w:rFonts w:eastAsia="Calibri" w:cs="Times New Roman"/>
                <w:color w:val="000000"/>
                <w:spacing w:val="-2"/>
                <w:sz w:val="22"/>
                <w:szCs w:val="22"/>
              </w:rPr>
              <w:t>a</w:t>
            </w:r>
            <w:r w:rsidR="00F12DAB" w:rsidRPr="00154E08">
              <w:rPr>
                <w:rFonts w:eastAsia="Calibri" w:cs="Times New Roman"/>
                <w:color w:val="000000"/>
                <w:spacing w:val="-2"/>
                <w:sz w:val="22"/>
                <w:szCs w:val="22"/>
              </w:rPr>
              <w:t xml:space="preserve"> mechanizmy ułatwiające wykorzystanie energii elektrycznej z</w:t>
            </w:r>
            <w:r w:rsidR="008D2FC7" w:rsidRPr="00154E08">
              <w:rPr>
                <w:rFonts w:eastAsia="Calibri" w:cs="Times New Roman"/>
                <w:color w:val="000000"/>
                <w:spacing w:val="-2"/>
                <w:sz w:val="22"/>
                <w:szCs w:val="22"/>
              </w:rPr>
              <w:t> </w:t>
            </w:r>
            <w:r w:rsidR="00F12DAB" w:rsidRPr="00154E08">
              <w:rPr>
                <w:rFonts w:eastAsia="Calibri" w:cs="Times New Roman"/>
                <w:color w:val="000000"/>
                <w:spacing w:val="-2"/>
                <w:sz w:val="22"/>
                <w:szCs w:val="22"/>
              </w:rPr>
              <w:t xml:space="preserve">OZE </w:t>
            </w:r>
            <w:r w:rsidR="00AB0050" w:rsidRPr="00154E08">
              <w:rPr>
                <w:rFonts w:eastAsia="Calibri" w:cs="Times New Roman"/>
                <w:color w:val="000000"/>
                <w:spacing w:val="-2"/>
                <w:sz w:val="22"/>
                <w:szCs w:val="22"/>
              </w:rPr>
              <w:t xml:space="preserve">zużytej </w:t>
            </w:r>
            <w:r w:rsidR="00F12DAB" w:rsidRPr="00154E08">
              <w:rPr>
                <w:rFonts w:eastAsia="Calibri" w:cs="Times New Roman"/>
                <w:color w:val="000000"/>
                <w:spacing w:val="-2"/>
                <w:sz w:val="22"/>
                <w:szCs w:val="22"/>
              </w:rPr>
              <w:t>w</w:t>
            </w:r>
            <w:r w:rsidR="00837D94" w:rsidRPr="00154E08">
              <w:rPr>
                <w:rFonts w:eastAsia="Calibri" w:cs="Times New Roman"/>
                <w:color w:val="000000"/>
                <w:spacing w:val="-2"/>
                <w:sz w:val="22"/>
                <w:szCs w:val="22"/>
              </w:rPr>
              <w:t> </w:t>
            </w:r>
            <w:r w:rsidR="00F12DAB" w:rsidRPr="00154E08">
              <w:rPr>
                <w:rFonts w:eastAsia="Calibri" w:cs="Times New Roman"/>
                <w:color w:val="000000"/>
                <w:spacing w:val="-2"/>
                <w:sz w:val="22"/>
                <w:szCs w:val="22"/>
              </w:rPr>
              <w:t>transporcie</w:t>
            </w:r>
            <w:r w:rsidR="00545B35" w:rsidRPr="00154E08">
              <w:rPr>
                <w:rFonts w:eastAsia="Calibri" w:cs="Times New Roman"/>
                <w:color w:val="000000"/>
                <w:spacing w:val="-2"/>
                <w:sz w:val="22"/>
                <w:szCs w:val="22"/>
              </w:rPr>
              <w:t xml:space="preserve"> –</w:t>
            </w:r>
            <w:r w:rsidR="007E4BEE" w:rsidRPr="00154E08">
              <w:rPr>
                <w:rFonts w:eastAsia="Calibri" w:cs="Times New Roman"/>
                <w:color w:val="000000"/>
                <w:spacing w:val="-2"/>
                <w:sz w:val="22"/>
                <w:szCs w:val="22"/>
              </w:rPr>
              <w:t xml:space="preserve"> drogowym lub kolejowy</w:t>
            </w:r>
            <w:r w:rsidR="001570CC" w:rsidRPr="00154E08">
              <w:rPr>
                <w:rFonts w:eastAsia="Calibri" w:cs="Times New Roman"/>
                <w:color w:val="000000"/>
                <w:spacing w:val="-2"/>
                <w:sz w:val="22"/>
                <w:szCs w:val="22"/>
              </w:rPr>
              <w:t xml:space="preserve">m, w </w:t>
            </w:r>
            <w:r w:rsidR="00AB0050" w:rsidRPr="00154E08">
              <w:rPr>
                <w:rFonts w:eastAsia="Calibri" w:cs="Times New Roman"/>
                <w:color w:val="000000"/>
                <w:spacing w:val="-2"/>
                <w:sz w:val="22"/>
                <w:szCs w:val="22"/>
              </w:rPr>
              <w:t xml:space="preserve">rozliczeniu </w:t>
            </w:r>
            <w:r w:rsidR="001570CC" w:rsidRPr="00154E08">
              <w:rPr>
                <w:rFonts w:eastAsia="Calibri" w:cs="Times New Roman"/>
                <w:color w:val="000000"/>
                <w:spacing w:val="-2"/>
                <w:sz w:val="22"/>
                <w:szCs w:val="22"/>
              </w:rPr>
              <w:t>NCW</w:t>
            </w:r>
            <w:r w:rsidR="007E4BEE" w:rsidRPr="00154E08">
              <w:rPr>
                <w:rFonts w:eastAsia="Calibri" w:cs="Times New Roman"/>
                <w:color w:val="000000"/>
                <w:spacing w:val="-2"/>
                <w:sz w:val="22"/>
                <w:szCs w:val="22"/>
              </w:rPr>
              <w:t xml:space="preserve">. </w:t>
            </w:r>
            <w:r w:rsidR="00D543FE" w:rsidRPr="00154E08">
              <w:rPr>
                <w:rFonts w:eastAsia="Calibri" w:cs="Times New Roman"/>
                <w:color w:val="000000"/>
                <w:spacing w:val="-2"/>
                <w:sz w:val="22"/>
                <w:szCs w:val="22"/>
              </w:rPr>
              <w:t>I</w:t>
            </w:r>
            <w:r w:rsidR="007E4BEE" w:rsidRPr="00154E08">
              <w:rPr>
                <w:rFonts w:eastAsia="Calibri" w:cs="Times New Roman"/>
                <w:color w:val="000000"/>
                <w:spacing w:val="-2"/>
                <w:sz w:val="22"/>
                <w:szCs w:val="22"/>
              </w:rPr>
              <w:t>mplementacja przep</w:t>
            </w:r>
            <w:r w:rsidR="00DC0C21" w:rsidRPr="00154E08">
              <w:rPr>
                <w:rFonts w:eastAsia="Calibri" w:cs="Times New Roman"/>
                <w:color w:val="000000"/>
                <w:spacing w:val="-2"/>
                <w:sz w:val="22"/>
                <w:szCs w:val="22"/>
              </w:rPr>
              <w:t>isów zawartych w art.</w:t>
            </w:r>
            <w:r w:rsidR="007E4BEE" w:rsidRPr="00154E08">
              <w:rPr>
                <w:rFonts w:eastAsia="Calibri" w:cs="Times New Roman"/>
                <w:color w:val="000000"/>
                <w:spacing w:val="-2"/>
                <w:sz w:val="22"/>
                <w:szCs w:val="22"/>
              </w:rPr>
              <w:t xml:space="preserve"> 27 </w:t>
            </w:r>
            <w:r w:rsidR="00BD019B" w:rsidRPr="00154E08">
              <w:rPr>
                <w:rFonts w:eastAsia="Calibri" w:cs="Times New Roman"/>
                <w:color w:val="000000"/>
                <w:spacing w:val="-2"/>
                <w:sz w:val="22"/>
                <w:szCs w:val="22"/>
              </w:rPr>
              <w:t xml:space="preserve">dyrektywy </w:t>
            </w:r>
            <w:r w:rsidR="007E4BEE" w:rsidRPr="00154E08">
              <w:rPr>
                <w:rFonts w:eastAsia="Calibri" w:cs="Times New Roman"/>
                <w:color w:val="000000"/>
                <w:spacing w:val="-2"/>
                <w:sz w:val="22"/>
                <w:szCs w:val="22"/>
              </w:rPr>
              <w:t>REDII</w:t>
            </w:r>
            <w:r w:rsidR="00DC0C21" w:rsidRPr="00154E08">
              <w:rPr>
                <w:rFonts w:eastAsia="Calibri" w:cs="Times New Roman"/>
                <w:color w:val="000000"/>
                <w:spacing w:val="-2"/>
                <w:sz w:val="22"/>
                <w:szCs w:val="22"/>
              </w:rPr>
              <w:t>,</w:t>
            </w:r>
            <w:r w:rsidR="007E4BEE" w:rsidRPr="00154E08">
              <w:rPr>
                <w:rFonts w:eastAsia="Calibri" w:cs="Times New Roman"/>
                <w:color w:val="000000"/>
                <w:spacing w:val="-2"/>
                <w:sz w:val="22"/>
                <w:szCs w:val="22"/>
              </w:rPr>
              <w:t xml:space="preserve"> umożliwiających wykorzystanie w</w:t>
            </w:r>
            <w:r w:rsidR="00545B35" w:rsidRPr="00154E08">
              <w:rPr>
                <w:rFonts w:eastAsia="Calibri" w:cs="Times New Roman"/>
                <w:color w:val="000000"/>
                <w:spacing w:val="-2"/>
                <w:sz w:val="22"/>
                <w:szCs w:val="22"/>
              </w:rPr>
              <w:t> </w:t>
            </w:r>
            <w:r w:rsidR="007E4BEE" w:rsidRPr="00154E08">
              <w:rPr>
                <w:rFonts w:eastAsia="Calibri" w:cs="Times New Roman"/>
                <w:color w:val="000000"/>
                <w:spacing w:val="-2"/>
                <w:sz w:val="22"/>
                <w:szCs w:val="22"/>
              </w:rPr>
              <w:t>rozliczeni</w:t>
            </w:r>
            <w:r w:rsidR="005B740B" w:rsidRPr="00154E08">
              <w:rPr>
                <w:rFonts w:eastAsia="Calibri" w:cs="Times New Roman"/>
                <w:color w:val="000000"/>
                <w:spacing w:val="-2"/>
                <w:sz w:val="22"/>
                <w:szCs w:val="22"/>
              </w:rPr>
              <w:t>u</w:t>
            </w:r>
            <w:r w:rsidR="007E4BEE" w:rsidRPr="00154E08">
              <w:rPr>
                <w:rFonts w:eastAsia="Calibri" w:cs="Times New Roman"/>
                <w:color w:val="000000"/>
                <w:spacing w:val="-2"/>
                <w:sz w:val="22"/>
                <w:szCs w:val="22"/>
              </w:rPr>
              <w:t xml:space="preserve"> realizacji celu OZE w</w:t>
            </w:r>
            <w:r w:rsidR="005B740B" w:rsidRPr="00154E08">
              <w:rPr>
                <w:rFonts w:eastAsia="Calibri" w:cs="Times New Roman"/>
                <w:color w:val="000000"/>
                <w:spacing w:val="-2"/>
                <w:sz w:val="22"/>
                <w:szCs w:val="22"/>
              </w:rPr>
              <w:t> </w:t>
            </w:r>
            <w:r w:rsidR="007E4BEE" w:rsidRPr="00154E08">
              <w:rPr>
                <w:rFonts w:eastAsia="Calibri" w:cs="Times New Roman"/>
                <w:color w:val="000000"/>
                <w:spacing w:val="-2"/>
                <w:sz w:val="22"/>
                <w:szCs w:val="22"/>
              </w:rPr>
              <w:t>transporcie energii elektrycznej uzyskanej z bezpośredniego podłącze</w:t>
            </w:r>
            <w:r w:rsidR="0058013B" w:rsidRPr="00154E08">
              <w:rPr>
                <w:rFonts w:eastAsia="Calibri" w:cs="Times New Roman"/>
                <w:color w:val="000000"/>
                <w:spacing w:val="-2"/>
                <w:sz w:val="22"/>
                <w:szCs w:val="22"/>
              </w:rPr>
              <w:t>nia do</w:t>
            </w:r>
            <w:r w:rsidR="004610A1" w:rsidRPr="00154E08">
              <w:rPr>
                <w:rFonts w:eastAsia="Calibri" w:cs="Times New Roman"/>
                <w:color w:val="000000"/>
                <w:spacing w:val="-2"/>
                <w:sz w:val="22"/>
                <w:szCs w:val="22"/>
              </w:rPr>
              <w:t> </w:t>
            </w:r>
            <w:r w:rsidR="0058013B" w:rsidRPr="00154E08">
              <w:rPr>
                <w:rFonts w:eastAsia="Calibri" w:cs="Times New Roman"/>
                <w:color w:val="000000"/>
                <w:spacing w:val="-2"/>
                <w:sz w:val="22"/>
                <w:szCs w:val="22"/>
              </w:rPr>
              <w:t>instalacji wytwarzającej</w:t>
            </w:r>
            <w:r w:rsidR="007E4BEE" w:rsidRPr="00154E08">
              <w:rPr>
                <w:rFonts w:eastAsia="Calibri" w:cs="Times New Roman"/>
                <w:color w:val="000000"/>
                <w:spacing w:val="-2"/>
                <w:sz w:val="22"/>
                <w:szCs w:val="22"/>
              </w:rPr>
              <w:t xml:space="preserve"> odnawialną energię elektryczną i dostarcz</w:t>
            </w:r>
            <w:r w:rsidR="00545B35" w:rsidRPr="00154E08">
              <w:rPr>
                <w:rFonts w:eastAsia="Calibri" w:cs="Times New Roman"/>
                <w:color w:val="000000"/>
                <w:spacing w:val="-2"/>
                <w:sz w:val="22"/>
                <w:szCs w:val="22"/>
              </w:rPr>
              <w:t>an</w:t>
            </w:r>
            <w:r w:rsidR="007E4BEE" w:rsidRPr="00154E08">
              <w:rPr>
                <w:rFonts w:eastAsia="Calibri" w:cs="Times New Roman"/>
                <w:color w:val="000000"/>
                <w:spacing w:val="-2"/>
                <w:sz w:val="22"/>
                <w:szCs w:val="22"/>
              </w:rPr>
              <w:t>ą do pojazdów (zaliczenie tej energii elektrycznej w całości jako odnawialnej)</w:t>
            </w:r>
            <w:r w:rsidR="005B740B" w:rsidRPr="00154E08">
              <w:rPr>
                <w:rFonts w:eastAsia="Calibri" w:cs="Times New Roman"/>
                <w:color w:val="000000"/>
                <w:spacing w:val="-2"/>
                <w:sz w:val="22"/>
                <w:szCs w:val="22"/>
              </w:rPr>
              <w:t>, jak też</w:t>
            </w:r>
            <w:r w:rsidR="007E4BEE" w:rsidRPr="00154E08">
              <w:rPr>
                <w:rFonts w:eastAsia="Calibri" w:cs="Times New Roman"/>
                <w:color w:val="000000"/>
                <w:spacing w:val="-2"/>
                <w:sz w:val="22"/>
                <w:szCs w:val="22"/>
              </w:rPr>
              <w:t xml:space="preserve"> energii elektrycznej, która pochodzi z instalacji</w:t>
            </w:r>
            <w:r w:rsidR="00707B30" w:rsidRPr="00154E08">
              <w:rPr>
                <w:rFonts w:eastAsia="Calibri" w:cs="Times New Roman"/>
                <w:color w:val="000000"/>
                <w:spacing w:val="-2"/>
                <w:sz w:val="22"/>
                <w:szCs w:val="22"/>
              </w:rPr>
              <w:t>,</w:t>
            </w:r>
            <w:r w:rsidR="007E4BEE" w:rsidRPr="00154E08">
              <w:rPr>
                <w:rFonts w:eastAsia="Calibri" w:cs="Times New Roman"/>
                <w:color w:val="000000"/>
                <w:spacing w:val="-2"/>
                <w:sz w:val="22"/>
                <w:szCs w:val="22"/>
              </w:rPr>
              <w:t xml:space="preserve"> która jest podłączona do sieci, </w:t>
            </w:r>
            <w:r w:rsidR="00F95C9F" w:rsidRPr="00154E08">
              <w:rPr>
                <w:rFonts w:eastAsia="Calibri" w:cs="Times New Roman"/>
                <w:color w:val="000000"/>
                <w:spacing w:val="-2"/>
                <w:sz w:val="22"/>
                <w:szCs w:val="22"/>
              </w:rPr>
              <w:t>lecz</w:t>
            </w:r>
            <w:r w:rsidR="007E4BEE" w:rsidRPr="00154E08">
              <w:rPr>
                <w:rFonts w:eastAsia="Calibri" w:cs="Times New Roman"/>
                <w:color w:val="000000"/>
                <w:spacing w:val="-2"/>
                <w:sz w:val="22"/>
                <w:szCs w:val="22"/>
              </w:rPr>
              <w:t xml:space="preserve"> można udowodnić, że dana energia elektryczna została dostarczona </w:t>
            </w:r>
            <w:r w:rsidR="00160048" w:rsidRPr="00154E08">
              <w:rPr>
                <w:rFonts w:eastAsia="Calibri" w:cs="Times New Roman"/>
                <w:color w:val="000000"/>
                <w:spacing w:val="-2"/>
                <w:sz w:val="22"/>
                <w:szCs w:val="22"/>
              </w:rPr>
              <w:t>z</w:t>
            </w:r>
            <w:r w:rsidR="00BF0C4A" w:rsidRPr="00154E08">
              <w:rPr>
                <w:rFonts w:eastAsia="Calibri" w:cs="Times New Roman"/>
                <w:color w:val="000000"/>
                <w:spacing w:val="-2"/>
                <w:sz w:val="22"/>
                <w:szCs w:val="22"/>
              </w:rPr>
              <w:t xml:space="preserve">e źródeł </w:t>
            </w:r>
            <w:r w:rsidR="005E02DB" w:rsidRPr="00154E08">
              <w:rPr>
                <w:rFonts w:eastAsia="Calibri" w:cs="Times New Roman"/>
                <w:color w:val="000000"/>
                <w:spacing w:val="-2"/>
                <w:sz w:val="22"/>
                <w:szCs w:val="22"/>
              </w:rPr>
              <w:t>OZE</w:t>
            </w:r>
            <w:r w:rsidR="00160048" w:rsidRPr="00154E08">
              <w:rPr>
                <w:rFonts w:eastAsia="Calibri" w:cs="Times New Roman"/>
                <w:color w:val="000000"/>
                <w:spacing w:val="-2"/>
                <w:sz w:val="22"/>
                <w:szCs w:val="22"/>
              </w:rPr>
              <w:t>.</w:t>
            </w:r>
            <w:r w:rsidR="007E4BEE" w:rsidRPr="00154E08">
              <w:rPr>
                <w:rFonts w:eastAsia="Calibri" w:cs="Times New Roman"/>
                <w:color w:val="000000"/>
                <w:spacing w:val="-2"/>
                <w:sz w:val="22"/>
                <w:szCs w:val="22"/>
              </w:rPr>
              <w:t xml:space="preserve"> </w:t>
            </w:r>
          </w:p>
          <w:p w14:paraId="2E8BBA96" w14:textId="1CA03A18" w:rsidR="005E02DB" w:rsidRPr="00154E08" w:rsidRDefault="00555AD4"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M</w:t>
            </w:r>
            <w:r w:rsidR="007E4BEE" w:rsidRPr="00154E08">
              <w:rPr>
                <w:rFonts w:eastAsia="Calibri" w:cs="Times New Roman"/>
                <w:color w:val="000000"/>
                <w:spacing w:val="-2"/>
                <w:sz w:val="22"/>
                <w:szCs w:val="22"/>
              </w:rPr>
              <w:t xml:space="preserve">ając na celu określenie </w:t>
            </w:r>
            <w:r w:rsidR="00B202E9" w:rsidRPr="00154E08">
              <w:rPr>
                <w:rFonts w:eastAsia="Calibri" w:cs="Times New Roman"/>
                <w:color w:val="000000"/>
                <w:spacing w:val="-2"/>
                <w:sz w:val="22"/>
                <w:szCs w:val="22"/>
              </w:rPr>
              <w:t xml:space="preserve">i uzupełnienie </w:t>
            </w:r>
            <w:r w:rsidR="001570CC" w:rsidRPr="00154E08">
              <w:rPr>
                <w:rFonts w:eastAsia="Calibri" w:cs="Times New Roman"/>
                <w:color w:val="000000"/>
                <w:spacing w:val="-2"/>
                <w:sz w:val="22"/>
                <w:szCs w:val="22"/>
              </w:rPr>
              <w:t xml:space="preserve">szczegółowych </w:t>
            </w:r>
            <w:r w:rsidR="007E4BEE" w:rsidRPr="00154E08">
              <w:rPr>
                <w:rFonts w:eastAsia="Calibri" w:cs="Times New Roman"/>
                <w:color w:val="000000"/>
                <w:spacing w:val="-2"/>
                <w:sz w:val="22"/>
                <w:szCs w:val="22"/>
              </w:rPr>
              <w:t xml:space="preserve">zasad </w:t>
            </w:r>
            <w:r w:rsidR="00B202E9" w:rsidRPr="00154E08">
              <w:rPr>
                <w:rFonts w:eastAsia="Calibri" w:cs="Times New Roman"/>
                <w:color w:val="000000"/>
                <w:spacing w:val="-2"/>
                <w:sz w:val="22"/>
                <w:szCs w:val="22"/>
              </w:rPr>
              <w:t xml:space="preserve">rozliczenia </w:t>
            </w:r>
            <w:r w:rsidR="002C03D6" w:rsidRPr="00154E08">
              <w:rPr>
                <w:rFonts w:eastAsia="Calibri" w:cs="Times New Roman"/>
                <w:color w:val="000000"/>
                <w:spacing w:val="-2"/>
                <w:sz w:val="22"/>
                <w:szCs w:val="22"/>
              </w:rPr>
              <w:t xml:space="preserve">wykorzystania </w:t>
            </w:r>
            <w:r w:rsidR="00B202E9" w:rsidRPr="00154E08">
              <w:rPr>
                <w:rFonts w:eastAsia="Calibri" w:cs="Times New Roman"/>
                <w:color w:val="000000"/>
                <w:spacing w:val="-2"/>
                <w:sz w:val="22"/>
                <w:szCs w:val="22"/>
              </w:rPr>
              <w:t>energii elektrycznej</w:t>
            </w:r>
            <w:r w:rsidR="007E4BEE" w:rsidRPr="00154E08">
              <w:rPr>
                <w:rFonts w:eastAsia="Calibri" w:cs="Times New Roman"/>
                <w:color w:val="000000"/>
                <w:spacing w:val="-2"/>
                <w:sz w:val="22"/>
                <w:szCs w:val="22"/>
              </w:rPr>
              <w:t>, projek</w:t>
            </w:r>
            <w:r w:rsidR="00BF0C4A" w:rsidRPr="00154E08">
              <w:rPr>
                <w:rFonts w:eastAsia="Calibri" w:cs="Times New Roman"/>
                <w:color w:val="000000"/>
                <w:spacing w:val="-2"/>
                <w:sz w:val="22"/>
                <w:szCs w:val="22"/>
              </w:rPr>
              <w:t>t</w:t>
            </w:r>
            <w:r w:rsidR="007E4BEE" w:rsidRPr="00154E08">
              <w:rPr>
                <w:rFonts w:eastAsia="Calibri" w:cs="Times New Roman"/>
                <w:color w:val="000000"/>
                <w:spacing w:val="-2"/>
                <w:sz w:val="22"/>
                <w:szCs w:val="22"/>
              </w:rPr>
              <w:t xml:space="preserve"> ustawy </w:t>
            </w:r>
            <w:r w:rsidR="00BF0C4A" w:rsidRPr="00154E08">
              <w:rPr>
                <w:rFonts w:eastAsia="Calibri" w:cs="Times New Roman"/>
                <w:color w:val="000000"/>
                <w:spacing w:val="-2"/>
                <w:sz w:val="22"/>
                <w:szCs w:val="22"/>
              </w:rPr>
              <w:t xml:space="preserve">przewiduje </w:t>
            </w:r>
            <w:r w:rsidR="00305E28" w:rsidRPr="00154E08">
              <w:rPr>
                <w:rFonts w:eastAsia="Calibri" w:cs="Times New Roman"/>
                <w:spacing w:val="-2"/>
                <w:sz w:val="22"/>
                <w:szCs w:val="22"/>
              </w:rPr>
              <w:t xml:space="preserve">możliwość </w:t>
            </w:r>
            <w:r w:rsidR="00BF0C4A" w:rsidRPr="00154E08">
              <w:rPr>
                <w:rFonts w:eastAsia="Calibri" w:cs="Times New Roman"/>
                <w:spacing w:val="-2"/>
                <w:sz w:val="22"/>
                <w:szCs w:val="22"/>
              </w:rPr>
              <w:t xml:space="preserve">określenia metodyki i kryteriów oceny </w:t>
            </w:r>
            <w:r w:rsidR="002C03D6" w:rsidRPr="00154E08">
              <w:rPr>
                <w:rFonts w:eastAsia="Calibri" w:cs="Times New Roman"/>
                <w:spacing w:val="-2"/>
                <w:sz w:val="22"/>
                <w:szCs w:val="22"/>
              </w:rPr>
              <w:t xml:space="preserve">spełniania </w:t>
            </w:r>
            <w:r w:rsidR="00BF0C4A" w:rsidRPr="00154E08">
              <w:rPr>
                <w:rFonts w:eastAsia="Calibri" w:cs="Times New Roman"/>
                <w:spacing w:val="-2"/>
                <w:sz w:val="22"/>
                <w:szCs w:val="22"/>
              </w:rPr>
              <w:t>wymogów</w:t>
            </w:r>
            <w:r w:rsidR="007E4BEE" w:rsidRPr="00154E08">
              <w:rPr>
                <w:rFonts w:eastAsia="Calibri" w:cs="Times New Roman"/>
                <w:spacing w:val="-2"/>
                <w:sz w:val="22"/>
                <w:szCs w:val="22"/>
              </w:rPr>
              <w:t xml:space="preserve"> w</w:t>
            </w:r>
            <w:r w:rsidR="00BF0C4A" w:rsidRPr="00154E08">
              <w:rPr>
                <w:rFonts w:eastAsia="Calibri" w:cs="Times New Roman"/>
                <w:spacing w:val="-2"/>
                <w:sz w:val="22"/>
                <w:szCs w:val="22"/>
              </w:rPr>
              <w:t> </w:t>
            </w:r>
            <w:r w:rsidR="007E4BEE" w:rsidRPr="00154E08">
              <w:rPr>
                <w:rFonts w:eastAsia="Calibri" w:cs="Times New Roman"/>
                <w:spacing w:val="-2"/>
                <w:sz w:val="22"/>
                <w:szCs w:val="22"/>
              </w:rPr>
              <w:t>drodze rozporządzenia wykonawczego do ustawy</w:t>
            </w:r>
            <w:r w:rsidR="00C95844" w:rsidRPr="00154E08">
              <w:rPr>
                <w:rFonts w:eastAsia="Calibri" w:cs="Times New Roman"/>
                <w:spacing w:val="-2"/>
                <w:sz w:val="22"/>
                <w:szCs w:val="22"/>
              </w:rPr>
              <w:t xml:space="preserve">, </w:t>
            </w:r>
            <w:r w:rsidR="00BF0C4A" w:rsidRPr="00154E08">
              <w:rPr>
                <w:rFonts w:eastAsia="Calibri" w:cs="Times New Roman"/>
                <w:spacing w:val="-2"/>
                <w:sz w:val="22"/>
                <w:szCs w:val="22"/>
              </w:rPr>
              <w:t>a także metodykę oceny ograniczenia emisji gazów cieplarnianych uzyskanego dzięki innym paliwom odnawialnym,</w:t>
            </w:r>
            <w:r w:rsidR="002C03D6" w:rsidRPr="00154E08">
              <w:rPr>
                <w:rFonts w:eastAsia="Calibri" w:cs="Times New Roman"/>
                <w:spacing w:val="-2"/>
                <w:sz w:val="22"/>
                <w:szCs w:val="22"/>
              </w:rPr>
              <w:t xml:space="preserve"> z </w:t>
            </w:r>
            <w:r w:rsidR="00BF0C4A" w:rsidRPr="00154E08">
              <w:rPr>
                <w:rFonts w:eastAsia="Calibri" w:cs="Times New Roman"/>
                <w:spacing w:val="-2"/>
                <w:sz w:val="22"/>
                <w:szCs w:val="22"/>
              </w:rPr>
              <w:t>uwzględni</w:t>
            </w:r>
            <w:r w:rsidR="002C03D6" w:rsidRPr="00154E08">
              <w:rPr>
                <w:rFonts w:eastAsia="Calibri" w:cs="Times New Roman"/>
                <w:spacing w:val="-2"/>
                <w:sz w:val="22"/>
                <w:szCs w:val="22"/>
              </w:rPr>
              <w:t>eniem</w:t>
            </w:r>
            <w:r w:rsidR="00BF0C4A" w:rsidRPr="00154E08">
              <w:rPr>
                <w:rFonts w:eastAsia="Calibri" w:cs="Times New Roman"/>
                <w:spacing w:val="-2"/>
                <w:sz w:val="22"/>
                <w:szCs w:val="22"/>
              </w:rPr>
              <w:t xml:space="preserve"> stan</w:t>
            </w:r>
            <w:r w:rsidR="002C03D6" w:rsidRPr="00154E08">
              <w:rPr>
                <w:rFonts w:eastAsia="Calibri" w:cs="Times New Roman"/>
                <w:spacing w:val="-2"/>
                <w:sz w:val="22"/>
                <w:szCs w:val="22"/>
              </w:rPr>
              <w:t>u</w:t>
            </w:r>
            <w:r w:rsidR="00BF0C4A" w:rsidRPr="00154E08">
              <w:rPr>
                <w:rFonts w:eastAsia="Calibri" w:cs="Times New Roman"/>
                <w:spacing w:val="-2"/>
                <w:sz w:val="22"/>
                <w:szCs w:val="22"/>
              </w:rPr>
              <w:t xml:space="preserve"> wiedzy technicznej w tym zakresie</w:t>
            </w:r>
            <w:r w:rsidR="007E4BEE" w:rsidRPr="00154E08">
              <w:rPr>
                <w:rFonts w:eastAsia="Calibri" w:cs="Times New Roman"/>
                <w:spacing w:val="-2"/>
                <w:sz w:val="22"/>
                <w:szCs w:val="22"/>
              </w:rPr>
              <w:t>.</w:t>
            </w:r>
            <w:r w:rsidR="001570CC" w:rsidRPr="00154E08">
              <w:rPr>
                <w:rFonts w:eastAsia="Calibri" w:cs="Times New Roman"/>
                <w:spacing w:val="-2"/>
                <w:sz w:val="22"/>
                <w:szCs w:val="22"/>
              </w:rPr>
              <w:t xml:space="preserve"> </w:t>
            </w:r>
          </w:p>
          <w:p w14:paraId="5781EE09" w14:textId="13F156FF" w:rsidR="00F1594A" w:rsidRPr="00154E08" w:rsidRDefault="00A23988" w:rsidP="00B279FD">
            <w:pPr>
              <w:spacing w:after="120" w:line="240" w:lineRule="auto"/>
              <w:contextualSpacing/>
              <w:jc w:val="both"/>
              <w:rPr>
                <w:rFonts w:eastAsia="Calibri" w:cs="Times New Roman"/>
                <w:b/>
                <w:bCs/>
                <w:color w:val="000000"/>
                <w:spacing w:val="-2"/>
                <w:sz w:val="22"/>
                <w:szCs w:val="22"/>
              </w:rPr>
            </w:pPr>
            <w:r w:rsidRPr="00154E08">
              <w:rPr>
                <w:rFonts w:eastAsia="Calibri" w:cs="Times New Roman"/>
                <w:color w:val="000000"/>
                <w:spacing w:val="-2"/>
                <w:sz w:val="22"/>
                <w:szCs w:val="22"/>
              </w:rPr>
              <w:t>W</w:t>
            </w:r>
            <w:r w:rsidR="007626BF" w:rsidRPr="00154E08">
              <w:rPr>
                <w:rFonts w:eastAsia="Calibri" w:cs="Times New Roman"/>
                <w:color w:val="000000"/>
                <w:spacing w:val="-2"/>
                <w:sz w:val="22"/>
                <w:szCs w:val="22"/>
              </w:rPr>
              <w:t xml:space="preserve"> celu pełnej implementacji dyrektywy, zakłada się wprowadzenie </w:t>
            </w:r>
            <w:r w:rsidR="00BD019B" w:rsidRPr="00154E08">
              <w:rPr>
                <w:rFonts w:eastAsia="Calibri" w:cs="Times New Roman"/>
                <w:color w:val="000000"/>
                <w:spacing w:val="-2"/>
                <w:sz w:val="22"/>
                <w:szCs w:val="22"/>
              </w:rPr>
              <w:t>w projekcie</w:t>
            </w:r>
            <w:r w:rsidR="00684A87" w:rsidRPr="00154E08">
              <w:rPr>
                <w:rFonts w:eastAsia="Calibri" w:cs="Times New Roman"/>
                <w:color w:val="000000"/>
                <w:spacing w:val="-2"/>
                <w:sz w:val="22"/>
                <w:szCs w:val="22"/>
              </w:rPr>
              <w:t xml:space="preserve"> </w:t>
            </w:r>
            <w:r w:rsidR="007626BF" w:rsidRPr="00154E08">
              <w:rPr>
                <w:rFonts w:eastAsia="Calibri" w:cs="Times New Roman"/>
                <w:color w:val="000000"/>
                <w:spacing w:val="-2"/>
                <w:sz w:val="22"/>
                <w:szCs w:val="22"/>
              </w:rPr>
              <w:t>ustawy zasad obliczania udziału energii elektrycznej z OZE wykorzystywanej w</w:t>
            </w:r>
            <w:r w:rsidR="00F9403C" w:rsidRPr="00154E08">
              <w:rPr>
                <w:rFonts w:eastAsia="Calibri" w:cs="Times New Roman"/>
                <w:color w:val="000000"/>
                <w:spacing w:val="-2"/>
                <w:sz w:val="22"/>
                <w:szCs w:val="22"/>
              </w:rPr>
              <w:t> </w:t>
            </w:r>
            <w:r w:rsidR="007626BF" w:rsidRPr="00154E08">
              <w:rPr>
                <w:rFonts w:eastAsia="Calibri" w:cs="Times New Roman"/>
                <w:color w:val="000000"/>
                <w:spacing w:val="-2"/>
                <w:sz w:val="22"/>
                <w:szCs w:val="22"/>
              </w:rPr>
              <w:t>transporcie</w:t>
            </w:r>
            <w:r w:rsidR="009C3F41" w:rsidRPr="00154E08">
              <w:rPr>
                <w:rFonts w:eastAsia="Calibri" w:cs="Times New Roman"/>
                <w:color w:val="000000"/>
                <w:spacing w:val="-2"/>
                <w:sz w:val="22"/>
                <w:szCs w:val="22"/>
              </w:rPr>
              <w:t xml:space="preserve"> z</w:t>
            </w:r>
            <w:r w:rsidR="007626BF" w:rsidRPr="00154E08">
              <w:rPr>
                <w:rFonts w:eastAsia="Calibri" w:cs="Times New Roman"/>
                <w:color w:val="000000"/>
                <w:spacing w:val="-2"/>
                <w:sz w:val="22"/>
                <w:szCs w:val="22"/>
              </w:rPr>
              <w:t xml:space="preserve"> możliwoś</w:t>
            </w:r>
            <w:r w:rsidR="009C3F41" w:rsidRPr="00154E08">
              <w:rPr>
                <w:rFonts w:eastAsia="Calibri" w:cs="Times New Roman"/>
                <w:color w:val="000000"/>
                <w:spacing w:val="-2"/>
                <w:sz w:val="22"/>
                <w:szCs w:val="22"/>
              </w:rPr>
              <w:t>cią</w:t>
            </w:r>
            <w:r w:rsidR="007626BF" w:rsidRPr="00154E08">
              <w:rPr>
                <w:rFonts w:eastAsia="Calibri" w:cs="Times New Roman"/>
                <w:color w:val="000000"/>
                <w:spacing w:val="-2"/>
                <w:sz w:val="22"/>
                <w:szCs w:val="22"/>
              </w:rPr>
              <w:t xml:space="preserve"> </w:t>
            </w:r>
            <w:r w:rsidR="00E07D02" w:rsidRPr="00154E08">
              <w:rPr>
                <w:rFonts w:eastAsia="Calibri" w:cs="Times New Roman"/>
                <w:color w:val="000000"/>
                <w:spacing w:val="-2"/>
                <w:sz w:val="22"/>
                <w:szCs w:val="22"/>
              </w:rPr>
              <w:t xml:space="preserve">uwzględnienia w rozliczeniach </w:t>
            </w:r>
            <w:r w:rsidR="00006876" w:rsidRPr="00154E08">
              <w:rPr>
                <w:rFonts w:eastAsia="Calibri" w:cs="Times New Roman"/>
                <w:color w:val="000000"/>
                <w:spacing w:val="-2"/>
                <w:sz w:val="22"/>
                <w:szCs w:val="22"/>
              </w:rPr>
              <w:t>mnożników wskazanych w art. 27 ust. 2 lit</w:t>
            </w:r>
            <w:r w:rsidR="00707B30" w:rsidRPr="00154E08">
              <w:rPr>
                <w:rFonts w:eastAsia="Calibri" w:cs="Times New Roman"/>
                <w:color w:val="000000"/>
                <w:spacing w:val="-2"/>
                <w:sz w:val="22"/>
                <w:szCs w:val="22"/>
              </w:rPr>
              <w:t>.</w:t>
            </w:r>
            <w:r w:rsidR="00006876" w:rsidRPr="00154E08">
              <w:rPr>
                <w:rFonts w:eastAsia="Calibri" w:cs="Times New Roman"/>
                <w:color w:val="000000"/>
                <w:spacing w:val="-2"/>
                <w:sz w:val="22"/>
                <w:szCs w:val="22"/>
              </w:rPr>
              <w:t xml:space="preserve"> b </w:t>
            </w:r>
            <w:r w:rsidR="00BD019B" w:rsidRPr="00154E08">
              <w:rPr>
                <w:rFonts w:eastAsia="Calibri" w:cs="Times New Roman"/>
                <w:color w:val="000000"/>
                <w:spacing w:val="-2"/>
                <w:sz w:val="22"/>
                <w:szCs w:val="22"/>
              </w:rPr>
              <w:t xml:space="preserve">dyrektywy </w:t>
            </w:r>
            <w:r w:rsidR="00006876" w:rsidRPr="00154E08">
              <w:rPr>
                <w:rFonts w:eastAsia="Calibri" w:cs="Times New Roman"/>
                <w:color w:val="000000"/>
                <w:spacing w:val="-2"/>
                <w:sz w:val="22"/>
                <w:szCs w:val="22"/>
              </w:rPr>
              <w:t>REDII</w:t>
            </w:r>
            <w:r w:rsidR="004610A1" w:rsidRPr="00154E08">
              <w:rPr>
                <w:rFonts w:eastAsia="Calibri" w:cs="Times New Roman"/>
                <w:i/>
                <w:iCs/>
                <w:color w:val="000000"/>
                <w:spacing w:val="-2"/>
                <w:sz w:val="22"/>
                <w:szCs w:val="22"/>
              </w:rPr>
              <w:t>:</w:t>
            </w:r>
            <w:r w:rsidR="00684A87" w:rsidRPr="00154E08">
              <w:rPr>
                <w:rFonts w:eastAsia="Calibri" w:cs="Times New Roman"/>
                <w:i/>
                <w:iCs/>
                <w:color w:val="000000"/>
                <w:spacing w:val="-2"/>
                <w:sz w:val="22"/>
                <w:szCs w:val="22"/>
              </w:rPr>
              <w:t xml:space="preserve"> </w:t>
            </w:r>
            <w:r w:rsidR="00E07D02" w:rsidRPr="00154E08">
              <w:rPr>
                <w:rFonts w:eastAsia="Calibri" w:cs="Times New Roman"/>
                <w:color w:val="000000"/>
                <w:spacing w:val="-2"/>
                <w:sz w:val="22"/>
                <w:szCs w:val="22"/>
              </w:rPr>
              <w:t>4 – krotności energii elektrycznej wykorzystywanej w transporcie drogowym oraz 1,5 – krotności energii elektrycznej wykorzystywanej w</w:t>
            </w:r>
            <w:r w:rsidR="00837D94" w:rsidRPr="00154E08">
              <w:rPr>
                <w:rFonts w:eastAsia="Calibri" w:cs="Times New Roman"/>
                <w:color w:val="000000"/>
                <w:spacing w:val="-2"/>
                <w:sz w:val="22"/>
                <w:szCs w:val="22"/>
              </w:rPr>
              <w:t> </w:t>
            </w:r>
            <w:r w:rsidR="00E07D02" w:rsidRPr="00154E08">
              <w:rPr>
                <w:rFonts w:eastAsia="Calibri" w:cs="Times New Roman"/>
                <w:color w:val="000000"/>
                <w:spacing w:val="-2"/>
                <w:sz w:val="22"/>
                <w:szCs w:val="22"/>
              </w:rPr>
              <w:t xml:space="preserve">transporcie kolejowym. </w:t>
            </w:r>
          </w:p>
          <w:p w14:paraId="5FD47D92" w14:textId="7A2AC38E" w:rsidR="006E4360" w:rsidRPr="00154E08" w:rsidRDefault="005E2C6D" w:rsidP="00FA2D86">
            <w:pPr>
              <w:pStyle w:val="Akapitzlist"/>
              <w:numPr>
                <w:ilvl w:val="0"/>
                <w:numId w:val="25"/>
              </w:numPr>
              <w:spacing w:before="60" w:line="240" w:lineRule="auto"/>
              <w:jc w:val="both"/>
              <w:rPr>
                <w:rFonts w:ascii="Times New Roman" w:eastAsia="Calibri" w:hAnsi="Times New Roman"/>
                <w:b/>
                <w:bCs/>
                <w:color w:val="000000"/>
                <w:spacing w:val="-2"/>
                <w:sz w:val="22"/>
                <w:szCs w:val="22"/>
              </w:rPr>
            </w:pPr>
            <w:r w:rsidRPr="00154E08">
              <w:rPr>
                <w:rFonts w:ascii="Times New Roman" w:eastAsia="Calibri" w:hAnsi="Times New Roman"/>
                <w:b/>
                <w:bCs/>
                <w:color w:val="000000"/>
                <w:spacing w:val="-2"/>
                <w:sz w:val="22"/>
                <w:szCs w:val="22"/>
              </w:rPr>
              <w:t>U</w:t>
            </w:r>
            <w:r w:rsidR="00582A54" w:rsidRPr="00154E08">
              <w:rPr>
                <w:rFonts w:ascii="Times New Roman" w:eastAsia="Calibri" w:hAnsi="Times New Roman"/>
                <w:b/>
                <w:bCs/>
                <w:color w:val="000000"/>
                <w:spacing w:val="-2"/>
                <w:sz w:val="22"/>
                <w:szCs w:val="22"/>
              </w:rPr>
              <w:t>możliwienie zaliczania energii elektrycznej odnawialnej zużytej w transporcie – drogowym i</w:t>
            </w:r>
            <w:r w:rsidR="00837D94" w:rsidRPr="00154E08">
              <w:rPr>
                <w:rFonts w:ascii="Times New Roman" w:eastAsia="Calibri" w:hAnsi="Times New Roman"/>
                <w:b/>
                <w:bCs/>
                <w:color w:val="000000"/>
                <w:spacing w:val="-2"/>
                <w:sz w:val="22"/>
                <w:szCs w:val="22"/>
              </w:rPr>
              <w:t> </w:t>
            </w:r>
            <w:r w:rsidR="00582A54" w:rsidRPr="00154E08">
              <w:rPr>
                <w:rFonts w:ascii="Times New Roman" w:eastAsia="Calibri" w:hAnsi="Times New Roman"/>
                <w:b/>
                <w:bCs/>
                <w:color w:val="000000"/>
                <w:spacing w:val="-2"/>
                <w:sz w:val="22"/>
                <w:szCs w:val="22"/>
              </w:rPr>
              <w:t>kolejowym, poprzez przystąpienie do udziału w realizacji NCW przez operatorów ogólnodostępnych stacji ładowania pojazdów oraz przewoźników kolejowych</w:t>
            </w:r>
          </w:p>
          <w:p w14:paraId="464AF502" w14:textId="5D9C3088" w:rsidR="003F19A5" w:rsidRPr="00154E08" w:rsidRDefault="00E07D02"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Uwzględniając fakt, iż część energii elektrycznej z OZE może być dostarczona do pojazdów</w:t>
            </w:r>
            <w:r w:rsidR="00545B35" w:rsidRPr="00154E08">
              <w:rPr>
                <w:rFonts w:eastAsia="Calibri" w:cs="Times New Roman"/>
                <w:color w:val="000000"/>
                <w:spacing w:val="-2"/>
                <w:sz w:val="22"/>
                <w:szCs w:val="22"/>
              </w:rPr>
              <w:t xml:space="preserve"> –</w:t>
            </w:r>
            <w:r w:rsidRPr="00154E08">
              <w:rPr>
                <w:rFonts w:eastAsia="Calibri" w:cs="Times New Roman"/>
                <w:color w:val="000000"/>
                <w:spacing w:val="-2"/>
                <w:sz w:val="22"/>
                <w:szCs w:val="22"/>
              </w:rPr>
              <w:t xml:space="preserve"> drogowych </w:t>
            </w:r>
            <w:r w:rsidR="005E09A9" w:rsidRPr="00154E08">
              <w:rPr>
                <w:rFonts w:eastAsia="Calibri" w:cs="Times New Roman"/>
                <w:color w:val="000000"/>
                <w:spacing w:val="-2"/>
                <w:sz w:val="22"/>
                <w:szCs w:val="22"/>
              </w:rPr>
              <w:t>lub transportu kolejowego przez podmioty niezobowiązane do realizacji celu OZE w</w:t>
            </w:r>
            <w:r w:rsidR="00F9403C" w:rsidRPr="00154E08">
              <w:rPr>
                <w:rFonts w:eastAsia="Calibri" w:cs="Times New Roman"/>
                <w:color w:val="000000"/>
                <w:spacing w:val="-2"/>
                <w:sz w:val="22"/>
                <w:szCs w:val="22"/>
              </w:rPr>
              <w:t> </w:t>
            </w:r>
            <w:r w:rsidR="005E09A9" w:rsidRPr="00154E08">
              <w:rPr>
                <w:rFonts w:eastAsia="Calibri" w:cs="Times New Roman"/>
                <w:color w:val="000000"/>
                <w:spacing w:val="-2"/>
                <w:sz w:val="22"/>
                <w:szCs w:val="22"/>
              </w:rPr>
              <w:t xml:space="preserve">transporcie, proponuje się wprowadzenie </w:t>
            </w:r>
            <w:r w:rsidR="00F1594A" w:rsidRPr="00154E08">
              <w:rPr>
                <w:rFonts w:eastAsia="Calibri" w:cs="Times New Roman"/>
                <w:color w:val="000000"/>
                <w:spacing w:val="-2"/>
                <w:sz w:val="22"/>
                <w:szCs w:val="22"/>
              </w:rPr>
              <w:t xml:space="preserve">mechanizmów pozwalających na </w:t>
            </w:r>
            <w:r w:rsidR="000A1B2D" w:rsidRPr="00154E08">
              <w:rPr>
                <w:rFonts w:eastAsia="Calibri" w:cs="Times New Roman"/>
                <w:color w:val="000000"/>
                <w:spacing w:val="-2"/>
                <w:sz w:val="22"/>
                <w:szCs w:val="22"/>
              </w:rPr>
              <w:t xml:space="preserve">wykazanie </w:t>
            </w:r>
            <w:r w:rsidR="00F1594A" w:rsidRPr="00154E08">
              <w:rPr>
                <w:rFonts w:eastAsia="Calibri" w:cs="Times New Roman"/>
                <w:color w:val="000000"/>
                <w:spacing w:val="-2"/>
                <w:sz w:val="22"/>
                <w:szCs w:val="22"/>
              </w:rPr>
              <w:t>wykorzystani</w:t>
            </w:r>
            <w:r w:rsidR="005E02DB" w:rsidRPr="00154E08">
              <w:rPr>
                <w:rFonts w:eastAsia="Calibri" w:cs="Times New Roman"/>
                <w:color w:val="000000"/>
                <w:spacing w:val="-2"/>
                <w:sz w:val="22"/>
                <w:szCs w:val="22"/>
              </w:rPr>
              <w:t>a</w:t>
            </w:r>
            <w:r w:rsidR="00F1594A" w:rsidRPr="00154E08">
              <w:rPr>
                <w:rFonts w:eastAsia="Calibri" w:cs="Times New Roman"/>
                <w:color w:val="000000"/>
                <w:spacing w:val="-2"/>
                <w:sz w:val="22"/>
                <w:szCs w:val="22"/>
              </w:rPr>
              <w:t xml:space="preserve"> tych ilości przez podmioty realizujące NCW</w:t>
            </w:r>
            <w:r w:rsidR="004610A1" w:rsidRPr="00154E08">
              <w:rPr>
                <w:rFonts w:eastAsia="Calibri" w:cs="Times New Roman"/>
                <w:color w:val="000000"/>
                <w:spacing w:val="-2"/>
                <w:sz w:val="22"/>
                <w:szCs w:val="22"/>
              </w:rPr>
              <w:t xml:space="preserve"> we współpracy z operatorem infrastruktur</w:t>
            </w:r>
            <w:r w:rsidR="0077048D" w:rsidRPr="00154E08">
              <w:rPr>
                <w:rFonts w:eastAsia="Calibri" w:cs="Times New Roman"/>
                <w:color w:val="000000"/>
                <w:spacing w:val="-2"/>
                <w:sz w:val="22"/>
                <w:szCs w:val="22"/>
              </w:rPr>
              <w:t>y</w:t>
            </w:r>
            <w:r w:rsidR="004610A1" w:rsidRPr="00154E08">
              <w:rPr>
                <w:rFonts w:eastAsia="Calibri" w:cs="Times New Roman"/>
                <w:color w:val="000000"/>
                <w:spacing w:val="-2"/>
                <w:sz w:val="22"/>
                <w:szCs w:val="22"/>
              </w:rPr>
              <w:t xml:space="preserve"> ładowania pojazdów </w:t>
            </w:r>
            <w:r w:rsidR="00B7417B" w:rsidRPr="00154E08">
              <w:rPr>
                <w:rFonts w:eastAsia="Calibri" w:cs="Times New Roman"/>
                <w:color w:val="000000"/>
                <w:spacing w:val="-2"/>
                <w:sz w:val="22"/>
                <w:szCs w:val="22"/>
              </w:rPr>
              <w:t xml:space="preserve">lub </w:t>
            </w:r>
            <w:r w:rsidR="004610A1" w:rsidRPr="00154E08">
              <w:rPr>
                <w:rFonts w:eastAsia="Calibri" w:cs="Times New Roman"/>
                <w:color w:val="000000"/>
                <w:spacing w:val="-2"/>
                <w:sz w:val="22"/>
                <w:szCs w:val="22"/>
              </w:rPr>
              <w:t>przewoźnikiem kolejowym</w:t>
            </w:r>
            <w:r w:rsidR="00F1594A" w:rsidRPr="00154E08">
              <w:rPr>
                <w:rFonts w:eastAsia="Calibri" w:cs="Times New Roman"/>
                <w:color w:val="000000"/>
                <w:spacing w:val="-2"/>
                <w:sz w:val="22"/>
                <w:szCs w:val="22"/>
              </w:rPr>
              <w:t xml:space="preserve">. </w:t>
            </w:r>
          </w:p>
          <w:p w14:paraId="173A27D8" w14:textId="12B363B7" w:rsidR="005E2C6D" w:rsidRPr="00154E08" w:rsidRDefault="005E09A9" w:rsidP="00B279FD">
            <w:pPr>
              <w:spacing w:after="120" w:line="240" w:lineRule="auto"/>
              <w:contextualSpacing/>
              <w:jc w:val="both"/>
              <w:rPr>
                <w:rFonts w:eastAsia="Calibri" w:cs="Times New Roman"/>
                <w:sz w:val="22"/>
                <w:szCs w:val="22"/>
              </w:rPr>
            </w:pPr>
            <w:r w:rsidRPr="00154E08">
              <w:rPr>
                <w:rFonts w:eastAsia="Calibri" w:cs="Times New Roman"/>
                <w:color w:val="000000"/>
                <w:spacing w:val="-2"/>
                <w:sz w:val="22"/>
                <w:szCs w:val="22"/>
              </w:rPr>
              <w:t>Wprowadzenie rozwiązania z jednej strony ułatwi podmiotom zobowiązanym rozliczenie realizacji celu OZE w</w:t>
            </w:r>
            <w:r w:rsidR="00545B35" w:rsidRPr="00154E08">
              <w:rPr>
                <w:rFonts w:eastAsia="Calibri" w:cs="Times New Roman"/>
                <w:color w:val="000000"/>
                <w:spacing w:val="-2"/>
                <w:sz w:val="22"/>
                <w:szCs w:val="22"/>
              </w:rPr>
              <w:t> </w:t>
            </w:r>
            <w:r w:rsidRPr="00154E08">
              <w:rPr>
                <w:rFonts w:eastAsia="Calibri" w:cs="Times New Roman"/>
                <w:color w:val="000000"/>
                <w:spacing w:val="-2"/>
                <w:sz w:val="22"/>
                <w:szCs w:val="22"/>
              </w:rPr>
              <w:t>transporcie</w:t>
            </w:r>
            <w:r w:rsidR="00707B30"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w:t>
            </w:r>
            <w:r w:rsidR="00684A87" w:rsidRPr="00154E08">
              <w:rPr>
                <w:rFonts w:eastAsia="Calibri" w:cs="Times New Roman"/>
                <w:color w:val="000000"/>
                <w:spacing w:val="-2"/>
                <w:sz w:val="22"/>
                <w:szCs w:val="22"/>
              </w:rPr>
              <w:t>przez</w:t>
            </w:r>
            <w:r w:rsidRPr="00154E08">
              <w:rPr>
                <w:rFonts w:eastAsia="Calibri" w:cs="Times New Roman"/>
                <w:color w:val="000000"/>
                <w:spacing w:val="-2"/>
                <w:sz w:val="22"/>
                <w:szCs w:val="22"/>
              </w:rPr>
              <w:t xml:space="preserve"> rozszerzenie wachlarza możliwych do wykorzystania instrumentów, z</w:t>
            </w:r>
            <w:r w:rsidR="00545B35" w:rsidRPr="00154E08">
              <w:rPr>
                <w:rFonts w:eastAsia="Calibri" w:cs="Times New Roman"/>
                <w:color w:val="000000"/>
                <w:spacing w:val="-2"/>
                <w:sz w:val="22"/>
                <w:szCs w:val="22"/>
              </w:rPr>
              <w:t> </w:t>
            </w:r>
            <w:r w:rsidRPr="00154E08">
              <w:rPr>
                <w:rFonts w:eastAsia="Calibri" w:cs="Times New Roman"/>
                <w:color w:val="000000"/>
                <w:spacing w:val="-2"/>
                <w:sz w:val="22"/>
                <w:szCs w:val="22"/>
              </w:rPr>
              <w:t>dr</w:t>
            </w:r>
            <w:r w:rsidR="00545B35" w:rsidRPr="00154E08">
              <w:rPr>
                <w:rFonts w:eastAsia="Calibri" w:cs="Times New Roman"/>
                <w:color w:val="000000"/>
                <w:spacing w:val="-2"/>
                <w:sz w:val="22"/>
                <w:szCs w:val="22"/>
              </w:rPr>
              <w:t>u</w:t>
            </w:r>
            <w:r w:rsidRPr="00154E08">
              <w:rPr>
                <w:rFonts w:eastAsia="Calibri" w:cs="Times New Roman"/>
                <w:color w:val="000000"/>
                <w:spacing w:val="-2"/>
                <w:sz w:val="22"/>
                <w:szCs w:val="22"/>
              </w:rPr>
              <w:t xml:space="preserve">giej zaś tworzy system wspierający rozwój </w:t>
            </w:r>
            <w:proofErr w:type="spellStart"/>
            <w:r w:rsidR="00A5766D" w:rsidRPr="00154E08">
              <w:rPr>
                <w:rFonts w:eastAsia="Calibri" w:cs="Times New Roman"/>
                <w:color w:val="000000"/>
                <w:spacing w:val="-2"/>
                <w:sz w:val="22"/>
                <w:szCs w:val="22"/>
              </w:rPr>
              <w:t>elektro</w:t>
            </w:r>
            <w:r w:rsidRPr="00154E08">
              <w:rPr>
                <w:rFonts w:eastAsia="Calibri" w:cs="Times New Roman"/>
                <w:color w:val="000000"/>
                <w:spacing w:val="-2"/>
                <w:sz w:val="22"/>
                <w:szCs w:val="22"/>
              </w:rPr>
              <w:t>mobilności</w:t>
            </w:r>
            <w:proofErr w:type="spellEnd"/>
            <w:r w:rsidRPr="00154E08">
              <w:rPr>
                <w:rFonts w:eastAsia="Calibri" w:cs="Times New Roman"/>
                <w:i/>
                <w:iCs/>
                <w:color w:val="000000"/>
                <w:spacing w:val="-2"/>
                <w:sz w:val="22"/>
                <w:szCs w:val="22"/>
              </w:rPr>
              <w:t xml:space="preserve"> </w:t>
            </w:r>
            <w:r w:rsidR="00BE5658" w:rsidRPr="00154E08">
              <w:rPr>
                <w:rFonts w:eastAsia="Calibri" w:cs="Times New Roman"/>
                <w:color w:val="000000"/>
                <w:spacing w:val="-2"/>
                <w:sz w:val="22"/>
                <w:szCs w:val="22"/>
              </w:rPr>
              <w:t>poprzez</w:t>
            </w:r>
            <w:r w:rsidRPr="00154E08">
              <w:rPr>
                <w:rFonts w:eastAsia="Calibri" w:cs="Times New Roman"/>
                <w:color w:val="000000"/>
                <w:spacing w:val="-2"/>
                <w:sz w:val="22"/>
                <w:szCs w:val="22"/>
              </w:rPr>
              <w:t xml:space="preserve"> </w:t>
            </w:r>
            <w:r w:rsidR="00545B35" w:rsidRPr="00154E08">
              <w:rPr>
                <w:rFonts w:eastAsia="Calibri" w:cs="Times New Roman"/>
                <w:color w:val="000000"/>
                <w:spacing w:val="-2"/>
                <w:sz w:val="22"/>
                <w:szCs w:val="22"/>
              </w:rPr>
              <w:t xml:space="preserve">wzrost </w:t>
            </w:r>
            <w:r w:rsidRPr="00154E08">
              <w:rPr>
                <w:rFonts w:eastAsia="Calibri" w:cs="Times New Roman"/>
                <w:color w:val="000000"/>
                <w:spacing w:val="-2"/>
                <w:sz w:val="22"/>
                <w:szCs w:val="22"/>
              </w:rPr>
              <w:t>zapotrzebowania ze</w:t>
            </w:r>
            <w:r w:rsidR="00BE5658" w:rsidRPr="00154E08">
              <w:rPr>
                <w:rFonts w:eastAsia="Calibri" w:cs="Times New Roman"/>
                <w:color w:val="000000"/>
                <w:spacing w:val="-2"/>
                <w:sz w:val="22"/>
                <w:szCs w:val="22"/>
              </w:rPr>
              <w:t> </w:t>
            </w:r>
            <w:r w:rsidRPr="00154E08">
              <w:rPr>
                <w:rFonts w:eastAsia="Calibri" w:cs="Times New Roman"/>
                <w:color w:val="000000"/>
                <w:spacing w:val="-2"/>
                <w:sz w:val="22"/>
                <w:szCs w:val="22"/>
              </w:rPr>
              <w:t>strony transportu na energię elektryczną z OZE. Cena ww.</w:t>
            </w:r>
            <w:r w:rsidR="008D2FC7" w:rsidRPr="00154E08">
              <w:rPr>
                <w:rFonts w:eastAsia="Calibri" w:cs="Times New Roman"/>
                <w:color w:val="000000"/>
                <w:spacing w:val="-2"/>
                <w:sz w:val="22"/>
                <w:szCs w:val="22"/>
              </w:rPr>
              <w:t> </w:t>
            </w:r>
            <w:r w:rsidRPr="00154E08">
              <w:rPr>
                <w:rFonts w:eastAsia="Calibri" w:cs="Times New Roman"/>
                <w:color w:val="000000"/>
                <w:spacing w:val="-2"/>
                <w:sz w:val="22"/>
                <w:szCs w:val="22"/>
              </w:rPr>
              <w:t xml:space="preserve">uprawnienia </w:t>
            </w:r>
            <w:r w:rsidR="00707B30" w:rsidRPr="00154E08">
              <w:rPr>
                <w:rFonts w:eastAsia="Calibri" w:cs="Times New Roman"/>
                <w:color w:val="000000"/>
                <w:spacing w:val="-2"/>
                <w:sz w:val="22"/>
                <w:szCs w:val="22"/>
              </w:rPr>
              <w:t xml:space="preserve">będzie </w:t>
            </w:r>
            <w:r w:rsidRPr="00154E08">
              <w:rPr>
                <w:rFonts w:eastAsia="Calibri" w:cs="Times New Roman"/>
                <w:color w:val="000000"/>
                <w:spacing w:val="-2"/>
                <w:sz w:val="22"/>
                <w:szCs w:val="22"/>
              </w:rPr>
              <w:t>uzależniona od popytu i podaży na ww. instrumenty.</w:t>
            </w:r>
          </w:p>
          <w:p w14:paraId="301AC7D5" w14:textId="77777777" w:rsidR="00B5525F" w:rsidRPr="00154E08" w:rsidRDefault="00B5525F" w:rsidP="00F12DAB">
            <w:pPr>
              <w:spacing w:before="60" w:line="240" w:lineRule="auto"/>
              <w:contextualSpacing/>
              <w:jc w:val="both"/>
              <w:rPr>
                <w:rFonts w:eastAsia="Calibri" w:cs="Times New Roman"/>
                <w:color w:val="000000"/>
                <w:spacing w:val="-2"/>
                <w:sz w:val="22"/>
                <w:szCs w:val="22"/>
              </w:rPr>
            </w:pPr>
          </w:p>
          <w:p w14:paraId="4A6F5ADB" w14:textId="4BFEB6C9" w:rsidR="00707B30" w:rsidRPr="00154E08" w:rsidRDefault="005E2C6D" w:rsidP="00FA2D86">
            <w:pPr>
              <w:pStyle w:val="Akapitzlist"/>
              <w:numPr>
                <w:ilvl w:val="0"/>
                <w:numId w:val="25"/>
              </w:numPr>
              <w:rPr>
                <w:rFonts w:ascii="Times New Roman" w:eastAsia="Calibri" w:hAnsi="Times New Roman"/>
                <w:b/>
                <w:bCs/>
                <w:sz w:val="22"/>
                <w:szCs w:val="22"/>
              </w:rPr>
            </w:pPr>
            <w:r w:rsidRPr="00154E08">
              <w:rPr>
                <w:rFonts w:ascii="Times New Roman" w:eastAsia="Calibri" w:hAnsi="Times New Roman"/>
                <w:b/>
                <w:bCs/>
                <w:sz w:val="22"/>
                <w:szCs w:val="22"/>
              </w:rPr>
              <w:t>Stopniowe wygaszanie mechanizmu opłaty zastępczej</w:t>
            </w:r>
          </w:p>
          <w:p w14:paraId="459AC1BE" w14:textId="5223481A" w:rsidR="008B4253" w:rsidRPr="00154E08" w:rsidRDefault="004B10F0" w:rsidP="00B279FD">
            <w:pPr>
              <w:spacing w:after="120" w:line="240" w:lineRule="auto"/>
              <w:contextualSpacing/>
              <w:jc w:val="both"/>
              <w:rPr>
                <w:rFonts w:eastAsia="Calibri" w:cs="Times New Roman"/>
                <w:sz w:val="22"/>
                <w:szCs w:val="22"/>
              </w:rPr>
            </w:pPr>
            <w:r w:rsidRPr="00154E08">
              <w:rPr>
                <w:rFonts w:eastAsia="Calibri" w:cs="Times New Roman"/>
                <w:sz w:val="22"/>
                <w:szCs w:val="22"/>
              </w:rPr>
              <w:t xml:space="preserve">Funkcjonowanie </w:t>
            </w:r>
            <w:r w:rsidR="008B4253" w:rsidRPr="00154E08">
              <w:rPr>
                <w:rFonts w:eastAsia="Calibri" w:cs="Times New Roman"/>
                <w:sz w:val="22"/>
                <w:szCs w:val="22"/>
              </w:rPr>
              <w:t>opłaty zastępczej w</w:t>
            </w:r>
            <w:r w:rsidR="004723AB" w:rsidRPr="00154E08">
              <w:rPr>
                <w:rFonts w:eastAsia="Calibri" w:cs="Times New Roman"/>
                <w:sz w:val="22"/>
                <w:szCs w:val="22"/>
              </w:rPr>
              <w:t> </w:t>
            </w:r>
            <w:r w:rsidR="008B4253" w:rsidRPr="00154E08">
              <w:rPr>
                <w:rFonts w:eastAsia="Calibri" w:cs="Times New Roman"/>
                <w:sz w:val="22"/>
                <w:szCs w:val="22"/>
              </w:rPr>
              <w:t>systemie NCW stanowi odpowie</w:t>
            </w:r>
            <w:r w:rsidR="00000B79" w:rsidRPr="00154E08">
              <w:rPr>
                <w:rFonts w:eastAsia="Calibri" w:cs="Times New Roman"/>
                <w:sz w:val="22"/>
                <w:szCs w:val="22"/>
              </w:rPr>
              <w:t>dź na ograniczenia w</w:t>
            </w:r>
            <w:r w:rsidR="00BA144E" w:rsidRPr="00154E08">
              <w:rPr>
                <w:rFonts w:eastAsia="Calibri" w:cs="Times New Roman"/>
                <w:sz w:val="22"/>
                <w:szCs w:val="22"/>
              </w:rPr>
              <w:t> </w:t>
            </w:r>
            <w:r w:rsidR="00000B79" w:rsidRPr="00154E08">
              <w:rPr>
                <w:rFonts w:eastAsia="Calibri" w:cs="Times New Roman"/>
                <w:sz w:val="22"/>
                <w:szCs w:val="22"/>
              </w:rPr>
              <w:t>rozwoju technologii umożliwiających realizacj</w:t>
            </w:r>
            <w:r w:rsidR="00FF3385" w:rsidRPr="00154E08">
              <w:rPr>
                <w:rFonts w:eastAsia="Calibri" w:cs="Times New Roman"/>
                <w:sz w:val="22"/>
                <w:szCs w:val="22"/>
              </w:rPr>
              <w:t>ę</w:t>
            </w:r>
            <w:r w:rsidR="00000B79" w:rsidRPr="00154E08">
              <w:rPr>
                <w:rFonts w:eastAsia="Calibri" w:cs="Times New Roman"/>
                <w:sz w:val="22"/>
                <w:szCs w:val="22"/>
              </w:rPr>
              <w:t xml:space="preserve"> NCW w stopniu wyższym niż </w:t>
            </w:r>
            <w:r w:rsidR="00E3453F" w:rsidRPr="00154E08">
              <w:rPr>
                <w:rFonts w:eastAsia="Calibri" w:cs="Times New Roman"/>
                <w:sz w:val="22"/>
                <w:szCs w:val="22"/>
              </w:rPr>
              <w:t xml:space="preserve">jest </w:t>
            </w:r>
            <w:r w:rsidR="00000B79" w:rsidRPr="00154E08">
              <w:rPr>
                <w:rFonts w:eastAsia="Calibri" w:cs="Times New Roman"/>
                <w:sz w:val="22"/>
                <w:szCs w:val="22"/>
              </w:rPr>
              <w:t>to możliwe przy wykorzystaniu biopaliw I generacji.</w:t>
            </w:r>
            <w:r w:rsidR="00707329" w:rsidRPr="00154E08">
              <w:rPr>
                <w:rFonts w:eastAsia="Calibri" w:cs="Times New Roman"/>
                <w:sz w:val="22"/>
                <w:szCs w:val="22"/>
              </w:rPr>
              <w:t xml:space="preserve"> </w:t>
            </w:r>
            <w:r w:rsidR="00224A85" w:rsidRPr="00154E08">
              <w:rPr>
                <w:rFonts w:eastAsia="Calibri" w:cs="Times New Roman"/>
                <w:sz w:val="22"/>
                <w:szCs w:val="22"/>
              </w:rPr>
              <w:t xml:space="preserve">Korzystając z powyższej możliwości podmioty </w:t>
            </w:r>
            <w:r w:rsidR="004E1580" w:rsidRPr="00154E08">
              <w:rPr>
                <w:rFonts w:eastAsia="Calibri" w:cs="Times New Roman"/>
                <w:sz w:val="22"/>
                <w:szCs w:val="22"/>
              </w:rPr>
              <w:t>zobowiązane do</w:t>
            </w:r>
            <w:r w:rsidR="00AA14AA" w:rsidRPr="00154E08">
              <w:rPr>
                <w:rFonts w:eastAsia="Calibri" w:cs="Times New Roman"/>
                <w:sz w:val="22"/>
                <w:szCs w:val="22"/>
              </w:rPr>
              <w:t> </w:t>
            </w:r>
            <w:r w:rsidR="004E1580" w:rsidRPr="00154E08">
              <w:rPr>
                <w:rFonts w:eastAsia="Calibri" w:cs="Times New Roman"/>
                <w:sz w:val="22"/>
                <w:szCs w:val="22"/>
              </w:rPr>
              <w:t>realizacji NCW</w:t>
            </w:r>
            <w:r w:rsidR="00224A85" w:rsidRPr="00154E08">
              <w:rPr>
                <w:rFonts w:eastAsia="Calibri" w:cs="Times New Roman"/>
                <w:sz w:val="22"/>
                <w:szCs w:val="22"/>
              </w:rPr>
              <w:t xml:space="preserve"> </w:t>
            </w:r>
            <w:r w:rsidR="003944C8" w:rsidRPr="00154E08">
              <w:rPr>
                <w:rFonts w:eastAsia="Calibri" w:cs="Times New Roman"/>
                <w:sz w:val="22"/>
                <w:szCs w:val="22"/>
              </w:rPr>
              <w:t>zmnie</w:t>
            </w:r>
            <w:r w:rsidR="00AF546F" w:rsidRPr="00154E08">
              <w:rPr>
                <w:rFonts w:eastAsia="Calibri" w:cs="Times New Roman"/>
                <w:sz w:val="22"/>
                <w:szCs w:val="22"/>
              </w:rPr>
              <w:t>jszają koszty niewykonania</w:t>
            </w:r>
            <w:r w:rsidR="003944C8" w:rsidRPr="00154E08">
              <w:rPr>
                <w:rFonts w:eastAsia="Calibri" w:cs="Times New Roman"/>
                <w:sz w:val="22"/>
                <w:szCs w:val="22"/>
              </w:rPr>
              <w:t xml:space="preserve"> </w:t>
            </w:r>
            <w:r w:rsidR="00AF546F" w:rsidRPr="00154E08">
              <w:rPr>
                <w:rFonts w:eastAsia="Calibri" w:cs="Times New Roman"/>
                <w:sz w:val="22"/>
                <w:szCs w:val="22"/>
              </w:rPr>
              <w:t xml:space="preserve">pełnego </w:t>
            </w:r>
            <w:r w:rsidR="00224A85" w:rsidRPr="00154E08">
              <w:rPr>
                <w:rFonts w:eastAsia="Calibri" w:cs="Times New Roman"/>
                <w:sz w:val="22"/>
                <w:szCs w:val="22"/>
              </w:rPr>
              <w:t>cel</w:t>
            </w:r>
            <w:r w:rsidR="00AF546F" w:rsidRPr="00154E08">
              <w:rPr>
                <w:rFonts w:eastAsia="Calibri" w:cs="Times New Roman"/>
                <w:sz w:val="22"/>
                <w:szCs w:val="22"/>
              </w:rPr>
              <w:t>u</w:t>
            </w:r>
            <w:r w:rsidR="003944C8" w:rsidRPr="00154E08">
              <w:rPr>
                <w:rFonts w:eastAsia="Calibri" w:cs="Times New Roman"/>
                <w:sz w:val="22"/>
                <w:szCs w:val="22"/>
              </w:rPr>
              <w:t xml:space="preserve"> OZE</w:t>
            </w:r>
            <w:r w:rsidR="00224A85" w:rsidRPr="00154E08">
              <w:rPr>
                <w:rFonts w:eastAsia="Calibri" w:cs="Times New Roman"/>
                <w:sz w:val="22"/>
                <w:szCs w:val="22"/>
              </w:rPr>
              <w:t xml:space="preserve"> </w:t>
            </w:r>
            <w:r w:rsidR="002B7A04" w:rsidRPr="00154E08">
              <w:rPr>
                <w:rFonts w:eastAsia="Calibri" w:cs="Times New Roman"/>
                <w:sz w:val="22"/>
                <w:szCs w:val="22"/>
              </w:rPr>
              <w:t>w</w:t>
            </w:r>
            <w:r w:rsidR="00BA144E" w:rsidRPr="00154E08">
              <w:rPr>
                <w:rFonts w:eastAsia="Calibri" w:cs="Times New Roman"/>
                <w:sz w:val="22"/>
                <w:szCs w:val="22"/>
              </w:rPr>
              <w:t> </w:t>
            </w:r>
            <w:r w:rsidR="002B7A04" w:rsidRPr="00154E08">
              <w:rPr>
                <w:rFonts w:eastAsia="Calibri" w:cs="Times New Roman"/>
                <w:sz w:val="22"/>
                <w:szCs w:val="22"/>
              </w:rPr>
              <w:t>transporcie, jednak mechanizm obniża systemowo</w:t>
            </w:r>
            <w:r w:rsidR="009E2D6F" w:rsidRPr="00154E08">
              <w:rPr>
                <w:rFonts w:eastAsia="Calibri" w:cs="Times New Roman"/>
                <w:sz w:val="22"/>
                <w:szCs w:val="22"/>
              </w:rPr>
              <w:t xml:space="preserve"> poziom </w:t>
            </w:r>
            <w:r w:rsidR="00224A85" w:rsidRPr="00154E08">
              <w:rPr>
                <w:rFonts w:eastAsia="Calibri" w:cs="Times New Roman"/>
                <w:sz w:val="22"/>
                <w:szCs w:val="22"/>
              </w:rPr>
              <w:t xml:space="preserve">realizacji przez </w:t>
            </w:r>
            <w:r w:rsidR="00865BBF" w:rsidRPr="00154E08">
              <w:rPr>
                <w:rFonts w:eastAsia="Calibri" w:cs="Times New Roman"/>
                <w:sz w:val="22"/>
                <w:szCs w:val="22"/>
              </w:rPr>
              <w:t xml:space="preserve">Rzeczpospolitą </w:t>
            </w:r>
            <w:r w:rsidR="00224A85" w:rsidRPr="00154E08">
              <w:rPr>
                <w:rFonts w:eastAsia="Calibri" w:cs="Times New Roman"/>
                <w:sz w:val="22"/>
                <w:szCs w:val="22"/>
              </w:rPr>
              <w:t>Polsk</w:t>
            </w:r>
            <w:r w:rsidR="00865BBF" w:rsidRPr="00154E08">
              <w:rPr>
                <w:rFonts w:eastAsia="Calibri" w:cs="Times New Roman"/>
                <w:sz w:val="22"/>
                <w:szCs w:val="22"/>
              </w:rPr>
              <w:t>ą</w:t>
            </w:r>
            <w:r w:rsidR="00224A85" w:rsidRPr="00154E08">
              <w:rPr>
                <w:rFonts w:eastAsia="Calibri" w:cs="Times New Roman"/>
                <w:sz w:val="22"/>
                <w:szCs w:val="22"/>
              </w:rPr>
              <w:t xml:space="preserve"> celu OZE w</w:t>
            </w:r>
            <w:r w:rsidR="004723AB" w:rsidRPr="00154E08">
              <w:rPr>
                <w:rFonts w:eastAsia="Calibri" w:cs="Times New Roman"/>
                <w:sz w:val="22"/>
                <w:szCs w:val="22"/>
              </w:rPr>
              <w:t> </w:t>
            </w:r>
            <w:r w:rsidR="00224A85" w:rsidRPr="00154E08">
              <w:rPr>
                <w:rFonts w:eastAsia="Calibri" w:cs="Times New Roman"/>
                <w:sz w:val="22"/>
                <w:szCs w:val="22"/>
              </w:rPr>
              <w:t xml:space="preserve">transporcie </w:t>
            </w:r>
            <w:r w:rsidR="004723AB" w:rsidRPr="00154E08">
              <w:rPr>
                <w:rFonts w:eastAsia="Calibri" w:cs="Times New Roman"/>
                <w:sz w:val="22"/>
                <w:szCs w:val="22"/>
              </w:rPr>
              <w:t>raportowany przez K</w:t>
            </w:r>
            <w:r w:rsidR="00865BBF" w:rsidRPr="00154E08">
              <w:rPr>
                <w:rFonts w:eastAsia="Calibri" w:cs="Times New Roman"/>
                <w:sz w:val="22"/>
                <w:szCs w:val="22"/>
              </w:rPr>
              <w:t xml:space="preserve">omisję </w:t>
            </w:r>
            <w:r w:rsidR="00BA144E" w:rsidRPr="00154E08">
              <w:rPr>
                <w:rFonts w:eastAsia="Calibri" w:cs="Times New Roman"/>
                <w:sz w:val="22"/>
                <w:szCs w:val="22"/>
              </w:rPr>
              <w:t xml:space="preserve">(KE) </w:t>
            </w:r>
            <w:r w:rsidR="004723AB" w:rsidRPr="00154E08">
              <w:rPr>
                <w:rFonts w:eastAsia="Calibri" w:cs="Times New Roman"/>
                <w:sz w:val="22"/>
                <w:szCs w:val="22"/>
              </w:rPr>
              <w:t>w</w:t>
            </w:r>
            <w:r w:rsidR="008D2FC7" w:rsidRPr="00154E08">
              <w:rPr>
                <w:rFonts w:eastAsia="Calibri" w:cs="Times New Roman"/>
                <w:sz w:val="22"/>
                <w:szCs w:val="22"/>
              </w:rPr>
              <w:t> </w:t>
            </w:r>
            <w:r w:rsidR="004723AB" w:rsidRPr="00154E08">
              <w:rPr>
                <w:rFonts w:eastAsia="Calibri" w:cs="Times New Roman"/>
                <w:sz w:val="22"/>
                <w:szCs w:val="22"/>
              </w:rPr>
              <w:t>sprawozdaniach SHARES.</w:t>
            </w:r>
            <w:r w:rsidR="00684A87" w:rsidRPr="00154E08">
              <w:rPr>
                <w:rFonts w:eastAsia="Calibri" w:cs="Times New Roman"/>
                <w:sz w:val="22"/>
                <w:szCs w:val="22"/>
              </w:rPr>
              <w:t xml:space="preserve"> </w:t>
            </w:r>
          </w:p>
          <w:p w14:paraId="3E37E954" w14:textId="06EB67C7" w:rsidR="000E12D9" w:rsidRPr="00154E08" w:rsidRDefault="00224A85" w:rsidP="00B279FD">
            <w:pPr>
              <w:spacing w:after="120" w:line="240" w:lineRule="auto"/>
              <w:contextualSpacing/>
              <w:jc w:val="both"/>
              <w:rPr>
                <w:rFonts w:eastAsia="Calibri" w:cs="Times New Roman"/>
                <w:sz w:val="22"/>
                <w:szCs w:val="22"/>
              </w:rPr>
            </w:pPr>
            <w:r w:rsidRPr="00154E08">
              <w:rPr>
                <w:rFonts w:eastAsia="Calibri" w:cs="Times New Roman"/>
                <w:sz w:val="22"/>
                <w:szCs w:val="22"/>
              </w:rPr>
              <w:t>Jednocześnie</w:t>
            </w:r>
            <w:r w:rsidR="00112CB2" w:rsidRPr="00154E08">
              <w:rPr>
                <w:rFonts w:eastAsia="Calibri" w:cs="Times New Roman"/>
                <w:sz w:val="22"/>
                <w:szCs w:val="22"/>
              </w:rPr>
              <w:t>,</w:t>
            </w:r>
            <w:r w:rsidRPr="00154E08">
              <w:rPr>
                <w:rFonts w:eastAsia="Calibri" w:cs="Times New Roman"/>
                <w:sz w:val="22"/>
                <w:szCs w:val="22"/>
              </w:rPr>
              <w:t xml:space="preserve"> uwzględniając </w:t>
            </w:r>
            <w:r w:rsidR="001241E9" w:rsidRPr="00154E08">
              <w:rPr>
                <w:rFonts w:eastAsia="Calibri" w:cs="Times New Roman"/>
                <w:sz w:val="22"/>
                <w:szCs w:val="22"/>
              </w:rPr>
              <w:t>potrzebę</w:t>
            </w:r>
            <w:r w:rsidRPr="00154E08">
              <w:rPr>
                <w:rFonts w:eastAsia="Calibri" w:cs="Times New Roman"/>
                <w:sz w:val="22"/>
                <w:szCs w:val="22"/>
              </w:rPr>
              <w:t xml:space="preserve"> zapewnienia elastyczności, jak</w:t>
            </w:r>
            <w:r w:rsidR="003D3A0A" w:rsidRPr="00154E08">
              <w:rPr>
                <w:rFonts w:eastAsia="Calibri" w:cs="Times New Roman"/>
                <w:sz w:val="22"/>
                <w:szCs w:val="22"/>
              </w:rPr>
              <w:t>ą</w:t>
            </w:r>
            <w:r w:rsidRPr="00154E08">
              <w:rPr>
                <w:rFonts w:eastAsia="Calibri" w:cs="Times New Roman"/>
                <w:sz w:val="22"/>
                <w:szCs w:val="22"/>
              </w:rPr>
              <w:t xml:space="preserve"> stwarza opłata zastępcza, w</w:t>
            </w:r>
            <w:r w:rsidR="009E2D6F" w:rsidRPr="00154E08">
              <w:rPr>
                <w:rFonts w:eastAsia="Calibri" w:cs="Times New Roman"/>
                <w:sz w:val="22"/>
                <w:szCs w:val="22"/>
              </w:rPr>
              <w:t> </w:t>
            </w:r>
            <w:r w:rsidRPr="00154E08">
              <w:rPr>
                <w:rFonts w:eastAsia="Calibri" w:cs="Times New Roman"/>
                <w:sz w:val="22"/>
                <w:szCs w:val="22"/>
              </w:rPr>
              <w:t>okresie przejściowym</w:t>
            </w:r>
            <w:r w:rsidR="00112CB2" w:rsidRPr="00154E08">
              <w:rPr>
                <w:rFonts w:eastAsia="Calibri" w:cs="Times New Roman"/>
                <w:sz w:val="22"/>
                <w:szCs w:val="22"/>
              </w:rPr>
              <w:t>,</w:t>
            </w:r>
            <w:r w:rsidRPr="00154E08">
              <w:rPr>
                <w:rFonts w:eastAsia="Calibri" w:cs="Times New Roman"/>
                <w:sz w:val="22"/>
                <w:szCs w:val="22"/>
              </w:rPr>
              <w:t xml:space="preserve"> tj. do 2030 r.</w:t>
            </w:r>
            <w:r w:rsidR="00112CB2" w:rsidRPr="00154E08">
              <w:rPr>
                <w:rFonts w:eastAsia="Calibri" w:cs="Times New Roman"/>
                <w:sz w:val="22"/>
                <w:szCs w:val="22"/>
              </w:rPr>
              <w:t>,</w:t>
            </w:r>
            <w:r w:rsidRPr="00154E08">
              <w:rPr>
                <w:rFonts w:eastAsia="Calibri" w:cs="Times New Roman"/>
                <w:sz w:val="22"/>
                <w:szCs w:val="22"/>
              </w:rPr>
              <w:t xml:space="preserve"> zakłada się, ż</w:t>
            </w:r>
            <w:r w:rsidR="00112CB2" w:rsidRPr="00154E08">
              <w:rPr>
                <w:rFonts w:eastAsia="Calibri" w:cs="Times New Roman"/>
                <w:sz w:val="22"/>
                <w:szCs w:val="22"/>
              </w:rPr>
              <w:t>e</w:t>
            </w:r>
            <w:r w:rsidRPr="00154E08">
              <w:rPr>
                <w:rFonts w:eastAsia="Calibri" w:cs="Times New Roman"/>
                <w:sz w:val="22"/>
                <w:szCs w:val="22"/>
              </w:rPr>
              <w:t xml:space="preserve"> zniesienie ww. opłaty </w:t>
            </w:r>
            <w:r w:rsidR="00112CB2" w:rsidRPr="00154E08">
              <w:rPr>
                <w:rFonts w:eastAsia="Calibri" w:cs="Times New Roman"/>
                <w:sz w:val="22"/>
                <w:szCs w:val="22"/>
              </w:rPr>
              <w:t xml:space="preserve">będzie </w:t>
            </w:r>
            <w:r w:rsidRPr="00154E08">
              <w:rPr>
                <w:rFonts w:eastAsia="Calibri" w:cs="Times New Roman"/>
                <w:sz w:val="22"/>
                <w:szCs w:val="22"/>
              </w:rPr>
              <w:t>następować zgodnie z następującym harmonogramem:</w:t>
            </w:r>
          </w:p>
          <w:p w14:paraId="008DDFB2" w14:textId="77777777" w:rsidR="000E12D9" w:rsidRPr="00154E08" w:rsidRDefault="000E12D9" w:rsidP="008B4253">
            <w:pPr>
              <w:spacing w:before="60" w:line="240" w:lineRule="auto"/>
              <w:contextualSpacing/>
              <w:jc w:val="both"/>
              <w:rPr>
                <w:rFonts w:eastAsia="Calibri" w:cs="Times New Roman"/>
                <w:sz w:val="22"/>
                <w:szCs w:val="22"/>
              </w:rPr>
            </w:pPr>
          </w:p>
          <w:p w14:paraId="734D9B6D" w14:textId="115E8E18" w:rsidR="000E12D9" w:rsidRPr="00154E08" w:rsidRDefault="000854A4" w:rsidP="008B4253">
            <w:pPr>
              <w:spacing w:before="60" w:line="240" w:lineRule="auto"/>
              <w:contextualSpacing/>
              <w:jc w:val="both"/>
              <w:rPr>
                <w:rFonts w:eastAsia="Calibri" w:cs="Times New Roman"/>
                <w:bCs/>
                <w:sz w:val="22"/>
                <w:szCs w:val="22"/>
              </w:rPr>
            </w:pPr>
            <w:r w:rsidRPr="00154E08">
              <w:rPr>
                <w:rFonts w:eastAsia="Calibri" w:cs="Times New Roman"/>
                <w:bCs/>
                <w:sz w:val="22"/>
                <w:szCs w:val="22"/>
              </w:rPr>
              <w:lastRenderedPageBreak/>
              <w:t xml:space="preserve">Tabela </w:t>
            </w:r>
            <w:r w:rsidR="00B33749" w:rsidRPr="00154E08">
              <w:rPr>
                <w:rFonts w:eastAsia="Calibri" w:cs="Times New Roman"/>
                <w:bCs/>
                <w:sz w:val="22"/>
                <w:szCs w:val="22"/>
              </w:rPr>
              <w:t>5</w:t>
            </w:r>
            <w:r w:rsidR="000E12D9" w:rsidRPr="00154E08">
              <w:rPr>
                <w:rFonts w:eastAsia="Calibri" w:cs="Times New Roman"/>
                <w:bCs/>
                <w:sz w:val="22"/>
                <w:szCs w:val="22"/>
              </w:rPr>
              <w:t>. Minimalny poziom realizacji NCW, uprawniający do skorzystania z mechanizmu opłaty zastępczej</w:t>
            </w:r>
          </w:p>
          <w:p w14:paraId="01FF00C1" w14:textId="77777777" w:rsidR="000E12D9" w:rsidRPr="00154E08" w:rsidRDefault="000E12D9" w:rsidP="008B4253">
            <w:pPr>
              <w:spacing w:before="60" w:line="240" w:lineRule="auto"/>
              <w:contextualSpacing/>
              <w:jc w:val="both"/>
              <w:rPr>
                <w:rFonts w:eastAsia="Calibri" w:cs="Times New Roman"/>
                <w:b/>
                <w:sz w:val="22"/>
                <w:szCs w:val="22"/>
              </w:rPr>
            </w:pPr>
          </w:p>
          <w:tbl>
            <w:tblPr>
              <w:tblStyle w:val="Tabela-Siatka"/>
              <w:tblW w:w="4011" w:type="dxa"/>
              <w:jc w:val="center"/>
              <w:tblLayout w:type="fixed"/>
              <w:tblLook w:val="04A0" w:firstRow="1" w:lastRow="0" w:firstColumn="1" w:lastColumn="0" w:noHBand="0" w:noVBand="1"/>
            </w:tblPr>
            <w:tblGrid>
              <w:gridCol w:w="1334"/>
              <w:gridCol w:w="2677"/>
            </w:tblGrid>
            <w:tr w:rsidR="000E12D9" w:rsidRPr="00154E08" w14:paraId="4434B6A3" w14:textId="77777777" w:rsidTr="00B5789C">
              <w:trPr>
                <w:jc w:val="center"/>
              </w:trPr>
              <w:tc>
                <w:tcPr>
                  <w:tcW w:w="1334" w:type="dxa"/>
                </w:tcPr>
                <w:p w14:paraId="37C13CBC" w14:textId="77777777" w:rsidR="000E12D9" w:rsidRPr="00154E08" w:rsidRDefault="000E12D9" w:rsidP="000E12D9">
                  <w:pPr>
                    <w:rPr>
                      <w:rFonts w:cs="Times New Roman"/>
                      <w:b/>
                      <w:bCs/>
                      <w:sz w:val="22"/>
                      <w:szCs w:val="22"/>
                    </w:rPr>
                  </w:pPr>
                  <w:r w:rsidRPr="00154E08">
                    <w:rPr>
                      <w:rFonts w:cs="Times New Roman"/>
                      <w:b/>
                      <w:bCs/>
                      <w:sz w:val="22"/>
                      <w:szCs w:val="22"/>
                    </w:rPr>
                    <w:t xml:space="preserve">Rok </w:t>
                  </w:r>
                </w:p>
              </w:tc>
              <w:tc>
                <w:tcPr>
                  <w:tcW w:w="2677" w:type="dxa"/>
                </w:tcPr>
                <w:p w14:paraId="0B43D450" w14:textId="77777777" w:rsidR="000E12D9" w:rsidRPr="00154E08" w:rsidRDefault="000E12D9" w:rsidP="000E12D9">
                  <w:pPr>
                    <w:rPr>
                      <w:rFonts w:cs="Times New Roman"/>
                      <w:b/>
                      <w:bCs/>
                      <w:sz w:val="22"/>
                      <w:szCs w:val="22"/>
                    </w:rPr>
                  </w:pPr>
                  <w:r w:rsidRPr="00154E08">
                    <w:rPr>
                      <w:rFonts w:cs="Times New Roman"/>
                      <w:b/>
                      <w:bCs/>
                      <w:sz w:val="22"/>
                      <w:szCs w:val="22"/>
                    </w:rPr>
                    <w:t>Poziom realizacji NCW</w:t>
                  </w:r>
                </w:p>
              </w:tc>
            </w:tr>
            <w:tr w:rsidR="000E12D9" w:rsidRPr="00154E08" w14:paraId="1EF3C991" w14:textId="77777777" w:rsidTr="00B5789C">
              <w:trPr>
                <w:jc w:val="center"/>
              </w:trPr>
              <w:tc>
                <w:tcPr>
                  <w:tcW w:w="1334" w:type="dxa"/>
                </w:tcPr>
                <w:p w14:paraId="47945497" w14:textId="77777777" w:rsidR="000E12D9" w:rsidRPr="00154E08" w:rsidRDefault="000E12D9" w:rsidP="000E12D9">
                  <w:pPr>
                    <w:rPr>
                      <w:rFonts w:cs="Times New Roman"/>
                      <w:sz w:val="22"/>
                      <w:szCs w:val="22"/>
                    </w:rPr>
                  </w:pPr>
                  <w:r w:rsidRPr="00154E08">
                    <w:rPr>
                      <w:rFonts w:cs="Times New Roman"/>
                      <w:sz w:val="22"/>
                      <w:szCs w:val="22"/>
                    </w:rPr>
                    <w:t>2024</w:t>
                  </w:r>
                </w:p>
              </w:tc>
              <w:tc>
                <w:tcPr>
                  <w:tcW w:w="2677" w:type="dxa"/>
                </w:tcPr>
                <w:p w14:paraId="207E0E35" w14:textId="15243DDF" w:rsidR="000E12D9" w:rsidRPr="00154E08" w:rsidRDefault="001A3CD7" w:rsidP="000E12D9">
                  <w:pPr>
                    <w:rPr>
                      <w:rFonts w:cs="Times New Roman"/>
                      <w:sz w:val="22"/>
                      <w:szCs w:val="22"/>
                    </w:rPr>
                  </w:pPr>
                  <w:r w:rsidRPr="00154E08">
                    <w:rPr>
                      <w:rFonts w:cs="Times New Roman"/>
                      <w:sz w:val="22"/>
                      <w:szCs w:val="22"/>
                    </w:rPr>
                    <w:t>8</w:t>
                  </w:r>
                  <w:r w:rsidR="00911BCA" w:rsidRPr="00154E08">
                    <w:rPr>
                      <w:rFonts w:cs="Times New Roman"/>
                      <w:sz w:val="22"/>
                      <w:szCs w:val="22"/>
                    </w:rPr>
                    <w:t>5</w:t>
                  </w:r>
                  <w:r w:rsidR="000E12D9" w:rsidRPr="00154E08">
                    <w:rPr>
                      <w:rFonts w:cs="Times New Roman"/>
                      <w:sz w:val="22"/>
                      <w:szCs w:val="22"/>
                    </w:rPr>
                    <w:t>%</w:t>
                  </w:r>
                </w:p>
              </w:tc>
            </w:tr>
            <w:tr w:rsidR="000E12D9" w:rsidRPr="00154E08" w14:paraId="13F90167" w14:textId="77777777" w:rsidTr="00B5789C">
              <w:trPr>
                <w:jc w:val="center"/>
              </w:trPr>
              <w:tc>
                <w:tcPr>
                  <w:tcW w:w="1334" w:type="dxa"/>
                </w:tcPr>
                <w:p w14:paraId="09889001" w14:textId="77777777" w:rsidR="000E12D9" w:rsidRPr="00154E08" w:rsidRDefault="000E12D9" w:rsidP="000E12D9">
                  <w:pPr>
                    <w:rPr>
                      <w:rFonts w:cs="Times New Roman"/>
                      <w:sz w:val="22"/>
                      <w:szCs w:val="22"/>
                    </w:rPr>
                  </w:pPr>
                  <w:r w:rsidRPr="00154E08">
                    <w:rPr>
                      <w:rFonts w:cs="Times New Roman"/>
                      <w:sz w:val="22"/>
                      <w:szCs w:val="22"/>
                    </w:rPr>
                    <w:t>2025</w:t>
                  </w:r>
                </w:p>
              </w:tc>
              <w:tc>
                <w:tcPr>
                  <w:tcW w:w="2677" w:type="dxa"/>
                </w:tcPr>
                <w:p w14:paraId="57091F0C" w14:textId="335AFADB" w:rsidR="000E12D9" w:rsidRPr="00154E08" w:rsidRDefault="000E12D9" w:rsidP="000E12D9">
                  <w:pPr>
                    <w:rPr>
                      <w:rFonts w:cs="Times New Roman"/>
                      <w:sz w:val="22"/>
                      <w:szCs w:val="22"/>
                    </w:rPr>
                  </w:pPr>
                  <w:r w:rsidRPr="00154E08">
                    <w:rPr>
                      <w:rFonts w:cs="Times New Roman"/>
                      <w:sz w:val="22"/>
                      <w:szCs w:val="22"/>
                    </w:rPr>
                    <w:t>8</w:t>
                  </w:r>
                  <w:r w:rsidR="00911BCA" w:rsidRPr="00154E08">
                    <w:rPr>
                      <w:rFonts w:cs="Times New Roman"/>
                      <w:sz w:val="22"/>
                      <w:szCs w:val="22"/>
                    </w:rPr>
                    <w:t>5</w:t>
                  </w:r>
                  <w:r w:rsidRPr="00154E08">
                    <w:rPr>
                      <w:rFonts w:cs="Times New Roman"/>
                      <w:sz w:val="22"/>
                      <w:szCs w:val="22"/>
                    </w:rPr>
                    <w:t>%</w:t>
                  </w:r>
                </w:p>
              </w:tc>
            </w:tr>
            <w:tr w:rsidR="000E12D9" w:rsidRPr="00154E08" w14:paraId="728BD316" w14:textId="77777777" w:rsidTr="00B5789C">
              <w:trPr>
                <w:jc w:val="center"/>
              </w:trPr>
              <w:tc>
                <w:tcPr>
                  <w:tcW w:w="1334" w:type="dxa"/>
                </w:tcPr>
                <w:p w14:paraId="52B7916D" w14:textId="77777777" w:rsidR="000E12D9" w:rsidRPr="00154E08" w:rsidRDefault="000E12D9" w:rsidP="000E12D9">
                  <w:pPr>
                    <w:rPr>
                      <w:rFonts w:cs="Times New Roman"/>
                      <w:sz w:val="22"/>
                      <w:szCs w:val="22"/>
                    </w:rPr>
                  </w:pPr>
                  <w:r w:rsidRPr="00154E08">
                    <w:rPr>
                      <w:rFonts w:cs="Times New Roman"/>
                      <w:sz w:val="22"/>
                      <w:szCs w:val="22"/>
                    </w:rPr>
                    <w:t>2026</w:t>
                  </w:r>
                </w:p>
              </w:tc>
              <w:tc>
                <w:tcPr>
                  <w:tcW w:w="2677" w:type="dxa"/>
                </w:tcPr>
                <w:p w14:paraId="6752E799" w14:textId="77777777" w:rsidR="000E12D9" w:rsidRPr="00154E08" w:rsidRDefault="000E12D9" w:rsidP="000E12D9">
                  <w:pPr>
                    <w:rPr>
                      <w:rFonts w:cs="Times New Roman"/>
                      <w:sz w:val="22"/>
                      <w:szCs w:val="22"/>
                    </w:rPr>
                  </w:pPr>
                  <w:r w:rsidRPr="00154E08">
                    <w:rPr>
                      <w:rFonts w:cs="Times New Roman"/>
                      <w:sz w:val="22"/>
                      <w:szCs w:val="22"/>
                    </w:rPr>
                    <w:t>88%</w:t>
                  </w:r>
                </w:p>
              </w:tc>
            </w:tr>
            <w:tr w:rsidR="000E12D9" w:rsidRPr="00154E08" w14:paraId="734E6FEE" w14:textId="77777777" w:rsidTr="00B5789C">
              <w:trPr>
                <w:jc w:val="center"/>
              </w:trPr>
              <w:tc>
                <w:tcPr>
                  <w:tcW w:w="1334" w:type="dxa"/>
                </w:tcPr>
                <w:p w14:paraId="792DF284" w14:textId="77777777" w:rsidR="000E12D9" w:rsidRPr="00154E08" w:rsidRDefault="000E12D9" w:rsidP="000E12D9">
                  <w:pPr>
                    <w:rPr>
                      <w:rFonts w:cs="Times New Roman"/>
                      <w:sz w:val="22"/>
                      <w:szCs w:val="22"/>
                    </w:rPr>
                  </w:pPr>
                  <w:r w:rsidRPr="00154E08">
                    <w:rPr>
                      <w:rFonts w:cs="Times New Roman"/>
                      <w:sz w:val="22"/>
                      <w:szCs w:val="22"/>
                    </w:rPr>
                    <w:t>2027</w:t>
                  </w:r>
                </w:p>
              </w:tc>
              <w:tc>
                <w:tcPr>
                  <w:tcW w:w="2677" w:type="dxa"/>
                </w:tcPr>
                <w:p w14:paraId="72BDB826" w14:textId="77777777" w:rsidR="000E12D9" w:rsidRPr="00154E08" w:rsidRDefault="000E12D9" w:rsidP="000E12D9">
                  <w:pPr>
                    <w:rPr>
                      <w:rFonts w:cs="Times New Roman"/>
                      <w:sz w:val="22"/>
                      <w:szCs w:val="22"/>
                    </w:rPr>
                  </w:pPr>
                  <w:r w:rsidRPr="00154E08">
                    <w:rPr>
                      <w:rFonts w:cs="Times New Roman"/>
                      <w:sz w:val="22"/>
                      <w:szCs w:val="22"/>
                    </w:rPr>
                    <w:t>90%</w:t>
                  </w:r>
                </w:p>
              </w:tc>
            </w:tr>
            <w:tr w:rsidR="000E12D9" w:rsidRPr="00154E08" w14:paraId="3CB9C0D7" w14:textId="77777777" w:rsidTr="00B5789C">
              <w:trPr>
                <w:jc w:val="center"/>
              </w:trPr>
              <w:tc>
                <w:tcPr>
                  <w:tcW w:w="1334" w:type="dxa"/>
                </w:tcPr>
                <w:p w14:paraId="2328ED7B" w14:textId="77777777" w:rsidR="000E12D9" w:rsidRPr="00154E08" w:rsidRDefault="000E12D9" w:rsidP="000E12D9">
                  <w:pPr>
                    <w:rPr>
                      <w:rFonts w:cs="Times New Roman"/>
                      <w:sz w:val="22"/>
                      <w:szCs w:val="22"/>
                    </w:rPr>
                  </w:pPr>
                  <w:r w:rsidRPr="00154E08">
                    <w:rPr>
                      <w:rFonts w:cs="Times New Roman"/>
                      <w:sz w:val="22"/>
                      <w:szCs w:val="22"/>
                    </w:rPr>
                    <w:t>2028</w:t>
                  </w:r>
                </w:p>
              </w:tc>
              <w:tc>
                <w:tcPr>
                  <w:tcW w:w="2677" w:type="dxa"/>
                </w:tcPr>
                <w:p w14:paraId="742B5070" w14:textId="77777777" w:rsidR="000E12D9" w:rsidRPr="00154E08" w:rsidRDefault="000E12D9" w:rsidP="000E12D9">
                  <w:pPr>
                    <w:rPr>
                      <w:rFonts w:cs="Times New Roman"/>
                      <w:sz w:val="22"/>
                      <w:szCs w:val="22"/>
                    </w:rPr>
                  </w:pPr>
                  <w:r w:rsidRPr="00154E08">
                    <w:rPr>
                      <w:rFonts w:cs="Times New Roman"/>
                      <w:sz w:val="22"/>
                      <w:szCs w:val="22"/>
                    </w:rPr>
                    <w:t>92%</w:t>
                  </w:r>
                </w:p>
              </w:tc>
            </w:tr>
            <w:tr w:rsidR="000E12D9" w:rsidRPr="00154E08" w14:paraId="6508DABF" w14:textId="77777777" w:rsidTr="00B5789C">
              <w:trPr>
                <w:jc w:val="center"/>
              </w:trPr>
              <w:tc>
                <w:tcPr>
                  <w:tcW w:w="1334" w:type="dxa"/>
                </w:tcPr>
                <w:p w14:paraId="3D27BE2A" w14:textId="77777777" w:rsidR="000E12D9" w:rsidRPr="00154E08" w:rsidRDefault="000E12D9" w:rsidP="000E12D9">
                  <w:pPr>
                    <w:rPr>
                      <w:rFonts w:cs="Times New Roman"/>
                      <w:sz w:val="22"/>
                      <w:szCs w:val="22"/>
                    </w:rPr>
                  </w:pPr>
                  <w:r w:rsidRPr="00154E08">
                    <w:rPr>
                      <w:rFonts w:cs="Times New Roman"/>
                      <w:sz w:val="22"/>
                      <w:szCs w:val="22"/>
                    </w:rPr>
                    <w:t>2029</w:t>
                  </w:r>
                </w:p>
              </w:tc>
              <w:tc>
                <w:tcPr>
                  <w:tcW w:w="2677" w:type="dxa"/>
                </w:tcPr>
                <w:p w14:paraId="38B724BB" w14:textId="77777777" w:rsidR="000E12D9" w:rsidRPr="00154E08" w:rsidRDefault="000E12D9" w:rsidP="000E12D9">
                  <w:pPr>
                    <w:rPr>
                      <w:rFonts w:cs="Times New Roman"/>
                      <w:sz w:val="22"/>
                      <w:szCs w:val="22"/>
                    </w:rPr>
                  </w:pPr>
                  <w:r w:rsidRPr="00154E08">
                    <w:rPr>
                      <w:rFonts w:cs="Times New Roman"/>
                      <w:sz w:val="22"/>
                      <w:szCs w:val="22"/>
                    </w:rPr>
                    <w:t>95%</w:t>
                  </w:r>
                </w:p>
              </w:tc>
            </w:tr>
          </w:tbl>
          <w:p w14:paraId="4753839C" w14:textId="5EE0B82F" w:rsidR="004723AB" w:rsidRPr="00154E08" w:rsidRDefault="004723AB" w:rsidP="004723AB">
            <w:pPr>
              <w:spacing w:before="60" w:line="240" w:lineRule="auto"/>
              <w:jc w:val="both"/>
              <w:rPr>
                <w:rFonts w:eastAsia="Calibri" w:cs="Times New Roman"/>
                <w:color w:val="000000"/>
                <w:spacing w:val="-2"/>
                <w:sz w:val="22"/>
                <w:szCs w:val="22"/>
              </w:rPr>
            </w:pPr>
            <w:r w:rsidRPr="00154E08">
              <w:rPr>
                <w:rFonts w:eastAsia="Calibri" w:cs="Times New Roman"/>
                <w:color w:val="000000"/>
                <w:spacing w:val="-2"/>
                <w:sz w:val="22"/>
                <w:szCs w:val="22"/>
              </w:rPr>
              <w:t>Źródło: opracowanie własne</w:t>
            </w:r>
            <w:r w:rsidR="00DC0C21" w:rsidRPr="00154E08">
              <w:rPr>
                <w:rFonts w:eastAsia="Calibri" w:cs="Times New Roman"/>
                <w:color w:val="000000"/>
                <w:spacing w:val="-2"/>
                <w:sz w:val="22"/>
                <w:szCs w:val="22"/>
              </w:rPr>
              <w:t xml:space="preserve"> </w:t>
            </w:r>
            <w:proofErr w:type="spellStart"/>
            <w:r w:rsidR="00DC0C21" w:rsidRPr="00154E08">
              <w:rPr>
                <w:rFonts w:eastAsia="Calibri" w:cs="Times New Roman"/>
                <w:color w:val="000000"/>
                <w:spacing w:val="-2"/>
                <w:sz w:val="22"/>
                <w:szCs w:val="22"/>
              </w:rPr>
              <w:t>MKiŚ</w:t>
            </w:r>
            <w:proofErr w:type="spellEnd"/>
            <w:r w:rsidRPr="00154E08">
              <w:rPr>
                <w:rFonts w:eastAsia="Calibri" w:cs="Times New Roman"/>
                <w:color w:val="000000"/>
                <w:spacing w:val="-2"/>
                <w:sz w:val="22"/>
                <w:szCs w:val="22"/>
              </w:rPr>
              <w:t>.</w:t>
            </w:r>
          </w:p>
          <w:p w14:paraId="5512FE54" w14:textId="55447844" w:rsidR="005C285A" w:rsidRPr="00154E08" w:rsidRDefault="005C285A" w:rsidP="004723AB">
            <w:pPr>
              <w:tabs>
                <w:tab w:val="left" w:pos="3690"/>
              </w:tabs>
              <w:spacing w:before="60" w:line="240" w:lineRule="auto"/>
              <w:contextualSpacing/>
              <w:jc w:val="both"/>
              <w:rPr>
                <w:rFonts w:eastAsia="Calibri" w:cs="Times New Roman"/>
                <w:sz w:val="22"/>
                <w:szCs w:val="22"/>
              </w:rPr>
            </w:pPr>
          </w:p>
          <w:p w14:paraId="48158E48" w14:textId="2E91DC92" w:rsidR="00177146" w:rsidRPr="00154E08" w:rsidRDefault="004A79D4" w:rsidP="00B279FD">
            <w:pPr>
              <w:spacing w:after="120" w:line="240" w:lineRule="auto"/>
              <w:contextualSpacing/>
              <w:jc w:val="both"/>
              <w:rPr>
                <w:rFonts w:eastAsia="Calibri" w:cs="Times New Roman"/>
                <w:sz w:val="22"/>
                <w:szCs w:val="22"/>
              </w:rPr>
            </w:pPr>
            <w:r w:rsidRPr="00154E08">
              <w:rPr>
                <w:rFonts w:eastAsia="Calibri" w:cs="Times New Roman"/>
                <w:sz w:val="22"/>
                <w:szCs w:val="22"/>
              </w:rPr>
              <w:t xml:space="preserve">Drugim z mechanizmów </w:t>
            </w:r>
            <w:r w:rsidR="004E1580" w:rsidRPr="00154E08">
              <w:rPr>
                <w:rFonts w:eastAsia="Calibri" w:cs="Times New Roman"/>
                <w:sz w:val="22"/>
                <w:szCs w:val="22"/>
              </w:rPr>
              <w:t>dostępnych dla</w:t>
            </w:r>
            <w:r w:rsidRPr="00154E08">
              <w:rPr>
                <w:rFonts w:eastAsia="Calibri" w:cs="Times New Roman"/>
                <w:sz w:val="22"/>
                <w:szCs w:val="22"/>
              </w:rPr>
              <w:t xml:space="preserve"> podmiot</w:t>
            </w:r>
            <w:r w:rsidR="004E1580" w:rsidRPr="00154E08">
              <w:rPr>
                <w:rFonts w:eastAsia="Calibri" w:cs="Times New Roman"/>
                <w:sz w:val="22"/>
                <w:szCs w:val="22"/>
              </w:rPr>
              <w:t>ów</w:t>
            </w:r>
            <w:r w:rsidRPr="00154E08">
              <w:rPr>
                <w:rFonts w:eastAsia="Calibri" w:cs="Times New Roman"/>
                <w:sz w:val="22"/>
                <w:szCs w:val="22"/>
              </w:rPr>
              <w:t xml:space="preserve"> realizujący</w:t>
            </w:r>
            <w:r w:rsidR="004E1580" w:rsidRPr="00154E08">
              <w:rPr>
                <w:rFonts w:eastAsia="Calibri" w:cs="Times New Roman"/>
                <w:sz w:val="22"/>
                <w:szCs w:val="22"/>
              </w:rPr>
              <w:t>ch</w:t>
            </w:r>
            <w:r w:rsidRPr="00154E08">
              <w:rPr>
                <w:rFonts w:eastAsia="Calibri" w:cs="Times New Roman"/>
                <w:sz w:val="22"/>
                <w:szCs w:val="22"/>
              </w:rPr>
              <w:t xml:space="preserve"> NCW jest </w:t>
            </w:r>
            <w:r w:rsidR="004E1580" w:rsidRPr="00154E08">
              <w:rPr>
                <w:rFonts w:eastAsia="Calibri" w:cs="Times New Roman"/>
                <w:sz w:val="22"/>
                <w:szCs w:val="22"/>
              </w:rPr>
              <w:t xml:space="preserve">możliwość zastosowania </w:t>
            </w:r>
            <w:r w:rsidRPr="00154E08">
              <w:rPr>
                <w:rFonts w:eastAsia="Calibri" w:cs="Times New Roman"/>
                <w:sz w:val="22"/>
                <w:szCs w:val="22"/>
              </w:rPr>
              <w:t>współczynnik</w:t>
            </w:r>
            <w:r w:rsidR="004E1580" w:rsidRPr="00154E08">
              <w:rPr>
                <w:rFonts w:eastAsia="Calibri" w:cs="Times New Roman"/>
                <w:sz w:val="22"/>
                <w:szCs w:val="22"/>
              </w:rPr>
              <w:t>a</w:t>
            </w:r>
            <w:r w:rsidRPr="00154E08">
              <w:rPr>
                <w:rFonts w:eastAsia="Calibri" w:cs="Times New Roman"/>
                <w:sz w:val="22"/>
                <w:szCs w:val="22"/>
              </w:rPr>
              <w:t xml:space="preserve"> redukcyjn</w:t>
            </w:r>
            <w:r w:rsidR="004E1580" w:rsidRPr="00154E08">
              <w:rPr>
                <w:rFonts w:eastAsia="Calibri" w:cs="Times New Roman"/>
                <w:sz w:val="22"/>
                <w:szCs w:val="22"/>
              </w:rPr>
              <w:t xml:space="preserve">ego. Zgodnie z obecnymi przepisami możliwość zastosowania współczynnika redukcyjnego </w:t>
            </w:r>
            <w:r w:rsidR="00112CB2" w:rsidRPr="00154E08">
              <w:rPr>
                <w:rFonts w:eastAsia="Calibri" w:cs="Times New Roman"/>
                <w:sz w:val="22"/>
                <w:szCs w:val="22"/>
              </w:rPr>
              <w:t xml:space="preserve">jest </w:t>
            </w:r>
            <w:r w:rsidR="004E1580" w:rsidRPr="00154E08">
              <w:rPr>
                <w:rFonts w:eastAsia="Calibri" w:cs="Times New Roman"/>
                <w:sz w:val="22"/>
                <w:szCs w:val="22"/>
              </w:rPr>
              <w:t xml:space="preserve">uzależniona od wykorzystania </w:t>
            </w:r>
            <w:r w:rsidRPr="00154E08">
              <w:rPr>
                <w:rFonts w:eastAsia="Calibri" w:cs="Times New Roman"/>
                <w:sz w:val="22"/>
                <w:szCs w:val="22"/>
              </w:rPr>
              <w:t>minimum 70% biokomponentów I generacji</w:t>
            </w:r>
            <w:r w:rsidR="00EB2E3A" w:rsidRPr="00154E08">
              <w:rPr>
                <w:rFonts w:eastAsia="Calibri" w:cs="Times New Roman"/>
                <w:sz w:val="22"/>
                <w:szCs w:val="22"/>
              </w:rPr>
              <w:t xml:space="preserve"> zgłoszonych do realizacji NCW</w:t>
            </w:r>
            <w:r w:rsidR="004E1580" w:rsidRPr="00154E08">
              <w:rPr>
                <w:rFonts w:eastAsia="Calibri" w:cs="Times New Roman"/>
                <w:sz w:val="22"/>
                <w:szCs w:val="22"/>
              </w:rPr>
              <w:t xml:space="preserve">, </w:t>
            </w:r>
            <w:r w:rsidR="00EB2E3A" w:rsidRPr="00154E08">
              <w:rPr>
                <w:rFonts w:eastAsia="Calibri" w:cs="Times New Roman"/>
                <w:sz w:val="22"/>
                <w:szCs w:val="22"/>
              </w:rPr>
              <w:t>wyprodukowanych z</w:t>
            </w:r>
            <w:r w:rsidR="008D2FC7" w:rsidRPr="00154E08">
              <w:rPr>
                <w:rFonts w:eastAsia="Calibri" w:cs="Times New Roman"/>
                <w:sz w:val="22"/>
                <w:szCs w:val="22"/>
              </w:rPr>
              <w:t> </w:t>
            </w:r>
            <w:r w:rsidR="00EB2E3A" w:rsidRPr="00154E08">
              <w:rPr>
                <w:rFonts w:eastAsia="Calibri" w:cs="Times New Roman"/>
                <w:sz w:val="22"/>
                <w:szCs w:val="22"/>
              </w:rPr>
              <w:t>surowców rolniczych lub biomasy pochodzących głównie z dostaw krajowych.</w:t>
            </w:r>
          </w:p>
          <w:p w14:paraId="00E7FB8F" w14:textId="285E500F" w:rsidR="003F19A5" w:rsidRPr="00154E08" w:rsidRDefault="001241E9" w:rsidP="00B279FD">
            <w:pPr>
              <w:spacing w:after="120" w:line="240" w:lineRule="auto"/>
              <w:contextualSpacing/>
              <w:jc w:val="both"/>
              <w:rPr>
                <w:rFonts w:eastAsia="Calibri" w:cs="Times New Roman"/>
                <w:sz w:val="22"/>
                <w:szCs w:val="22"/>
              </w:rPr>
            </w:pPr>
            <w:r w:rsidRPr="00154E08">
              <w:rPr>
                <w:rFonts w:eastAsia="Calibri" w:cs="Times New Roman"/>
                <w:sz w:val="22"/>
                <w:szCs w:val="22"/>
              </w:rPr>
              <w:t xml:space="preserve">W zaproponowanym podejściu założono pozostawienie współczynnika redukcyjnego, jako instrumentu </w:t>
            </w:r>
            <w:r w:rsidR="003E01E3" w:rsidRPr="00154E08">
              <w:rPr>
                <w:rFonts w:eastAsia="Calibri" w:cs="Times New Roman"/>
                <w:sz w:val="22"/>
                <w:szCs w:val="22"/>
              </w:rPr>
              <w:t>wspierającego wykorzystanie biokomponentów I generacji wyprodukowanych</w:t>
            </w:r>
            <w:r w:rsidR="00684A87" w:rsidRPr="00154E08">
              <w:rPr>
                <w:rFonts w:eastAsia="Calibri" w:cs="Times New Roman"/>
                <w:sz w:val="22"/>
                <w:szCs w:val="22"/>
              </w:rPr>
              <w:t xml:space="preserve"> </w:t>
            </w:r>
            <w:r w:rsidR="003E01E3" w:rsidRPr="00154E08">
              <w:rPr>
                <w:rFonts w:eastAsia="Calibri" w:cs="Times New Roman"/>
                <w:sz w:val="22"/>
                <w:szCs w:val="22"/>
              </w:rPr>
              <w:t>z</w:t>
            </w:r>
            <w:r w:rsidR="009A3E39" w:rsidRPr="00154E08">
              <w:rPr>
                <w:rFonts w:eastAsia="Calibri" w:cs="Times New Roman"/>
                <w:sz w:val="22"/>
                <w:szCs w:val="22"/>
              </w:rPr>
              <w:t>e</w:t>
            </w:r>
            <w:r w:rsidR="009F019F" w:rsidRPr="00154E08">
              <w:rPr>
                <w:rFonts w:eastAsia="Calibri" w:cs="Times New Roman"/>
                <w:sz w:val="22"/>
                <w:szCs w:val="22"/>
              </w:rPr>
              <w:t> </w:t>
            </w:r>
            <w:r w:rsidR="009A3E39" w:rsidRPr="00154E08">
              <w:rPr>
                <w:rFonts w:eastAsia="Calibri" w:cs="Times New Roman"/>
                <w:sz w:val="22"/>
                <w:szCs w:val="22"/>
              </w:rPr>
              <w:t>zró</w:t>
            </w:r>
            <w:r w:rsidR="009F019F" w:rsidRPr="00154E08">
              <w:rPr>
                <w:rFonts w:eastAsia="Calibri" w:cs="Times New Roman"/>
                <w:sz w:val="22"/>
                <w:szCs w:val="22"/>
              </w:rPr>
              <w:t>wn</w:t>
            </w:r>
            <w:r w:rsidR="009A3E39" w:rsidRPr="00154E08">
              <w:rPr>
                <w:rFonts w:eastAsia="Calibri" w:cs="Times New Roman"/>
                <w:sz w:val="22"/>
                <w:szCs w:val="22"/>
              </w:rPr>
              <w:t>owa</w:t>
            </w:r>
            <w:r w:rsidR="009F019F" w:rsidRPr="00154E08">
              <w:rPr>
                <w:rFonts w:eastAsia="Calibri" w:cs="Times New Roman"/>
                <w:sz w:val="22"/>
                <w:szCs w:val="22"/>
              </w:rPr>
              <w:t>ż</w:t>
            </w:r>
            <w:r w:rsidR="009A3E39" w:rsidRPr="00154E08">
              <w:rPr>
                <w:rFonts w:eastAsia="Calibri" w:cs="Times New Roman"/>
                <w:sz w:val="22"/>
                <w:szCs w:val="22"/>
              </w:rPr>
              <w:t>onych</w:t>
            </w:r>
            <w:r w:rsidR="003E01E3" w:rsidRPr="00154E08">
              <w:rPr>
                <w:rFonts w:eastAsia="Calibri" w:cs="Times New Roman"/>
                <w:sz w:val="22"/>
                <w:szCs w:val="22"/>
              </w:rPr>
              <w:t xml:space="preserve"> surowców rolnych </w:t>
            </w:r>
            <w:r w:rsidR="00EB2E3A" w:rsidRPr="00154E08">
              <w:rPr>
                <w:rFonts w:eastAsia="Calibri" w:cs="Times New Roman"/>
                <w:sz w:val="22"/>
                <w:szCs w:val="22"/>
              </w:rPr>
              <w:t>krajow</w:t>
            </w:r>
            <w:r w:rsidR="004723AB" w:rsidRPr="00154E08">
              <w:rPr>
                <w:rFonts w:eastAsia="Calibri" w:cs="Times New Roman"/>
                <w:sz w:val="22"/>
                <w:szCs w:val="22"/>
              </w:rPr>
              <w:t>ego pochodzenia</w:t>
            </w:r>
            <w:r w:rsidR="003E01E3" w:rsidRPr="00154E08">
              <w:rPr>
                <w:rFonts w:eastAsia="Calibri" w:cs="Times New Roman"/>
                <w:sz w:val="22"/>
                <w:szCs w:val="22"/>
              </w:rPr>
              <w:t>, jednocześnie</w:t>
            </w:r>
            <w:r w:rsidR="006103D2" w:rsidRPr="00154E08">
              <w:rPr>
                <w:rFonts w:eastAsia="Calibri" w:cs="Times New Roman"/>
                <w:sz w:val="22"/>
                <w:szCs w:val="22"/>
              </w:rPr>
              <w:t xml:space="preserve"> pozostawiając jego wysokość na obecnie funkcjonującym poziomie – 0,85</w:t>
            </w:r>
            <w:r w:rsidR="004E1580" w:rsidRPr="00154E08">
              <w:rPr>
                <w:rFonts w:eastAsia="Calibri" w:cs="Times New Roman"/>
                <w:sz w:val="22"/>
                <w:szCs w:val="22"/>
              </w:rPr>
              <w:t xml:space="preserve">. </w:t>
            </w:r>
            <w:r w:rsidR="00104EC6" w:rsidRPr="00154E08">
              <w:rPr>
                <w:rFonts w:eastAsia="Calibri" w:cs="Times New Roman"/>
                <w:sz w:val="22"/>
                <w:szCs w:val="22"/>
              </w:rPr>
              <w:t xml:space="preserve">Pozostawiono bez zmian </w:t>
            </w:r>
            <w:r w:rsidR="003E01E3" w:rsidRPr="00154E08">
              <w:rPr>
                <w:rFonts w:eastAsia="Calibri" w:cs="Times New Roman"/>
                <w:sz w:val="22"/>
                <w:szCs w:val="22"/>
              </w:rPr>
              <w:t>Zrezygnowano też z obligatoryjnej aktualizacji współczynnika redukcyjnego przypadającej co dwa lata na rzecz stałego współczynnika obowiązującego do 2030 r.</w:t>
            </w:r>
            <w:r w:rsidR="00112CB2" w:rsidRPr="00154E08">
              <w:rPr>
                <w:rFonts w:eastAsia="Calibri" w:cs="Times New Roman"/>
                <w:sz w:val="22"/>
                <w:szCs w:val="22"/>
              </w:rPr>
              <w:t>,</w:t>
            </w:r>
            <w:r w:rsidR="003E01E3" w:rsidRPr="00154E08">
              <w:rPr>
                <w:rFonts w:eastAsia="Calibri" w:cs="Times New Roman"/>
                <w:sz w:val="22"/>
                <w:szCs w:val="22"/>
              </w:rPr>
              <w:t xml:space="preserve"> co będzie stanowiło ułatwienie w</w:t>
            </w:r>
            <w:r w:rsidR="004723AB" w:rsidRPr="00154E08">
              <w:rPr>
                <w:rFonts w:eastAsia="Calibri" w:cs="Times New Roman"/>
                <w:sz w:val="22"/>
                <w:szCs w:val="22"/>
              </w:rPr>
              <w:t> </w:t>
            </w:r>
            <w:r w:rsidR="003E01E3" w:rsidRPr="00154E08">
              <w:rPr>
                <w:rFonts w:eastAsia="Calibri" w:cs="Times New Roman"/>
                <w:sz w:val="22"/>
                <w:szCs w:val="22"/>
              </w:rPr>
              <w:t>podejmowaniu decyzji inwestycyjnych przez przedsiębiorców (większa pewność prawa).</w:t>
            </w:r>
            <w:r w:rsidR="00684A87" w:rsidRPr="00154E08">
              <w:rPr>
                <w:rFonts w:eastAsia="Calibri" w:cs="Times New Roman"/>
                <w:sz w:val="22"/>
                <w:szCs w:val="22"/>
              </w:rPr>
              <w:t xml:space="preserve"> </w:t>
            </w:r>
          </w:p>
          <w:p w14:paraId="6910F996" w14:textId="7D86E01A" w:rsidR="00224A85" w:rsidRPr="00154E08" w:rsidRDefault="00224A85" w:rsidP="00B279FD">
            <w:pPr>
              <w:spacing w:after="120" w:line="240" w:lineRule="auto"/>
              <w:contextualSpacing/>
              <w:jc w:val="both"/>
              <w:rPr>
                <w:rFonts w:cs="Times New Roman"/>
                <w:sz w:val="22"/>
                <w:szCs w:val="22"/>
              </w:rPr>
            </w:pPr>
          </w:p>
          <w:p w14:paraId="2BC2F7E9" w14:textId="630EA3FD" w:rsidR="003F19A5" w:rsidRPr="00154E08" w:rsidRDefault="00D55260" w:rsidP="003F19A5">
            <w:pPr>
              <w:spacing w:after="120" w:line="240" w:lineRule="auto"/>
              <w:contextualSpacing/>
              <w:jc w:val="both"/>
              <w:rPr>
                <w:rFonts w:eastAsia="Calibri" w:cs="Times New Roman"/>
                <w:sz w:val="22"/>
                <w:szCs w:val="22"/>
                <w:u w:val="single"/>
              </w:rPr>
            </w:pPr>
            <w:r w:rsidRPr="00154E08">
              <w:rPr>
                <w:rFonts w:eastAsia="Calibri" w:cs="Times New Roman"/>
                <w:sz w:val="22"/>
                <w:szCs w:val="22"/>
                <w:u w:val="single"/>
              </w:rPr>
              <w:t>M</w:t>
            </w:r>
            <w:r w:rsidR="003F3016" w:rsidRPr="00154E08">
              <w:rPr>
                <w:rFonts w:eastAsia="Calibri" w:cs="Times New Roman"/>
                <w:sz w:val="22"/>
                <w:szCs w:val="22"/>
                <w:u w:val="single"/>
              </w:rPr>
              <w:t>odyfikacj</w:t>
            </w:r>
            <w:r w:rsidRPr="00154E08">
              <w:rPr>
                <w:rFonts w:eastAsia="Calibri" w:cs="Times New Roman"/>
                <w:sz w:val="22"/>
                <w:szCs w:val="22"/>
                <w:u w:val="single"/>
              </w:rPr>
              <w:t>a</w:t>
            </w:r>
            <w:r w:rsidR="003F3016" w:rsidRPr="00154E08">
              <w:rPr>
                <w:rFonts w:eastAsia="Calibri" w:cs="Times New Roman"/>
                <w:sz w:val="22"/>
                <w:szCs w:val="22"/>
                <w:u w:val="single"/>
              </w:rPr>
              <w:t xml:space="preserve"> zasad wykorzystania technologii </w:t>
            </w:r>
            <w:proofErr w:type="spellStart"/>
            <w:r w:rsidR="003F3016" w:rsidRPr="00154E08">
              <w:rPr>
                <w:rFonts w:eastAsia="Calibri" w:cs="Times New Roman"/>
                <w:sz w:val="22"/>
                <w:szCs w:val="22"/>
                <w:u w:val="single"/>
              </w:rPr>
              <w:t>współuwodornienia</w:t>
            </w:r>
            <w:proofErr w:type="spellEnd"/>
            <w:r w:rsidR="003F3016" w:rsidRPr="00154E08">
              <w:rPr>
                <w:rFonts w:eastAsia="Calibri" w:cs="Times New Roman"/>
                <w:sz w:val="22"/>
                <w:szCs w:val="22"/>
                <w:u w:val="single"/>
              </w:rPr>
              <w:t xml:space="preserve"> w procesie realizacji NCW przez podmioty zobowiązane</w:t>
            </w:r>
          </w:p>
          <w:p w14:paraId="6BD4A8D0" w14:textId="623438AD" w:rsidR="003F19A5" w:rsidRPr="00154E08" w:rsidRDefault="002A6CE6" w:rsidP="00B279FD">
            <w:pPr>
              <w:spacing w:after="120" w:line="240" w:lineRule="auto"/>
              <w:contextualSpacing/>
              <w:jc w:val="both"/>
              <w:rPr>
                <w:rFonts w:eastAsia="Calibri" w:cs="Times New Roman"/>
                <w:sz w:val="22"/>
                <w:szCs w:val="22"/>
              </w:rPr>
            </w:pPr>
            <w:r w:rsidRPr="00154E08">
              <w:rPr>
                <w:rFonts w:eastAsia="Calibri" w:cs="Times New Roman"/>
                <w:sz w:val="22"/>
                <w:szCs w:val="22"/>
              </w:rPr>
              <w:t>W sytuacji gdy poziom obowiązku przekracza poziom „</w:t>
            </w:r>
            <w:proofErr w:type="spellStart"/>
            <w:r w:rsidRPr="00154E08">
              <w:rPr>
                <w:rFonts w:eastAsia="Calibri" w:cs="Times New Roman"/>
                <w:sz w:val="22"/>
                <w:szCs w:val="22"/>
              </w:rPr>
              <w:t>blending</w:t>
            </w:r>
            <w:proofErr w:type="spellEnd"/>
            <w:r w:rsidRPr="00154E08">
              <w:rPr>
                <w:rFonts w:eastAsia="Calibri" w:cs="Times New Roman"/>
                <w:sz w:val="22"/>
                <w:szCs w:val="22"/>
              </w:rPr>
              <w:t xml:space="preserve"> </w:t>
            </w:r>
            <w:proofErr w:type="spellStart"/>
            <w:r w:rsidRPr="00154E08">
              <w:rPr>
                <w:rFonts w:eastAsia="Calibri" w:cs="Times New Roman"/>
                <w:sz w:val="22"/>
                <w:szCs w:val="22"/>
              </w:rPr>
              <w:t>wall</w:t>
            </w:r>
            <w:proofErr w:type="spellEnd"/>
            <w:r w:rsidRPr="00154E08">
              <w:rPr>
                <w:rFonts w:eastAsia="Calibri" w:cs="Times New Roman"/>
                <w:sz w:val="22"/>
                <w:szCs w:val="22"/>
              </w:rPr>
              <w:t>” zachodzi konieczność poszukiwania alternatywnych sposobów realizacji celu. Stosowanie w biopaliwach ciekłych innych rodzajów biokomponentów</w:t>
            </w:r>
            <w:r w:rsidRPr="00154E08">
              <w:rPr>
                <w:rFonts w:eastAsia="Calibri" w:cs="Times New Roman"/>
                <w:i/>
                <w:sz w:val="22"/>
                <w:szCs w:val="22"/>
              </w:rPr>
              <w:t xml:space="preserve"> </w:t>
            </w:r>
            <w:r w:rsidRPr="00154E08">
              <w:rPr>
                <w:rFonts w:eastAsia="Calibri" w:cs="Times New Roman"/>
                <w:sz w:val="22"/>
                <w:szCs w:val="22"/>
              </w:rPr>
              <w:t xml:space="preserve">niż estry oraz bioetanol, takich jak: </w:t>
            </w:r>
            <w:proofErr w:type="spellStart"/>
            <w:r w:rsidRPr="00154E08">
              <w:rPr>
                <w:rFonts w:eastAsia="Calibri" w:cs="Times New Roman"/>
                <w:sz w:val="22"/>
                <w:szCs w:val="22"/>
              </w:rPr>
              <w:t>biowęglowodory</w:t>
            </w:r>
            <w:proofErr w:type="spellEnd"/>
            <w:r w:rsidRPr="00154E08">
              <w:rPr>
                <w:rFonts w:eastAsia="Calibri" w:cs="Times New Roman"/>
                <w:sz w:val="22"/>
                <w:szCs w:val="22"/>
              </w:rPr>
              <w:t xml:space="preserve"> ciekłe</w:t>
            </w:r>
            <w:r w:rsidR="00112CB2" w:rsidRPr="00154E08">
              <w:rPr>
                <w:rFonts w:eastAsia="Calibri" w:cs="Times New Roman"/>
                <w:sz w:val="22"/>
                <w:szCs w:val="22"/>
              </w:rPr>
              <w:t>,</w:t>
            </w:r>
            <w:r w:rsidRPr="00154E08">
              <w:rPr>
                <w:rFonts w:eastAsia="Calibri" w:cs="Times New Roman"/>
                <w:i/>
                <w:sz w:val="22"/>
                <w:szCs w:val="22"/>
              </w:rPr>
              <w:t xml:space="preserve"> </w:t>
            </w:r>
            <w:r w:rsidRPr="00154E08">
              <w:rPr>
                <w:rFonts w:eastAsia="Calibri" w:cs="Times New Roman"/>
                <w:sz w:val="22"/>
                <w:szCs w:val="22"/>
              </w:rPr>
              <w:t>np.</w:t>
            </w:r>
            <w:r w:rsidRPr="00154E08">
              <w:rPr>
                <w:rFonts w:eastAsia="Calibri" w:cs="Times New Roman"/>
                <w:i/>
                <w:sz w:val="22"/>
                <w:szCs w:val="22"/>
              </w:rPr>
              <w:t xml:space="preserve"> </w:t>
            </w:r>
            <w:r w:rsidRPr="00154E08">
              <w:rPr>
                <w:rFonts w:eastAsia="Calibri" w:cs="Times New Roman"/>
                <w:sz w:val="22"/>
                <w:szCs w:val="22"/>
              </w:rPr>
              <w:t>HVO</w:t>
            </w:r>
            <w:r w:rsidRPr="00154E08">
              <w:rPr>
                <w:rFonts w:eastAsia="Calibri" w:cs="Times New Roman"/>
                <w:i/>
                <w:sz w:val="22"/>
                <w:szCs w:val="22"/>
              </w:rPr>
              <w:t>,</w:t>
            </w:r>
            <w:r w:rsidRPr="00154E08">
              <w:rPr>
                <w:rFonts w:eastAsia="Calibri" w:cs="Times New Roman"/>
                <w:sz w:val="22"/>
                <w:szCs w:val="22"/>
              </w:rPr>
              <w:t xml:space="preserve"> inne paliwa odnawialne</w:t>
            </w:r>
            <w:r w:rsidR="00684A87" w:rsidRPr="00154E08">
              <w:rPr>
                <w:rFonts w:eastAsia="Calibri" w:cs="Times New Roman"/>
                <w:i/>
                <w:sz w:val="22"/>
                <w:szCs w:val="22"/>
              </w:rPr>
              <w:t xml:space="preserve"> </w:t>
            </w:r>
            <w:r w:rsidRPr="00154E08">
              <w:rPr>
                <w:rFonts w:eastAsia="Calibri" w:cs="Times New Roman"/>
                <w:sz w:val="22"/>
                <w:szCs w:val="22"/>
              </w:rPr>
              <w:t>– zwiększa elastyczność realizacji wyższych celów.</w:t>
            </w:r>
          </w:p>
          <w:p w14:paraId="19279348" w14:textId="086F1E17" w:rsidR="00B775D6" w:rsidRPr="00154E08" w:rsidRDefault="00D55260" w:rsidP="00B279FD">
            <w:pPr>
              <w:spacing w:after="120" w:line="240" w:lineRule="auto"/>
              <w:jc w:val="both"/>
              <w:rPr>
                <w:rFonts w:eastAsia="Calibri" w:cs="Times New Roman"/>
                <w:i/>
                <w:color w:val="00B050"/>
                <w:spacing w:val="-2"/>
                <w:sz w:val="22"/>
                <w:szCs w:val="22"/>
              </w:rPr>
            </w:pPr>
            <w:r w:rsidRPr="00154E08">
              <w:rPr>
                <w:rFonts w:eastAsia="Calibri" w:cs="Times New Roman"/>
                <w:sz w:val="22"/>
                <w:szCs w:val="22"/>
              </w:rPr>
              <w:t>Zakłada się</w:t>
            </w:r>
            <w:r w:rsidRPr="00154E08">
              <w:rPr>
                <w:rFonts w:eastAsia="Calibri" w:cs="Times New Roman"/>
                <w:i/>
                <w:sz w:val="22"/>
                <w:szCs w:val="22"/>
              </w:rPr>
              <w:t xml:space="preserve"> </w:t>
            </w:r>
            <w:r w:rsidR="00CF3BDD" w:rsidRPr="00154E08">
              <w:rPr>
                <w:rFonts w:eastAsia="Calibri" w:cs="Times New Roman"/>
                <w:sz w:val="22"/>
                <w:szCs w:val="22"/>
              </w:rPr>
              <w:t xml:space="preserve">kontynuację wykorzystywania </w:t>
            </w:r>
            <w:proofErr w:type="spellStart"/>
            <w:r w:rsidR="00CF3BDD" w:rsidRPr="00154E08">
              <w:rPr>
                <w:rFonts w:eastAsia="Calibri" w:cs="Times New Roman"/>
                <w:sz w:val="22"/>
                <w:szCs w:val="22"/>
              </w:rPr>
              <w:t>biowęglowodorów</w:t>
            </w:r>
            <w:proofErr w:type="spellEnd"/>
            <w:r w:rsidR="00CF3BDD" w:rsidRPr="00154E08">
              <w:rPr>
                <w:rFonts w:eastAsia="Calibri" w:cs="Times New Roman"/>
                <w:sz w:val="22"/>
                <w:szCs w:val="22"/>
              </w:rPr>
              <w:t xml:space="preserve"> ciekłych</w:t>
            </w:r>
            <w:r w:rsidRPr="00154E08">
              <w:rPr>
                <w:rFonts w:eastAsia="Calibri" w:cs="Times New Roman"/>
                <w:i/>
                <w:sz w:val="22"/>
                <w:szCs w:val="22"/>
              </w:rPr>
              <w:t xml:space="preserve"> </w:t>
            </w:r>
            <w:r w:rsidRPr="00154E08">
              <w:rPr>
                <w:rFonts w:eastAsia="Calibri" w:cs="Times New Roman"/>
                <w:sz w:val="22"/>
                <w:szCs w:val="22"/>
              </w:rPr>
              <w:t>w rozliczeniu NCW</w:t>
            </w:r>
            <w:r w:rsidR="00CF3BDD" w:rsidRPr="00154E08">
              <w:rPr>
                <w:rFonts w:eastAsia="Calibri" w:cs="Times New Roman"/>
                <w:sz w:val="22"/>
                <w:szCs w:val="22"/>
              </w:rPr>
              <w:t>, znosząc jednak od 202</w:t>
            </w:r>
            <w:r w:rsidR="00312F1E" w:rsidRPr="00154E08">
              <w:rPr>
                <w:rFonts w:eastAsia="Calibri" w:cs="Times New Roman"/>
                <w:sz w:val="22"/>
                <w:szCs w:val="22"/>
              </w:rPr>
              <w:t>4</w:t>
            </w:r>
            <w:r w:rsidR="00CF3BDD" w:rsidRPr="00154E08">
              <w:rPr>
                <w:rFonts w:eastAsia="Calibri" w:cs="Times New Roman"/>
                <w:sz w:val="22"/>
                <w:szCs w:val="22"/>
              </w:rPr>
              <w:t xml:space="preserve"> r. ograniczenie ustawowe w zakresie możliwości ich stosowania </w:t>
            </w:r>
            <w:r w:rsidR="00124909" w:rsidRPr="00154E08">
              <w:rPr>
                <w:rFonts w:eastAsia="Calibri" w:cs="Times New Roman"/>
                <w:sz w:val="22"/>
                <w:szCs w:val="22"/>
              </w:rPr>
              <w:t>w</w:t>
            </w:r>
            <w:r w:rsidR="000C6E5A" w:rsidRPr="00154E08">
              <w:rPr>
                <w:rFonts w:eastAsia="Calibri" w:cs="Times New Roman"/>
                <w:sz w:val="22"/>
                <w:szCs w:val="22"/>
              </w:rPr>
              <w:t> </w:t>
            </w:r>
            <w:r w:rsidR="00124909" w:rsidRPr="00154E08">
              <w:rPr>
                <w:rFonts w:eastAsia="Calibri" w:cs="Times New Roman"/>
                <w:sz w:val="22"/>
                <w:szCs w:val="22"/>
              </w:rPr>
              <w:t>rozliczeniu NCW (w latach 2020</w:t>
            </w:r>
            <w:r w:rsidR="00684A87" w:rsidRPr="00154E08">
              <w:rPr>
                <w:rFonts w:eastAsia="Calibri" w:cs="Times New Roman"/>
                <w:sz w:val="22"/>
                <w:szCs w:val="22"/>
              </w:rPr>
              <w:t>–</w:t>
            </w:r>
            <w:r w:rsidR="00124909" w:rsidRPr="00154E08">
              <w:rPr>
                <w:rFonts w:eastAsia="Calibri" w:cs="Times New Roman"/>
                <w:sz w:val="22"/>
                <w:szCs w:val="22"/>
              </w:rPr>
              <w:t xml:space="preserve">2022 udział </w:t>
            </w:r>
            <w:proofErr w:type="spellStart"/>
            <w:r w:rsidR="00124909" w:rsidRPr="00154E08">
              <w:rPr>
                <w:rFonts w:eastAsia="Calibri" w:cs="Times New Roman"/>
                <w:sz w:val="22"/>
                <w:szCs w:val="22"/>
              </w:rPr>
              <w:t>biow</w:t>
            </w:r>
            <w:r w:rsidR="00B13AAA" w:rsidRPr="00154E08">
              <w:rPr>
                <w:rFonts w:eastAsia="Calibri" w:cs="Times New Roman"/>
                <w:sz w:val="22"/>
                <w:szCs w:val="22"/>
              </w:rPr>
              <w:t>ę</w:t>
            </w:r>
            <w:r w:rsidR="00124909" w:rsidRPr="00154E08">
              <w:rPr>
                <w:rFonts w:eastAsia="Calibri" w:cs="Times New Roman"/>
                <w:sz w:val="22"/>
                <w:szCs w:val="22"/>
              </w:rPr>
              <w:t>glowodorów</w:t>
            </w:r>
            <w:proofErr w:type="spellEnd"/>
            <w:r w:rsidR="00124909" w:rsidRPr="00154E08">
              <w:rPr>
                <w:rFonts w:eastAsia="Calibri" w:cs="Times New Roman"/>
                <w:sz w:val="22"/>
                <w:szCs w:val="22"/>
              </w:rPr>
              <w:t xml:space="preserve"> nie mógł przekroczyć 0,45%</w:t>
            </w:r>
            <w:r w:rsidR="00112CB2" w:rsidRPr="00154E08">
              <w:rPr>
                <w:rFonts w:eastAsia="Calibri" w:cs="Times New Roman"/>
                <w:sz w:val="22"/>
                <w:szCs w:val="22"/>
              </w:rPr>
              <w:t>,</w:t>
            </w:r>
            <w:r w:rsidR="00312F1E" w:rsidRPr="00154E08">
              <w:rPr>
                <w:rFonts w:eastAsia="Calibri" w:cs="Times New Roman"/>
                <w:sz w:val="22"/>
                <w:szCs w:val="22"/>
              </w:rPr>
              <w:t xml:space="preserve"> natomiast w 2023 r</w:t>
            </w:r>
            <w:r w:rsidR="00112CB2" w:rsidRPr="00154E08">
              <w:rPr>
                <w:rFonts w:eastAsia="Calibri" w:cs="Times New Roman"/>
                <w:sz w:val="22"/>
                <w:szCs w:val="22"/>
              </w:rPr>
              <w:t>.</w:t>
            </w:r>
            <w:r w:rsidR="00312F1E" w:rsidRPr="00154E08">
              <w:rPr>
                <w:rStyle w:val="Odwoanieprzypisudolnego"/>
                <w:rFonts w:eastAsia="Calibri" w:cs="Times New Roman"/>
                <w:sz w:val="22"/>
                <w:szCs w:val="22"/>
              </w:rPr>
              <w:footnoteReference w:id="10"/>
            </w:r>
            <w:r w:rsidR="00112CB2" w:rsidRPr="00154E08">
              <w:rPr>
                <w:rFonts w:eastAsia="Calibri" w:cs="Times New Roman"/>
                <w:sz w:val="22"/>
                <w:szCs w:val="22"/>
                <w:vertAlign w:val="superscript"/>
              </w:rPr>
              <w:t>)</w:t>
            </w:r>
            <w:r w:rsidR="00312F1E" w:rsidRPr="00154E08">
              <w:rPr>
                <w:rFonts w:eastAsia="Calibri" w:cs="Times New Roman"/>
                <w:sz w:val="22"/>
                <w:szCs w:val="22"/>
              </w:rPr>
              <w:t xml:space="preserve"> wartości 0,9%</w:t>
            </w:r>
            <w:r w:rsidR="00124909" w:rsidRPr="00154E08">
              <w:rPr>
                <w:rFonts w:eastAsia="Calibri" w:cs="Times New Roman"/>
                <w:sz w:val="22"/>
                <w:szCs w:val="22"/>
              </w:rPr>
              <w:t xml:space="preserve">). </w:t>
            </w:r>
            <w:r w:rsidRPr="00154E08">
              <w:rPr>
                <w:rFonts w:eastAsia="Calibri" w:cs="Times New Roman"/>
                <w:sz w:val="22"/>
                <w:szCs w:val="22"/>
              </w:rPr>
              <w:t xml:space="preserve">Tej zmianie </w:t>
            </w:r>
            <w:r w:rsidR="00112CB2" w:rsidRPr="00154E08">
              <w:rPr>
                <w:rFonts w:eastAsia="Calibri" w:cs="Times New Roman"/>
                <w:sz w:val="22"/>
                <w:szCs w:val="22"/>
              </w:rPr>
              <w:t xml:space="preserve">będzie </w:t>
            </w:r>
            <w:r w:rsidRPr="00154E08">
              <w:rPr>
                <w:rFonts w:eastAsia="Calibri" w:cs="Times New Roman"/>
                <w:sz w:val="22"/>
                <w:szCs w:val="22"/>
              </w:rPr>
              <w:t>towarzyszy</w:t>
            </w:r>
            <w:r w:rsidR="004E1580" w:rsidRPr="00154E08">
              <w:rPr>
                <w:rFonts w:eastAsia="Calibri" w:cs="Times New Roman"/>
                <w:sz w:val="22"/>
                <w:szCs w:val="22"/>
              </w:rPr>
              <w:t xml:space="preserve">ć </w:t>
            </w:r>
            <w:r w:rsidR="00B5789C" w:rsidRPr="00154E08">
              <w:rPr>
                <w:rFonts w:eastAsia="Calibri" w:cs="Times New Roman"/>
                <w:sz w:val="22"/>
                <w:szCs w:val="22"/>
              </w:rPr>
              <w:t xml:space="preserve">pozaustawowe </w:t>
            </w:r>
            <w:r w:rsidR="00CF3BDD" w:rsidRPr="00154E08">
              <w:rPr>
                <w:rFonts w:eastAsia="Calibri" w:cs="Times New Roman"/>
                <w:color w:val="000000"/>
                <w:sz w:val="22"/>
                <w:szCs w:val="22"/>
              </w:rPr>
              <w:t>wzm</w:t>
            </w:r>
            <w:r w:rsidRPr="00154E08">
              <w:rPr>
                <w:rFonts w:eastAsia="Calibri" w:cs="Times New Roman"/>
                <w:color w:val="000000"/>
                <w:sz w:val="22"/>
                <w:szCs w:val="22"/>
              </w:rPr>
              <w:t>ocnienie</w:t>
            </w:r>
            <w:r w:rsidR="00CF3BDD" w:rsidRPr="00154E08">
              <w:rPr>
                <w:rFonts w:eastAsia="Calibri" w:cs="Times New Roman"/>
                <w:color w:val="000000"/>
                <w:sz w:val="22"/>
                <w:szCs w:val="22"/>
              </w:rPr>
              <w:t xml:space="preserve"> nadz</w:t>
            </w:r>
            <w:r w:rsidRPr="00154E08">
              <w:rPr>
                <w:rFonts w:eastAsia="Calibri" w:cs="Times New Roman"/>
                <w:color w:val="000000"/>
                <w:sz w:val="22"/>
                <w:szCs w:val="22"/>
              </w:rPr>
              <w:t>oru</w:t>
            </w:r>
            <w:r w:rsidR="00CF3BDD" w:rsidRPr="00154E08">
              <w:rPr>
                <w:rFonts w:eastAsia="Calibri" w:cs="Times New Roman"/>
                <w:color w:val="000000"/>
                <w:sz w:val="22"/>
                <w:szCs w:val="22"/>
              </w:rPr>
              <w:t xml:space="preserve"> nad </w:t>
            </w:r>
            <w:r w:rsidR="00F9403C" w:rsidRPr="00154E08">
              <w:rPr>
                <w:rFonts w:eastAsia="Calibri" w:cs="Times New Roman"/>
                <w:color w:val="000000"/>
                <w:sz w:val="22"/>
                <w:szCs w:val="22"/>
              </w:rPr>
              <w:t xml:space="preserve">obrotem </w:t>
            </w:r>
            <w:r w:rsidR="00CF3BDD" w:rsidRPr="00154E08">
              <w:rPr>
                <w:rFonts w:eastAsia="Calibri" w:cs="Times New Roman"/>
                <w:color w:val="000000"/>
                <w:sz w:val="22"/>
                <w:szCs w:val="22"/>
              </w:rPr>
              <w:t>surowcami wykorzystywanymi do produkcji</w:t>
            </w:r>
            <w:r w:rsidR="00F9403C" w:rsidRPr="00154E08">
              <w:rPr>
                <w:rFonts w:eastAsia="Calibri" w:cs="Times New Roman"/>
                <w:color w:val="000000"/>
                <w:sz w:val="22"/>
                <w:szCs w:val="22"/>
              </w:rPr>
              <w:t xml:space="preserve"> oraz </w:t>
            </w:r>
            <w:proofErr w:type="spellStart"/>
            <w:r w:rsidR="00F9403C" w:rsidRPr="00154E08">
              <w:rPr>
                <w:rFonts w:eastAsia="Calibri" w:cs="Times New Roman"/>
                <w:color w:val="000000"/>
                <w:sz w:val="22"/>
                <w:szCs w:val="22"/>
              </w:rPr>
              <w:t>biowęglowodorami</w:t>
            </w:r>
            <w:proofErr w:type="spellEnd"/>
            <w:r w:rsidR="00B5789C" w:rsidRPr="00154E08">
              <w:rPr>
                <w:rFonts w:eastAsia="Calibri" w:cs="Times New Roman"/>
                <w:color w:val="000000"/>
                <w:sz w:val="22"/>
                <w:szCs w:val="22"/>
              </w:rPr>
              <w:t xml:space="preserve"> za pośrednictwem uznanych systemów certyfikacji </w:t>
            </w:r>
            <w:r w:rsidR="004723AB" w:rsidRPr="00154E08">
              <w:rPr>
                <w:rFonts w:eastAsia="Calibri" w:cs="Times New Roman"/>
                <w:color w:val="000000"/>
                <w:sz w:val="22"/>
                <w:szCs w:val="22"/>
              </w:rPr>
              <w:t>oraz</w:t>
            </w:r>
            <w:r w:rsidR="00B5789C" w:rsidRPr="00154E08">
              <w:rPr>
                <w:rFonts w:eastAsia="Calibri" w:cs="Times New Roman"/>
                <w:color w:val="000000"/>
                <w:sz w:val="22"/>
                <w:szCs w:val="22"/>
              </w:rPr>
              <w:t xml:space="preserve"> docelowo – unijnej bazy danych </w:t>
            </w:r>
            <w:r w:rsidR="004723AB" w:rsidRPr="00154E08">
              <w:rPr>
                <w:rFonts w:eastAsia="Calibri" w:cs="Times New Roman"/>
                <w:color w:val="000000"/>
                <w:sz w:val="22"/>
                <w:szCs w:val="22"/>
              </w:rPr>
              <w:t>wdrażanej przez K</w:t>
            </w:r>
            <w:r w:rsidR="00756DC0" w:rsidRPr="00154E08">
              <w:rPr>
                <w:rFonts w:eastAsia="Calibri" w:cs="Times New Roman"/>
                <w:color w:val="000000"/>
                <w:sz w:val="22"/>
                <w:szCs w:val="22"/>
              </w:rPr>
              <w:t xml:space="preserve">omisję </w:t>
            </w:r>
            <w:r w:rsidR="004723AB" w:rsidRPr="00154E08">
              <w:rPr>
                <w:rFonts w:eastAsia="Calibri" w:cs="Times New Roman"/>
                <w:color w:val="000000"/>
                <w:sz w:val="22"/>
                <w:szCs w:val="22"/>
              </w:rPr>
              <w:t>E</w:t>
            </w:r>
            <w:r w:rsidR="00756DC0" w:rsidRPr="00154E08">
              <w:rPr>
                <w:rFonts w:eastAsia="Calibri" w:cs="Times New Roman"/>
                <w:color w:val="000000"/>
                <w:sz w:val="22"/>
                <w:szCs w:val="22"/>
              </w:rPr>
              <w:t>uropejską</w:t>
            </w:r>
            <w:r w:rsidR="00CF3BDD" w:rsidRPr="00154E08">
              <w:rPr>
                <w:rFonts w:eastAsia="Calibri" w:cs="Times New Roman"/>
                <w:color w:val="000000"/>
                <w:sz w:val="22"/>
                <w:szCs w:val="22"/>
              </w:rPr>
              <w:t xml:space="preserve">. </w:t>
            </w:r>
          </w:p>
          <w:p w14:paraId="62B6993A" w14:textId="40FFD36A" w:rsidR="007C74DA" w:rsidRPr="00154E08" w:rsidRDefault="002A6CE6" w:rsidP="00B279FD">
            <w:pPr>
              <w:spacing w:after="120" w:line="240" w:lineRule="auto"/>
              <w:jc w:val="both"/>
              <w:rPr>
                <w:rFonts w:cs="Times New Roman"/>
                <w:b/>
                <w:bCs/>
                <w:sz w:val="22"/>
                <w:szCs w:val="22"/>
                <w:highlight w:val="cyan"/>
              </w:rPr>
            </w:pPr>
            <w:r w:rsidRPr="00154E08">
              <w:rPr>
                <w:rFonts w:eastAsia="Calibri" w:cs="Times New Roman"/>
                <w:sz w:val="22"/>
                <w:szCs w:val="22"/>
              </w:rPr>
              <w:t xml:space="preserve">Od 2017 r. podmioty zobowiązane wykazują w realizacji NCW wykorzystanie </w:t>
            </w:r>
            <w:proofErr w:type="spellStart"/>
            <w:r w:rsidRPr="00154E08">
              <w:rPr>
                <w:rFonts w:eastAsia="Calibri" w:cs="Times New Roman"/>
                <w:sz w:val="22"/>
                <w:szCs w:val="22"/>
              </w:rPr>
              <w:t>biowęglowodorów</w:t>
            </w:r>
            <w:proofErr w:type="spellEnd"/>
            <w:r w:rsidRPr="00154E08">
              <w:rPr>
                <w:rFonts w:eastAsia="Calibri" w:cs="Times New Roman"/>
                <w:sz w:val="22"/>
                <w:szCs w:val="22"/>
              </w:rPr>
              <w:t xml:space="preserve"> ciekłych w ilości: 11 278 ton – zawart</w:t>
            </w:r>
            <w:r w:rsidR="00866C1E" w:rsidRPr="00154E08">
              <w:rPr>
                <w:rFonts w:eastAsia="Calibri" w:cs="Times New Roman"/>
                <w:sz w:val="22"/>
                <w:szCs w:val="22"/>
              </w:rPr>
              <w:t xml:space="preserve">ych </w:t>
            </w:r>
            <w:r w:rsidRPr="00154E08">
              <w:rPr>
                <w:rFonts w:eastAsia="Calibri" w:cs="Times New Roman"/>
                <w:sz w:val="22"/>
                <w:szCs w:val="22"/>
              </w:rPr>
              <w:t xml:space="preserve">w </w:t>
            </w:r>
            <w:r w:rsidR="00FE5904" w:rsidRPr="00154E08">
              <w:rPr>
                <w:rFonts w:eastAsia="Calibri" w:cs="Times New Roman"/>
                <w:iCs/>
                <w:sz w:val="22"/>
                <w:szCs w:val="22"/>
              </w:rPr>
              <w:t>oleju napędowym</w:t>
            </w:r>
            <w:r w:rsidRPr="00154E08">
              <w:rPr>
                <w:rFonts w:eastAsia="Calibri" w:cs="Times New Roman"/>
                <w:iCs/>
                <w:sz w:val="22"/>
                <w:szCs w:val="22"/>
              </w:rPr>
              <w:t xml:space="preserve"> </w:t>
            </w:r>
            <w:r w:rsidRPr="00154E08">
              <w:rPr>
                <w:rFonts w:eastAsia="Calibri" w:cs="Times New Roman"/>
                <w:sz w:val="22"/>
                <w:szCs w:val="22"/>
              </w:rPr>
              <w:t>i</w:t>
            </w:r>
            <w:r w:rsidRPr="00154E08">
              <w:rPr>
                <w:rFonts w:eastAsia="Calibri" w:cs="Times New Roman"/>
                <w:iCs/>
                <w:sz w:val="22"/>
                <w:szCs w:val="22"/>
              </w:rPr>
              <w:t xml:space="preserve"> benzynach</w:t>
            </w:r>
            <w:r w:rsidRPr="00154E08">
              <w:rPr>
                <w:rFonts w:eastAsia="Calibri" w:cs="Times New Roman"/>
                <w:sz w:val="22"/>
                <w:szCs w:val="22"/>
              </w:rPr>
              <w:t>, jednak w 20</w:t>
            </w:r>
            <w:r w:rsidR="00305E28" w:rsidRPr="00154E08">
              <w:rPr>
                <w:rFonts w:eastAsia="Calibri" w:cs="Times New Roman"/>
                <w:sz w:val="22"/>
                <w:szCs w:val="22"/>
              </w:rPr>
              <w:t>21</w:t>
            </w:r>
            <w:r w:rsidRPr="00154E08">
              <w:rPr>
                <w:rFonts w:eastAsia="Calibri" w:cs="Times New Roman"/>
                <w:sz w:val="22"/>
                <w:szCs w:val="22"/>
              </w:rPr>
              <w:t> r. </w:t>
            </w:r>
            <w:r w:rsidR="00305E28" w:rsidRPr="00154E08">
              <w:rPr>
                <w:rFonts w:eastAsia="Calibri" w:cs="Times New Roman"/>
                <w:sz w:val="22"/>
                <w:szCs w:val="22"/>
              </w:rPr>
              <w:t>jedynie</w:t>
            </w:r>
            <w:r w:rsidRPr="00154E08">
              <w:rPr>
                <w:rFonts w:eastAsia="Calibri" w:cs="Times New Roman"/>
                <w:sz w:val="22"/>
                <w:szCs w:val="22"/>
              </w:rPr>
              <w:t> </w:t>
            </w:r>
            <w:r w:rsidR="00305E28" w:rsidRPr="00154E08">
              <w:rPr>
                <w:rFonts w:eastAsia="Calibri" w:cs="Times New Roman"/>
                <w:sz w:val="22"/>
                <w:szCs w:val="22"/>
              </w:rPr>
              <w:t>8 031</w:t>
            </w:r>
            <w:r w:rsidRPr="00154E08">
              <w:rPr>
                <w:rFonts w:eastAsia="Calibri" w:cs="Times New Roman"/>
                <w:sz w:val="22"/>
                <w:szCs w:val="22"/>
              </w:rPr>
              <w:t> ton</w:t>
            </w:r>
            <w:r w:rsidR="00112CB2" w:rsidRPr="00154E08">
              <w:rPr>
                <w:rFonts w:eastAsia="Calibri" w:cs="Times New Roman"/>
                <w:sz w:val="22"/>
                <w:szCs w:val="22"/>
              </w:rPr>
              <w:t xml:space="preserve">, </w:t>
            </w:r>
            <w:r w:rsidR="00914F44" w:rsidRPr="00154E08">
              <w:rPr>
                <w:rFonts w:eastAsia="Calibri" w:cs="Times New Roman"/>
                <w:sz w:val="22"/>
                <w:szCs w:val="22"/>
              </w:rPr>
              <w:t>a</w:t>
            </w:r>
            <w:r w:rsidR="00837D94" w:rsidRPr="00154E08">
              <w:rPr>
                <w:rFonts w:eastAsia="Calibri" w:cs="Times New Roman"/>
                <w:sz w:val="22"/>
                <w:szCs w:val="22"/>
              </w:rPr>
              <w:t> </w:t>
            </w:r>
            <w:r w:rsidR="00914F44" w:rsidRPr="00154E08">
              <w:rPr>
                <w:rFonts w:eastAsia="Calibri" w:cs="Times New Roman"/>
                <w:sz w:val="22"/>
                <w:szCs w:val="22"/>
              </w:rPr>
              <w:t>w</w:t>
            </w:r>
            <w:r w:rsidR="00837D94" w:rsidRPr="00154E08">
              <w:rPr>
                <w:rFonts w:eastAsia="Calibri" w:cs="Times New Roman"/>
                <w:sz w:val="22"/>
                <w:szCs w:val="22"/>
              </w:rPr>
              <w:t> </w:t>
            </w:r>
            <w:r w:rsidR="00914F44" w:rsidRPr="00154E08">
              <w:rPr>
                <w:rFonts w:eastAsia="Calibri" w:cs="Times New Roman"/>
                <w:sz w:val="22"/>
                <w:szCs w:val="22"/>
              </w:rPr>
              <w:t>202</w:t>
            </w:r>
            <w:r w:rsidR="00C95844" w:rsidRPr="00154E08">
              <w:rPr>
                <w:rFonts w:eastAsia="Calibri" w:cs="Times New Roman"/>
                <w:sz w:val="22"/>
                <w:szCs w:val="22"/>
              </w:rPr>
              <w:t>3</w:t>
            </w:r>
            <w:r w:rsidR="00112CB2" w:rsidRPr="00154E08">
              <w:rPr>
                <w:rFonts w:eastAsia="Calibri" w:cs="Times New Roman"/>
                <w:sz w:val="22"/>
                <w:szCs w:val="22"/>
              </w:rPr>
              <w:t xml:space="preserve"> </w:t>
            </w:r>
            <w:r w:rsidR="00914F44" w:rsidRPr="00154E08">
              <w:rPr>
                <w:rFonts w:eastAsia="Calibri" w:cs="Times New Roman"/>
                <w:sz w:val="22"/>
                <w:szCs w:val="22"/>
              </w:rPr>
              <w:t xml:space="preserve">r. </w:t>
            </w:r>
            <w:r w:rsidR="00112CB2" w:rsidRPr="00154E08">
              <w:rPr>
                <w:rFonts w:eastAsia="Calibri" w:cs="Times New Roman"/>
                <w:sz w:val="22"/>
                <w:szCs w:val="22"/>
              </w:rPr>
              <w:t xml:space="preserve">– </w:t>
            </w:r>
            <w:r w:rsidR="00C95844" w:rsidRPr="00154E08">
              <w:rPr>
                <w:rFonts w:eastAsia="Calibri" w:cs="Times New Roman"/>
                <w:sz w:val="22"/>
                <w:szCs w:val="22"/>
              </w:rPr>
              <w:t>5</w:t>
            </w:r>
            <w:r w:rsidR="00736DBE" w:rsidRPr="00154E08">
              <w:rPr>
                <w:rFonts w:eastAsia="Calibri" w:cs="Times New Roman"/>
                <w:sz w:val="22"/>
                <w:szCs w:val="22"/>
              </w:rPr>
              <w:t> </w:t>
            </w:r>
            <w:r w:rsidR="00C95844" w:rsidRPr="00154E08">
              <w:rPr>
                <w:rFonts w:eastAsia="Calibri" w:cs="Times New Roman"/>
                <w:sz w:val="22"/>
                <w:szCs w:val="22"/>
              </w:rPr>
              <w:t>300</w:t>
            </w:r>
            <w:r w:rsidR="00736DBE" w:rsidRPr="00154E08">
              <w:rPr>
                <w:rFonts w:eastAsia="Calibri" w:cs="Times New Roman"/>
                <w:sz w:val="22"/>
                <w:szCs w:val="22"/>
              </w:rPr>
              <w:t xml:space="preserve"> ton</w:t>
            </w:r>
            <w:r w:rsidR="00112CB2" w:rsidRPr="00154E08">
              <w:rPr>
                <w:rFonts w:eastAsia="Calibri" w:cs="Times New Roman"/>
                <w:sz w:val="22"/>
                <w:szCs w:val="22"/>
              </w:rPr>
              <w:t>.</w:t>
            </w:r>
            <w:r w:rsidRPr="00154E08">
              <w:rPr>
                <w:rFonts w:eastAsia="Calibri" w:cs="Times New Roman"/>
                <w:i/>
                <w:iCs/>
                <w:color w:val="000000"/>
                <w:sz w:val="22"/>
                <w:szCs w:val="22"/>
              </w:rPr>
              <w:t xml:space="preserve"> </w:t>
            </w:r>
            <w:r w:rsidR="00D55260" w:rsidRPr="00154E08">
              <w:rPr>
                <w:rFonts w:eastAsia="Calibri" w:cs="Times New Roman"/>
                <w:color w:val="000000"/>
                <w:sz w:val="22"/>
                <w:szCs w:val="22"/>
              </w:rPr>
              <w:t>Powyższe dane wskazują na istnienie potencjału</w:t>
            </w:r>
            <w:r w:rsidR="000C6E5A" w:rsidRPr="00154E08">
              <w:rPr>
                <w:rFonts w:eastAsia="Calibri" w:cs="Times New Roman"/>
                <w:color w:val="000000"/>
                <w:sz w:val="22"/>
                <w:szCs w:val="22"/>
              </w:rPr>
              <w:t>,</w:t>
            </w:r>
            <w:r w:rsidR="00D55260" w:rsidRPr="00154E08">
              <w:rPr>
                <w:rFonts w:eastAsia="Calibri" w:cs="Times New Roman"/>
                <w:color w:val="000000"/>
                <w:sz w:val="22"/>
                <w:szCs w:val="22"/>
              </w:rPr>
              <w:t xml:space="preserve"> który może być wykorzystany do wyższej realizacji celu OZE w transporcie</w:t>
            </w:r>
            <w:r w:rsidR="004723AB" w:rsidRPr="00154E08">
              <w:rPr>
                <w:rFonts w:eastAsia="Calibri" w:cs="Times New Roman"/>
                <w:color w:val="000000"/>
                <w:sz w:val="22"/>
                <w:szCs w:val="22"/>
              </w:rPr>
              <w:t>, opcja wymaga jednak wsparcia</w:t>
            </w:r>
            <w:r w:rsidR="00305E28" w:rsidRPr="00154E08">
              <w:rPr>
                <w:rFonts w:eastAsia="Calibri" w:cs="Times New Roman"/>
                <w:color w:val="000000"/>
                <w:sz w:val="22"/>
                <w:szCs w:val="22"/>
              </w:rPr>
              <w:t xml:space="preserve"> i inwestycji</w:t>
            </w:r>
            <w:r w:rsidR="00D55260" w:rsidRPr="00154E08">
              <w:rPr>
                <w:rFonts w:eastAsia="Calibri" w:cs="Times New Roman"/>
                <w:i/>
                <w:iCs/>
                <w:color w:val="000000"/>
                <w:sz w:val="22"/>
                <w:szCs w:val="22"/>
              </w:rPr>
              <w:t>.</w:t>
            </w:r>
          </w:p>
          <w:p w14:paraId="27ACC406" w14:textId="315E716F" w:rsidR="009B47F1" w:rsidRPr="00154E08" w:rsidRDefault="009B47F1" w:rsidP="00FA2D86">
            <w:pPr>
              <w:pStyle w:val="Akapitzlist"/>
              <w:numPr>
                <w:ilvl w:val="0"/>
                <w:numId w:val="25"/>
              </w:numPr>
              <w:spacing w:before="60" w:line="240" w:lineRule="auto"/>
              <w:jc w:val="both"/>
              <w:rPr>
                <w:rFonts w:ascii="Times New Roman" w:hAnsi="Times New Roman"/>
                <w:b/>
                <w:bCs/>
                <w:sz w:val="22"/>
                <w:szCs w:val="22"/>
              </w:rPr>
            </w:pPr>
            <w:r w:rsidRPr="00154E08">
              <w:rPr>
                <w:rFonts w:ascii="Times New Roman" w:hAnsi="Times New Roman"/>
                <w:b/>
                <w:bCs/>
                <w:sz w:val="22"/>
                <w:szCs w:val="22"/>
              </w:rPr>
              <w:t>Określenie zasad uznawania biomasy leśnej w realizacji celu OZE</w:t>
            </w:r>
          </w:p>
          <w:p w14:paraId="7B01D936" w14:textId="20660633" w:rsidR="00B60FC7" w:rsidRPr="00154E08" w:rsidRDefault="009B47F1" w:rsidP="00B279FD">
            <w:pPr>
              <w:spacing w:after="120" w:line="240" w:lineRule="auto"/>
              <w:contextualSpacing/>
              <w:jc w:val="both"/>
              <w:rPr>
                <w:rFonts w:cs="Times New Roman"/>
                <w:sz w:val="22"/>
                <w:szCs w:val="22"/>
              </w:rPr>
            </w:pPr>
            <w:r w:rsidRPr="00154E08">
              <w:rPr>
                <w:rFonts w:cs="Times New Roman"/>
                <w:sz w:val="22"/>
                <w:szCs w:val="22"/>
              </w:rPr>
              <w:t xml:space="preserve">W związku z wprowadzeniem w </w:t>
            </w:r>
            <w:r w:rsidR="00756DC0" w:rsidRPr="00154E08">
              <w:rPr>
                <w:rFonts w:cs="Times New Roman"/>
                <w:sz w:val="22"/>
                <w:szCs w:val="22"/>
              </w:rPr>
              <w:t xml:space="preserve">dyrektywie </w:t>
            </w:r>
            <w:r w:rsidRPr="00154E08">
              <w:rPr>
                <w:rFonts w:cs="Times New Roman"/>
                <w:sz w:val="22"/>
                <w:szCs w:val="22"/>
              </w:rPr>
              <w:t>REDII rozróżnienia na biomasę rolniczą i biomasę leśną</w:t>
            </w:r>
            <w:r w:rsidR="005273AE" w:rsidRPr="00154E08">
              <w:rPr>
                <w:rFonts w:cs="Times New Roman"/>
                <w:sz w:val="22"/>
                <w:szCs w:val="22"/>
              </w:rPr>
              <w:t xml:space="preserve"> </w:t>
            </w:r>
            <w:r w:rsidR="00B60FC7" w:rsidRPr="00154E08">
              <w:rPr>
                <w:rFonts w:cs="Times New Roman"/>
                <w:sz w:val="22"/>
                <w:szCs w:val="22"/>
              </w:rPr>
              <w:t xml:space="preserve">niezbędne jest </w:t>
            </w:r>
            <w:r w:rsidR="00B60FC7" w:rsidRPr="00154E08">
              <w:rPr>
                <w:rFonts w:eastAsia="Calibri" w:cs="Times New Roman"/>
                <w:color w:val="000000"/>
                <w:sz w:val="22"/>
                <w:szCs w:val="22"/>
              </w:rPr>
              <w:t>wprowadzenie odpowiednich regulacji pozwalających na wykorzystanie biokomponentów</w:t>
            </w:r>
            <w:r w:rsidR="00071CE1" w:rsidRPr="00154E08">
              <w:rPr>
                <w:rFonts w:eastAsia="Calibri" w:cs="Times New Roman"/>
                <w:color w:val="000000"/>
                <w:sz w:val="22"/>
                <w:szCs w:val="22"/>
              </w:rPr>
              <w:t xml:space="preserve">, </w:t>
            </w:r>
            <w:proofErr w:type="spellStart"/>
            <w:r w:rsidR="00071CE1" w:rsidRPr="00154E08">
              <w:rPr>
                <w:rFonts w:eastAsia="Calibri" w:cs="Times New Roman"/>
                <w:color w:val="000000"/>
                <w:sz w:val="22"/>
                <w:szCs w:val="22"/>
              </w:rPr>
              <w:t>biopłynów</w:t>
            </w:r>
            <w:proofErr w:type="spellEnd"/>
            <w:r w:rsidR="00071CE1" w:rsidRPr="00154E08">
              <w:rPr>
                <w:rFonts w:eastAsia="Calibri" w:cs="Times New Roman"/>
                <w:color w:val="000000"/>
                <w:sz w:val="22"/>
                <w:szCs w:val="22"/>
              </w:rPr>
              <w:t xml:space="preserve"> i</w:t>
            </w:r>
            <w:r w:rsidR="003F19A5" w:rsidRPr="00154E08">
              <w:rPr>
                <w:rFonts w:eastAsia="Calibri" w:cs="Times New Roman"/>
                <w:color w:val="000000"/>
                <w:sz w:val="22"/>
                <w:szCs w:val="22"/>
              </w:rPr>
              <w:t> </w:t>
            </w:r>
            <w:r w:rsidR="00071CE1" w:rsidRPr="00154E08">
              <w:rPr>
                <w:rFonts w:eastAsia="Calibri" w:cs="Times New Roman"/>
                <w:color w:val="000000"/>
                <w:sz w:val="22"/>
                <w:szCs w:val="22"/>
              </w:rPr>
              <w:t>paliw z biomasy</w:t>
            </w:r>
            <w:r w:rsidR="00B60FC7" w:rsidRPr="00154E08">
              <w:rPr>
                <w:rFonts w:eastAsia="Calibri" w:cs="Times New Roman"/>
                <w:color w:val="000000"/>
                <w:sz w:val="22"/>
                <w:szCs w:val="22"/>
              </w:rPr>
              <w:t xml:space="preserve"> wytworzonych </w:t>
            </w:r>
            <w:r w:rsidR="00B60FC7" w:rsidRPr="00154E08">
              <w:rPr>
                <w:rFonts w:cs="Times New Roman"/>
                <w:sz w:val="22"/>
                <w:szCs w:val="22"/>
              </w:rPr>
              <w:t xml:space="preserve">z biomasy leśnej, </w:t>
            </w:r>
            <w:r w:rsidR="00B60FC7" w:rsidRPr="00154E08">
              <w:rPr>
                <w:rFonts w:eastAsia="Calibri" w:cs="Times New Roman"/>
                <w:color w:val="000000"/>
                <w:sz w:val="22"/>
                <w:szCs w:val="22"/>
              </w:rPr>
              <w:t xml:space="preserve">z odpadów i pozostałości z produkcji rolniczej np. słomy – </w:t>
            </w:r>
            <w:r w:rsidR="00B60FC7" w:rsidRPr="00154E08">
              <w:rPr>
                <w:rFonts w:cs="Times New Roman"/>
                <w:sz w:val="22"/>
                <w:szCs w:val="22"/>
              </w:rPr>
              <w:t>a także określ</w:t>
            </w:r>
            <w:r w:rsidR="00071CE1" w:rsidRPr="00154E08">
              <w:rPr>
                <w:rFonts w:cs="Times New Roman"/>
                <w:sz w:val="22"/>
                <w:szCs w:val="22"/>
              </w:rPr>
              <w:t>e</w:t>
            </w:r>
            <w:r w:rsidR="00B60FC7" w:rsidRPr="00154E08">
              <w:rPr>
                <w:rFonts w:cs="Times New Roman"/>
                <w:sz w:val="22"/>
                <w:szCs w:val="22"/>
              </w:rPr>
              <w:t>n</w:t>
            </w:r>
            <w:r w:rsidR="00F96B2A" w:rsidRPr="00154E08">
              <w:rPr>
                <w:rFonts w:cs="Times New Roman"/>
                <w:sz w:val="22"/>
                <w:szCs w:val="22"/>
              </w:rPr>
              <w:t>ie</w:t>
            </w:r>
            <w:r w:rsidR="00B60FC7" w:rsidRPr="00154E08">
              <w:rPr>
                <w:rFonts w:cs="Times New Roman"/>
                <w:sz w:val="22"/>
                <w:szCs w:val="22"/>
              </w:rPr>
              <w:t xml:space="preserve"> dw</w:t>
            </w:r>
            <w:r w:rsidR="00F96B2A" w:rsidRPr="00154E08">
              <w:rPr>
                <w:rFonts w:cs="Times New Roman"/>
                <w:sz w:val="22"/>
                <w:szCs w:val="22"/>
              </w:rPr>
              <w:t>óch</w:t>
            </w:r>
            <w:r w:rsidR="00B60FC7" w:rsidRPr="00154E08">
              <w:rPr>
                <w:rFonts w:cs="Times New Roman"/>
                <w:sz w:val="22"/>
                <w:szCs w:val="22"/>
              </w:rPr>
              <w:t xml:space="preserve"> odrębn</w:t>
            </w:r>
            <w:r w:rsidR="00F96B2A" w:rsidRPr="00154E08">
              <w:rPr>
                <w:rFonts w:cs="Times New Roman"/>
                <w:sz w:val="22"/>
                <w:szCs w:val="22"/>
              </w:rPr>
              <w:t>ych</w:t>
            </w:r>
            <w:r w:rsidR="00B60FC7" w:rsidRPr="00154E08">
              <w:rPr>
                <w:rFonts w:cs="Times New Roman"/>
                <w:sz w:val="22"/>
                <w:szCs w:val="22"/>
              </w:rPr>
              <w:t xml:space="preserve"> ścież</w:t>
            </w:r>
            <w:r w:rsidR="00F96B2A" w:rsidRPr="00154E08">
              <w:rPr>
                <w:rFonts w:cs="Times New Roman"/>
                <w:sz w:val="22"/>
                <w:szCs w:val="22"/>
              </w:rPr>
              <w:t>ek</w:t>
            </w:r>
            <w:r w:rsidR="00B60FC7" w:rsidRPr="00154E08">
              <w:rPr>
                <w:rFonts w:cs="Times New Roman"/>
                <w:sz w:val="22"/>
                <w:szCs w:val="22"/>
              </w:rPr>
              <w:t xml:space="preserve"> weryfikacji spełnienia KZR przez biokomponenty, </w:t>
            </w:r>
            <w:proofErr w:type="spellStart"/>
            <w:r w:rsidR="00B60FC7" w:rsidRPr="00154E08">
              <w:rPr>
                <w:rFonts w:cs="Times New Roman"/>
                <w:sz w:val="22"/>
                <w:szCs w:val="22"/>
              </w:rPr>
              <w:t>biopłyny</w:t>
            </w:r>
            <w:proofErr w:type="spellEnd"/>
            <w:r w:rsidR="00B60FC7" w:rsidRPr="00154E08">
              <w:rPr>
                <w:rFonts w:cs="Times New Roman"/>
                <w:sz w:val="22"/>
                <w:szCs w:val="22"/>
              </w:rPr>
              <w:t xml:space="preserve"> oraz paliwa z biomasy wytworzone z biomasy rolniczej i biomasy leśnej. </w:t>
            </w:r>
          </w:p>
          <w:p w14:paraId="093A69EE" w14:textId="05089A76" w:rsidR="009B47F1" w:rsidRPr="00154E08" w:rsidRDefault="00C571F8" w:rsidP="00B279FD">
            <w:pPr>
              <w:spacing w:after="120" w:line="240" w:lineRule="auto"/>
              <w:contextualSpacing/>
              <w:jc w:val="both"/>
              <w:rPr>
                <w:rFonts w:cs="Times New Roman"/>
                <w:sz w:val="22"/>
                <w:szCs w:val="22"/>
              </w:rPr>
            </w:pPr>
            <w:r w:rsidRPr="00154E08">
              <w:rPr>
                <w:rFonts w:eastAsia="Calibri" w:cs="Times New Roman"/>
                <w:color w:val="000000"/>
                <w:sz w:val="22"/>
                <w:szCs w:val="22"/>
              </w:rPr>
              <w:t>Proponuje się wprowadzenie obowiązku</w:t>
            </w:r>
            <w:r w:rsidR="00B60FC7" w:rsidRPr="00154E08">
              <w:rPr>
                <w:rFonts w:eastAsia="Calibri" w:cs="Times New Roman"/>
                <w:color w:val="000000"/>
                <w:sz w:val="22"/>
                <w:szCs w:val="22"/>
              </w:rPr>
              <w:t>, aby wytwórca takich odpadów lub pozostałości tworzył plan zarządzania wpływem na jakość gleby i zasoby pierwiastka węgla w glebie.</w:t>
            </w:r>
          </w:p>
          <w:p w14:paraId="20FE7C58" w14:textId="5818FA9D" w:rsidR="009B47F1" w:rsidRPr="00154E08" w:rsidRDefault="009B47F1" w:rsidP="00FA2D86">
            <w:pPr>
              <w:pStyle w:val="Akapitzlist"/>
              <w:numPr>
                <w:ilvl w:val="0"/>
                <w:numId w:val="25"/>
              </w:numPr>
              <w:spacing w:before="60" w:line="240" w:lineRule="auto"/>
              <w:jc w:val="both"/>
              <w:rPr>
                <w:rFonts w:ascii="Times New Roman" w:hAnsi="Times New Roman"/>
                <w:b/>
                <w:bCs/>
                <w:sz w:val="22"/>
                <w:szCs w:val="22"/>
              </w:rPr>
            </w:pPr>
            <w:r w:rsidRPr="00154E08">
              <w:rPr>
                <w:rFonts w:ascii="Times New Roman" w:eastAsia="Calibri" w:hAnsi="Times New Roman"/>
                <w:b/>
                <w:bCs/>
                <w:sz w:val="22"/>
                <w:szCs w:val="22"/>
              </w:rPr>
              <w:t xml:space="preserve">Zapewnienie stosowania KZR </w:t>
            </w:r>
            <w:r w:rsidRPr="00154E08">
              <w:rPr>
                <w:rFonts w:ascii="Times New Roman" w:hAnsi="Times New Roman"/>
                <w:b/>
                <w:bCs/>
                <w:sz w:val="22"/>
                <w:szCs w:val="22"/>
              </w:rPr>
              <w:t>oraz ograniczeń emisji gazów cieplarnianych w</w:t>
            </w:r>
            <w:r w:rsidR="00815A47" w:rsidRPr="00154E08">
              <w:rPr>
                <w:rFonts w:ascii="Times New Roman" w:hAnsi="Times New Roman"/>
                <w:b/>
                <w:bCs/>
                <w:sz w:val="22"/>
                <w:szCs w:val="22"/>
              </w:rPr>
              <w:t> </w:t>
            </w:r>
            <w:r w:rsidRPr="00154E08">
              <w:rPr>
                <w:rFonts w:ascii="Times New Roman" w:hAnsi="Times New Roman"/>
                <w:b/>
                <w:bCs/>
                <w:sz w:val="22"/>
                <w:szCs w:val="22"/>
              </w:rPr>
              <w:t xml:space="preserve">odniesieniu do </w:t>
            </w:r>
            <w:proofErr w:type="spellStart"/>
            <w:r w:rsidRPr="00154E08">
              <w:rPr>
                <w:rFonts w:ascii="Times New Roman" w:hAnsi="Times New Roman"/>
                <w:b/>
                <w:bCs/>
                <w:sz w:val="22"/>
                <w:szCs w:val="22"/>
              </w:rPr>
              <w:t>biopłynów</w:t>
            </w:r>
            <w:proofErr w:type="spellEnd"/>
            <w:r w:rsidRPr="00154E08">
              <w:rPr>
                <w:rFonts w:ascii="Times New Roman" w:hAnsi="Times New Roman"/>
                <w:b/>
                <w:bCs/>
                <w:sz w:val="22"/>
                <w:szCs w:val="22"/>
              </w:rPr>
              <w:t xml:space="preserve"> i paliw z biomasy</w:t>
            </w:r>
            <w:r w:rsidR="00CE4C7A" w:rsidRPr="00154E08">
              <w:rPr>
                <w:rFonts w:ascii="Times New Roman" w:hAnsi="Times New Roman"/>
                <w:b/>
                <w:bCs/>
                <w:sz w:val="22"/>
                <w:szCs w:val="22"/>
              </w:rPr>
              <w:t>.</w:t>
            </w:r>
          </w:p>
          <w:p w14:paraId="5DF50E3D" w14:textId="2CC79FB0" w:rsidR="009B47F1" w:rsidRPr="00154E08" w:rsidRDefault="009B47F1" w:rsidP="009B47F1">
            <w:pPr>
              <w:spacing w:before="60" w:line="240" w:lineRule="auto"/>
              <w:jc w:val="both"/>
              <w:rPr>
                <w:rFonts w:cs="Times New Roman"/>
                <w:sz w:val="22"/>
                <w:szCs w:val="22"/>
              </w:rPr>
            </w:pPr>
            <w:r w:rsidRPr="00154E08">
              <w:rPr>
                <w:rFonts w:cs="Times New Roman"/>
                <w:sz w:val="22"/>
                <w:szCs w:val="22"/>
              </w:rPr>
              <w:lastRenderedPageBreak/>
              <w:t>Projekt ustawy odnosi</w:t>
            </w:r>
            <w:r w:rsidR="00684A87" w:rsidRPr="00154E08">
              <w:rPr>
                <w:rFonts w:cs="Times New Roman"/>
                <w:sz w:val="22"/>
                <w:szCs w:val="22"/>
              </w:rPr>
              <w:t xml:space="preserve"> </w:t>
            </w:r>
            <w:r w:rsidRPr="00154E08">
              <w:rPr>
                <w:rFonts w:cs="Times New Roman"/>
                <w:sz w:val="22"/>
                <w:szCs w:val="22"/>
              </w:rPr>
              <w:t xml:space="preserve">do kwestii uwzględniania wymagań </w:t>
            </w:r>
            <w:r w:rsidR="00E17FC1" w:rsidRPr="00154E08">
              <w:rPr>
                <w:rFonts w:cs="Times New Roman"/>
                <w:sz w:val="22"/>
                <w:szCs w:val="22"/>
              </w:rPr>
              <w:t>określonych w</w:t>
            </w:r>
            <w:r w:rsidRPr="00154E08">
              <w:rPr>
                <w:rFonts w:cs="Times New Roman"/>
                <w:sz w:val="22"/>
                <w:szCs w:val="22"/>
              </w:rPr>
              <w:t xml:space="preserve"> </w:t>
            </w:r>
            <w:r w:rsidR="000373D3" w:rsidRPr="00154E08">
              <w:rPr>
                <w:rFonts w:cs="Times New Roman"/>
                <w:sz w:val="22"/>
                <w:szCs w:val="22"/>
              </w:rPr>
              <w:t xml:space="preserve">dyrektywie </w:t>
            </w:r>
            <w:r w:rsidRPr="00154E08">
              <w:rPr>
                <w:rFonts w:cs="Times New Roman"/>
                <w:sz w:val="22"/>
                <w:szCs w:val="22"/>
              </w:rPr>
              <w:t xml:space="preserve">REDII </w:t>
            </w:r>
            <w:r w:rsidR="00D91635" w:rsidRPr="00154E08">
              <w:rPr>
                <w:rFonts w:cs="Times New Roman"/>
                <w:sz w:val="22"/>
                <w:szCs w:val="22"/>
              </w:rPr>
              <w:t>dotyczących</w:t>
            </w:r>
            <w:r w:rsidRPr="00154E08">
              <w:rPr>
                <w:rFonts w:cs="Times New Roman"/>
                <w:sz w:val="22"/>
                <w:szCs w:val="22"/>
              </w:rPr>
              <w:t xml:space="preserve"> spełniania KZR oraz </w:t>
            </w:r>
            <w:r w:rsidR="00CE4C7A" w:rsidRPr="00154E08">
              <w:rPr>
                <w:rFonts w:cs="Times New Roman"/>
                <w:sz w:val="22"/>
                <w:szCs w:val="22"/>
              </w:rPr>
              <w:t xml:space="preserve">kryteriów </w:t>
            </w:r>
            <w:r w:rsidRPr="00154E08">
              <w:rPr>
                <w:rFonts w:cs="Times New Roman"/>
                <w:sz w:val="22"/>
                <w:szCs w:val="22"/>
              </w:rPr>
              <w:t xml:space="preserve">ograniczeń emisji gazów cieplarnianych </w:t>
            </w:r>
            <w:r w:rsidR="00BF439D" w:rsidRPr="00154E08">
              <w:rPr>
                <w:rFonts w:cs="Times New Roman"/>
                <w:sz w:val="22"/>
                <w:szCs w:val="22"/>
              </w:rPr>
              <w:t>przez</w:t>
            </w:r>
            <w:r w:rsidRPr="00154E08">
              <w:rPr>
                <w:rFonts w:cs="Times New Roman"/>
                <w:sz w:val="22"/>
                <w:szCs w:val="22"/>
              </w:rPr>
              <w:t xml:space="preserve"> </w:t>
            </w:r>
            <w:proofErr w:type="spellStart"/>
            <w:r w:rsidRPr="00154E08">
              <w:rPr>
                <w:rFonts w:cs="Times New Roman"/>
                <w:sz w:val="22"/>
                <w:szCs w:val="22"/>
              </w:rPr>
              <w:t>biopłyn</w:t>
            </w:r>
            <w:r w:rsidR="00BF439D" w:rsidRPr="00154E08">
              <w:rPr>
                <w:rFonts w:cs="Times New Roman"/>
                <w:sz w:val="22"/>
                <w:szCs w:val="22"/>
              </w:rPr>
              <w:t>y</w:t>
            </w:r>
            <w:proofErr w:type="spellEnd"/>
            <w:r w:rsidR="00BF439D" w:rsidRPr="00154E08">
              <w:rPr>
                <w:rFonts w:cs="Times New Roman"/>
                <w:sz w:val="22"/>
                <w:szCs w:val="22"/>
              </w:rPr>
              <w:t xml:space="preserve"> </w:t>
            </w:r>
            <w:r w:rsidRPr="00154E08">
              <w:rPr>
                <w:rFonts w:cs="Times New Roman"/>
                <w:sz w:val="22"/>
                <w:szCs w:val="22"/>
              </w:rPr>
              <w:t>i paliw</w:t>
            </w:r>
            <w:r w:rsidR="00BF439D" w:rsidRPr="00154E08">
              <w:rPr>
                <w:rFonts w:cs="Times New Roman"/>
                <w:sz w:val="22"/>
                <w:szCs w:val="22"/>
              </w:rPr>
              <w:t>a</w:t>
            </w:r>
            <w:r w:rsidRPr="00154E08">
              <w:rPr>
                <w:rFonts w:cs="Times New Roman"/>
                <w:sz w:val="22"/>
                <w:szCs w:val="22"/>
              </w:rPr>
              <w:t xml:space="preserve"> z</w:t>
            </w:r>
            <w:r w:rsidR="00BF439D" w:rsidRPr="00154E08">
              <w:rPr>
                <w:rFonts w:cs="Times New Roman"/>
                <w:sz w:val="22"/>
                <w:szCs w:val="22"/>
              </w:rPr>
              <w:t> </w:t>
            </w:r>
            <w:r w:rsidRPr="00154E08">
              <w:rPr>
                <w:rFonts w:cs="Times New Roman"/>
                <w:sz w:val="22"/>
                <w:szCs w:val="22"/>
              </w:rPr>
              <w:t xml:space="preserve">biomasy, które co do zasady </w:t>
            </w:r>
            <w:r w:rsidR="00112CB2" w:rsidRPr="00154E08">
              <w:rPr>
                <w:rFonts w:cs="Times New Roman"/>
                <w:sz w:val="22"/>
                <w:szCs w:val="22"/>
              </w:rPr>
              <w:t xml:space="preserve">będą </w:t>
            </w:r>
            <w:r w:rsidRPr="00154E08">
              <w:rPr>
                <w:rFonts w:cs="Times New Roman"/>
                <w:sz w:val="22"/>
                <w:szCs w:val="22"/>
              </w:rPr>
              <w:t>podlegać certyfikacji podobnie jak</w:t>
            </w:r>
            <w:r w:rsidRPr="00154E08">
              <w:rPr>
                <w:rFonts w:cs="Times New Roman"/>
                <w:i/>
                <w:iCs/>
                <w:sz w:val="22"/>
                <w:szCs w:val="22"/>
              </w:rPr>
              <w:t xml:space="preserve"> </w:t>
            </w:r>
            <w:r w:rsidRPr="00154E08">
              <w:rPr>
                <w:rFonts w:cs="Times New Roman"/>
                <w:sz w:val="22"/>
                <w:szCs w:val="22"/>
              </w:rPr>
              <w:t>biokomponenty,</w:t>
            </w:r>
            <w:r w:rsidRPr="00154E08">
              <w:rPr>
                <w:rFonts w:cs="Times New Roman"/>
                <w:i/>
                <w:iCs/>
                <w:sz w:val="22"/>
                <w:szCs w:val="22"/>
              </w:rPr>
              <w:t xml:space="preserve"> </w:t>
            </w:r>
            <w:r w:rsidR="00BE19CA" w:rsidRPr="00154E08">
              <w:rPr>
                <w:rFonts w:cs="Times New Roman"/>
                <w:sz w:val="22"/>
                <w:szCs w:val="22"/>
              </w:rPr>
              <w:t xml:space="preserve">przy </w:t>
            </w:r>
            <w:r w:rsidR="00700EE3" w:rsidRPr="00154E08">
              <w:rPr>
                <w:rFonts w:cs="Times New Roman"/>
                <w:sz w:val="22"/>
                <w:szCs w:val="22"/>
              </w:rPr>
              <w:t>ich stosowaniu do</w:t>
            </w:r>
            <w:r w:rsidR="009C0215" w:rsidRPr="00154E08">
              <w:rPr>
                <w:rFonts w:cs="Times New Roman"/>
                <w:sz w:val="22"/>
                <w:szCs w:val="22"/>
              </w:rPr>
              <w:t xml:space="preserve"> realizacji celów OZE w </w:t>
            </w:r>
            <w:r w:rsidR="00CE4C7A" w:rsidRPr="00154E08">
              <w:rPr>
                <w:rFonts w:cs="Times New Roman"/>
                <w:sz w:val="22"/>
                <w:szCs w:val="22"/>
              </w:rPr>
              <w:t xml:space="preserve">sektorach </w:t>
            </w:r>
            <w:r w:rsidR="009C0215" w:rsidRPr="00154E08">
              <w:rPr>
                <w:rFonts w:cs="Times New Roman"/>
                <w:sz w:val="22"/>
                <w:szCs w:val="22"/>
              </w:rPr>
              <w:t>innych niż w</w:t>
            </w:r>
            <w:r w:rsidR="008D2FC7" w:rsidRPr="00154E08">
              <w:rPr>
                <w:rFonts w:cs="Times New Roman"/>
                <w:sz w:val="22"/>
                <w:szCs w:val="22"/>
              </w:rPr>
              <w:t> </w:t>
            </w:r>
            <w:r w:rsidR="009C0215" w:rsidRPr="00154E08">
              <w:rPr>
                <w:rFonts w:cs="Times New Roman"/>
                <w:sz w:val="22"/>
                <w:szCs w:val="22"/>
              </w:rPr>
              <w:t>transporcie, a w przypadku paliw z biomasy, w</w:t>
            </w:r>
            <w:r w:rsidR="00700EE3" w:rsidRPr="00154E08">
              <w:rPr>
                <w:rFonts w:cs="Times New Roman"/>
                <w:sz w:val="22"/>
                <w:szCs w:val="22"/>
              </w:rPr>
              <w:t> </w:t>
            </w:r>
            <w:r w:rsidR="009C0215" w:rsidRPr="00154E08">
              <w:rPr>
                <w:rFonts w:cs="Times New Roman"/>
                <w:sz w:val="22"/>
                <w:szCs w:val="22"/>
              </w:rPr>
              <w:t>tym bio</w:t>
            </w:r>
            <w:r w:rsidR="008844AB" w:rsidRPr="00154E08">
              <w:rPr>
                <w:rFonts w:cs="Times New Roman"/>
                <w:sz w:val="22"/>
                <w:szCs w:val="22"/>
              </w:rPr>
              <w:t>gazu/</w:t>
            </w:r>
            <w:proofErr w:type="spellStart"/>
            <w:r w:rsidR="008844AB" w:rsidRPr="00154E08">
              <w:rPr>
                <w:rFonts w:cs="Times New Roman"/>
                <w:sz w:val="22"/>
                <w:szCs w:val="22"/>
              </w:rPr>
              <w:t>bio</w:t>
            </w:r>
            <w:r w:rsidR="009C0215" w:rsidRPr="00154E08">
              <w:rPr>
                <w:rFonts w:cs="Times New Roman"/>
                <w:sz w:val="22"/>
                <w:szCs w:val="22"/>
              </w:rPr>
              <w:t>metanu</w:t>
            </w:r>
            <w:proofErr w:type="spellEnd"/>
            <w:r w:rsidR="009C0215" w:rsidRPr="00154E08">
              <w:rPr>
                <w:rFonts w:cs="Times New Roman"/>
                <w:sz w:val="22"/>
                <w:szCs w:val="22"/>
              </w:rPr>
              <w:t xml:space="preserve"> – w realizacji NCW</w:t>
            </w:r>
            <w:r w:rsidRPr="00154E08">
              <w:rPr>
                <w:rFonts w:cs="Times New Roman"/>
                <w:sz w:val="22"/>
                <w:szCs w:val="22"/>
              </w:rPr>
              <w:t xml:space="preserve">. </w:t>
            </w:r>
            <w:r w:rsidR="00C7141F" w:rsidRPr="00154E08">
              <w:rPr>
                <w:rFonts w:cs="Times New Roman"/>
                <w:sz w:val="22"/>
                <w:szCs w:val="22"/>
              </w:rPr>
              <w:t>Projekt ustawy przewiduje</w:t>
            </w:r>
            <w:r w:rsidR="00684A87" w:rsidRPr="00154E08">
              <w:rPr>
                <w:rFonts w:cs="Times New Roman"/>
                <w:sz w:val="22"/>
                <w:szCs w:val="22"/>
              </w:rPr>
              <w:t xml:space="preserve"> </w:t>
            </w:r>
            <w:r w:rsidR="00112CB2" w:rsidRPr="00154E08">
              <w:rPr>
                <w:rFonts w:cs="Times New Roman"/>
                <w:sz w:val="22"/>
                <w:szCs w:val="22"/>
              </w:rPr>
              <w:t xml:space="preserve">odpowiednie </w:t>
            </w:r>
            <w:r w:rsidR="009C0215" w:rsidRPr="00154E08">
              <w:rPr>
                <w:rFonts w:cs="Times New Roman"/>
                <w:sz w:val="22"/>
                <w:szCs w:val="22"/>
              </w:rPr>
              <w:t>zmiany</w:t>
            </w:r>
            <w:r w:rsidR="00684A87" w:rsidRPr="00154E08">
              <w:rPr>
                <w:rFonts w:cs="Times New Roman"/>
                <w:sz w:val="22"/>
                <w:szCs w:val="22"/>
              </w:rPr>
              <w:t xml:space="preserve"> </w:t>
            </w:r>
            <w:r w:rsidR="009C0215" w:rsidRPr="00154E08">
              <w:rPr>
                <w:rFonts w:cs="Times New Roman"/>
                <w:sz w:val="22"/>
                <w:szCs w:val="22"/>
              </w:rPr>
              <w:t xml:space="preserve">przepisów </w:t>
            </w:r>
            <w:r w:rsidR="00C7141F" w:rsidRPr="00154E08">
              <w:rPr>
                <w:rFonts w:cs="Times New Roman"/>
                <w:sz w:val="22"/>
                <w:szCs w:val="22"/>
              </w:rPr>
              <w:t xml:space="preserve">w tym zakresie w </w:t>
            </w:r>
            <w:r w:rsidR="00C7141F" w:rsidRPr="00154E08">
              <w:rPr>
                <w:rFonts w:eastAsia="Calibri" w:cs="Times New Roman"/>
                <w:spacing w:val="-2"/>
                <w:sz w:val="22"/>
                <w:szCs w:val="22"/>
              </w:rPr>
              <w:t xml:space="preserve">ustawie </w:t>
            </w:r>
            <w:r w:rsidR="00C7141F" w:rsidRPr="00154E08">
              <w:rPr>
                <w:rFonts w:cs="Times New Roman"/>
                <w:sz w:val="22"/>
                <w:szCs w:val="22"/>
              </w:rPr>
              <w:t>z dnia 25 sierpnia 2006 r. o biokomponentach i</w:t>
            </w:r>
            <w:r w:rsidR="00951ED9" w:rsidRPr="00154E08">
              <w:rPr>
                <w:rFonts w:cs="Times New Roman"/>
                <w:sz w:val="22"/>
                <w:szCs w:val="22"/>
              </w:rPr>
              <w:t> </w:t>
            </w:r>
            <w:r w:rsidR="00C7141F" w:rsidRPr="00154E08">
              <w:rPr>
                <w:rFonts w:cs="Times New Roman"/>
                <w:sz w:val="22"/>
                <w:szCs w:val="22"/>
              </w:rPr>
              <w:t>biopaliwach ciekłych</w:t>
            </w:r>
            <w:r w:rsidR="0094623F" w:rsidRPr="00154E08">
              <w:rPr>
                <w:rFonts w:cs="Times New Roman"/>
                <w:sz w:val="22"/>
                <w:szCs w:val="22"/>
              </w:rPr>
              <w:t>.</w:t>
            </w:r>
          </w:p>
          <w:p w14:paraId="58A2B234" w14:textId="178D50B1" w:rsidR="00C870C9" w:rsidRPr="00154E08" w:rsidRDefault="00C870C9" w:rsidP="00C870C9">
            <w:pPr>
              <w:spacing w:before="60" w:line="240" w:lineRule="auto"/>
              <w:contextualSpacing/>
              <w:jc w:val="both"/>
              <w:rPr>
                <w:rFonts w:cs="Times New Roman"/>
                <w:sz w:val="22"/>
                <w:szCs w:val="22"/>
              </w:rPr>
            </w:pPr>
            <w:r w:rsidRPr="00154E08">
              <w:rPr>
                <w:rFonts w:cs="Times New Roman"/>
                <w:sz w:val="22"/>
                <w:szCs w:val="22"/>
              </w:rPr>
              <w:t xml:space="preserve">Projektowane przepisy uwzględniają ponadto Rozporządzenie wykonawcze Komisji (UE) 2022/996 z dnia 14.06.2022 r. w sprawie zasad weryfikacji kryteriów zrównoważonego rozwoju i ograniczania emisji gazów cieplarnianych oraz kryteriów niskiego ryzyka spowodowania pośredniej zmiany użytkowania gruntów, wydane na podstawie art. 30 ust. 8 </w:t>
            </w:r>
            <w:r w:rsidR="00050B51">
              <w:rPr>
                <w:rFonts w:cs="Times New Roman"/>
                <w:sz w:val="22"/>
                <w:szCs w:val="22"/>
              </w:rPr>
              <w:t>d</w:t>
            </w:r>
            <w:r w:rsidRPr="00154E08">
              <w:rPr>
                <w:rFonts w:cs="Times New Roman"/>
                <w:sz w:val="22"/>
                <w:szCs w:val="22"/>
              </w:rPr>
              <w:t xml:space="preserve">yrektywy RED II. Rozporządzenie to stanowi, że jednostki certyfikujące prowadzące audyty w imieniu systemu dobrowolnego, tj. prowadzące działalność w zakresie wydawania certyfikatów na zgodność z KZR i kryteriami ograniczania emisji gazów cieplarnianych w odniesieniu do biopaliw, </w:t>
            </w:r>
            <w:proofErr w:type="spellStart"/>
            <w:r w:rsidRPr="00154E08">
              <w:rPr>
                <w:rFonts w:cs="Times New Roman"/>
                <w:sz w:val="22"/>
                <w:szCs w:val="22"/>
              </w:rPr>
              <w:t>biopłynów</w:t>
            </w:r>
            <w:proofErr w:type="spellEnd"/>
            <w:r w:rsidRPr="00154E08">
              <w:rPr>
                <w:rFonts w:cs="Times New Roman"/>
                <w:sz w:val="22"/>
                <w:szCs w:val="22"/>
              </w:rPr>
              <w:t xml:space="preserve"> i paliw z biomasy, mogą prowadzić taką działalność jedynie po uzyskaniu akredytacji krajowej jednostki akredytującej zgodnie z</w:t>
            </w:r>
            <w:r w:rsidR="008D2FC7" w:rsidRPr="00154E08">
              <w:rPr>
                <w:rFonts w:cs="Times New Roman"/>
                <w:sz w:val="22"/>
                <w:szCs w:val="22"/>
              </w:rPr>
              <w:t> </w:t>
            </w:r>
            <w:r w:rsidRPr="00154E08">
              <w:rPr>
                <w:rFonts w:cs="Times New Roman"/>
                <w:sz w:val="22"/>
                <w:szCs w:val="22"/>
              </w:rPr>
              <w:t>Rozporządzeniem Parlamentu Europejskiego i Rady (WE) nr 765/2008 z dnia 9 lipca 2008 r. ustanawiającym wymagania w zakresie akredytacji i nadzoru rynku odnoszące się do warunków wprowadzania produktów do obrotu i uchylającym rozporządzenie (EWG) nr 339/93. W związku z powyższym projekt przewiduje wprowadzenie obowiązku uzyskania odpowiedniego wpisu w rejestrze jednostek certyfikujących prowadzonym przez KOWR.</w:t>
            </w:r>
          </w:p>
          <w:p w14:paraId="0357C163" w14:textId="77777777" w:rsidR="00C870C9" w:rsidRPr="00154E08" w:rsidRDefault="00C870C9" w:rsidP="009B47F1">
            <w:pPr>
              <w:spacing w:before="60" w:line="240" w:lineRule="auto"/>
              <w:contextualSpacing/>
              <w:jc w:val="both"/>
              <w:rPr>
                <w:rFonts w:cs="Times New Roman"/>
                <w:sz w:val="22"/>
                <w:szCs w:val="22"/>
              </w:rPr>
            </w:pPr>
          </w:p>
          <w:p w14:paraId="5B05B871" w14:textId="361A62BB" w:rsidR="009B47F1" w:rsidRPr="00154E08" w:rsidRDefault="009B47F1" w:rsidP="009B47F1">
            <w:pPr>
              <w:spacing w:before="60" w:line="240" w:lineRule="auto"/>
              <w:contextualSpacing/>
              <w:jc w:val="both"/>
              <w:rPr>
                <w:rFonts w:cs="Times New Roman"/>
                <w:sz w:val="22"/>
                <w:szCs w:val="22"/>
                <w:u w:val="single"/>
              </w:rPr>
            </w:pPr>
            <w:r w:rsidRPr="00154E08">
              <w:rPr>
                <w:rFonts w:cs="Times New Roman"/>
                <w:sz w:val="22"/>
                <w:szCs w:val="22"/>
                <w:u w:val="single"/>
              </w:rPr>
              <w:t>Dokonanie korekt porządkowych lub dostosowawczych wynikających z potrzeby większej precyzji części przepisów</w:t>
            </w:r>
          </w:p>
          <w:p w14:paraId="269EC418" w14:textId="7DC72864" w:rsidR="009B47F1" w:rsidRPr="00154E08" w:rsidRDefault="009B47F1"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W projek</w:t>
            </w:r>
            <w:r w:rsidR="000373D3" w:rsidRPr="00154E08">
              <w:rPr>
                <w:rFonts w:eastAsia="Calibri" w:cs="Times New Roman"/>
                <w:color w:val="000000"/>
                <w:spacing w:val="-2"/>
                <w:sz w:val="22"/>
                <w:szCs w:val="22"/>
              </w:rPr>
              <w:t>cie</w:t>
            </w:r>
            <w:r w:rsidRPr="00154E08">
              <w:rPr>
                <w:rFonts w:eastAsia="Calibri" w:cs="Times New Roman"/>
                <w:color w:val="000000"/>
                <w:spacing w:val="-2"/>
                <w:sz w:val="22"/>
                <w:szCs w:val="22"/>
              </w:rPr>
              <w:t xml:space="preserve"> ustaw</w:t>
            </w:r>
            <w:r w:rsidR="000373D3" w:rsidRPr="00154E08">
              <w:rPr>
                <w:rFonts w:eastAsia="Calibri" w:cs="Times New Roman"/>
                <w:color w:val="000000"/>
                <w:spacing w:val="-2"/>
                <w:sz w:val="22"/>
                <w:szCs w:val="22"/>
              </w:rPr>
              <w:t>y</w:t>
            </w:r>
            <w:r w:rsidRPr="00154E08">
              <w:rPr>
                <w:rFonts w:eastAsia="Calibri" w:cs="Times New Roman"/>
                <w:color w:val="000000"/>
                <w:spacing w:val="-2"/>
                <w:sz w:val="22"/>
                <w:szCs w:val="22"/>
              </w:rPr>
              <w:t xml:space="preserve"> </w:t>
            </w:r>
            <w:r w:rsidR="00BF593C" w:rsidRPr="00154E08">
              <w:rPr>
                <w:rFonts w:eastAsia="Calibri" w:cs="Times New Roman"/>
                <w:color w:val="000000"/>
                <w:spacing w:val="-2"/>
                <w:sz w:val="22"/>
                <w:szCs w:val="22"/>
              </w:rPr>
              <w:t xml:space="preserve">zostaną </w:t>
            </w:r>
            <w:r w:rsidRPr="00154E08">
              <w:rPr>
                <w:rFonts w:eastAsia="Calibri" w:cs="Times New Roman"/>
                <w:color w:val="000000"/>
                <w:spacing w:val="-2"/>
                <w:sz w:val="22"/>
                <w:szCs w:val="22"/>
              </w:rPr>
              <w:t>dokonane także zmiany o charakterze porządkowym i</w:t>
            </w:r>
            <w:r w:rsidR="009E2D6F" w:rsidRPr="00154E08">
              <w:rPr>
                <w:rFonts w:eastAsia="Calibri" w:cs="Times New Roman"/>
                <w:color w:val="000000"/>
                <w:spacing w:val="-2"/>
                <w:sz w:val="22"/>
                <w:szCs w:val="22"/>
              </w:rPr>
              <w:t> </w:t>
            </w:r>
            <w:r w:rsidRPr="00154E08">
              <w:rPr>
                <w:rFonts w:eastAsia="Calibri" w:cs="Times New Roman"/>
                <w:color w:val="000000"/>
                <w:spacing w:val="-2"/>
                <w:sz w:val="22"/>
                <w:szCs w:val="22"/>
              </w:rPr>
              <w:t>dostosowawczym, w</w:t>
            </w:r>
            <w:r w:rsidR="008B50CC" w:rsidRPr="00154E08">
              <w:rPr>
                <w:rFonts w:eastAsia="Calibri" w:cs="Times New Roman"/>
                <w:color w:val="000000"/>
                <w:spacing w:val="-2"/>
                <w:sz w:val="22"/>
                <w:szCs w:val="22"/>
              </w:rPr>
              <w:t> </w:t>
            </w:r>
            <w:r w:rsidRPr="00154E08">
              <w:rPr>
                <w:rFonts w:eastAsia="Calibri" w:cs="Times New Roman"/>
                <w:color w:val="000000"/>
                <w:spacing w:val="-2"/>
                <w:sz w:val="22"/>
                <w:szCs w:val="22"/>
              </w:rPr>
              <w:t>tym dostosowane zostaną definicje takich pojęć</w:t>
            </w:r>
            <w:r w:rsidR="00BF593C"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jak</w:t>
            </w:r>
            <w:r w:rsidR="00815A47"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biomasa, odpady, uznan</w:t>
            </w:r>
            <w:r w:rsidR="00815A47" w:rsidRPr="00154E08">
              <w:rPr>
                <w:rFonts w:eastAsia="Calibri" w:cs="Times New Roman"/>
                <w:color w:val="000000"/>
                <w:spacing w:val="-2"/>
                <w:sz w:val="22"/>
                <w:szCs w:val="22"/>
              </w:rPr>
              <w:t>y</w:t>
            </w:r>
            <w:r w:rsidRPr="00154E08">
              <w:rPr>
                <w:rFonts w:eastAsia="Calibri" w:cs="Times New Roman"/>
                <w:color w:val="000000"/>
                <w:spacing w:val="-2"/>
                <w:sz w:val="22"/>
                <w:szCs w:val="22"/>
              </w:rPr>
              <w:t xml:space="preserve"> system certyfikacji czy certyfikat. W</w:t>
            </w:r>
            <w:r w:rsidR="00F64B5F" w:rsidRPr="00154E08">
              <w:rPr>
                <w:rFonts w:eastAsia="Calibri" w:cs="Times New Roman"/>
                <w:color w:val="000000"/>
                <w:spacing w:val="-2"/>
                <w:sz w:val="22"/>
                <w:szCs w:val="22"/>
              </w:rPr>
              <w:t> </w:t>
            </w:r>
            <w:r w:rsidRPr="00154E08">
              <w:rPr>
                <w:rFonts w:eastAsia="Calibri" w:cs="Times New Roman"/>
                <w:color w:val="000000"/>
                <w:spacing w:val="-2"/>
                <w:sz w:val="22"/>
                <w:szCs w:val="22"/>
              </w:rPr>
              <w:t>związku z poszerzeniem grupy produktów</w:t>
            </w:r>
            <w:r w:rsidR="00815A47"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które </w:t>
            </w:r>
            <w:r w:rsidR="00815A47" w:rsidRPr="00154E08">
              <w:rPr>
                <w:rFonts w:eastAsia="Calibri" w:cs="Times New Roman"/>
                <w:color w:val="000000"/>
                <w:spacing w:val="-2"/>
                <w:sz w:val="22"/>
                <w:szCs w:val="22"/>
              </w:rPr>
              <w:t xml:space="preserve">będą </w:t>
            </w:r>
            <w:r w:rsidRPr="00154E08">
              <w:rPr>
                <w:rFonts w:eastAsia="Calibri" w:cs="Times New Roman"/>
                <w:color w:val="000000"/>
                <w:spacing w:val="-2"/>
                <w:sz w:val="22"/>
                <w:szCs w:val="22"/>
              </w:rPr>
              <w:t>mog</w:t>
            </w:r>
            <w:r w:rsidR="00815A47" w:rsidRPr="00154E08">
              <w:rPr>
                <w:rFonts w:eastAsia="Calibri" w:cs="Times New Roman"/>
                <w:color w:val="000000"/>
                <w:spacing w:val="-2"/>
                <w:sz w:val="22"/>
                <w:szCs w:val="22"/>
              </w:rPr>
              <w:t>ły</w:t>
            </w:r>
            <w:r w:rsidRPr="00154E08">
              <w:rPr>
                <w:rFonts w:eastAsia="Calibri" w:cs="Times New Roman"/>
                <w:color w:val="000000"/>
                <w:spacing w:val="-2"/>
                <w:sz w:val="22"/>
                <w:szCs w:val="22"/>
              </w:rPr>
              <w:t xml:space="preserve"> zostać wzięte pod uwagę na poczet realizacji NCW</w:t>
            </w:r>
            <w:r w:rsidR="00BF593C"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w:t>
            </w:r>
            <w:r w:rsidR="00BF593C" w:rsidRPr="00154E08">
              <w:rPr>
                <w:rFonts w:eastAsia="Calibri" w:cs="Times New Roman"/>
                <w:color w:val="000000"/>
                <w:spacing w:val="-2"/>
                <w:sz w:val="22"/>
                <w:szCs w:val="22"/>
              </w:rPr>
              <w:t xml:space="preserve">była </w:t>
            </w:r>
            <w:r w:rsidRPr="00154E08">
              <w:rPr>
                <w:rFonts w:eastAsia="Calibri" w:cs="Times New Roman"/>
                <w:color w:val="000000"/>
                <w:spacing w:val="-2"/>
                <w:sz w:val="22"/>
                <w:szCs w:val="22"/>
              </w:rPr>
              <w:t>konieczna zmiana definicji samego NCW, a także wprowadzenie nowych definicji takich produktów</w:t>
            </w:r>
            <w:r w:rsidR="00BF593C"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jak</w:t>
            </w:r>
            <w:r w:rsidR="00815A47"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biokomponenty zaawansowane, </w:t>
            </w:r>
            <w:proofErr w:type="spellStart"/>
            <w:r w:rsidRPr="00154E08">
              <w:rPr>
                <w:rFonts w:eastAsia="Calibri" w:cs="Times New Roman"/>
                <w:color w:val="000000"/>
                <w:spacing w:val="-2"/>
                <w:sz w:val="22"/>
                <w:szCs w:val="22"/>
              </w:rPr>
              <w:t>biometan</w:t>
            </w:r>
            <w:proofErr w:type="spellEnd"/>
            <w:r w:rsidR="00815A47" w:rsidRPr="00154E08">
              <w:rPr>
                <w:rFonts w:eastAsia="Calibri" w:cs="Times New Roman"/>
                <w:color w:val="000000"/>
                <w:spacing w:val="-2"/>
                <w:sz w:val="22"/>
                <w:szCs w:val="22"/>
              </w:rPr>
              <w:t xml:space="preserve">, </w:t>
            </w:r>
            <w:r w:rsidRPr="00154E08">
              <w:rPr>
                <w:rFonts w:eastAsia="Calibri" w:cs="Times New Roman"/>
                <w:color w:val="000000"/>
                <w:spacing w:val="-2"/>
                <w:sz w:val="22"/>
                <w:szCs w:val="22"/>
              </w:rPr>
              <w:t>paliwa węglowe pochodzące z recyklingu</w:t>
            </w:r>
            <w:r w:rsidR="00815A47" w:rsidRPr="00154E08">
              <w:rPr>
                <w:rFonts w:eastAsia="Calibri" w:cs="Times New Roman"/>
                <w:color w:val="000000"/>
                <w:spacing w:val="-2"/>
                <w:sz w:val="22"/>
                <w:szCs w:val="22"/>
              </w:rPr>
              <w:t xml:space="preserve"> czy energia elektryczna ze</w:t>
            </w:r>
            <w:r w:rsidR="007B3582" w:rsidRPr="00154E08">
              <w:rPr>
                <w:rFonts w:eastAsia="Calibri" w:cs="Times New Roman"/>
                <w:color w:val="000000"/>
                <w:spacing w:val="-2"/>
                <w:sz w:val="22"/>
                <w:szCs w:val="22"/>
              </w:rPr>
              <w:t> </w:t>
            </w:r>
            <w:r w:rsidR="00815A47" w:rsidRPr="00154E08">
              <w:rPr>
                <w:rFonts w:eastAsia="Calibri" w:cs="Times New Roman"/>
                <w:color w:val="000000"/>
                <w:spacing w:val="-2"/>
                <w:sz w:val="22"/>
                <w:szCs w:val="22"/>
              </w:rPr>
              <w:t>źródeł OZE.</w:t>
            </w:r>
          </w:p>
          <w:p w14:paraId="2594E63E" w14:textId="7160731D" w:rsidR="009B2FFE" w:rsidRPr="00154E08" w:rsidRDefault="009B47F1"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Zostaną </w:t>
            </w:r>
            <w:r w:rsidR="00BF593C" w:rsidRPr="00154E08">
              <w:rPr>
                <w:rFonts w:eastAsia="Calibri" w:cs="Times New Roman"/>
                <w:color w:val="000000"/>
                <w:spacing w:val="-2"/>
                <w:sz w:val="22"/>
                <w:szCs w:val="22"/>
              </w:rPr>
              <w:t xml:space="preserve">również </w:t>
            </w:r>
            <w:r w:rsidRPr="00154E08">
              <w:rPr>
                <w:rFonts w:eastAsia="Calibri" w:cs="Times New Roman"/>
                <w:color w:val="000000"/>
                <w:spacing w:val="-2"/>
                <w:sz w:val="22"/>
                <w:szCs w:val="22"/>
              </w:rPr>
              <w:t xml:space="preserve">zmienione załączniki do ustawy </w:t>
            </w:r>
            <w:r w:rsidR="000373D3" w:rsidRPr="00154E08">
              <w:rPr>
                <w:rFonts w:eastAsia="Calibri" w:cs="Times New Roman"/>
                <w:color w:val="000000"/>
                <w:spacing w:val="-2"/>
                <w:sz w:val="22"/>
                <w:szCs w:val="22"/>
              </w:rPr>
              <w:t>z dnia 25 sierpnia 2006 r. o biokomponentach i</w:t>
            </w:r>
            <w:r w:rsidR="009E2D6F" w:rsidRPr="00154E08">
              <w:rPr>
                <w:rFonts w:eastAsia="Calibri" w:cs="Times New Roman"/>
                <w:color w:val="000000"/>
                <w:spacing w:val="-2"/>
                <w:sz w:val="22"/>
                <w:szCs w:val="22"/>
              </w:rPr>
              <w:t> </w:t>
            </w:r>
            <w:r w:rsidR="000373D3" w:rsidRPr="00154E08">
              <w:rPr>
                <w:rFonts w:eastAsia="Calibri" w:cs="Times New Roman"/>
                <w:color w:val="000000"/>
                <w:spacing w:val="-2"/>
                <w:sz w:val="22"/>
                <w:szCs w:val="22"/>
              </w:rPr>
              <w:t>biopaliwach ciekłych</w:t>
            </w:r>
            <w:r w:rsidRPr="00154E08">
              <w:rPr>
                <w:rFonts w:eastAsia="Calibri" w:cs="Times New Roman"/>
                <w:color w:val="000000"/>
                <w:spacing w:val="-2"/>
                <w:sz w:val="22"/>
                <w:szCs w:val="22"/>
              </w:rPr>
              <w:t>, dostosowując</w:t>
            </w:r>
            <w:r w:rsidR="000373D3" w:rsidRPr="00154E08">
              <w:rPr>
                <w:rFonts w:eastAsia="Calibri" w:cs="Times New Roman"/>
                <w:color w:val="000000"/>
                <w:spacing w:val="-2"/>
                <w:sz w:val="22"/>
                <w:szCs w:val="22"/>
              </w:rPr>
              <w:t>e</w:t>
            </w:r>
            <w:r w:rsidRPr="00154E08">
              <w:rPr>
                <w:rFonts w:eastAsia="Calibri" w:cs="Times New Roman"/>
                <w:color w:val="000000"/>
                <w:spacing w:val="-2"/>
                <w:sz w:val="22"/>
                <w:szCs w:val="22"/>
              </w:rPr>
              <w:t xml:space="preserve"> je do następujących zmian wprowadzonych </w:t>
            </w:r>
            <w:r w:rsidR="000373D3" w:rsidRPr="00154E08">
              <w:rPr>
                <w:rFonts w:eastAsia="Calibri" w:cs="Times New Roman"/>
                <w:color w:val="000000"/>
                <w:spacing w:val="-2"/>
                <w:sz w:val="22"/>
                <w:szCs w:val="22"/>
              </w:rPr>
              <w:t>w</w:t>
            </w:r>
            <w:r w:rsidR="00684A87" w:rsidRPr="00154E08">
              <w:rPr>
                <w:rFonts w:eastAsia="Calibri" w:cs="Times New Roman"/>
                <w:color w:val="000000"/>
                <w:spacing w:val="-2"/>
                <w:sz w:val="22"/>
                <w:szCs w:val="22"/>
              </w:rPr>
              <w:t xml:space="preserve"> </w:t>
            </w:r>
            <w:r w:rsidR="000373D3" w:rsidRPr="00154E08">
              <w:rPr>
                <w:rFonts w:eastAsia="Calibri" w:cs="Times New Roman"/>
                <w:color w:val="000000"/>
                <w:spacing w:val="-2"/>
                <w:sz w:val="22"/>
                <w:szCs w:val="22"/>
              </w:rPr>
              <w:t xml:space="preserve">dyrektywie </w:t>
            </w:r>
            <w:r w:rsidRPr="00154E08">
              <w:rPr>
                <w:rFonts w:eastAsia="Calibri" w:cs="Times New Roman"/>
                <w:color w:val="000000"/>
                <w:spacing w:val="-2"/>
                <w:sz w:val="22"/>
                <w:szCs w:val="22"/>
              </w:rPr>
              <w:t xml:space="preserve">REDII w stosunku do </w:t>
            </w:r>
            <w:r w:rsidR="000373D3" w:rsidRPr="00154E08">
              <w:rPr>
                <w:rFonts w:eastAsia="Calibri" w:cs="Times New Roman"/>
                <w:color w:val="000000"/>
                <w:spacing w:val="-2"/>
                <w:sz w:val="22"/>
                <w:szCs w:val="22"/>
              </w:rPr>
              <w:t xml:space="preserve">dyrektywy </w:t>
            </w:r>
            <w:r w:rsidRPr="00154E08">
              <w:rPr>
                <w:rFonts w:eastAsia="Calibri" w:cs="Times New Roman"/>
                <w:color w:val="000000"/>
                <w:spacing w:val="-2"/>
                <w:sz w:val="22"/>
                <w:szCs w:val="22"/>
              </w:rPr>
              <w:t xml:space="preserve">RED: </w:t>
            </w:r>
          </w:p>
          <w:p w14:paraId="6F57FD50" w14:textId="094282DB" w:rsidR="009B2FFE" w:rsidRPr="00154E08" w:rsidRDefault="009B2FFE"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 – załącznik </w:t>
            </w:r>
            <w:r w:rsidR="00E837BC" w:rsidRPr="00154E08">
              <w:rPr>
                <w:rFonts w:eastAsia="Calibri" w:cs="Times New Roman"/>
                <w:color w:val="000000"/>
                <w:spacing w:val="-2"/>
                <w:sz w:val="22"/>
                <w:szCs w:val="22"/>
              </w:rPr>
              <w:t>1</w:t>
            </w:r>
            <w:r w:rsidRPr="00154E08">
              <w:rPr>
                <w:rFonts w:eastAsia="Calibri" w:cs="Times New Roman"/>
                <w:color w:val="000000"/>
                <w:spacing w:val="-2"/>
                <w:sz w:val="22"/>
                <w:szCs w:val="22"/>
              </w:rPr>
              <w:t xml:space="preserve"> – zaktualizowany zgodnie z załącznikiem IX do dyrektywy REDII,</w:t>
            </w:r>
          </w:p>
          <w:p w14:paraId="58E47A07" w14:textId="1B5938FE" w:rsidR="009B47F1" w:rsidRPr="00154E08" w:rsidRDefault="00684A87"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 –</w:t>
            </w:r>
            <w:r w:rsidR="00F56D33" w:rsidRPr="00154E08">
              <w:rPr>
                <w:rFonts w:eastAsia="Calibri" w:cs="Times New Roman"/>
                <w:color w:val="000000"/>
                <w:spacing w:val="-2"/>
                <w:sz w:val="22"/>
                <w:szCs w:val="22"/>
              </w:rPr>
              <w:t> </w:t>
            </w:r>
            <w:r w:rsidR="009B47F1" w:rsidRPr="00154E08">
              <w:rPr>
                <w:rFonts w:eastAsia="Calibri" w:cs="Times New Roman"/>
                <w:color w:val="000000"/>
                <w:spacing w:val="-2"/>
                <w:sz w:val="22"/>
                <w:szCs w:val="22"/>
              </w:rPr>
              <w:t xml:space="preserve">załącznik </w:t>
            </w:r>
            <w:r w:rsidR="00E837BC" w:rsidRPr="00154E08">
              <w:rPr>
                <w:rFonts w:eastAsia="Calibri" w:cs="Times New Roman"/>
                <w:color w:val="000000"/>
                <w:spacing w:val="-2"/>
                <w:sz w:val="22"/>
                <w:szCs w:val="22"/>
              </w:rPr>
              <w:t>2</w:t>
            </w:r>
            <w:r w:rsidR="009B47F1" w:rsidRPr="00154E08">
              <w:rPr>
                <w:rFonts w:eastAsia="Calibri" w:cs="Times New Roman"/>
                <w:color w:val="000000"/>
                <w:spacing w:val="-2"/>
                <w:sz w:val="22"/>
                <w:szCs w:val="22"/>
              </w:rPr>
              <w:t xml:space="preserve"> – zaktualizowany zgodnie z załącznikiem V </w:t>
            </w:r>
            <w:r w:rsidR="00BF593C" w:rsidRPr="00154E08">
              <w:rPr>
                <w:rFonts w:eastAsia="Calibri" w:cs="Times New Roman"/>
                <w:color w:val="000000"/>
                <w:spacing w:val="-2"/>
                <w:sz w:val="22"/>
                <w:szCs w:val="22"/>
              </w:rPr>
              <w:t xml:space="preserve">do </w:t>
            </w:r>
            <w:r w:rsidR="000373D3" w:rsidRPr="00154E08">
              <w:rPr>
                <w:rFonts w:eastAsia="Calibri" w:cs="Times New Roman"/>
                <w:color w:val="000000"/>
                <w:spacing w:val="-2"/>
                <w:sz w:val="22"/>
                <w:szCs w:val="22"/>
              </w:rPr>
              <w:t xml:space="preserve">dyrektywy </w:t>
            </w:r>
            <w:r w:rsidR="009B47F1" w:rsidRPr="00154E08">
              <w:rPr>
                <w:rFonts w:eastAsia="Calibri" w:cs="Times New Roman"/>
                <w:color w:val="000000"/>
                <w:spacing w:val="-2"/>
                <w:sz w:val="22"/>
                <w:szCs w:val="22"/>
              </w:rPr>
              <w:t xml:space="preserve">REDII, </w:t>
            </w:r>
          </w:p>
          <w:p w14:paraId="1663905A" w14:textId="2CF678FB" w:rsidR="002E3C4B" w:rsidRPr="00154E08" w:rsidRDefault="00684A87"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 –</w:t>
            </w:r>
            <w:r w:rsidR="00F56D33" w:rsidRPr="00154E08">
              <w:rPr>
                <w:rFonts w:eastAsia="Calibri" w:cs="Times New Roman"/>
                <w:color w:val="000000"/>
                <w:spacing w:val="-2"/>
                <w:sz w:val="22"/>
                <w:szCs w:val="22"/>
              </w:rPr>
              <w:t> </w:t>
            </w:r>
            <w:r w:rsidR="00D132BF" w:rsidRPr="00154E08">
              <w:rPr>
                <w:rFonts w:eastAsia="Calibri" w:cs="Times New Roman"/>
                <w:color w:val="000000"/>
                <w:spacing w:val="-2"/>
                <w:sz w:val="22"/>
                <w:szCs w:val="22"/>
              </w:rPr>
              <w:t>załącznik</w:t>
            </w:r>
            <w:r w:rsidR="009B47F1" w:rsidRPr="00154E08">
              <w:rPr>
                <w:rFonts w:eastAsia="Calibri" w:cs="Times New Roman"/>
                <w:color w:val="000000"/>
                <w:spacing w:val="-2"/>
                <w:sz w:val="22"/>
                <w:szCs w:val="22"/>
              </w:rPr>
              <w:t xml:space="preserve"> </w:t>
            </w:r>
            <w:r w:rsidR="00E837BC" w:rsidRPr="00154E08">
              <w:rPr>
                <w:rFonts w:eastAsia="Calibri" w:cs="Times New Roman"/>
                <w:color w:val="000000"/>
                <w:spacing w:val="-2"/>
                <w:sz w:val="22"/>
                <w:szCs w:val="22"/>
              </w:rPr>
              <w:t>3</w:t>
            </w:r>
            <w:r w:rsidR="009B47F1" w:rsidRPr="00154E08">
              <w:rPr>
                <w:rFonts w:eastAsia="Calibri" w:cs="Times New Roman"/>
                <w:color w:val="000000"/>
                <w:spacing w:val="-2"/>
                <w:sz w:val="22"/>
                <w:szCs w:val="22"/>
              </w:rPr>
              <w:t xml:space="preserve"> – </w:t>
            </w:r>
            <w:r w:rsidR="002E3C4B" w:rsidRPr="00154E08">
              <w:rPr>
                <w:rFonts w:eastAsia="Calibri" w:cs="Times New Roman"/>
                <w:color w:val="000000"/>
                <w:spacing w:val="-2"/>
                <w:sz w:val="22"/>
                <w:szCs w:val="22"/>
              </w:rPr>
              <w:t>implementujący</w:t>
            </w:r>
            <w:r w:rsidR="009E2D6F" w:rsidRPr="00154E08">
              <w:rPr>
                <w:rFonts w:eastAsia="Calibri" w:cs="Times New Roman"/>
                <w:color w:val="000000"/>
                <w:spacing w:val="-2"/>
                <w:sz w:val="22"/>
                <w:szCs w:val="22"/>
              </w:rPr>
              <w:t> </w:t>
            </w:r>
            <w:r w:rsidR="009B47F1" w:rsidRPr="00154E08">
              <w:rPr>
                <w:rFonts w:eastAsia="Calibri" w:cs="Times New Roman"/>
                <w:color w:val="000000"/>
                <w:spacing w:val="-2"/>
                <w:sz w:val="22"/>
                <w:szCs w:val="22"/>
              </w:rPr>
              <w:t xml:space="preserve">załącznik VIII </w:t>
            </w:r>
            <w:r w:rsidR="000373D3" w:rsidRPr="00154E08">
              <w:rPr>
                <w:rFonts w:eastAsia="Calibri" w:cs="Times New Roman"/>
                <w:color w:val="000000"/>
                <w:spacing w:val="-2"/>
                <w:sz w:val="22"/>
                <w:szCs w:val="22"/>
              </w:rPr>
              <w:t xml:space="preserve">dyrektywy </w:t>
            </w:r>
            <w:r w:rsidR="009B47F1" w:rsidRPr="00154E08">
              <w:rPr>
                <w:rFonts w:eastAsia="Calibri" w:cs="Times New Roman"/>
                <w:color w:val="000000"/>
                <w:spacing w:val="-2"/>
                <w:sz w:val="22"/>
                <w:szCs w:val="22"/>
              </w:rPr>
              <w:t xml:space="preserve">REDII. </w:t>
            </w:r>
          </w:p>
          <w:p w14:paraId="3F358173" w14:textId="64FFA955" w:rsidR="001241E9" w:rsidRPr="00154E08" w:rsidRDefault="009B47F1" w:rsidP="00B279FD">
            <w:pPr>
              <w:spacing w:after="120" w:line="240" w:lineRule="auto"/>
              <w:contextualSpacing/>
              <w:jc w:val="both"/>
              <w:rPr>
                <w:rFonts w:eastAsia="Calibri" w:cs="Times New Roman"/>
                <w:i/>
                <w:iCs/>
                <w:color w:val="000000"/>
                <w:spacing w:val="-2"/>
                <w:sz w:val="22"/>
                <w:szCs w:val="22"/>
              </w:rPr>
            </w:pPr>
            <w:r w:rsidRPr="00154E08">
              <w:rPr>
                <w:rFonts w:eastAsia="Calibri" w:cs="Times New Roman"/>
                <w:color w:val="000000"/>
                <w:spacing w:val="-2"/>
                <w:sz w:val="22"/>
                <w:szCs w:val="22"/>
              </w:rPr>
              <w:t xml:space="preserve">W związku z koniecznością zapewnienia stosowania KZR oraz </w:t>
            </w:r>
            <w:r w:rsidR="00CE4C7A" w:rsidRPr="00154E08">
              <w:rPr>
                <w:rFonts w:eastAsia="Calibri" w:cs="Times New Roman"/>
                <w:color w:val="000000"/>
                <w:spacing w:val="-2"/>
                <w:sz w:val="22"/>
                <w:szCs w:val="22"/>
              </w:rPr>
              <w:t xml:space="preserve">kryteriów </w:t>
            </w:r>
            <w:r w:rsidRPr="00154E08">
              <w:rPr>
                <w:rFonts w:eastAsia="Calibri" w:cs="Times New Roman"/>
                <w:color w:val="000000"/>
                <w:spacing w:val="-2"/>
                <w:sz w:val="22"/>
                <w:szCs w:val="22"/>
              </w:rPr>
              <w:t xml:space="preserve">ograniczeń emisji gazów cieplarnianych w odniesieniu do paliw z biomasy </w:t>
            </w:r>
            <w:r w:rsidR="00BF593C" w:rsidRPr="00154E08">
              <w:rPr>
                <w:rFonts w:eastAsia="Calibri" w:cs="Times New Roman"/>
                <w:color w:val="000000"/>
                <w:spacing w:val="-2"/>
                <w:sz w:val="22"/>
                <w:szCs w:val="22"/>
              </w:rPr>
              <w:t xml:space="preserve">było </w:t>
            </w:r>
            <w:r w:rsidRPr="00154E08">
              <w:rPr>
                <w:rFonts w:eastAsia="Calibri" w:cs="Times New Roman"/>
                <w:color w:val="000000"/>
                <w:spacing w:val="-2"/>
                <w:sz w:val="22"/>
                <w:szCs w:val="22"/>
              </w:rPr>
              <w:t xml:space="preserve">konieczne dodanie do ustawy </w:t>
            </w:r>
            <w:r w:rsidR="002E3C4B" w:rsidRPr="00154E08">
              <w:rPr>
                <w:rFonts w:eastAsia="Calibri" w:cs="Times New Roman"/>
                <w:color w:val="000000"/>
                <w:spacing w:val="-2"/>
                <w:sz w:val="22"/>
                <w:szCs w:val="22"/>
              </w:rPr>
              <w:t xml:space="preserve">o odnawialnych źródłach energii </w:t>
            </w:r>
            <w:r w:rsidRPr="00154E08">
              <w:rPr>
                <w:rFonts w:eastAsia="Calibri" w:cs="Times New Roman"/>
                <w:color w:val="000000"/>
                <w:spacing w:val="-2"/>
                <w:sz w:val="22"/>
                <w:szCs w:val="22"/>
              </w:rPr>
              <w:t xml:space="preserve">nowego załącznika dotyczącego zasad obliczania wpływu paliw z biomasy </w:t>
            </w:r>
            <w:r w:rsidR="00815A47" w:rsidRPr="00154E08">
              <w:rPr>
                <w:rFonts w:eastAsia="Calibri" w:cs="Times New Roman"/>
                <w:color w:val="000000"/>
                <w:spacing w:val="-2"/>
                <w:sz w:val="22"/>
                <w:szCs w:val="22"/>
              </w:rPr>
              <w:t xml:space="preserve">względem </w:t>
            </w:r>
            <w:r w:rsidRPr="00154E08">
              <w:rPr>
                <w:rFonts w:eastAsia="Calibri" w:cs="Times New Roman"/>
                <w:color w:val="000000"/>
                <w:spacing w:val="-2"/>
                <w:sz w:val="22"/>
                <w:szCs w:val="22"/>
              </w:rPr>
              <w:t>ich odpowiedników kopalnych</w:t>
            </w:r>
            <w:r w:rsidR="00815A47" w:rsidRPr="00154E08">
              <w:rPr>
                <w:rFonts w:eastAsia="Calibri" w:cs="Times New Roman"/>
                <w:color w:val="000000"/>
                <w:spacing w:val="-2"/>
                <w:sz w:val="22"/>
                <w:szCs w:val="22"/>
              </w:rPr>
              <w:t>,</w:t>
            </w:r>
            <w:r w:rsidRPr="00154E08">
              <w:rPr>
                <w:rFonts w:eastAsia="Calibri" w:cs="Times New Roman"/>
                <w:color w:val="000000"/>
                <w:spacing w:val="-2"/>
                <w:sz w:val="22"/>
                <w:szCs w:val="22"/>
              </w:rPr>
              <w:t xml:space="preserve"> na emisję gazów cieplarnianych (załącznik VI </w:t>
            </w:r>
            <w:r w:rsidR="00BF593C" w:rsidRPr="00154E08">
              <w:rPr>
                <w:rFonts w:eastAsia="Calibri" w:cs="Times New Roman"/>
                <w:color w:val="000000"/>
                <w:spacing w:val="-2"/>
                <w:sz w:val="22"/>
                <w:szCs w:val="22"/>
              </w:rPr>
              <w:t xml:space="preserve">do </w:t>
            </w:r>
            <w:r w:rsidR="00CE4639" w:rsidRPr="00154E08">
              <w:rPr>
                <w:rFonts w:eastAsia="Calibri" w:cs="Times New Roman"/>
                <w:color w:val="000000"/>
                <w:spacing w:val="-2"/>
                <w:sz w:val="22"/>
                <w:szCs w:val="22"/>
              </w:rPr>
              <w:t xml:space="preserve">dyrektywy </w:t>
            </w:r>
            <w:r w:rsidRPr="00154E08">
              <w:rPr>
                <w:rFonts w:eastAsia="Calibri" w:cs="Times New Roman"/>
                <w:color w:val="000000"/>
                <w:spacing w:val="-2"/>
                <w:sz w:val="22"/>
                <w:szCs w:val="22"/>
              </w:rPr>
              <w:t xml:space="preserve">REDII). </w:t>
            </w:r>
          </w:p>
          <w:p w14:paraId="3E966044" w14:textId="370AE4B5" w:rsidR="008B50CC" w:rsidRPr="00154E08" w:rsidRDefault="00CE4639"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Przyjęte w</w:t>
            </w:r>
            <w:r w:rsidRPr="00154E08">
              <w:rPr>
                <w:rFonts w:eastAsia="Calibri" w:cs="Times New Roman"/>
                <w:i/>
                <w:iCs/>
                <w:color w:val="000000"/>
                <w:spacing w:val="-2"/>
                <w:sz w:val="22"/>
                <w:szCs w:val="22"/>
              </w:rPr>
              <w:t xml:space="preserve"> </w:t>
            </w:r>
            <w:r w:rsidRPr="00154E08">
              <w:rPr>
                <w:rFonts w:eastAsia="Calibri" w:cs="Times New Roman"/>
                <w:color w:val="000000"/>
                <w:spacing w:val="-2"/>
                <w:sz w:val="22"/>
                <w:szCs w:val="22"/>
              </w:rPr>
              <w:t>projekcie ustawy</w:t>
            </w:r>
            <w:r w:rsidRPr="00154E08">
              <w:rPr>
                <w:rFonts w:eastAsia="Calibri" w:cs="Times New Roman"/>
                <w:i/>
                <w:iCs/>
                <w:color w:val="000000"/>
                <w:spacing w:val="-2"/>
                <w:sz w:val="22"/>
                <w:szCs w:val="22"/>
              </w:rPr>
              <w:t xml:space="preserve"> </w:t>
            </w:r>
            <w:r w:rsidRPr="00154E08">
              <w:rPr>
                <w:rFonts w:eastAsia="Calibri" w:cs="Times New Roman"/>
                <w:color w:val="000000"/>
                <w:spacing w:val="-2"/>
                <w:sz w:val="22"/>
                <w:szCs w:val="22"/>
              </w:rPr>
              <w:t>rozwiązania</w:t>
            </w:r>
            <w:r w:rsidRPr="00154E08">
              <w:rPr>
                <w:rFonts w:eastAsia="Calibri" w:cs="Times New Roman"/>
                <w:i/>
                <w:iCs/>
                <w:color w:val="000000"/>
                <w:spacing w:val="-2"/>
                <w:sz w:val="22"/>
                <w:szCs w:val="22"/>
              </w:rPr>
              <w:t xml:space="preserve"> </w:t>
            </w:r>
            <w:r w:rsidR="005170D1" w:rsidRPr="00154E08">
              <w:rPr>
                <w:rFonts w:eastAsia="Calibri" w:cs="Times New Roman"/>
                <w:color w:val="000000"/>
                <w:spacing w:val="-2"/>
                <w:sz w:val="22"/>
                <w:szCs w:val="22"/>
              </w:rPr>
              <w:t>są zgodne z kierunkiem rozwoju i</w:t>
            </w:r>
            <w:r w:rsidR="009E2D6F" w:rsidRPr="00154E08">
              <w:rPr>
                <w:rFonts w:eastAsia="Calibri" w:cs="Times New Roman"/>
                <w:color w:val="000000"/>
                <w:spacing w:val="-2"/>
                <w:sz w:val="22"/>
                <w:szCs w:val="22"/>
              </w:rPr>
              <w:t> </w:t>
            </w:r>
            <w:r w:rsidR="005170D1" w:rsidRPr="00154E08">
              <w:rPr>
                <w:rFonts w:eastAsia="Calibri" w:cs="Times New Roman"/>
                <w:color w:val="000000"/>
                <w:spacing w:val="-2"/>
                <w:sz w:val="22"/>
                <w:szCs w:val="22"/>
              </w:rPr>
              <w:t>ewolucji rynk</w:t>
            </w:r>
            <w:r w:rsidR="00136E01" w:rsidRPr="00154E08">
              <w:rPr>
                <w:rFonts w:eastAsia="Calibri" w:cs="Times New Roman"/>
                <w:color w:val="000000"/>
                <w:spacing w:val="-2"/>
                <w:sz w:val="22"/>
                <w:szCs w:val="22"/>
              </w:rPr>
              <w:t>u</w:t>
            </w:r>
            <w:r w:rsidR="005170D1" w:rsidRPr="00154E08">
              <w:rPr>
                <w:rFonts w:eastAsia="Calibri" w:cs="Times New Roman"/>
                <w:color w:val="000000"/>
                <w:spacing w:val="-2"/>
                <w:sz w:val="22"/>
                <w:szCs w:val="22"/>
              </w:rPr>
              <w:t xml:space="preserve"> U</w:t>
            </w:r>
            <w:r w:rsidRPr="00154E08">
              <w:rPr>
                <w:rFonts w:eastAsia="Calibri" w:cs="Times New Roman"/>
                <w:color w:val="000000"/>
                <w:spacing w:val="-2"/>
                <w:sz w:val="22"/>
                <w:szCs w:val="22"/>
              </w:rPr>
              <w:t xml:space="preserve">nii </w:t>
            </w:r>
            <w:r w:rsidR="005170D1" w:rsidRPr="00154E08">
              <w:rPr>
                <w:rFonts w:eastAsia="Calibri" w:cs="Times New Roman"/>
                <w:color w:val="000000"/>
                <w:spacing w:val="-2"/>
                <w:sz w:val="22"/>
                <w:szCs w:val="22"/>
              </w:rPr>
              <w:t>E</w:t>
            </w:r>
            <w:r w:rsidRPr="00154E08">
              <w:rPr>
                <w:rFonts w:eastAsia="Calibri" w:cs="Times New Roman"/>
                <w:color w:val="000000"/>
                <w:spacing w:val="-2"/>
                <w:sz w:val="22"/>
                <w:szCs w:val="22"/>
              </w:rPr>
              <w:t>uropejskiej</w:t>
            </w:r>
            <w:r w:rsidR="005170D1" w:rsidRPr="00154E08">
              <w:rPr>
                <w:rFonts w:eastAsia="Calibri" w:cs="Times New Roman"/>
                <w:color w:val="000000"/>
                <w:spacing w:val="-2"/>
                <w:sz w:val="22"/>
                <w:szCs w:val="22"/>
              </w:rPr>
              <w:t xml:space="preserve">, sygnalizują kierunki koniecznych krajowych inwestycji, </w:t>
            </w:r>
            <w:r w:rsidR="003B11DC" w:rsidRPr="00154E08">
              <w:rPr>
                <w:rFonts w:eastAsia="Calibri" w:cs="Times New Roman"/>
                <w:color w:val="000000"/>
                <w:spacing w:val="-2"/>
                <w:sz w:val="22"/>
                <w:szCs w:val="22"/>
              </w:rPr>
              <w:t xml:space="preserve">np. </w:t>
            </w:r>
            <w:r w:rsidR="005170D1" w:rsidRPr="00154E08">
              <w:rPr>
                <w:rFonts w:eastAsia="Calibri" w:cs="Times New Roman"/>
                <w:color w:val="000000"/>
                <w:spacing w:val="-2"/>
                <w:sz w:val="22"/>
                <w:szCs w:val="22"/>
              </w:rPr>
              <w:t xml:space="preserve">w </w:t>
            </w:r>
            <w:r w:rsidR="008C60D1" w:rsidRPr="00154E08">
              <w:rPr>
                <w:rFonts w:eastAsia="Calibri" w:cs="Times New Roman"/>
                <w:color w:val="000000"/>
                <w:spacing w:val="-2"/>
                <w:sz w:val="22"/>
                <w:szCs w:val="22"/>
              </w:rPr>
              <w:t xml:space="preserve">obszarze </w:t>
            </w:r>
            <w:r w:rsidR="005170D1" w:rsidRPr="00154E08">
              <w:rPr>
                <w:rFonts w:eastAsia="Calibri" w:cs="Times New Roman"/>
                <w:color w:val="000000"/>
                <w:spacing w:val="-2"/>
                <w:sz w:val="22"/>
                <w:szCs w:val="22"/>
              </w:rPr>
              <w:t>wykorzystania na cele transportowe</w:t>
            </w:r>
            <w:r w:rsidR="005170D1" w:rsidRPr="00154E08">
              <w:rPr>
                <w:rFonts w:eastAsia="Calibri" w:cs="Times New Roman"/>
                <w:i/>
                <w:iCs/>
                <w:color w:val="000000"/>
                <w:spacing w:val="-2"/>
                <w:sz w:val="22"/>
                <w:szCs w:val="22"/>
              </w:rPr>
              <w:t xml:space="preserve"> </w:t>
            </w:r>
            <w:proofErr w:type="spellStart"/>
            <w:r w:rsidR="005170D1" w:rsidRPr="00154E08">
              <w:rPr>
                <w:rFonts w:eastAsia="Calibri" w:cs="Times New Roman"/>
                <w:color w:val="000000"/>
                <w:spacing w:val="-2"/>
                <w:sz w:val="22"/>
                <w:szCs w:val="22"/>
              </w:rPr>
              <w:t>biometanu</w:t>
            </w:r>
            <w:proofErr w:type="spellEnd"/>
            <w:r w:rsidR="002E57E0" w:rsidRPr="00154E08">
              <w:rPr>
                <w:rFonts w:eastAsia="Calibri" w:cs="Times New Roman"/>
                <w:color w:val="000000"/>
                <w:spacing w:val="-2"/>
                <w:sz w:val="22"/>
                <w:szCs w:val="22"/>
              </w:rPr>
              <w:t xml:space="preserve"> oraz</w:t>
            </w:r>
            <w:r w:rsidR="005170D1" w:rsidRPr="00154E08">
              <w:rPr>
                <w:rFonts w:eastAsia="Calibri" w:cs="Times New Roman"/>
                <w:color w:val="000000"/>
                <w:spacing w:val="-2"/>
                <w:sz w:val="22"/>
                <w:szCs w:val="22"/>
              </w:rPr>
              <w:t xml:space="preserve"> energii elektrycznej ze źródeł odnawialnych, </w:t>
            </w:r>
            <w:r w:rsidR="002E57E0" w:rsidRPr="00154E08">
              <w:rPr>
                <w:rFonts w:eastAsia="Calibri" w:cs="Times New Roman"/>
                <w:color w:val="000000"/>
                <w:spacing w:val="-2"/>
                <w:sz w:val="22"/>
                <w:szCs w:val="22"/>
              </w:rPr>
              <w:t xml:space="preserve">a także </w:t>
            </w:r>
            <w:r w:rsidR="000B1308" w:rsidRPr="00154E08">
              <w:rPr>
                <w:rFonts w:eastAsia="Calibri" w:cs="Times New Roman"/>
                <w:color w:val="000000"/>
                <w:spacing w:val="-2"/>
                <w:sz w:val="22"/>
                <w:szCs w:val="22"/>
              </w:rPr>
              <w:t xml:space="preserve">wdrażają </w:t>
            </w:r>
            <w:r w:rsidR="00C07225" w:rsidRPr="00154E08">
              <w:rPr>
                <w:rFonts w:eastAsia="Calibri" w:cs="Times New Roman"/>
                <w:color w:val="000000"/>
                <w:spacing w:val="-2"/>
                <w:sz w:val="22"/>
                <w:szCs w:val="22"/>
              </w:rPr>
              <w:t xml:space="preserve">w pełni postanowienia przepisów </w:t>
            </w:r>
            <w:r w:rsidR="00D35676" w:rsidRPr="00154E08">
              <w:rPr>
                <w:rFonts w:eastAsia="Calibri" w:cs="Times New Roman"/>
                <w:color w:val="000000"/>
                <w:spacing w:val="-2"/>
                <w:sz w:val="22"/>
                <w:szCs w:val="22"/>
              </w:rPr>
              <w:t xml:space="preserve">dyrektywy </w:t>
            </w:r>
            <w:r w:rsidR="00C07225" w:rsidRPr="00154E08">
              <w:rPr>
                <w:rFonts w:eastAsia="Calibri" w:cs="Times New Roman"/>
                <w:color w:val="000000"/>
                <w:spacing w:val="-2"/>
                <w:sz w:val="22"/>
                <w:szCs w:val="22"/>
              </w:rPr>
              <w:t>2018/2001 do krajowej legislacji</w:t>
            </w:r>
            <w:r w:rsidR="005170D1" w:rsidRPr="00154E08">
              <w:rPr>
                <w:rFonts w:eastAsia="Calibri" w:cs="Times New Roman"/>
                <w:color w:val="000000"/>
                <w:spacing w:val="-2"/>
                <w:sz w:val="22"/>
                <w:szCs w:val="22"/>
              </w:rPr>
              <w:t xml:space="preserve">. </w:t>
            </w:r>
          </w:p>
          <w:p w14:paraId="44B35AD3" w14:textId="5DC0F950" w:rsidR="00FE5BF3" w:rsidRPr="00154E08" w:rsidRDefault="005170D1" w:rsidP="00B279FD">
            <w:pPr>
              <w:spacing w:after="120" w:line="240" w:lineRule="auto"/>
              <w:contextualSpacing/>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Regulacje zwiększają prawdopodobieństwo </w:t>
            </w:r>
            <w:r w:rsidR="00954245" w:rsidRPr="00154E08">
              <w:rPr>
                <w:rFonts w:eastAsia="Calibri" w:cs="Times New Roman"/>
                <w:color w:val="000000"/>
                <w:spacing w:val="-2"/>
                <w:sz w:val="22"/>
                <w:szCs w:val="22"/>
              </w:rPr>
              <w:t>osiągnięcia</w:t>
            </w:r>
            <w:r w:rsidRPr="00154E08">
              <w:rPr>
                <w:rFonts w:eastAsia="Calibri" w:cs="Times New Roman"/>
                <w:color w:val="000000"/>
                <w:spacing w:val="-2"/>
                <w:sz w:val="22"/>
                <w:szCs w:val="22"/>
              </w:rPr>
              <w:t xml:space="preserve"> przyjętych do 2030 </w:t>
            </w:r>
            <w:r w:rsidR="00BF593C" w:rsidRPr="00154E08">
              <w:rPr>
                <w:rFonts w:eastAsia="Calibri" w:cs="Times New Roman"/>
                <w:color w:val="000000"/>
                <w:spacing w:val="-2"/>
                <w:sz w:val="22"/>
                <w:szCs w:val="22"/>
              </w:rPr>
              <w:t xml:space="preserve">r. </w:t>
            </w:r>
            <w:r w:rsidRPr="00154E08">
              <w:rPr>
                <w:rFonts w:eastAsia="Calibri" w:cs="Times New Roman"/>
                <w:color w:val="000000"/>
                <w:spacing w:val="-2"/>
                <w:sz w:val="22"/>
                <w:szCs w:val="22"/>
              </w:rPr>
              <w:t xml:space="preserve">zobowiązań dla osiągnięcia minimalnego </w:t>
            </w:r>
            <w:r w:rsidR="00815A47" w:rsidRPr="00154E08">
              <w:rPr>
                <w:rFonts w:eastAsia="Calibri" w:cs="Times New Roman"/>
                <w:color w:val="000000"/>
                <w:spacing w:val="-2"/>
                <w:sz w:val="22"/>
                <w:szCs w:val="22"/>
              </w:rPr>
              <w:t xml:space="preserve">14% </w:t>
            </w:r>
            <w:r w:rsidRPr="00154E08">
              <w:rPr>
                <w:rFonts w:eastAsia="Calibri" w:cs="Times New Roman"/>
                <w:color w:val="000000"/>
                <w:spacing w:val="-2"/>
                <w:sz w:val="22"/>
                <w:szCs w:val="22"/>
              </w:rPr>
              <w:t xml:space="preserve">udziału odnawialnej energii stosowanej w sektorze transportu. </w:t>
            </w:r>
            <w:r w:rsidR="00B3758E" w:rsidRPr="00154E08">
              <w:rPr>
                <w:rFonts w:eastAsia="Calibri" w:cs="Times New Roman"/>
                <w:color w:val="000000"/>
                <w:spacing w:val="-2"/>
                <w:sz w:val="22"/>
                <w:szCs w:val="22"/>
              </w:rPr>
              <w:t>R</w:t>
            </w:r>
            <w:r w:rsidRPr="00154E08">
              <w:rPr>
                <w:rFonts w:eastAsia="Calibri" w:cs="Times New Roman"/>
                <w:color w:val="000000"/>
                <w:spacing w:val="-2"/>
                <w:sz w:val="22"/>
                <w:szCs w:val="22"/>
              </w:rPr>
              <w:t>egulacj</w:t>
            </w:r>
            <w:r w:rsidR="00B3758E" w:rsidRPr="00154E08">
              <w:rPr>
                <w:rFonts w:eastAsia="Calibri" w:cs="Times New Roman"/>
                <w:color w:val="000000"/>
                <w:spacing w:val="-2"/>
                <w:sz w:val="22"/>
                <w:szCs w:val="22"/>
              </w:rPr>
              <w:t>a</w:t>
            </w:r>
            <w:r w:rsidRPr="00154E08">
              <w:rPr>
                <w:rFonts w:eastAsia="Calibri" w:cs="Times New Roman"/>
                <w:color w:val="000000"/>
                <w:spacing w:val="-2"/>
                <w:sz w:val="22"/>
                <w:szCs w:val="22"/>
              </w:rPr>
              <w:t xml:space="preserve"> zabezpieczeni</w:t>
            </w:r>
            <w:r w:rsidR="00B3758E" w:rsidRPr="00154E08">
              <w:rPr>
                <w:rFonts w:eastAsia="Calibri" w:cs="Times New Roman"/>
                <w:color w:val="000000"/>
                <w:spacing w:val="-2"/>
                <w:sz w:val="22"/>
                <w:szCs w:val="22"/>
              </w:rPr>
              <w:t>a także</w:t>
            </w:r>
            <w:r w:rsidRPr="00154E08">
              <w:rPr>
                <w:rFonts w:eastAsia="Calibri" w:cs="Times New Roman"/>
                <w:color w:val="000000"/>
                <w:spacing w:val="-2"/>
                <w:sz w:val="22"/>
                <w:szCs w:val="22"/>
              </w:rPr>
              <w:t xml:space="preserve"> stabiln</w:t>
            </w:r>
            <w:r w:rsidR="00B3758E" w:rsidRPr="00154E08">
              <w:rPr>
                <w:rFonts w:eastAsia="Calibri" w:cs="Times New Roman"/>
                <w:color w:val="000000"/>
                <w:spacing w:val="-2"/>
                <w:sz w:val="22"/>
                <w:szCs w:val="22"/>
              </w:rPr>
              <w:t>e</w:t>
            </w:r>
            <w:r w:rsidRPr="00154E08">
              <w:rPr>
                <w:rFonts w:eastAsia="Calibri" w:cs="Times New Roman"/>
                <w:color w:val="000000"/>
                <w:spacing w:val="-2"/>
                <w:sz w:val="22"/>
                <w:szCs w:val="22"/>
              </w:rPr>
              <w:t xml:space="preserve"> funkcjonowani</w:t>
            </w:r>
            <w:r w:rsidR="00B3758E" w:rsidRPr="00154E08">
              <w:rPr>
                <w:rFonts w:eastAsia="Calibri" w:cs="Times New Roman"/>
                <w:color w:val="000000"/>
                <w:spacing w:val="-2"/>
                <w:sz w:val="22"/>
                <w:szCs w:val="22"/>
              </w:rPr>
              <w:t>e</w:t>
            </w:r>
            <w:r w:rsidRPr="00154E08">
              <w:rPr>
                <w:rFonts w:eastAsia="Calibri" w:cs="Times New Roman"/>
                <w:color w:val="000000"/>
                <w:spacing w:val="-2"/>
                <w:sz w:val="22"/>
                <w:szCs w:val="22"/>
              </w:rPr>
              <w:t xml:space="preserve"> łańcucha dostaw, stworzeni</w:t>
            </w:r>
            <w:r w:rsidR="00BF593C" w:rsidRPr="00154E08">
              <w:rPr>
                <w:rFonts w:eastAsia="Calibri" w:cs="Times New Roman"/>
                <w:color w:val="000000"/>
                <w:spacing w:val="-2"/>
                <w:sz w:val="22"/>
                <w:szCs w:val="22"/>
              </w:rPr>
              <w:t>e</w:t>
            </w:r>
            <w:r w:rsidRPr="00154E08">
              <w:rPr>
                <w:rFonts w:eastAsia="Calibri" w:cs="Times New Roman"/>
                <w:color w:val="000000"/>
                <w:spacing w:val="-2"/>
                <w:sz w:val="22"/>
                <w:szCs w:val="22"/>
              </w:rPr>
              <w:t xml:space="preserve"> </w:t>
            </w:r>
            <w:r w:rsidR="00EF5CFC" w:rsidRPr="00154E08">
              <w:rPr>
                <w:rFonts w:eastAsia="Calibri" w:cs="Times New Roman"/>
                <w:color w:val="000000"/>
                <w:spacing w:val="-2"/>
                <w:sz w:val="22"/>
                <w:szCs w:val="22"/>
              </w:rPr>
              <w:t xml:space="preserve">konkurencyjnych </w:t>
            </w:r>
            <w:r w:rsidRPr="00154E08">
              <w:rPr>
                <w:rFonts w:eastAsia="Calibri" w:cs="Times New Roman"/>
                <w:color w:val="000000"/>
                <w:spacing w:val="-2"/>
                <w:sz w:val="22"/>
                <w:szCs w:val="22"/>
              </w:rPr>
              <w:t xml:space="preserve">warunków </w:t>
            </w:r>
            <w:r w:rsidR="00EF5CFC" w:rsidRPr="00154E08">
              <w:rPr>
                <w:rFonts w:eastAsia="Calibri" w:cs="Times New Roman"/>
                <w:color w:val="000000"/>
                <w:spacing w:val="-2"/>
                <w:sz w:val="22"/>
                <w:szCs w:val="22"/>
              </w:rPr>
              <w:t>rozwoju różnych</w:t>
            </w:r>
            <w:r w:rsidRPr="00154E08">
              <w:rPr>
                <w:rFonts w:eastAsia="Calibri" w:cs="Times New Roman"/>
                <w:color w:val="000000"/>
                <w:spacing w:val="-2"/>
                <w:sz w:val="22"/>
                <w:szCs w:val="22"/>
              </w:rPr>
              <w:t xml:space="preserve"> technologii</w:t>
            </w:r>
            <w:r w:rsidR="00B3758E" w:rsidRPr="00154E08">
              <w:rPr>
                <w:rFonts w:eastAsia="Calibri" w:cs="Times New Roman"/>
                <w:color w:val="000000"/>
                <w:spacing w:val="-2"/>
                <w:sz w:val="22"/>
                <w:szCs w:val="22"/>
              </w:rPr>
              <w:t xml:space="preserve"> oraz </w:t>
            </w:r>
            <w:r w:rsidR="007F00B6" w:rsidRPr="00154E08">
              <w:rPr>
                <w:rFonts w:eastAsia="Calibri" w:cs="Times New Roman"/>
                <w:color w:val="000000"/>
                <w:spacing w:val="-2"/>
                <w:sz w:val="22"/>
                <w:szCs w:val="22"/>
              </w:rPr>
              <w:t>dywersyfikacj</w:t>
            </w:r>
            <w:r w:rsidR="00B3758E" w:rsidRPr="00154E08">
              <w:rPr>
                <w:rFonts w:eastAsia="Calibri" w:cs="Times New Roman"/>
                <w:color w:val="000000"/>
                <w:spacing w:val="-2"/>
                <w:sz w:val="22"/>
                <w:szCs w:val="22"/>
              </w:rPr>
              <w:t>ę</w:t>
            </w:r>
            <w:r w:rsidR="007F00B6" w:rsidRPr="00154E08">
              <w:rPr>
                <w:rFonts w:eastAsia="Calibri" w:cs="Times New Roman"/>
                <w:color w:val="000000"/>
                <w:spacing w:val="-2"/>
                <w:sz w:val="22"/>
                <w:szCs w:val="22"/>
              </w:rPr>
              <w:t xml:space="preserve"> źródeł paliw i energii, </w:t>
            </w:r>
            <w:r w:rsidRPr="00154E08">
              <w:rPr>
                <w:rFonts w:eastAsia="Calibri" w:cs="Times New Roman"/>
                <w:color w:val="000000"/>
                <w:spacing w:val="-2"/>
                <w:sz w:val="22"/>
                <w:szCs w:val="22"/>
              </w:rPr>
              <w:t xml:space="preserve">przy jednoczesnym zachowaniu ekonomicznej dostępności </w:t>
            </w:r>
            <w:r w:rsidR="007D5F70" w:rsidRPr="00154E08">
              <w:rPr>
                <w:rFonts w:eastAsia="Calibri" w:cs="Times New Roman"/>
                <w:color w:val="000000"/>
                <w:spacing w:val="-2"/>
                <w:sz w:val="22"/>
                <w:szCs w:val="22"/>
              </w:rPr>
              <w:t xml:space="preserve">tych </w:t>
            </w:r>
            <w:r w:rsidRPr="00154E08">
              <w:rPr>
                <w:rFonts w:eastAsia="Calibri" w:cs="Times New Roman"/>
                <w:color w:val="000000"/>
                <w:spacing w:val="-2"/>
                <w:sz w:val="22"/>
                <w:szCs w:val="22"/>
              </w:rPr>
              <w:t>różnych nośników energii – paliw ciekłych i</w:t>
            </w:r>
            <w:r w:rsidR="009E2D6F" w:rsidRPr="00154E08">
              <w:rPr>
                <w:rFonts w:eastAsia="Calibri" w:cs="Times New Roman"/>
                <w:color w:val="000000"/>
                <w:spacing w:val="-2"/>
                <w:sz w:val="22"/>
                <w:szCs w:val="22"/>
              </w:rPr>
              <w:t> </w:t>
            </w:r>
            <w:r w:rsidRPr="00154E08">
              <w:rPr>
                <w:rFonts w:eastAsia="Calibri" w:cs="Times New Roman"/>
                <w:color w:val="000000"/>
                <w:spacing w:val="-2"/>
                <w:sz w:val="22"/>
                <w:szCs w:val="22"/>
              </w:rPr>
              <w:t>gazowych.</w:t>
            </w:r>
          </w:p>
        </w:tc>
        <w:tc>
          <w:tcPr>
            <w:tcW w:w="1256" w:type="dxa"/>
          </w:tcPr>
          <w:p w14:paraId="2FB0349C" w14:textId="77777777" w:rsidR="00250BF6" w:rsidRPr="00154E08" w:rsidRDefault="00250BF6">
            <w:pPr>
              <w:rPr>
                <w:rFonts w:cs="Times New Roman"/>
                <w:sz w:val="22"/>
                <w:szCs w:val="22"/>
              </w:rPr>
            </w:pPr>
          </w:p>
        </w:tc>
      </w:tr>
      <w:tr w:rsidR="00B432CA" w:rsidRPr="00154E08" w14:paraId="4DD14461" w14:textId="77777777" w:rsidTr="3E65ED00">
        <w:trPr>
          <w:trHeight w:val="307"/>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center"/>
          </w:tcPr>
          <w:p w14:paraId="27A8C70B" w14:textId="77777777" w:rsidR="00250BF6" w:rsidRPr="00154E08" w:rsidRDefault="00CE3FE5">
            <w:pPr>
              <w:numPr>
                <w:ilvl w:val="0"/>
                <w:numId w:val="1"/>
              </w:numPr>
              <w:spacing w:before="60" w:after="60" w:line="240" w:lineRule="auto"/>
              <w:ind w:left="318" w:hanging="284"/>
              <w:jc w:val="both"/>
              <w:rPr>
                <w:rFonts w:eastAsia="Calibri" w:cs="Times New Roman"/>
                <w:sz w:val="22"/>
                <w:szCs w:val="22"/>
              </w:rPr>
            </w:pPr>
            <w:r w:rsidRPr="00154E08">
              <w:rPr>
                <w:rFonts w:eastAsia="Calibri" w:cs="Times New Roman"/>
                <w:b/>
                <w:spacing w:val="-2"/>
                <w:sz w:val="22"/>
                <w:szCs w:val="22"/>
              </w:rPr>
              <w:lastRenderedPageBreak/>
              <w:t>Jak problem został rozwiązany w innych krajach, w szczególności krajach członkowskich OECD/UE</w:t>
            </w:r>
            <w:r w:rsidRPr="00154E08">
              <w:rPr>
                <w:rFonts w:eastAsia="Calibri" w:cs="Times New Roman"/>
                <w:b/>
                <w:color w:val="000000"/>
                <w:sz w:val="22"/>
                <w:szCs w:val="22"/>
              </w:rPr>
              <w:t>?</w:t>
            </w:r>
            <w:r w:rsidRPr="00154E08">
              <w:rPr>
                <w:rFonts w:eastAsia="Calibri" w:cs="Times New Roman"/>
                <w:i/>
                <w:color w:val="000000"/>
                <w:sz w:val="22"/>
                <w:szCs w:val="22"/>
              </w:rPr>
              <w:t xml:space="preserve"> </w:t>
            </w:r>
          </w:p>
        </w:tc>
        <w:tc>
          <w:tcPr>
            <w:tcW w:w="1256" w:type="dxa"/>
          </w:tcPr>
          <w:p w14:paraId="10E8CB70" w14:textId="77777777" w:rsidR="00250BF6" w:rsidRPr="00154E08" w:rsidRDefault="00250BF6">
            <w:pPr>
              <w:rPr>
                <w:rFonts w:cs="Times New Roman"/>
                <w:sz w:val="22"/>
                <w:szCs w:val="22"/>
              </w:rPr>
            </w:pPr>
          </w:p>
        </w:tc>
      </w:tr>
      <w:tr w:rsidR="00B432CA" w:rsidRPr="00154E08" w14:paraId="1A039F97"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3A5DCB" w14:textId="3642F053" w:rsidR="00EB5A05" w:rsidRPr="00154E08" w:rsidRDefault="006D563C"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 xml:space="preserve">Z uwagi na różne uwarunkowania </w:t>
            </w:r>
            <w:r w:rsidR="00D73AB0" w:rsidRPr="00154E08">
              <w:rPr>
                <w:rFonts w:eastAsia="Calibri" w:cs="Times New Roman"/>
                <w:color w:val="000000" w:themeColor="text1"/>
                <w:spacing w:val="-2"/>
                <w:sz w:val="22"/>
                <w:szCs w:val="22"/>
              </w:rPr>
              <w:t xml:space="preserve">państw członkowskich, różne </w:t>
            </w:r>
            <w:r w:rsidRPr="00154E08">
              <w:rPr>
                <w:rFonts w:eastAsia="Calibri" w:cs="Times New Roman"/>
                <w:color w:val="000000" w:themeColor="text1"/>
                <w:spacing w:val="-2"/>
                <w:sz w:val="22"/>
                <w:szCs w:val="22"/>
              </w:rPr>
              <w:t xml:space="preserve">przyjęte </w:t>
            </w:r>
            <w:r w:rsidR="00810C8F" w:rsidRPr="00154E08">
              <w:rPr>
                <w:rFonts w:eastAsia="Calibri" w:cs="Times New Roman"/>
                <w:color w:val="000000" w:themeColor="text1"/>
                <w:spacing w:val="-2"/>
                <w:sz w:val="22"/>
                <w:szCs w:val="22"/>
              </w:rPr>
              <w:t xml:space="preserve">krajowe </w:t>
            </w:r>
            <w:r w:rsidRPr="00154E08">
              <w:rPr>
                <w:rFonts w:eastAsia="Calibri" w:cs="Times New Roman"/>
                <w:color w:val="000000" w:themeColor="text1"/>
                <w:spacing w:val="-2"/>
                <w:sz w:val="22"/>
                <w:szCs w:val="22"/>
              </w:rPr>
              <w:t>strategie, wielkoś</w:t>
            </w:r>
            <w:r w:rsidR="00364BEC" w:rsidRPr="00154E08">
              <w:rPr>
                <w:rFonts w:eastAsia="Calibri" w:cs="Times New Roman"/>
                <w:color w:val="000000" w:themeColor="text1"/>
                <w:spacing w:val="-2"/>
                <w:sz w:val="22"/>
                <w:szCs w:val="22"/>
              </w:rPr>
              <w:t xml:space="preserve">ci </w:t>
            </w:r>
            <w:r w:rsidRPr="00154E08">
              <w:rPr>
                <w:rFonts w:eastAsia="Calibri" w:cs="Times New Roman"/>
                <w:color w:val="000000" w:themeColor="text1"/>
                <w:spacing w:val="-2"/>
                <w:sz w:val="22"/>
                <w:szCs w:val="22"/>
              </w:rPr>
              <w:t>rynk</w:t>
            </w:r>
            <w:r w:rsidR="00810C8F" w:rsidRPr="00154E08">
              <w:rPr>
                <w:rFonts w:eastAsia="Calibri" w:cs="Times New Roman"/>
                <w:color w:val="000000" w:themeColor="text1"/>
                <w:spacing w:val="-2"/>
                <w:sz w:val="22"/>
                <w:szCs w:val="22"/>
              </w:rPr>
              <w:t>ów czy</w:t>
            </w:r>
            <w:r w:rsidRPr="00154E08">
              <w:rPr>
                <w:rFonts w:eastAsia="Calibri" w:cs="Times New Roman"/>
                <w:color w:val="000000" w:themeColor="text1"/>
                <w:spacing w:val="-2"/>
                <w:sz w:val="22"/>
                <w:szCs w:val="22"/>
              </w:rPr>
              <w:t xml:space="preserve"> dostępną infrastrukturę </w:t>
            </w:r>
            <w:r w:rsidR="00D73AB0" w:rsidRPr="00154E08">
              <w:rPr>
                <w:rFonts w:eastAsia="Calibri" w:cs="Times New Roman"/>
                <w:color w:val="000000" w:themeColor="text1"/>
                <w:spacing w:val="-2"/>
                <w:sz w:val="22"/>
                <w:szCs w:val="22"/>
              </w:rPr>
              <w:t xml:space="preserve">– </w:t>
            </w:r>
            <w:r w:rsidRPr="00154E08">
              <w:rPr>
                <w:rFonts w:eastAsia="Calibri" w:cs="Times New Roman"/>
                <w:color w:val="000000" w:themeColor="text1"/>
                <w:spacing w:val="-2"/>
                <w:sz w:val="22"/>
                <w:szCs w:val="22"/>
              </w:rPr>
              <w:t xml:space="preserve">poszczególne </w:t>
            </w:r>
            <w:r w:rsidR="00CE4639" w:rsidRPr="00154E08">
              <w:rPr>
                <w:rFonts w:eastAsia="Calibri" w:cs="Times New Roman"/>
                <w:color w:val="000000" w:themeColor="text1"/>
                <w:spacing w:val="-2"/>
                <w:sz w:val="22"/>
                <w:szCs w:val="22"/>
              </w:rPr>
              <w:t>państwa członkowskie</w:t>
            </w:r>
            <w:r w:rsidR="00684A87" w:rsidRPr="00154E08">
              <w:rPr>
                <w:rFonts w:eastAsia="Calibri" w:cs="Times New Roman"/>
                <w:color w:val="000000" w:themeColor="text1"/>
                <w:spacing w:val="-2"/>
                <w:sz w:val="22"/>
                <w:szCs w:val="22"/>
              </w:rPr>
              <w:t xml:space="preserve"> </w:t>
            </w:r>
            <w:r w:rsidRPr="00154E08">
              <w:rPr>
                <w:rFonts w:eastAsia="Calibri" w:cs="Times New Roman"/>
                <w:color w:val="000000" w:themeColor="text1"/>
                <w:spacing w:val="-2"/>
                <w:sz w:val="22"/>
                <w:szCs w:val="22"/>
              </w:rPr>
              <w:t xml:space="preserve">wykazują zróżnicowane </w:t>
            </w:r>
            <w:r w:rsidR="00D73AB0" w:rsidRPr="00154E08">
              <w:rPr>
                <w:rFonts w:eastAsia="Calibri" w:cs="Times New Roman"/>
                <w:color w:val="000000" w:themeColor="text1"/>
                <w:spacing w:val="-2"/>
                <w:sz w:val="22"/>
                <w:szCs w:val="22"/>
              </w:rPr>
              <w:t>postępy</w:t>
            </w:r>
            <w:r w:rsidR="00810C8F" w:rsidRPr="00154E08">
              <w:rPr>
                <w:rFonts w:eastAsia="Calibri" w:cs="Times New Roman"/>
                <w:color w:val="000000" w:themeColor="text1"/>
                <w:spacing w:val="-2"/>
                <w:sz w:val="22"/>
                <w:szCs w:val="22"/>
              </w:rPr>
              <w:t xml:space="preserve"> w</w:t>
            </w:r>
            <w:r w:rsidRPr="00154E08">
              <w:rPr>
                <w:rFonts w:eastAsia="Calibri" w:cs="Times New Roman"/>
                <w:color w:val="000000" w:themeColor="text1"/>
                <w:spacing w:val="-2"/>
                <w:sz w:val="22"/>
                <w:szCs w:val="22"/>
              </w:rPr>
              <w:t xml:space="preserve"> realizacji celów przyjętych jeszcze dyrektywą RED</w:t>
            </w:r>
            <w:r w:rsidR="00D73AB0" w:rsidRPr="00154E08">
              <w:rPr>
                <w:rFonts w:eastAsia="Calibri" w:cs="Times New Roman"/>
                <w:i/>
                <w:iCs/>
                <w:color w:val="000000" w:themeColor="text1"/>
                <w:spacing w:val="-2"/>
                <w:sz w:val="22"/>
                <w:szCs w:val="22"/>
              </w:rPr>
              <w:t xml:space="preserve">. </w:t>
            </w:r>
            <w:r w:rsidR="00D86DE9" w:rsidRPr="00154E08">
              <w:rPr>
                <w:rFonts w:eastAsia="Calibri" w:cs="Times New Roman"/>
                <w:color w:val="000000" w:themeColor="text1"/>
                <w:spacing w:val="-2"/>
                <w:sz w:val="22"/>
                <w:szCs w:val="22"/>
              </w:rPr>
              <w:t>Niektóre</w:t>
            </w:r>
            <w:r w:rsidR="00923209" w:rsidRPr="00154E08">
              <w:rPr>
                <w:rFonts w:eastAsia="Calibri" w:cs="Times New Roman"/>
                <w:color w:val="000000" w:themeColor="text1"/>
                <w:spacing w:val="-2"/>
                <w:sz w:val="22"/>
                <w:szCs w:val="22"/>
              </w:rPr>
              <w:t xml:space="preserve"> kraje</w:t>
            </w:r>
            <w:r w:rsidR="00364BEC" w:rsidRPr="00154E08">
              <w:rPr>
                <w:rFonts w:eastAsia="Calibri" w:cs="Times New Roman"/>
                <w:color w:val="000000" w:themeColor="text1"/>
                <w:spacing w:val="-2"/>
                <w:sz w:val="22"/>
                <w:szCs w:val="22"/>
              </w:rPr>
              <w:t xml:space="preserve"> wykaz</w:t>
            </w:r>
            <w:r w:rsidR="004132A3" w:rsidRPr="00154E08">
              <w:rPr>
                <w:rFonts w:eastAsia="Calibri" w:cs="Times New Roman"/>
                <w:color w:val="000000" w:themeColor="text1"/>
                <w:spacing w:val="-2"/>
                <w:sz w:val="22"/>
                <w:szCs w:val="22"/>
              </w:rPr>
              <w:t>ały</w:t>
            </w:r>
            <w:r w:rsidR="00364BEC" w:rsidRPr="00154E08">
              <w:rPr>
                <w:rFonts w:eastAsia="Calibri" w:cs="Times New Roman"/>
                <w:color w:val="000000" w:themeColor="text1"/>
                <w:spacing w:val="-2"/>
                <w:sz w:val="22"/>
                <w:szCs w:val="22"/>
              </w:rPr>
              <w:t xml:space="preserve"> przekroczenie wykonania planu</w:t>
            </w:r>
            <w:r w:rsidR="00BB53A0" w:rsidRPr="00154E08">
              <w:rPr>
                <w:rFonts w:eastAsia="Calibri" w:cs="Times New Roman"/>
                <w:color w:val="000000" w:themeColor="text1"/>
                <w:spacing w:val="-2"/>
                <w:sz w:val="22"/>
                <w:szCs w:val="22"/>
              </w:rPr>
              <w:t>,</w:t>
            </w:r>
            <w:r w:rsidR="00F80217" w:rsidRPr="00154E08">
              <w:rPr>
                <w:rFonts w:eastAsia="Calibri" w:cs="Times New Roman"/>
                <w:color w:val="000000" w:themeColor="text1"/>
                <w:spacing w:val="-2"/>
                <w:sz w:val="22"/>
                <w:szCs w:val="22"/>
              </w:rPr>
              <w:t xml:space="preserve"> np. </w:t>
            </w:r>
            <w:r w:rsidR="00923209" w:rsidRPr="00154E08">
              <w:rPr>
                <w:rFonts w:eastAsia="Calibri" w:cs="Times New Roman"/>
                <w:color w:val="000000" w:themeColor="text1"/>
                <w:spacing w:val="-2"/>
                <w:sz w:val="22"/>
                <w:szCs w:val="22"/>
              </w:rPr>
              <w:t>Szwecja, podczas gdy zdecydowana większość</w:t>
            </w:r>
            <w:r w:rsidR="00BF593C" w:rsidRPr="00154E08">
              <w:rPr>
                <w:rFonts w:eastAsia="Calibri" w:cs="Times New Roman"/>
                <w:color w:val="000000" w:themeColor="text1"/>
                <w:spacing w:val="-2"/>
                <w:sz w:val="22"/>
                <w:szCs w:val="22"/>
              </w:rPr>
              <w:t>,</w:t>
            </w:r>
            <w:r w:rsidR="00364BEC" w:rsidRPr="00154E08">
              <w:rPr>
                <w:rFonts w:eastAsia="Calibri" w:cs="Times New Roman"/>
                <w:color w:val="000000" w:themeColor="text1"/>
                <w:spacing w:val="-2"/>
                <w:sz w:val="22"/>
                <w:szCs w:val="22"/>
              </w:rPr>
              <w:t xml:space="preserve"> </w:t>
            </w:r>
            <w:r w:rsidR="00D86DE9" w:rsidRPr="00154E08">
              <w:rPr>
                <w:rFonts w:eastAsia="Calibri" w:cs="Times New Roman"/>
                <w:color w:val="000000" w:themeColor="text1"/>
                <w:spacing w:val="-2"/>
                <w:sz w:val="22"/>
                <w:szCs w:val="22"/>
              </w:rPr>
              <w:t xml:space="preserve">aż </w:t>
            </w:r>
            <w:r w:rsidR="00923209" w:rsidRPr="00154E08">
              <w:rPr>
                <w:rFonts w:eastAsia="Calibri" w:cs="Times New Roman"/>
                <w:color w:val="000000" w:themeColor="text1"/>
                <w:spacing w:val="-2"/>
                <w:sz w:val="22"/>
                <w:szCs w:val="22"/>
              </w:rPr>
              <w:t>¾</w:t>
            </w:r>
            <w:r w:rsidR="00D73AB0" w:rsidRPr="00154E08">
              <w:rPr>
                <w:rFonts w:eastAsia="Calibri" w:cs="Times New Roman"/>
                <w:color w:val="000000" w:themeColor="text1"/>
                <w:spacing w:val="-2"/>
                <w:sz w:val="22"/>
                <w:szCs w:val="22"/>
              </w:rPr>
              <w:t xml:space="preserve"> państw</w:t>
            </w:r>
            <w:r w:rsidR="00923209" w:rsidRPr="00154E08">
              <w:rPr>
                <w:rFonts w:eastAsia="Calibri" w:cs="Times New Roman"/>
                <w:color w:val="000000" w:themeColor="text1"/>
                <w:spacing w:val="-2"/>
                <w:sz w:val="22"/>
                <w:szCs w:val="22"/>
              </w:rPr>
              <w:t xml:space="preserve"> </w:t>
            </w:r>
            <w:r w:rsidR="00746CE9" w:rsidRPr="00154E08">
              <w:rPr>
                <w:rFonts w:eastAsia="Calibri" w:cs="Times New Roman"/>
                <w:color w:val="000000" w:themeColor="text1"/>
                <w:spacing w:val="-2"/>
                <w:sz w:val="22"/>
                <w:szCs w:val="22"/>
              </w:rPr>
              <w:t>nie osiągnęła</w:t>
            </w:r>
            <w:r w:rsidR="00923209" w:rsidRPr="00154E08">
              <w:rPr>
                <w:rFonts w:eastAsia="Calibri" w:cs="Times New Roman"/>
                <w:color w:val="000000" w:themeColor="text1"/>
                <w:spacing w:val="-2"/>
                <w:sz w:val="22"/>
                <w:szCs w:val="22"/>
              </w:rPr>
              <w:t xml:space="preserve"> złożonego na 2020</w:t>
            </w:r>
            <w:r w:rsidR="00364BEC" w:rsidRPr="00154E08">
              <w:rPr>
                <w:rFonts w:eastAsia="Calibri" w:cs="Times New Roman"/>
                <w:color w:val="000000" w:themeColor="text1"/>
                <w:spacing w:val="-2"/>
                <w:sz w:val="22"/>
                <w:szCs w:val="22"/>
              </w:rPr>
              <w:t> </w:t>
            </w:r>
            <w:r w:rsidR="00923209" w:rsidRPr="00154E08">
              <w:rPr>
                <w:rFonts w:eastAsia="Calibri" w:cs="Times New Roman"/>
                <w:color w:val="000000" w:themeColor="text1"/>
                <w:spacing w:val="-2"/>
                <w:sz w:val="22"/>
                <w:szCs w:val="22"/>
              </w:rPr>
              <w:t>r</w:t>
            </w:r>
            <w:r w:rsidR="00364BEC" w:rsidRPr="00154E08">
              <w:rPr>
                <w:rFonts w:eastAsia="Calibri" w:cs="Times New Roman"/>
                <w:color w:val="000000" w:themeColor="text1"/>
                <w:spacing w:val="-2"/>
                <w:sz w:val="22"/>
                <w:szCs w:val="22"/>
              </w:rPr>
              <w:t xml:space="preserve">. 10% </w:t>
            </w:r>
            <w:r w:rsidR="00923209" w:rsidRPr="00154E08">
              <w:rPr>
                <w:rFonts w:eastAsia="Calibri" w:cs="Times New Roman"/>
                <w:color w:val="000000" w:themeColor="text1"/>
                <w:spacing w:val="-2"/>
                <w:sz w:val="22"/>
                <w:szCs w:val="22"/>
              </w:rPr>
              <w:t>udziału energii odnawialnej w zużytej w</w:t>
            </w:r>
            <w:r w:rsidR="001325C3" w:rsidRPr="00154E08">
              <w:rPr>
                <w:rFonts w:eastAsia="Calibri" w:cs="Times New Roman"/>
                <w:color w:val="000000" w:themeColor="text1"/>
                <w:spacing w:val="-2"/>
                <w:sz w:val="22"/>
                <w:szCs w:val="22"/>
              </w:rPr>
              <w:t> </w:t>
            </w:r>
            <w:r w:rsidR="00923209" w:rsidRPr="00154E08">
              <w:rPr>
                <w:rFonts w:eastAsia="Calibri" w:cs="Times New Roman"/>
                <w:color w:val="000000" w:themeColor="text1"/>
                <w:spacing w:val="-2"/>
                <w:sz w:val="22"/>
                <w:szCs w:val="22"/>
              </w:rPr>
              <w:t>transporcie.</w:t>
            </w:r>
          </w:p>
          <w:p w14:paraId="7DE1EF16" w14:textId="62DBE18E" w:rsidR="00D73AB0" w:rsidRPr="00154E08" w:rsidRDefault="00EB5A05" w:rsidP="00B279FD">
            <w:pPr>
              <w:spacing w:after="120" w:line="240" w:lineRule="auto"/>
              <w:jc w:val="both"/>
              <w:rPr>
                <w:rFonts w:cs="Times New Roman"/>
                <w:sz w:val="22"/>
                <w:szCs w:val="22"/>
              </w:rPr>
            </w:pPr>
            <w:r w:rsidRPr="00154E08">
              <w:rPr>
                <w:rFonts w:eastAsia="Calibri" w:cs="Times New Roman"/>
                <w:color w:val="000000" w:themeColor="text1"/>
                <w:spacing w:val="-2"/>
                <w:sz w:val="22"/>
                <w:szCs w:val="22"/>
              </w:rPr>
              <w:t xml:space="preserve">Kraje Unii Europejskiej </w:t>
            </w:r>
            <w:r w:rsidR="00CE4C7A" w:rsidRPr="00154E08">
              <w:rPr>
                <w:rFonts w:eastAsia="Calibri" w:cs="Times New Roman"/>
                <w:color w:val="000000" w:themeColor="text1"/>
                <w:spacing w:val="-2"/>
                <w:sz w:val="22"/>
                <w:szCs w:val="22"/>
              </w:rPr>
              <w:t xml:space="preserve">były </w:t>
            </w:r>
            <w:r w:rsidRPr="00154E08">
              <w:rPr>
                <w:rFonts w:eastAsia="Calibri" w:cs="Times New Roman"/>
                <w:color w:val="000000" w:themeColor="text1"/>
                <w:spacing w:val="-2"/>
                <w:sz w:val="22"/>
                <w:szCs w:val="22"/>
              </w:rPr>
              <w:t>zobowiązane do wdrożenia</w:t>
            </w:r>
            <w:r w:rsidR="00FF4438" w:rsidRPr="00154E08">
              <w:rPr>
                <w:rFonts w:eastAsia="Calibri" w:cs="Times New Roman"/>
                <w:color w:val="000000" w:themeColor="text1"/>
                <w:spacing w:val="-2"/>
                <w:sz w:val="22"/>
                <w:szCs w:val="22"/>
              </w:rPr>
              <w:t xml:space="preserve"> także</w:t>
            </w:r>
            <w:r w:rsidRPr="00154E08">
              <w:rPr>
                <w:rFonts w:eastAsia="Calibri" w:cs="Times New Roman"/>
                <w:color w:val="000000" w:themeColor="text1"/>
                <w:spacing w:val="-2"/>
                <w:sz w:val="22"/>
                <w:szCs w:val="22"/>
              </w:rPr>
              <w:t xml:space="preserve"> postanowień dyrektywy REDII</w:t>
            </w:r>
            <w:r w:rsidRPr="00154E08">
              <w:rPr>
                <w:rFonts w:eastAsia="Calibri" w:cs="Times New Roman"/>
                <w:i/>
                <w:iCs/>
                <w:color w:val="000000" w:themeColor="text1"/>
                <w:spacing w:val="-2"/>
                <w:sz w:val="22"/>
                <w:szCs w:val="22"/>
              </w:rPr>
              <w:t xml:space="preserve"> </w:t>
            </w:r>
            <w:r w:rsidRPr="00154E08">
              <w:rPr>
                <w:rFonts w:cs="Times New Roman"/>
                <w:sz w:val="22"/>
                <w:szCs w:val="22"/>
              </w:rPr>
              <w:t>–</w:t>
            </w:r>
            <w:r w:rsidRPr="00154E08">
              <w:rPr>
                <w:rFonts w:eastAsia="Calibri" w:cs="Times New Roman"/>
                <w:color w:val="000000" w:themeColor="text1"/>
                <w:spacing w:val="-2"/>
                <w:sz w:val="22"/>
                <w:szCs w:val="22"/>
              </w:rPr>
              <w:t xml:space="preserve"> status i zakres wdrożenia do dnia 30 czerwca 2021 r. został określony przez Komisję Europejską w wynikach kontroli sprawozdań państw członkowskich EU. </w:t>
            </w:r>
          </w:p>
          <w:p w14:paraId="14707360" w14:textId="39D39A2B" w:rsidR="007B6789" w:rsidRPr="00154E08" w:rsidRDefault="00F744FE" w:rsidP="00B279FD">
            <w:pPr>
              <w:spacing w:after="120" w:line="240" w:lineRule="auto"/>
              <w:jc w:val="both"/>
              <w:rPr>
                <w:rFonts w:cs="Times New Roman"/>
                <w:sz w:val="22"/>
                <w:szCs w:val="22"/>
              </w:rPr>
            </w:pPr>
            <w:r w:rsidRPr="00154E08">
              <w:rPr>
                <w:rFonts w:cs="Times New Roman"/>
                <w:sz w:val="22"/>
                <w:szCs w:val="22"/>
              </w:rPr>
              <w:t>W</w:t>
            </w:r>
            <w:r w:rsidR="00F96949" w:rsidRPr="00154E08">
              <w:rPr>
                <w:rFonts w:cs="Times New Roman"/>
                <w:sz w:val="22"/>
                <w:szCs w:val="22"/>
              </w:rPr>
              <w:t xml:space="preserve"> </w:t>
            </w:r>
            <w:r w:rsidR="00DC3026" w:rsidRPr="00154E08">
              <w:rPr>
                <w:rFonts w:cs="Times New Roman"/>
                <w:sz w:val="22"/>
                <w:szCs w:val="22"/>
              </w:rPr>
              <w:t>krajach UE monitoringiem działań w zakresie spełniania wymagań środowiskowych – w</w:t>
            </w:r>
            <w:r w:rsidR="5FDE780F" w:rsidRPr="00154E08">
              <w:rPr>
                <w:rFonts w:cs="Times New Roman"/>
                <w:sz w:val="22"/>
                <w:szCs w:val="22"/>
              </w:rPr>
              <w:t xml:space="preserve"> </w:t>
            </w:r>
            <w:r w:rsidR="00DC3026" w:rsidRPr="00154E08">
              <w:rPr>
                <w:rFonts w:cs="Times New Roman"/>
                <w:sz w:val="22"/>
                <w:szCs w:val="22"/>
              </w:rPr>
              <w:t>szczególności w</w:t>
            </w:r>
            <w:r w:rsidR="00837D94" w:rsidRPr="00154E08">
              <w:rPr>
                <w:rFonts w:cs="Times New Roman"/>
                <w:sz w:val="22"/>
                <w:szCs w:val="22"/>
              </w:rPr>
              <w:t> </w:t>
            </w:r>
            <w:r w:rsidR="00DC3026" w:rsidRPr="00154E08">
              <w:rPr>
                <w:rFonts w:cs="Times New Roman"/>
                <w:sz w:val="22"/>
                <w:szCs w:val="22"/>
              </w:rPr>
              <w:t xml:space="preserve">obszarze spełniania wymagań kryteriów zrównoważonego rozwoju oraz redukcji emisji, weryfikacji poprawność prowadzenia bilansu masy, a także spełniania wymagań w obszarze kryteriów zrównoważonego rozwoju pod potrzeby systemu handlu emisjami EU ETS </w:t>
            </w:r>
            <w:r w:rsidR="00FF2125" w:rsidRPr="00154E08">
              <w:rPr>
                <w:rFonts w:cs="Times New Roman"/>
                <w:sz w:val="22"/>
                <w:szCs w:val="22"/>
              </w:rPr>
              <w:t>zajmują się, podobnie jak w </w:t>
            </w:r>
            <w:r w:rsidR="00CB0576" w:rsidRPr="00154E08">
              <w:rPr>
                <w:rFonts w:cs="Times New Roman"/>
                <w:sz w:val="22"/>
                <w:szCs w:val="22"/>
              </w:rPr>
              <w:t xml:space="preserve">Rzeczypospolitej </w:t>
            </w:r>
            <w:r w:rsidR="009741FD" w:rsidRPr="00154E08">
              <w:rPr>
                <w:rFonts w:cs="Times New Roman"/>
                <w:sz w:val="22"/>
                <w:szCs w:val="22"/>
              </w:rPr>
              <w:t>Pol</w:t>
            </w:r>
            <w:r w:rsidR="00CB0576" w:rsidRPr="00154E08">
              <w:rPr>
                <w:rFonts w:cs="Times New Roman"/>
                <w:sz w:val="22"/>
                <w:szCs w:val="22"/>
              </w:rPr>
              <w:t>skiej</w:t>
            </w:r>
            <w:r w:rsidR="00F96949" w:rsidRPr="00154E08">
              <w:rPr>
                <w:rFonts w:cs="Times New Roman"/>
                <w:sz w:val="22"/>
                <w:szCs w:val="22"/>
              </w:rPr>
              <w:t xml:space="preserve"> uznane systemy certyfikacji</w:t>
            </w:r>
            <w:r w:rsidR="00FF2125" w:rsidRPr="00154E08">
              <w:rPr>
                <w:rFonts w:cs="Times New Roman"/>
                <w:sz w:val="22"/>
                <w:szCs w:val="22"/>
              </w:rPr>
              <w:t>, w tym</w:t>
            </w:r>
            <w:r w:rsidR="00F96949" w:rsidRPr="00154E08">
              <w:rPr>
                <w:rFonts w:cs="Times New Roman"/>
                <w:sz w:val="22"/>
                <w:szCs w:val="22"/>
              </w:rPr>
              <w:t xml:space="preserve"> </w:t>
            </w:r>
            <w:r w:rsidR="00F96949" w:rsidRPr="00154E08">
              <w:rPr>
                <w:rFonts w:cs="Times New Roman"/>
                <w:sz w:val="22"/>
                <w:szCs w:val="22"/>
              </w:rPr>
              <w:lastRenderedPageBreak/>
              <w:t>międzynarodow</w:t>
            </w:r>
            <w:r w:rsidR="00EC456E" w:rsidRPr="00154E08">
              <w:rPr>
                <w:rFonts w:cs="Times New Roman"/>
                <w:sz w:val="22"/>
                <w:szCs w:val="22"/>
              </w:rPr>
              <w:t>e</w:t>
            </w:r>
            <w:r w:rsidR="00F96949" w:rsidRPr="00154E08">
              <w:rPr>
                <w:rFonts w:cs="Times New Roman"/>
                <w:sz w:val="22"/>
                <w:szCs w:val="22"/>
              </w:rPr>
              <w:t>: ISCC</w:t>
            </w:r>
            <w:r w:rsidRPr="00154E08">
              <w:rPr>
                <w:rFonts w:cs="Times New Roman"/>
                <w:sz w:val="22"/>
                <w:szCs w:val="22"/>
              </w:rPr>
              <w:t xml:space="preserve">, SURE, </w:t>
            </w:r>
            <w:proofErr w:type="spellStart"/>
            <w:r w:rsidR="00F96949" w:rsidRPr="00154E08">
              <w:rPr>
                <w:rFonts w:cs="Times New Roman"/>
                <w:sz w:val="22"/>
                <w:szCs w:val="22"/>
              </w:rPr>
              <w:t>RedCERT</w:t>
            </w:r>
            <w:proofErr w:type="spellEnd"/>
            <w:r w:rsidR="00FF2125" w:rsidRPr="00154E08">
              <w:rPr>
                <w:rFonts w:cs="Times New Roman"/>
                <w:sz w:val="22"/>
                <w:szCs w:val="22"/>
              </w:rPr>
              <w:t>, które działają także w kraju. Według stanu na 02.2024 r. w Polsce poza wzmiankowanymi powyżej działa także 4</w:t>
            </w:r>
            <w:r w:rsidR="1E0F35E1" w:rsidRPr="00154E08">
              <w:rPr>
                <w:rFonts w:cs="Times New Roman"/>
                <w:sz w:val="22"/>
                <w:szCs w:val="22"/>
              </w:rPr>
              <w:t>,</w:t>
            </w:r>
            <w:r w:rsidR="00FF2125" w:rsidRPr="00154E08">
              <w:rPr>
                <w:rFonts w:cs="Times New Roman"/>
                <w:sz w:val="22"/>
                <w:szCs w:val="22"/>
              </w:rPr>
              <w:t xml:space="preserve"> krajowy system tj. KZR </w:t>
            </w:r>
            <w:proofErr w:type="spellStart"/>
            <w:r w:rsidR="00FF2125" w:rsidRPr="00154E08">
              <w:rPr>
                <w:rFonts w:cs="Times New Roman"/>
                <w:sz w:val="22"/>
                <w:szCs w:val="22"/>
              </w:rPr>
              <w:t>INiG</w:t>
            </w:r>
            <w:proofErr w:type="spellEnd"/>
            <w:r w:rsidR="00FF2125" w:rsidRPr="00154E08">
              <w:rPr>
                <w:rFonts w:cs="Times New Roman"/>
                <w:sz w:val="22"/>
                <w:szCs w:val="22"/>
              </w:rPr>
              <w:t>, który aktywny jest również poza granicami kraju np. w Republice Czeskiej. Rola systemów certyfikacji</w:t>
            </w:r>
            <w:r w:rsidR="00F96949" w:rsidRPr="00154E08">
              <w:rPr>
                <w:rFonts w:cs="Times New Roman"/>
                <w:sz w:val="22"/>
                <w:szCs w:val="22"/>
              </w:rPr>
              <w:t xml:space="preserve"> polega na nadzorze </w:t>
            </w:r>
            <w:r w:rsidR="000B2971" w:rsidRPr="00154E08">
              <w:rPr>
                <w:rFonts w:cs="Times New Roman"/>
                <w:sz w:val="22"/>
                <w:szCs w:val="22"/>
              </w:rPr>
              <w:t xml:space="preserve">wytwórców </w:t>
            </w:r>
            <w:r w:rsidR="00FF2125" w:rsidRPr="00154E08">
              <w:rPr>
                <w:rFonts w:cs="Times New Roman"/>
                <w:sz w:val="22"/>
                <w:szCs w:val="22"/>
              </w:rPr>
              <w:t xml:space="preserve">i dostawców </w:t>
            </w:r>
            <w:r w:rsidR="00F96949" w:rsidRPr="00154E08">
              <w:rPr>
                <w:rFonts w:cs="Times New Roman"/>
                <w:sz w:val="22"/>
                <w:szCs w:val="22"/>
              </w:rPr>
              <w:t>surowców oraz biopaliw</w:t>
            </w:r>
            <w:r w:rsidR="001A72D0" w:rsidRPr="00154E08">
              <w:rPr>
                <w:rFonts w:cs="Times New Roman"/>
                <w:sz w:val="22"/>
                <w:szCs w:val="22"/>
              </w:rPr>
              <w:t xml:space="preserve"> i </w:t>
            </w:r>
            <w:r w:rsidR="00F96949" w:rsidRPr="00154E08">
              <w:rPr>
                <w:rFonts w:cs="Times New Roman"/>
                <w:sz w:val="22"/>
                <w:szCs w:val="22"/>
              </w:rPr>
              <w:t>biokomponentów</w:t>
            </w:r>
            <w:r w:rsidR="47E4DCAD" w:rsidRPr="00154E08">
              <w:rPr>
                <w:rFonts w:cs="Times New Roman"/>
                <w:sz w:val="22"/>
                <w:szCs w:val="22"/>
              </w:rPr>
              <w:t>, paliw z biomasy i</w:t>
            </w:r>
            <w:r w:rsidR="00837D94" w:rsidRPr="00154E08">
              <w:rPr>
                <w:rFonts w:cs="Times New Roman"/>
                <w:sz w:val="22"/>
                <w:szCs w:val="22"/>
              </w:rPr>
              <w:t> </w:t>
            </w:r>
            <w:proofErr w:type="spellStart"/>
            <w:r w:rsidR="47E4DCAD" w:rsidRPr="00154E08">
              <w:rPr>
                <w:rFonts w:cs="Times New Roman"/>
                <w:sz w:val="22"/>
                <w:szCs w:val="22"/>
              </w:rPr>
              <w:t>biopłynów</w:t>
            </w:r>
            <w:proofErr w:type="spellEnd"/>
            <w:r w:rsidR="001A72D0" w:rsidRPr="00154E08">
              <w:rPr>
                <w:rFonts w:cs="Times New Roman"/>
                <w:sz w:val="22"/>
                <w:szCs w:val="22"/>
              </w:rPr>
              <w:t xml:space="preserve"> </w:t>
            </w:r>
            <w:r w:rsidR="00F96949" w:rsidRPr="00154E08">
              <w:rPr>
                <w:rFonts w:cs="Times New Roman"/>
                <w:sz w:val="22"/>
                <w:szCs w:val="22"/>
              </w:rPr>
              <w:t>wykorzystywa</w:t>
            </w:r>
            <w:r w:rsidR="000B2971" w:rsidRPr="00154E08">
              <w:rPr>
                <w:rFonts w:cs="Times New Roman"/>
                <w:sz w:val="22"/>
                <w:szCs w:val="22"/>
              </w:rPr>
              <w:t>nych</w:t>
            </w:r>
            <w:r w:rsidR="289D5B34" w:rsidRPr="00154E08">
              <w:rPr>
                <w:rFonts w:cs="Times New Roman"/>
                <w:sz w:val="22"/>
                <w:szCs w:val="22"/>
              </w:rPr>
              <w:t xml:space="preserve"> w sektorze transportu, elektroenergetyce, ciepła i chłodu - </w:t>
            </w:r>
            <w:r w:rsidR="00FF2125" w:rsidRPr="00154E08">
              <w:rPr>
                <w:rFonts w:cs="Times New Roman"/>
                <w:sz w:val="22"/>
                <w:szCs w:val="22"/>
              </w:rPr>
              <w:t>do realizacji celów OZE</w:t>
            </w:r>
            <w:r w:rsidR="001A72D0" w:rsidRPr="00154E08">
              <w:rPr>
                <w:rFonts w:cs="Times New Roman"/>
                <w:sz w:val="22"/>
                <w:szCs w:val="22"/>
              </w:rPr>
              <w:t>. S</w:t>
            </w:r>
            <w:r w:rsidR="00BA15CC" w:rsidRPr="00154E08">
              <w:rPr>
                <w:rFonts w:cs="Times New Roman"/>
                <w:sz w:val="22"/>
                <w:szCs w:val="22"/>
              </w:rPr>
              <w:t>ystemy monitorują działania</w:t>
            </w:r>
            <w:r w:rsidR="00F96949" w:rsidRPr="00154E08">
              <w:rPr>
                <w:rFonts w:cs="Times New Roman"/>
                <w:sz w:val="22"/>
                <w:szCs w:val="22"/>
              </w:rPr>
              <w:t xml:space="preserve"> w</w:t>
            </w:r>
            <w:r w:rsidR="00BA15CC" w:rsidRPr="00154E08">
              <w:rPr>
                <w:rFonts w:cs="Times New Roman"/>
                <w:sz w:val="22"/>
                <w:szCs w:val="22"/>
              </w:rPr>
              <w:t> </w:t>
            </w:r>
            <w:r w:rsidR="00F96949" w:rsidRPr="00154E08">
              <w:rPr>
                <w:rFonts w:cs="Times New Roman"/>
                <w:sz w:val="22"/>
                <w:szCs w:val="22"/>
              </w:rPr>
              <w:t>zakresie spełniania wymagań środowiskowych – w szczególności w</w:t>
            </w:r>
            <w:r w:rsidR="00837D94" w:rsidRPr="00154E08">
              <w:rPr>
                <w:rFonts w:cs="Times New Roman"/>
                <w:sz w:val="22"/>
                <w:szCs w:val="22"/>
              </w:rPr>
              <w:t> </w:t>
            </w:r>
            <w:r w:rsidR="00F96949" w:rsidRPr="00154E08">
              <w:rPr>
                <w:rFonts w:cs="Times New Roman"/>
                <w:sz w:val="22"/>
                <w:szCs w:val="22"/>
              </w:rPr>
              <w:t xml:space="preserve">obszarze </w:t>
            </w:r>
            <w:r w:rsidR="00BF593C" w:rsidRPr="00154E08">
              <w:rPr>
                <w:rFonts w:cs="Times New Roman"/>
                <w:sz w:val="22"/>
                <w:szCs w:val="22"/>
              </w:rPr>
              <w:t xml:space="preserve">spełniania </w:t>
            </w:r>
            <w:r w:rsidR="000B2971" w:rsidRPr="00154E08">
              <w:rPr>
                <w:rFonts w:cs="Times New Roman"/>
                <w:sz w:val="22"/>
                <w:szCs w:val="22"/>
              </w:rPr>
              <w:t xml:space="preserve">wymagań </w:t>
            </w:r>
            <w:r w:rsidR="00F96949" w:rsidRPr="00154E08">
              <w:rPr>
                <w:rFonts w:cs="Times New Roman"/>
                <w:sz w:val="22"/>
                <w:szCs w:val="22"/>
              </w:rPr>
              <w:t>kryteriów zrównoważonego rozwoju</w:t>
            </w:r>
            <w:r w:rsidR="00BA15CC" w:rsidRPr="00154E08">
              <w:rPr>
                <w:rFonts w:cs="Times New Roman"/>
                <w:sz w:val="22"/>
                <w:szCs w:val="22"/>
              </w:rPr>
              <w:t xml:space="preserve"> oraz</w:t>
            </w:r>
            <w:r w:rsidR="000B2971" w:rsidRPr="00154E08">
              <w:rPr>
                <w:rFonts w:cs="Times New Roman"/>
                <w:sz w:val="22"/>
                <w:szCs w:val="22"/>
              </w:rPr>
              <w:t xml:space="preserve"> redukcji emisji</w:t>
            </w:r>
            <w:r w:rsidR="2FF1B185" w:rsidRPr="00154E08">
              <w:rPr>
                <w:rFonts w:cs="Times New Roman"/>
                <w:sz w:val="22"/>
                <w:szCs w:val="22"/>
              </w:rPr>
              <w:t xml:space="preserve"> gazów cieplarnianych</w:t>
            </w:r>
            <w:r w:rsidR="00BA15CC" w:rsidRPr="00154E08">
              <w:rPr>
                <w:rFonts w:cs="Times New Roman"/>
                <w:sz w:val="22"/>
                <w:szCs w:val="22"/>
              </w:rPr>
              <w:t xml:space="preserve">, </w:t>
            </w:r>
            <w:r w:rsidR="009026E3" w:rsidRPr="00154E08">
              <w:rPr>
                <w:rFonts w:cs="Times New Roman"/>
                <w:sz w:val="22"/>
                <w:szCs w:val="22"/>
              </w:rPr>
              <w:t xml:space="preserve">weryfikują poprawność </w:t>
            </w:r>
            <w:r w:rsidR="000B2971" w:rsidRPr="00154E08">
              <w:rPr>
                <w:rFonts w:cs="Times New Roman"/>
                <w:sz w:val="22"/>
                <w:szCs w:val="22"/>
              </w:rPr>
              <w:t>prowadzenia bilansu masy</w:t>
            </w:r>
            <w:r w:rsidR="00A5647E" w:rsidRPr="00154E08">
              <w:rPr>
                <w:rFonts w:cs="Times New Roman"/>
                <w:sz w:val="22"/>
                <w:szCs w:val="22"/>
              </w:rPr>
              <w:t xml:space="preserve">, a także </w:t>
            </w:r>
            <w:r w:rsidR="009026E3" w:rsidRPr="00154E08">
              <w:rPr>
                <w:rFonts w:cs="Times New Roman"/>
                <w:sz w:val="22"/>
                <w:szCs w:val="22"/>
              </w:rPr>
              <w:t xml:space="preserve">spełnianie wymagań </w:t>
            </w:r>
            <w:r w:rsidR="00A5647E" w:rsidRPr="00154E08">
              <w:rPr>
                <w:rFonts w:cs="Times New Roman"/>
                <w:sz w:val="22"/>
                <w:szCs w:val="22"/>
              </w:rPr>
              <w:t>w</w:t>
            </w:r>
            <w:r w:rsidR="00DC3026" w:rsidRPr="00154E08">
              <w:rPr>
                <w:rFonts w:cs="Times New Roman"/>
                <w:sz w:val="22"/>
                <w:szCs w:val="22"/>
              </w:rPr>
              <w:t> </w:t>
            </w:r>
            <w:r w:rsidR="00A5647E" w:rsidRPr="00154E08">
              <w:rPr>
                <w:rFonts w:cs="Times New Roman"/>
                <w:sz w:val="22"/>
                <w:szCs w:val="22"/>
              </w:rPr>
              <w:t xml:space="preserve">obszarze kryteriów zrównoważonego rozwoju pod potrzeby systemu handlu emisjami EU ETS. </w:t>
            </w:r>
          </w:p>
          <w:p w14:paraId="77395AC5" w14:textId="2C4D9679" w:rsidR="00BF593C" w:rsidRPr="00154E08" w:rsidRDefault="00B66969"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u w:val="single"/>
              </w:rPr>
              <w:t>Wykorzystanie biogazu/</w:t>
            </w:r>
            <w:proofErr w:type="spellStart"/>
            <w:r w:rsidRPr="00154E08">
              <w:rPr>
                <w:rFonts w:eastAsia="Calibri" w:cs="Times New Roman"/>
                <w:color w:val="000000" w:themeColor="text1"/>
                <w:spacing w:val="-2"/>
                <w:sz w:val="22"/>
                <w:szCs w:val="22"/>
                <w:u w:val="single"/>
              </w:rPr>
              <w:t>biometanu</w:t>
            </w:r>
            <w:proofErr w:type="spellEnd"/>
            <w:r w:rsidRPr="00154E08">
              <w:rPr>
                <w:rFonts w:eastAsia="Calibri" w:cs="Times New Roman"/>
                <w:color w:val="000000" w:themeColor="text1"/>
                <w:spacing w:val="-2"/>
                <w:sz w:val="22"/>
                <w:szCs w:val="22"/>
                <w:u w:val="single"/>
              </w:rPr>
              <w:t xml:space="preserve"> w transporcie w </w:t>
            </w:r>
            <w:r w:rsidR="00BF593C" w:rsidRPr="00154E08">
              <w:rPr>
                <w:rFonts w:eastAsia="Calibri" w:cs="Times New Roman"/>
                <w:color w:val="000000" w:themeColor="text1"/>
                <w:spacing w:val="-2"/>
                <w:sz w:val="22"/>
                <w:szCs w:val="22"/>
                <w:u w:val="single"/>
              </w:rPr>
              <w:t xml:space="preserve">państwach członkowskich </w:t>
            </w:r>
            <w:r w:rsidRPr="00154E08">
              <w:rPr>
                <w:rFonts w:eastAsia="Calibri" w:cs="Times New Roman"/>
                <w:color w:val="000000" w:themeColor="text1"/>
                <w:spacing w:val="-2"/>
                <w:sz w:val="22"/>
                <w:szCs w:val="22"/>
                <w:u w:val="single"/>
              </w:rPr>
              <w:t>Unii Europejskiej</w:t>
            </w:r>
          </w:p>
          <w:p w14:paraId="4EB0721E" w14:textId="48DE996F" w:rsidR="00D14EAB" w:rsidRPr="00154E08" w:rsidRDefault="00A11223"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Użyteczność</w:t>
            </w:r>
            <w:r w:rsidR="00B66969" w:rsidRPr="00154E08">
              <w:rPr>
                <w:rFonts w:eastAsia="Calibri" w:cs="Times New Roman"/>
                <w:color w:val="000000" w:themeColor="text1"/>
                <w:spacing w:val="-2"/>
                <w:sz w:val="22"/>
                <w:szCs w:val="22"/>
              </w:rPr>
              <w:t xml:space="preserve"> biogazu</w:t>
            </w:r>
            <w:r w:rsidR="00D130E1" w:rsidRPr="00154E08">
              <w:rPr>
                <w:rFonts w:eastAsia="Calibri" w:cs="Times New Roman"/>
                <w:color w:val="000000" w:themeColor="text1"/>
                <w:spacing w:val="-2"/>
                <w:sz w:val="22"/>
                <w:szCs w:val="22"/>
              </w:rPr>
              <w:t>/</w:t>
            </w:r>
            <w:proofErr w:type="spellStart"/>
            <w:r w:rsidR="00D130E1" w:rsidRPr="00154E08">
              <w:rPr>
                <w:rFonts w:eastAsia="Calibri" w:cs="Times New Roman"/>
                <w:color w:val="000000" w:themeColor="text1"/>
                <w:spacing w:val="-2"/>
                <w:sz w:val="22"/>
                <w:szCs w:val="22"/>
              </w:rPr>
              <w:t>biometanu</w:t>
            </w:r>
            <w:proofErr w:type="spellEnd"/>
            <w:r w:rsidR="00D130E1" w:rsidRPr="00154E08">
              <w:rPr>
                <w:rFonts w:eastAsia="Calibri" w:cs="Times New Roman"/>
                <w:color w:val="000000" w:themeColor="text1"/>
                <w:spacing w:val="-2"/>
                <w:sz w:val="22"/>
                <w:szCs w:val="22"/>
              </w:rPr>
              <w:t xml:space="preserve"> w</w:t>
            </w:r>
            <w:r w:rsidR="00B66969" w:rsidRPr="00154E08">
              <w:rPr>
                <w:rFonts w:eastAsia="Calibri" w:cs="Times New Roman"/>
                <w:color w:val="000000" w:themeColor="text1"/>
                <w:spacing w:val="-2"/>
                <w:sz w:val="22"/>
                <w:szCs w:val="22"/>
              </w:rPr>
              <w:t xml:space="preserve"> poszczególnych </w:t>
            </w:r>
            <w:r w:rsidR="00BF593C" w:rsidRPr="00154E08">
              <w:rPr>
                <w:rFonts w:eastAsia="Calibri" w:cs="Times New Roman"/>
                <w:color w:val="000000" w:themeColor="text1"/>
                <w:spacing w:val="-2"/>
                <w:sz w:val="22"/>
                <w:szCs w:val="22"/>
              </w:rPr>
              <w:t>państwach członkowskich</w:t>
            </w:r>
            <w:r w:rsidR="00B66969" w:rsidRPr="00154E08">
              <w:rPr>
                <w:rFonts w:eastAsia="Calibri" w:cs="Times New Roman"/>
                <w:color w:val="000000" w:themeColor="text1"/>
                <w:spacing w:val="-2"/>
                <w:sz w:val="22"/>
                <w:szCs w:val="22"/>
              </w:rPr>
              <w:t xml:space="preserve"> U</w:t>
            </w:r>
            <w:r w:rsidR="00FB4E4E" w:rsidRPr="00154E08">
              <w:rPr>
                <w:rFonts w:eastAsia="Calibri" w:cs="Times New Roman"/>
                <w:color w:val="000000" w:themeColor="text1"/>
                <w:spacing w:val="-2"/>
                <w:sz w:val="22"/>
                <w:szCs w:val="22"/>
              </w:rPr>
              <w:t>nii Europejskiej</w:t>
            </w:r>
            <w:r w:rsidR="00B66969" w:rsidRPr="00154E08">
              <w:rPr>
                <w:rFonts w:eastAsia="Calibri" w:cs="Times New Roman"/>
                <w:color w:val="000000" w:themeColor="text1"/>
                <w:spacing w:val="-2"/>
                <w:sz w:val="22"/>
                <w:szCs w:val="22"/>
              </w:rPr>
              <w:t xml:space="preserve"> </w:t>
            </w:r>
            <w:r w:rsidR="00D130E1" w:rsidRPr="00154E08">
              <w:rPr>
                <w:rFonts w:eastAsia="Calibri" w:cs="Times New Roman"/>
                <w:color w:val="000000" w:themeColor="text1"/>
                <w:spacing w:val="-2"/>
                <w:sz w:val="22"/>
                <w:szCs w:val="22"/>
              </w:rPr>
              <w:t>jest zróżnicowan</w:t>
            </w:r>
            <w:r w:rsidR="00045BD3" w:rsidRPr="00154E08">
              <w:rPr>
                <w:rFonts w:eastAsia="Calibri" w:cs="Times New Roman"/>
                <w:color w:val="000000" w:themeColor="text1"/>
                <w:spacing w:val="-2"/>
                <w:sz w:val="22"/>
                <w:szCs w:val="22"/>
              </w:rPr>
              <w:t>a</w:t>
            </w:r>
            <w:r w:rsidRPr="00154E08">
              <w:rPr>
                <w:rFonts w:eastAsia="Calibri" w:cs="Times New Roman"/>
                <w:color w:val="000000" w:themeColor="text1"/>
                <w:spacing w:val="-2"/>
                <w:sz w:val="22"/>
                <w:szCs w:val="22"/>
              </w:rPr>
              <w:t xml:space="preserve">. Stosowanie </w:t>
            </w:r>
            <w:proofErr w:type="spellStart"/>
            <w:r w:rsidRPr="00154E08">
              <w:rPr>
                <w:rFonts w:eastAsia="Calibri" w:cs="Times New Roman"/>
                <w:color w:val="000000" w:themeColor="text1"/>
                <w:spacing w:val="-2"/>
                <w:sz w:val="22"/>
                <w:szCs w:val="22"/>
              </w:rPr>
              <w:t>biometanu</w:t>
            </w:r>
            <w:proofErr w:type="spellEnd"/>
            <w:r w:rsidRPr="00154E08">
              <w:rPr>
                <w:rFonts w:eastAsia="Calibri" w:cs="Times New Roman"/>
                <w:color w:val="000000" w:themeColor="text1"/>
                <w:spacing w:val="-2"/>
                <w:sz w:val="22"/>
                <w:szCs w:val="22"/>
              </w:rPr>
              <w:t xml:space="preserve"> jest </w:t>
            </w:r>
            <w:r w:rsidR="00EC456E" w:rsidRPr="00154E08">
              <w:rPr>
                <w:rFonts w:eastAsia="Calibri" w:cs="Times New Roman"/>
                <w:color w:val="000000" w:themeColor="text1"/>
                <w:spacing w:val="-2"/>
                <w:sz w:val="22"/>
                <w:szCs w:val="22"/>
              </w:rPr>
              <w:t>kształtowane</w:t>
            </w:r>
            <w:r w:rsidR="00B66969" w:rsidRPr="00154E08">
              <w:rPr>
                <w:rFonts w:eastAsia="Calibri" w:cs="Times New Roman"/>
                <w:color w:val="000000" w:themeColor="text1"/>
                <w:spacing w:val="-2"/>
                <w:sz w:val="22"/>
                <w:szCs w:val="22"/>
              </w:rPr>
              <w:t xml:space="preserve"> </w:t>
            </w:r>
            <w:r w:rsidRPr="00154E08">
              <w:rPr>
                <w:rFonts w:eastAsia="Calibri" w:cs="Times New Roman"/>
                <w:color w:val="000000" w:themeColor="text1"/>
                <w:spacing w:val="-2"/>
                <w:sz w:val="22"/>
                <w:szCs w:val="22"/>
              </w:rPr>
              <w:t>przez k</w:t>
            </w:r>
            <w:r w:rsidR="00B66969" w:rsidRPr="00154E08">
              <w:rPr>
                <w:rFonts w:eastAsia="Calibri" w:cs="Times New Roman"/>
                <w:color w:val="000000" w:themeColor="text1"/>
                <w:spacing w:val="-2"/>
                <w:sz w:val="22"/>
                <w:szCs w:val="22"/>
              </w:rPr>
              <w:t>rajow</w:t>
            </w:r>
            <w:r w:rsidRPr="00154E08">
              <w:rPr>
                <w:rFonts w:eastAsia="Calibri" w:cs="Times New Roman"/>
                <w:color w:val="000000" w:themeColor="text1"/>
                <w:spacing w:val="-2"/>
                <w:sz w:val="22"/>
                <w:szCs w:val="22"/>
              </w:rPr>
              <w:t xml:space="preserve">e </w:t>
            </w:r>
            <w:r w:rsidR="00B66969" w:rsidRPr="00154E08">
              <w:rPr>
                <w:rFonts w:eastAsia="Calibri" w:cs="Times New Roman"/>
                <w:color w:val="000000" w:themeColor="text1"/>
                <w:spacing w:val="-2"/>
                <w:sz w:val="22"/>
                <w:szCs w:val="22"/>
              </w:rPr>
              <w:t>strateg</w:t>
            </w:r>
            <w:r w:rsidRPr="00154E08">
              <w:rPr>
                <w:rFonts w:eastAsia="Calibri" w:cs="Times New Roman"/>
                <w:color w:val="000000" w:themeColor="text1"/>
                <w:spacing w:val="-2"/>
                <w:sz w:val="22"/>
                <w:szCs w:val="22"/>
              </w:rPr>
              <w:t>ie</w:t>
            </w:r>
            <w:r w:rsidR="00B66969" w:rsidRPr="00154E08">
              <w:rPr>
                <w:rFonts w:eastAsia="Calibri" w:cs="Times New Roman"/>
                <w:color w:val="000000" w:themeColor="text1"/>
                <w:spacing w:val="-2"/>
                <w:sz w:val="22"/>
                <w:szCs w:val="22"/>
              </w:rPr>
              <w:t>,</w:t>
            </w:r>
            <w:r w:rsidR="00D130E1" w:rsidRPr="00154E08">
              <w:rPr>
                <w:rFonts w:eastAsia="Calibri" w:cs="Times New Roman"/>
                <w:color w:val="000000" w:themeColor="text1"/>
                <w:spacing w:val="-2"/>
                <w:sz w:val="22"/>
                <w:szCs w:val="22"/>
              </w:rPr>
              <w:t xml:space="preserve"> </w:t>
            </w:r>
            <w:r w:rsidRPr="00154E08">
              <w:rPr>
                <w:rFonts w:eastAsia="Calibri" w:cs="Times New Roman"/>
                <w:color w:val="000000" w:themeColor="text1"/>
                <w:spacing w:val="-2"/>
                <w:sz w:val="22"/>
                <w:szCs w:val="22"/>
              </w:rPr>
              <w:t>uzależnione od u</w:t>
            </w:r>
            <w:r w:rsidR="00D130E1" w:rsidRPr="00154E08">
              <w:rPr>
                <w:rFonts w:eastAsia="Calibri" w:cs="Times New Roman"/>
                <w:color w:val="000000" w:themeColor="text1"/>
                <w:spacing w:val="-2"/>
                <w:sz w:val="22"/>
                <w:szCs w:val="22"/>
              </w:rPr>
              <w:t>warunkowań lokalnych</w:t>
            </w:r>
            <w:r w:rsidR="00A5647E" w:rsidRPr="00154E08">
              <w:rPr>
                <w:rFonts w:eastAsia="Calibri" w:cs="Times New Roman"/>
                <w:color w:val="000000" w:themeColor="text1"/>
                <w:spacing w:val="-2"/>
                <w:sz w:val="22"/>
                <w:szCs w:val="22"/>
              </w:rPr>
              <w:t xml:space="preserve"> i</w:t>
            </w:r>
            <w:r w:rsidRPr="00154E08">
              <w:rPr>
                <w:rFonts w:eastAsia="Calibri" w:cs="Times New Roman"/>
                <w:color w:val="000000" w:themeColor="text1"/>
                <w:spacing w:val="-2"/>
                <w:sz w:val="22"/>
                <w:szCs w:val="22"/>
              </w:rPr>
              <w:t xml:space="preserve"> </w:t>
            </w:r>
            <w:r w:rsidR="00D130E1" w:rsidRPr="00154E08">
              <w:rPr>
                <w:rFonts w:eastAsia="Calibri" w:cs="Times New Roman"/>
                <w:color w:val="000000" w:themeColor="text1"/>
                <w:spacing w:val="-2"/>
                <w:sz w:val="22"/>
                <w:szCs w:val="22"/>
              </w:rPr>
              <w:t>dostępn</w:t>
            </w:r>
            <w:r w:rsidRPr="00154E08">
              <w:rPr>
                <w:rFonts w:eastAsia="Calibri" w:cs="Times New Roman"/>
                <w:color w:val="000000" w:themeColor="text1"/>
                <w:spacing w:val="-2"/>
                <w:sz w:val="22"/>
                <w:szCs w:val="22"/>
              </w:rPr>
              <w:t>ośc</w:t>
            </w:r>
            <w:r w:rsidR="00A5647E" w:rsidRPr="00154E08">
              <w:rPr>
                <w:rFonts w:eastAsia="Calibri" w:cs="Times New Roman"/>
                <w:color w:val="000000" w:themeColor="text1"/>
                <w:spacing w:val="-2"/>
                <w:sz w:val="22"/>
                <w:szCs w:val="22"/>
              </w:rPr>
              <w:t>i</w:t>
            </w:r>
            <w:r w:rsidRPr="00154E08">
              <w:rPr>
                <w:rFonts w:eastAsia="Calibri" w:cs="Times New Roman"/>
                <w:color w:val="000000" w:themeColor="text1"/>
                <w:spacing w:val="-2"/>
                <w:sz w:val="22"/>
                <w:szCs w:val="22"/>
              </w:rPr>
              <w:t xml:space="preserve"> </w:t>
            </w:r>
            <w:r w:rsidR="00D130E1" w:rsidRPr="00154E08">
              <w:rPr>
                <w:rFonts w:eastAsia="Calibri" w:cs="Times New Roman"/>
                <w:color w:val="000000" w:themeColor="text1"/>
                <w:spacing w:val="-2"/>
                <w:sz w:val="22"/>
                <w:szCs w:val="22"/>
              </w:rPr>
              <w:t>surowc</w:t>
            </w:r>
            <w:r w:rsidRPr="00154E08">
              <w:rPr>
                <w:rFonts w:eastAsia="Calibri" w:cs="Times New Roman"/>
                <w:color w:val="000000" w:themeColor="text1"/>
                <w:spacing w:val="-2"/>
                <w:sz w:val="22"/>
                <w:szCs w:val="22"/>
              </w:rPr>
              <w:t>ów</w:t>
            </w:r>
            <w:r w:rsidR="00D130E1" w:rsidRPr="00154E08">
              <w:rPr>
                <w:rFonts w:eastAsia="Calibri" w:cs="Times New Roman"/>
                <w:color w:val="000000" w:themeColor="text1"/>
                <w:spacing w:val="-2"/>
                <w:sz w:val="22"/>
                <w:szCs w:val="22"/>
              </w:rPr>
              <w:t xml:space="preserve"> oraz</w:t>
            </w:r>
            <w:r w:rsidR="00B66969" w:rsidRPr="00154E08">
              <w:rPr>
                <w:rFonts w:eastAsia="Calibri" w:cs="Times New Roman"/>
                <w:color w:val="000000" w:themeColor="text1"/>
                <w:spacing w:val="-2"/>
                <w:sz w:val="22"/>
                <w:szCs w:val="22"/>
              </w:rPr>
              <w:t xml:space="preserve"> </w:t>
            </w:r>
            <w:r w:rsidR="00BF593C" w:rsidRPr="00154E08">
              <w:rPr>
                <w:rFonts w:eastAsia="Calibri" w:cs="Times New Roman"/>
                <w:color w:val="000000" w:themeColor="text1"/>
                <w:spacing w:val="-2"/>
                <w:sz w:val="22"/>
                <w:szCs w:val="22"/>
              </w:rPr>
              <w:t xml:space="preserve">– </w:t>
            </w:r>
            <w:r w:rsidR="00B66969" w:rsidRPr="00154E08">
              <w:rPr>
                <w:rFonts w:eastAsia="Calibri" w:cs="Times New Roman"/>
                <w:color w:val="000000" w:themeColor="text1"/>
                <w:spacing w:val="-2"/>
                <w:sz w:val="22"/>
                <w:szCs w:val="22"/>
              </w:rPr>
              <w:t xml:space="preserve">co </w:t>
            </w:r>
            <w:r w:rsidR="00045BD3" w:rsidRPr="00154E08">
              <w:rPr>
                <w:rFonts w:eastAsia="Calibri" w:cs="Times New Roman"/>
                <w:color w:val="000000" w:themeColor="text1"/>
                <w:spacing w:val="-2"/>
                <w:sz w:val="22"/>
                <w:szCs w:val="22"/>
              </w:rPr>
              <w:t xml:space="preserve">jest </w:t>
            </w:r>
            <w:r w:rsidR="00B66969" w:rsidRPr="00154E08">
              <w:rPr>
                <w:rFonts w:eastAsia="Calibri" w:cs="Times New Roman"/>
                <w:color w:val="000000" w:themeColor="text1"/>
                <w:spacing w:val="-2"/>
                <w:sz w:val="22"/>
                <w:szCs w:val="22"/>
              </w:rPr>
              <w:t>szczególnie istotne</w:t>
            </w:r>
            <w:r w:rsidR="00045BD3" w:rsidRPr="00154E08">
              <w:rPr>
                <w:rFonts w:eastAsia="Calibri" w:cs="Times New Roman"/>
                <w:color w:val="000000" w:themeColor="text1"/>
                <w:spacing w:val="-2"/>
                <w:sz w:val="22"/>
                <w:szCs w:val="22"/>
              </w:rPr>
              <w:t> w </w:t>
            </w:r>
            <w:r w:rsidR="00B66969" w:rsidRPr="00154E08">
              <w:rPr>
                <w:rFonts w:eastAsia="Calibri" w:cs="Times New Roman"/>
                <w:color w:val="000000" w:themeColor="text1"/>
                <w:spacing w:val="-2"/>
                <w:sz w:val="22"/>
                <w:szCs w:val="22"/>
              </w:rPr>
              <w:t xml:space="preserve">przypadku </w:t>
            </w:r>
            <w:r w:rsidR="00EC456E" w:rsidRPr="00154E08">
              <w:rPr>
                <w:rFonts w:eastAsia="Calibri" w:cs="Times New Roman"/>
                <w:color w:val="000000" w:themeColor="text1"/>
                <w:spacing w:val="-2"/>
                <w:sz w:val="22"/>
                <w:szCs w:val="22"/>
              </w:rPr>
              <w:t xml:space="preserve">paliwa gazowego </w:t>
            </w:r>
            <w:r w:rsidR="00BF593C" w:rsidRPr="00154E08">
              <w:rPr>
                <w:rFonts w:eastAsia="Calibri" w:cs="Times New Roman"/>
                <w:color w:val="000000" w:themeColor="text1"/>
                <w:spacing w:val="-2"/>
                <w:sz w:val="22"/>
                <w:szCs w:val="22"/>
              </w:rPr>
              <w:t>–</w:t>
            </w:r>
            <w:r w:rsidR="00B66969" w:rsidRPr="00154E08">
              <w:rPr>
                <w:rFonts w:eastAsia="Calibri" w:cs="Times New Roman"/>
                <w:color w:val="000000" w:themeColor="text1"/>
                <w:spacing w:val="-2"/>
                <w:sz w:val="22"/>
                <w:szCs w:val="22"/>
              </w:rPr>
              <w:t xml:space="preserve"> </w:t>
            </w:r>
            <w:r w:rsidR="00045BD3" w:rsidRPr="00154E08">
              <w:rPr>
                <w:rFonts w:eastAsia="Calibri" w:cs="Times New Roman"/>
                <w:color w:val="000000" w:themeColor="text1"/>
                <w:spacing w:val="-2"/>
                <w:sz w:val="22"/>
                <w:szCs w:val="22"/>
              </w:rPr>
              <w:t>posi</w:t>
            </w:r>
            <w:r w:rsidR="00D130E1" w:rsidRPr="00154E08">
              <w:rPr>
                <w:rFonts w:eastAsia="Calibri" w:cs="Times New Roman"/>
                <w:color w:val="000000" w:themeColor="text1"/>
                <w:spacing w:val="-2"/>
                <w:sz w:val="22"/>
                <w:szCs w:val="22"/>
              </w:rPr>
              <w:t>adan</w:t>
            </w:r>
            <w:r w:rsidR="00045BD3" w:rsidRPr="00154E08">
              <w:rPr>
                <w:rFonts w:eastAsia="Calibri" w:cs="Times New Roman"/>
                <w:color w:val="000000" w:themeColor="text1"/>
                <w:spacing w:val="-2"/>
                <w:sz w:val="22"/>
                <w:szCs w:val="22"/>
              </w:rPr>
              <w:t xml:space="preserve">ą </w:t>
            </w:r>
            <w:r w:rsidR="00D130E1" w:rsidRPr="00154E08">
              <w:rPr>
                <w:rFonts w:eastAsia="Calibri" w:cs="Times New Roman"/>
                <w:color w:val="000000" w:themeColor="text1"/>
                <w:spacing w:val="-2"/>
                <w:sz w:val="22"/>
                <w:szCs w:val="22"/>
              </w:rPr>
              <w:t>infra</w:t>
            </w:r>
            <w:r w:rsidR="00B66969" w:rsidRPr="00154E08">
              <w:rPr>
                <w:rFonts w:eastAsia="Calibri" w:cs="Times New Roman"/>
                <w:color w:val="000000" w:themeColor="text1"/>
                <w:spacing w:val="-2"/>
                <w:sz w:val="22"/>
                <w:szCs w:val="22"/>
              </w:rPr>
              <w:t>struktur</w:t>
            </w:r>
            <w:r w:rsidR="00045BD3" w:rsidRPr="00154E08">
              <w:rPr>
                <w:rFonts w:eastAsia="Calibri" w:cs="Times New Roman"/>
                <w:color w:val="000000" w:themeColor="text1"/>
                <w:spacing w:val="-2"/>
                <w:sz w:val="22"/>
                <w:szCs w:val="22"/>
              </w:rPr>
              <w:t xml:space="preserve">ą </w:t>
            </w:r>
            <w:r w:rsidR="00B66969" w:rsidRPr="00154E08">
              <w:rPr>
                <w:rFonts w:eastAsia="Calibri" w:cs="Times New Roman"/>
                <w:color w:val="000000" w:themeColor="text1"/>
                <w:spacing w:val="-2"/>
                <w:sz w:val="22"/>
                <w:szCs w:val="22"/>
              </w:rPr>
              <w:t>funkcjonują</w:t>
            </w:r>
            <w:r w:rsidR="00D130E1" w:rsidRPr="00154E08">
              <w:rPr>
                <w:rFonts w:eastAsia="Calibri" w:cs="Times New Roman"/>
                <w:color w:val="000000" w:themeColor="text1"/>
                <w:spacing w:val="-2"/>
                <w:sz w:val="22"/>
                <w:szCs w:val="22"/>
              </w:rPr>
              <w:t xml:space="preserve">cych </w:t>
            </w:r>
            <w:r w:rsidR="00B66969" w:rsidRPr="00154E08">
              <w:rPr>
                <w:rFonts w:eastAsia="Calibri" w:cs="Times New Roman"/>
                <w:color w:val="000000" w:themeColor="text1"/>
                <w:spacing w:val="-2"/>
                <w:sz w:val="22"/>
                <w:szCs w:val="22"/>
              </w:rPr>
              <w:t xml:space="preserve">sieci </w:t>
            </w:r>
            <w:r w:rsidR="007F14E4" w:rsidRPr="00154E08">
              <w:rPr>
                <w:rFonts w:eastAsia="Calibri" w:cs="Times New Roman"/>
                <w:color w:val="000000" w:themeColor="text1"/>
                <w:spacing w:val="-2"/>
                <w:sz w:val="22"/>
                <w:szCs w:val="22"/>
              </w:rPr>
              <w:t xml:space="preserve">dystrybucji </w:t>
            </w:r>
            <w:r w:rsidR="00D130E1" w:rsidRPr="00154E08">
              <w:rPr>
                <w:rFonts w:eastAsia="Calibri" w:cs="Times New Roman"/>
                <w:color w:val="000000" w:themeColor="text1"/>
                <w:spacing w:val="-2"/>
                <w:sz w:val="22"/>
                <w:szCs w:val="22"/>
              </w:rPr>
              <w:t>gaz</w:t>
            </w:r>
            <w:r w:rsidR="007F14E4" w:rsidRPr="00154E08">
              <w:rPr>
                <w:rFonts w:eastAsia="Calibri" w:cs="Times New Roman"/>
                <w:color w:val="000000" w:themeColor="text1"/>
                <w:spacing w:val="-2"/>
                <w:sz w:val="22"/>
                <w:szCs w:val="22"/>
              </w:rPr>
              <w:t>u (</w:t>
            </w:r>
            <w:r w:rsidR="00045BD3" w:rsidRPr="00154E08">
              <w:rPr>
                <w:rFonts w:eastAsia="Calibri" w:cs="Times New Roman"/>
                <w:color w:val="000000" w:themeColor="text1"/>
                <w:spacing w:val="-2"/>
                <w:sz w:val="22"/>
                <w:szCs w:val="22"/>
              </w:rPr>
              <w:t>zap</w:t>
            </w:r>
            <w:r w:rsidR="002038DF" w:rsidRPr="00154E08">
              <w:rPr>
                <w:rFonts w:eastAsia="Calibri" w:cs="Times New Roman"/>
                <w:color w:val="000000" w:themeColor="text1"/>
                <w:spacing w:val="-2"/>
                <w:sz w:val="22"/>
                <w:szCs w:val="22"/>
              </w:rPr>
              <w:t>ewni</w:t>
            </w:r>
            <w:r w:rsidR="00EA37E1" w:rsidRPr="00154E08">
              <w:rPr>
                <w:rFonts w:eastAsia="Calibri" w:cs="Times New Roman"/>
                <w:color w:val="000000" w:themeColor="text1"/>
                <w:spacing w:val="-2"/>
                <w:sz w:val="22"/>
                <w:szCs w:val="22"/>
              </w:rPr>
              <w:t>ającą</w:t>
            </w:r>
            <w:r w:rsidR="007F14E4" w:rsidRPr="00154E08">
              <w:rPr>
                <w:rFonts w:eastAsia="Calibri" w:cs="Times New Roman"/>
                <w:color w:val="000000" w:themeColor="text1"/>
                <w:spacing w:val="-2"/>
                <w:sz w:val="22"/>
                <w:szCs w:val="22"/>
              </w:rPr>
              <w:t xml:space="preserve"> chłonność </w:t>
            </w:r>
            <w:r w:rsidR="00045BD3" w:rsidRPr="00154E08">
              <w:rPr>
                <w:rFonts w:eastAsia="Calibri" w:cs="Times New Roman"/>
                <w:color w:val="000000" w:themeColor="text1"/>
                <w:spacing w:val="-2"/>
                <w:sz w:val="22"/>
                <w:szCs w:val="22"/>
              </w:rPr>
              <w:t>i</w:t>
            </w:r>
            <w:r w:rsidR="00A5647E" w:rsidRPr="00154E08">
              <w:rPr>
                <w:rFonts w:eastAsia="Calibri" w:cs="Times New Roman"/>
                <w:color w:val="000000" w:themeColor="text1"/>
                <w:spacing w:val="-2"/>
                <w:sz w:val="22"/>
                <w:szCs w:val="22"/>
              </w:rPr>
              <w:t> </w:t>
            </w:r>
            <w:r w:rsidR="00EA37E1" w:rsidRPr="00154E08">
              <w:rPr>
                <w:rFonts w:eastAsia="Calibri" w:cs="Times New Roman"/>
                <w:color w:val="000000" w:themeColor="text1"/>
                <w:spacing w:val="-2"/>
                <w:sz w:val="22"/>
                <w:szCs w:val="22"/>
              </w:rPr>
              <w:t xml:space="preserve">możliwość </w:t>
            </w:r>
            <w:r w:rsidR="00671633" w:rsidRPr="00154E08">
              <w:rPr>
                <w:rFonts w:eastAsia="Calibri" w:cs="Times New Roman"/>
                <w:color w:val="000000" w:themeColor="text1"/>
                <w:spacing w:val="-2"/>
                <w:sz w:val="22"/>
                <w:szCs w:val="22"/>
              </w:rPr>
              <w:t xml:space="preserve">stałego </w:t>
            </w:r>
            <w:r w:rsidR="007F14E4" w:rsidRPr="00154E08">
              <w:rPr>
                <w:rFonts w:eastAsia="Calibri" w:cs="Times New Roman"/>
                <w:color w:val="000000" w:themeColor="text1"/>
                <w:spacing w:val="-2"/>
                <w:sz w:val="22"/>
                <w:szCs w:val="22"/>
              </w:rPr>
              <w:t>odbioru</w:t>
            </w:r>
            <w:r w:rsidR="00EA37E1" w:rsidRPr="00154E08">
              <w:rPr>
                <w:rFonts w:eastAsia="Calibri" w:cs="Times New Roman"/>
                <w:color w:val="000000" w:themeColor="text1"/>
                <w:spacing w:val="-2"/>
                <w:sz w:val="22"/>
                <w:szCs w:val="22"/>
              </w:rPr>
              <w:t xml:space="preserve"> </w:t>
            </w:r>
            <w:r w:rsidR="00A5647E" w:rsidRPr="00154E08">
              <w:rPr>
                <w:rFonts w:eastAsia="Calibri" w:cs="Times New Roman"/>
                <w:color w:val="000000" w:themeColor="text1"/>
                <w:spacing w:val="-2"/>
                <w:sz w:val="22"/>
                <w:szCs w:val="22"/>
              </w:rPr>
              <w:t>wytworzonego gazu</w:t>
            </w:r>
            <w:r w:rsidR="007F14E4" w:rsidRPr="00154E08">
              <w:rPr>
                <w:rFonts w:eastAsia="Calibri" w:cs="Times New Roman"/>
                <w:color w:val="000000" w:themeColor="text1"/>
                <w:spacing w:val="-2"/>
                <w:sz w:val="22"/>
                <w:szCs w:val="22"/>
              </w:rPr>
              <w:t>)</w:t>
            </w:r>
            <w:r w:rsidR="00671633" w:rsidRPr="00154E08">
              <w:rPr>
                <w:rFonts w:eastAsia="Calibri" w:cs="Times New Roman"/>
                <w:color w:val="000000" w:themeColor="text1"/>
                <w:spacing w:val="-2"/>
                <w:sz w:val="22"/>
                <w:szCs w:val="22"/>
              </w:rPr>
              <w:t xml:space="preserve">, </w:t>
            </w:r>
            <w:r w:rsidR="00FF18A3" w:rsidRPr="00154E08">
              <w:rPr>
                <w:rFonts w:eastAsia="Calibri" w:cs="Times New Roman"/>
                <w:color w:val="000000" w:themeColor="text1"/>
                <w:spacing w:val="-2"/>
                <w:sz w:val="22"/>
                <w:szCs w:val="22"/>
              </w:rPr>
              <w:t>wielkością floty,</w:t>
            </w:r>
            <w:r w:rsidR="00671633" w:rsidRPr="00154E08">
              <w:rPr>
                <w:rFonts w:eastAsia="Calibri" w:cs="Times New Roman"/>
                <w:color w:val="000000" w:themeColor="text1"/>
                <w:spacing w:val="-2"/>
                <w:sz w:val="22"/>
                <w:szCs w:val="22"/>
              </w:rPr>
              <w:t xml:space="preserve"> </w:t>
            </w:r>
            <w:r w:rsidR="00BF593C" w:rsidRPr="00154E08">
              <w:rPr>
                <w:rFonts w:eastAsia="Calibri" w:cs="Times New Roman"/>
                <w:color w:val="000000" w:themeColor="text1"/>
                <w:spacing w:val="-2"/>
                <w:sz w:val="22"/>
                <w:szCs w:val="22"/>
              </w:rPr>
              <w:t xml:space="preserve">a także </w:t>
            </w:r>
            <w:r w:rsidR="007F14E4" w:rsidRPr="00154E08">
              <w:rPr>
                <w:rFonts w:eastAsia="Calibri" w:cs="Times New Roman"/>
                <w:color w:val="000000" w:themeColor="text1"/>
                <w:spacing w:val="-2"/>
                <w:sz w:val="22"/>
                <w:szCs w:val="22"/>
              </w:rPr>
              <w:t>infrastruktur</w:t>
            </w:r>
            <w:r w:rsidR="00A5647E" w:rsidRPr="00154E08">
              <w:rPr>
                <w:rFonts w:eastAsia="Calibri" w:cs="Times New Roman"/>
                <w:color w:val="000000" w:themeColor="text1"/>
                <w:spacing w:val="-2"/>
                <w:sz w:val="22"/>
                <w:szCs w:val="22"/>
              </w:rPr>
              <w:t>ą</w:t>
            </w:r>
            <w:r w:rsidR="003B7F30" w:rsidRPr="00154E08">
              <w:rPr>
                <w:rFonts w:eastAsia="Calibri" w:cs="Times New Roman"/>
                <w:color w:val="000000" w:themeColor="text1"/>
                <w:spacing w:val="-2"/>
                <w:sz w:val="22"/>
                <w:szCs w:val="22"/>
              </w:rPr>
              <w:t xml:space="preserve"> tankowania</w:t>
            </w:r>
            <w:r w:rsidR="007F14E4" w:rsidRPr="00154E08">
              <w:rPr>
                <w:rFonts w:eastAsia="Calibri" w:cs="Times New Roman"/>
                <w:color w:val="000000" w:themeColor="text1"/>
                <w:spacing w:val="-2"/>
                <w:sz w:val="22"/>
                <w:szCs w:val="22"/>
              </w:rPr>
              <w:t xml:space="preserve"> </w:t>
            </w:r>
            <w:r w:rsidR="003B7F30" w:rsidRPr="00154E08">
              <w:rPr>
                <w:rFonts w:eastAsia="Calibri" w:cs="Times New Roman"/>
                <w:color w:val="000000" w:themeColor="text1"/>
                <w:spacing w:val="-2"/>
                <w:sz w:val="22"/>
                <w:szCs w:val="22"/>
              </w:rPr>
              <w:t>(</w:t>
            </w:r>
            <w:r w:rsidR="007F14E4" w:rsidRPr="00154E08">
              <w:rPr>
                <w:rFonts w:eastAsia="Calibri" w:cs="Times New Roman"/>
                <w:color w:val="000000" w:themeColor="text1"/>
                <w:spacing w:val="-2"/>
                <w:sz w:val="22"/>
                <w:szCs w:val="22"/>
              </w:rPr>
              <w:t>stacji</w:t>
            </w:r>
            <w:r w:rsidR="00EA37E1" w:rsidRPr="00154E08">
              <w:rPr>
                <w:rFonts w:eastAsia="Calibri" w:cs="Times New Roman"/>
                <w:color w:val="000000" w:themeColor="text1"/>
                <w:spacing w:val="-2"/>
                <w:sz w:val="22"/>
                <w:szCs w:val="22"/>
              </w:rPr>
              <w:t xml:space="preserve"> CNG/LNG</w:t>
            </w:r>
            <w:r w:rsidR="003B7F30" w:rsidRPr="00154E08">
              <w:rPr>
                <w:rFonts w:eastAsia="Calibri" w:cs="Times New Roman"/>
                <w:color w:val="000000" w:themeColor="text1"/>
                <w:spacing w:val="-2"/>
                <w:sz w:val="22"/>
                <w:szCs w:val="22"/>
              </w:rPr>
              <w:t>)</w:t>
            </w:r>
            <w:r w:rsidR="00671633" w:rsidRPr="00154E08">
              <w:rPr>
                <w:rFonts w:eastAsia="Calibri" w:cs="Times New Roman"/>
                <w:color w:val="000000" w:themeColor="text1"/>
                <w:spacing w:val="-2"/>
                <w:sz w:val="22"/>
                <w:szCs w:val="22"/>
              </w:rPr>
              <w:t>.</w:t>
            </w:r>
            <w:r w:rsidR="00B30B9D" w:rsidRPr="00154E08">
              <w:rPr>
                <w:rFonts w:eastAsia="Calibri" w:cs="Times New Roman"/>
                <w:color w:val="000000" w:themeColor="text1"/>
                <w:spacing w:val="-2"/>
                <w:sz w:val="22"/>
                <w:szCs w:val="22"/>
              </w:rPr>
              <w:t xml:space="preserve"> </w:t>
            </w:r>
          </w:p>
          <w:p w14:paraId="2CE6F344" w14:textId="340851CD" w:rsidR="00B66969" w:rsidRPr="00154E08" w:rsidRDefault="00B30B9D"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 xml:space="preserve">W krajach unijnych w 2023 r. funkcjonowało ok. 4100 stacji CNG oraz 650 stacji LNG, z czego znaczna część jest już obecnie zasilana </w:t>
            </w:r>
            <w:proofErr w:type="spellStart"/>
            <w:r w:rsidRPr="00154E08">
              <w:rPr>
                <w:rFonts w:eastAsia="Calibri" w:cs="Times New Roman"/>
                <w:color w:val="000000" w:themeColor="text1"/>
                <w:spacing w:val="-2"/>
                <w:sz w:val="22"/>
                <w:szCs w:val="22"/>
              </w:rPr>
              <w:t>biometanem</w:t>
            </w:r>
            <w:proofErr w:type="spellEnd"/>
            <w:r w:rsidRPr="00154E08">
              <w:rPr>
                <w:rFonts w:eastAsia="Calibri" w:cs="Times New Roman"/>
                <w:color w:val="000000" w:themeColor="text1"/>
                <w:spacing w:val="-2"/>
                <w:sz w:val="22"/>
                <w:szCs w:val="22"/>
              </w:rPr>
              <w:t xml:space="preserve">. Duży potencjał </w:t>
            </w:r>
            <w:proofErr w:type="spellStart"/>
            <w:r w:rsidRPr="00154E08">
              <w:rPr>
                <w:rFonts w:eastAsia="Calibri" w:cs="Times New Roman"/>
                <w:color w:val="000000" w:themeColor="text1"/>
                <w:spacing w:val="-2"/>
                <w:sz w:val="22"/>
                <w:szCs w:val="22"/>
              </w:rPr>
              <w:t>biometanu</w:t>
            </w:r>
            <w:proofErr w:type="spellEnd"/>
            <w:r w:rsidRPr="00154E08">
              <w:rPr>
                <w:rFonts w:eastAsia="Calibri" w:cs="Times New Roman"/>
                <w:color w:val="000000" w:themeColor="text1"/>
                <w:spacing w:val="-2"/>
                <w:sz w:val="22"/>
                <w:szCs w:val="22"/>
              </w:rPr>
              <w:t xml:space="preserve"> w zakresie redukcji emisji został dostrzeżony przez Komisję Europejską oraz Europejskie Stowarzyszenie </w:t>
            </w:r>
            <w:proofErr w:type="spellStart"/>
            <w:r w:rsidRPr="00154E08">
              <w:rPr>
                <w:rFonts w:eastAsia="Calibri" w:cs="Times New Roman"/>
                <w:color w:val="000000" w:themeColor="text1"/>
                <w:spacing w:val="-2"/>
                <w:sz w:val="22"/>
                <w:szCs w:val="22"/>
              </w:rPr>
              <w:t>Biometanu</w:t>
            </w:r>
            <w:proofErr w:type="spellEnd"/>
            <w:r w:rsidRPr="00154E08">
              <w:rPr>
                <w:rFonts w:eastAsia="Calibri" w:cs="Times New Roman"/>
                <w:color w:val="000000" w:themeColor="text1"/>
                <w:spacing w:val="-2"/>
                <w:sz w:val="22"/>
                <w:szCs w:val="22"/>
              </w:rPr>
              <w:t xml:space="preserve">, które powołały wspólną inicjatywę dla stworzenia warunków przyśpieszonego do 2030 rozwoju tego sektora (BIP-EBA). Zdaniem inicjatywy </w:t>
            </w:r>
            <w:proofErr w:type="spellStart"/>
            <w:r w:rsidRPr="00154E08">
              <w:rPr>
                <w:rFonts w:eastAsia="Calibri" w:cs="Times New Roman"/>
                <w:color w:val="000000" w:themeColor="text1"/>
                <w:spacing w:val="-2"/>
                <w:sz w:val="22"/>
                <w:szCs w:val="22"/>
              </w:rPr>
              <w:t>biometan</w:t>
            </w:r>
            <w:proofErr w:type="spellEnd"/>
            <w:r w:rsidRPr="00154E08">
              <w:rPr>
                <w:rFonts w:eastAsia="Calibri" w:cs="Times New Roman"/>
                <w:color w:val="000000" w:themeColor="text1"/>
                <w:spacing w:val="-2"/>
                <w:sz w:val="22"/>
                <w:szCs w:val="22"/>
              </w:rPr>
              <w:t xml:space="preserve"> może odegrać szczególnie dużą rolę w</w:t>
            </w:r>
            <w:r w:rsidR="00D14EAB" w:rsidRPr="00154E08">
              <w:rPr>
                <w:rFonts w:eastAsia="Calibri" w:cs="Times New Roman"/>
                <w:color w:val="000000" w:themeColor="text1"/>
                <w:spacing w:val="-2"/>
                <w:sz w:val="22"/>
                <w:szCs w:val="22"/>
              </w:rPr>
              <w:t> </w:t>
            </w:r>
            <w:r w:rsidRPr="00154E08">
              <w:rPr>
                <w:rFonts w:eastAsia="Calibri" w:cs="Times New Roman"/>
                <w:color w:val="000000" w:themeColor="text1"/>
                <w:spacing w:val="-2"/>
                <w:sz w:val="22"/>
                <w:szCs w:val="22"/>
              </w:rPr>
              <w:t>dekarbonizacji transportu ciężkiego oraz transportu komunalnego i</w:t>
            </w:r>
            <w:r w:rsidR="00837D94" w:rsidRPr="00154E08">
              <w:rPr>
                <w:rFonts w:eastAsia="Calibri" w:cs="Times New Roman"/>
                <w:color w:val="000000" w:themeColor="text1"/>
                <w:spacing w:val="-2"/>
                <w:sz w:val="22"/>
                <w:szCs w:val="22"/>
              </w:rPr>
              <w:t> </w:t>
            </w:r>
            <w:r w:rsidRPr="00154E08">
              <w:rPr>
                <w:rFonts w:eastAsia="Calibri" w:cs="Times New Roman"/>
                <w:color w:val="000000" w:themeColor="text1"/>
                <w:spacing w:val="-2"/>
                <w:sz w:val="22"/>
                <w:szCs w:val="22"/>
              </w:rPr>
              <w:t>miejskiego.</w:t>
            </w:r>
          </w:p>
          <w:p w14:paraId="34227BDD" w14:textId="07A8ED78" w:rsidR="001763B9" w:rsidRPr="00154E08" w:rsidRDefault="00D130E1"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 xml:space="preserve">W </w:t>
            </w:r>
            <w:r w:rsidR="00BF593C" w:rsidRPr="00154E08">
              <w:rPr>
                <w:rFonts w:eastAsia="Calibri" w:cs="Times New Roman"/>
                <w:color w:val="000000" w:themeColor="text1"/>
                <w:spacing w:val="-2"/>
                <w:sz w:val="22"/>
                <w:szCs w:val="22"/>
              </w:rPr>
              <w:t>państwach członkowskich</w:t>
            </w:r>
            <w:r w:rsidRPr="00154E08">
              <w:rPr>
                <w:rFonts w:eastAsia="Calibri" w:cs="Times New Roman"/>
                <w:color w:val="000000" w:themeColor="text1"/>
                <w:spacing w:val="-2"/>
                <w:sz w:val="22"/>
                <w:szCs w:val="22"/>
              </w:rPr>
              <w:t xml:space="preserve"> U</w:t>
            </w:r>
            <w:r w:rsidR="00CB0576" w:rsidRPr="00154E08">
              <w:rPr>
                <w:rFonts w:eastAsia="Calibri" w:cs="Times New Roman"/>
                <w:color w:val="000000" w:themeColor="text1"/>
                <w:spacing w:val="-2"/>
                <w:sz w:val="22"/>
                <w:szCs w:val="22"/>
              </w:rPr>
              <w:t xml:space="preserve">nii </w:t>
            </w:r>
            <w:r w:rsidRPr="00154E08">
              <w:rPr>
                <w:rFonts w:eastAsia="Calibri" w:cs="Times New Roman"/>
                <w:color w:val="000000" w:themeColor="text1"/>
                <w:spacing w:val="-2"/>
                <w:sz w:val="22"/>
                <w:szCs w:val="22"/>
              </w:rPr>
              <w:t>E</w:t>
            </w:r>
            <w:r w:rsidR="00CB0576" w:rsidRPr="00154E08">
              <w:rPr>
                <w:rFonts w:eastAsia="Calibri" w:cs="Times New Roman"/>
                <w:color w:val="000000" w:themeColor="text1"/>
                <w:spacing w:val="-2"/>
                <w:sz w:val="22"/>
                <w:szCs w:val="22"/>
              </w:rPr>
              <w:t>uropejskiej</w:t>
            </w:r>
            <w:r w:rsidRPr="00154E08">
              <w:rPr>
                <w:rFonts w:eastAsia="Calibri" w:cs="Times New Roman"/>
                <w:color w:val="000000" w:themeColor="text1"/>
                <w:spacing w:val="-2"/>
                <w:sz w:val="22"/>
                <w:szCs w:val="22"/>
              </w:rPr>
              <w:t xml:space="preserve"> </w:t>
            </w:r>
            <w:r w:rsidR="00D14EAB" w:rsidRPr="00154E08">
              <w:rPr>
                <w:rFonts w:eastAsia="Calibri" w:cs="Times New Roman"/>
                <w:color w:val="000000" w:themeColor="text1"/>
                <w:spacing w:val="-2"/>
                <w:sz w:val="22"/>
                <w:szCs w:val="22"/>
              </w:rPr>
              <w:t xml:space="preserve">w 2022 r. </w:t>
            </w:r>
            <w:r w:rsidRPr="00154E08">
              <w:rPr>
                <w:rFonts w:eastAsia="Calibri" w:cs="Times New Roman"/>
                <w:color w:val="000000" w:themeColor="text1"/>
                <w:spacing w:val="-2"/>
                <w:sz w:val="22"/>
                <w:szCs w:val="22"/>
              </w:rPr>
              <w:t>wykorzystywan</w:t>
            </w:r>
            <w:r w:rsidR="003C32B4" w:rsidRPr="00154E08">
              <w:rPr>
                <w:rFonts w:eastAsia="Calibri" w:cs="Times New Roman"/>
                <w:color w:val="000000" w:themeColor="text1"/>
                <w:spacing w:val="-2"/>
                <w:sz w:val="22"/>
                <w:szCs w:val="22"/>
              </w:rPr>
              <w:t>o</w:t>
            </w:r>
            <w:r w:rsidRPr="00154E08">
              <w:rPr>
                <w:rFonts w:eastAsia="Calibri" w:cs="Times New Roman"/>
                <w:color w:val="000000" w:themeColor="text1"/>
                <w:spacing w:val="-2"/>
                <w:sz w:val="22"/>
                <w:szCs w:val="22"/>
              </w:rPr>
              <w:t xml:space="preserve"> do celów transportowych</w:t>
            </w:r>
            <w:r w:rsidR="00C54F94" w:rsidRPr="00154E08">
              <w:rPr>
                <w:rFonts w:eastAsia="Calibri" w:cs="Times New Roman"/>
                <w:color w:val="000000" w:themeColor="text1"/>
                <w:sz w:val="22"/>
                <w:szCs w:val="22"/>
              </w:rPr>
              <w:t xml:space="preserve"> ok. </w:t>
            </w:r>
            <w:r w:rsidR="001B2553" w:rsidRPr="00154E08">
              <w:rPr>
                <w:rFonts w:eastAsia="Calibri" w:cs="Times New Roman"/>
                <w:color w:val="000000" w:themeColor="text1"/>
                <w:spacing w:val="-2"/>
                <w:sz w:val="22"/>
                <w:szCs w:val="22"/>
              </w:rPr>
              <w:t>2,5 mld m</w:t>
            </w:r>
            <w:r w:rsidR="001B2553" w:rsidRPr="00154E08">
              <w:rPr>
                <w:rFonts w:eastAsia="Calibri" w:cs="Times New Roman"/>
                <w:color w:val="000000" w:themeColor="text1"/>
                <w:spacing w:val="-2"/>
                <w:sz w:val="22"/>
                <w:szCs w:val="22"/>
                <w:vertAlign w:val="superscript"/>
              </w:rPr>
              <w:t>3</w:t>
            </w:r>
            <w:r w:rsidR="00CE4C7A" w:rsidRPr="00154E08">
              <w:rPr>
                <w:rFonts w:eastAsia="Calibri" w:cs="Times New Roman"/>
                <w:color w:val="158466"/>
                <w:spacing w:val="-2"/>
                <w:sz w:val="22"/>
                <w:szCs w:val="22"/>
              </w:rPr>
              <w:t xml:space="preserve"> </w:t>
            </w:r>
            <w:proofErr w:type="spellStart"/>
            <w:r w:rsidR="00CE4C7A" w:rsidRPr="00154E08">
              <w:rPr>
                <w:rFonts w:eastAsia="Calibri" w:cs="Times New Roman"/>
                <w:spacing w:val="-2"/>
                <w:sz w:val="22"/>
                <w:szCs w:val="22"/>
              </w:rPr>
              <w:t>biometanu</w:t>
            </w:r>
            <w:proofErr w:type="spellEnd"/>
            <w:r w:rsidR="00CE4C7A" w:rsidRPr="00154E08">
              <w:rPr>
                <w:rFonts w:eastAsia="Calibri" w:cs="Times New Roman"/>
                <w:color w:val="158466"/>
                <w:spacing w:val="-2"/>
                <w:sz w:val="22"/>
                <w:szCs w:val="22"/>
              </w:rPr>
              <w:t xml:space="preserve">. </w:t>
            </w:r>
            <w:r w:rsidRPr="00154E08">
              <w:rPr>
                <w:rFonts w:eastAsia="Calibri" w:cs="Times New Roman"/>
                <w:color w:val="000000" w:themeColor="text1"/>
                <w:spacing w:val="-2"/>
                <w:sz w:val="22"/>
                <w:szCs w:val="22"/>
              </w:rPr>
              <w:t xml:space="preserve">Liderami wykorzystania tego </w:t>
            </w:r>
            <w:r w:rsidR="007B1F97" w:rsidRPr="00154E08">
              <w:rPr>
                <w:rFonts w:eastAsia="Calibri" w:cs="Times New Roman"/>
                <w:color w:val="000000" w:themeColor="text1"/>
                <w:spacing w:val="-2"/>
                <w:sz w:val="22"/>
                <w:szCs w:val="22"/>
              </w:rPr>
              <w:t>bio</w:t>
            </w:r>
            <w:r w:rsidRPr="00154E08">
              <w:rPr>
                <w:rFonts w:eastAsia="Calibri" w:cs="Times New Roman"/>
                <w:color w:val="000000" w:themeColor="text1"/>
                <w:spacing w:val="-2"/>
                <w:sz w:val="22"/>
                <w:szCs w:val="22"/>
              </w:rPr>
              <w:t xml:space="preserve">paliwa do celów transportowych są: Szwecja, Niemcy </w:t>
            </w:r>
            <w:r w:rsidR="00A5647E" w:rsidRPr="00154E08">
              <w:rPr>
                <w:rFonts w:eastAsia="Calibri" w:cs="Times New Roman"/>
                <w:color w:val="000000" w:themeColor="text1"/>
                <w:spacing w:val="-2"/>
                <w:sz w:val="22"/>
                <w:szCs w:val="22"/>
              </w:rPr>
              <w:t>oraz</w:t>
            </w:r>
            <w:r w:rsidRPr="00154E08">
              <w:rPr>
                <w:rFonts w:eastAsia="Calibri" w:cs="Times New Roman"/>
                <w:color w:val="000000" w:themeColor="text1"/>
                <w:spacing w:val="-2"/>
                <w:sz w:val="22"/>
                <w:szCs w:val="22"/>
              </w:rPr>
              <w:t xml:space="preserve"> Norwegia. </w:t>
            </w:r>
          </w:p>
          <w:p w14:paraId="2658AF90" w14:textId="6118ED0F" w:rsidR="001763B9" w:rsidRPr="00154E08" w:rsidRDefault="00D130E1" w:rsidP="00B279FD">
            <w:pPr>
              <w:spacing w:after="120" w:line="240" w:lineRule="auto"/>
              <w:jc w:val="both"/>
              <w:rPr>
                <w:rFonts w:eastAsia="Calibri" w:cs="Times New Roman"/>
                <w:color w:val="000000" w:themeColor="text1"/>
                <w:spacing w:val="-2"/>
                <w:sz w:val="22"/>
                <w:szCs w:val="22"/>
                <w:lang w:val="en-GB"/>
              </w:rPr>
            </w:pPr>
            <w:r w:rsidRPr="00154E08">
              <w:rPr>
                <w:rFonts w:eastAsia="Calibri" w:cs="Times New Roman"/>
                <w:color w:val="000000" w:themeColor="text1"/>
                <w:spacing w:val="-2"/>
                <w:sz w:val="22"/>
                <w:szCs w:val="22"/>
              </w:rPr>
              <w:t>Największym europejskim rynkiem konsumpcji gazu ziemnego, w postaci CNG są Włochy (1,4 mld</w:t>
            </w:r>
            <w:r w:rsidR="00CE4633" w:rsidRPr="00154E08">
              <w:rPr>
                <w:rFonts w:eastAsia="Calibri" w:cs="Times New Roman"/>
                <w:color w:val="000000" w:themeColor="text1"/>
                <w:spacing w:val="-2"/>
                <w:sz w:val="22"/>
                <w:szCs w:val="22"/>
              </w:rPr>
              <w:t> </w:t>
            </w:r>
            <w:r w:rsidRPr="00154E08">
              <w:rPr>
                <w:rFonts w:eastAsia="Calibri" w:cs="Times New Roman"/>
                <w:color w:val="000000" w:themeColor="text1"/>
                <w:spacing w:val="-2"/>
                <w:sz w:val="22"/>
                <w:szCs w:val="22"/>
              </w:rPr>
              <w:t>m</w:t>
            </w:r>
            <w:r w:rsidRPr="00154E08">
              <w:rPr>
                <w:rFonts w:eastAsia="Calibri" w:cs="Times New Roman"/>
                <w:color w:val="000000" w:themeColor="text1"/>
                <w:spacing w:val="-2"/>
                <w:sz w:val="22"/>
                <w:szCs w:val="22"/>
                <w:vertAlign w:val="superscript"/>
              </w:rPr>
              <w:t>3</w:t>
            </w:r>
            <w:r w:rsidRPr="00154E08">
              <w:rPr>
                <w:rFonts w:eastAsia="Calibri" w:cs="Times New Roman"/>
                <w:color w:val="000000" w:themeColor="text1"/>
                <w:spacing w:val="-2"/>
                <w:sz w:val="22"/>
                <w:szCs w:val="22"/>
              </w:rPr>
              <w:t xml:space="preserve"> CNG wykorzystywanego co rocznie do napędu ok. </w:t>
            </w:r>
            <w:r w:rsidR="009F5E28" w:rsidRPr="00154E08">
              <w:rPr>
                <w:rFonts w:eastAsia="Calibri" w:cs="Times New Roman"/>
                <w:color w:val="000000" w:themeColor="text1"/>
                <w:spacing w:val="-2"/>
                <w:sz w:val="22"/>
                <w:szCs w:val="22"/>
              </w:rPr>
              <w:t>1,</w:t>
            </w:r>
            <w:r w:rsidR="003E4861" w:rsidRPr="00154E08">
              <w:rPr>
                <w:rFonts w:eastAsia="Calibri" w:cs="Times New Roman"/>
                <w:color w:val="000000" w:themeColor="text1"/>
                <w:spacing w:val="-2"/>
                <w:sz w:val="22"/>
                <w:szCs w:val="22"/>
              </w:rPr>
              <w:t>1</w:t>
            </w:r>
            <w:r w:rsidR="009F5E28" w:rsidRPr="00154E08">
              <w:rPr>
                <w:rFonts w:eastAsia="Calibri" w:cs="Times New Roman"/>
                <w:color w:val="000000" w:themeColor="text1"/>
                <w:spacing w:val="-2"/>
                <w:sz w:val="22"/>
                <w:szCs w:val="22"/>
              </w:rPr>
              <w:t xml:space="preserve"> mln</w:t>
            </w:r>
            <w:r w:rsidRPr="00154E08">
              <w:rPr>
                <w:rFonts w:eastAsia="Calibri" w:cs="Times New Roman"/>
                <w:color w:val="000000" w:themeColor="text1"/>
                <w:spacing w:val="-2"/>
                <w:sz w:val="22"/>
                <w:szCs w:val="22"/>
              </w:rPr>
              <w:t xml:space="preserve"> aut</w:t>
            </w:r>
            <w:r w:rsidR="004F5CE0" w:rsidRPr="00154E08">
              <w:rPr>
                <w:rFonts w:eastAsia="Calibri" w:cs="Times New Roman"/>
                <w:color w:val="000000" w:themeColor="text1"/>
                <w:spacing w:val="-2"/>
                <w:sz w:val="22"/>
                <w:szCs w:val="22"/>
              </w:rPr>
              <w:t xml:space="preserve">. </w:t>
            </w:r>
            <w:r w:rsidR="009B33D4" w:rsidRPr="00154E08">
              <w:rPr>
                <w:rFonts w:eastAsia="Calibri" w:cs="Times New Roman"/>
                <w:color w:val="000000" w:themeColor="text1"/>
                <w:spacing w:val="-2"/>
                <w:sz w:val="22"/>
                <w:szCs w:val="22"/>
              </w:rPr>
              <w:t>P</w:t>
            </w:r>
            <w:r w:rsidRPr="00154E08">
              <w:rPr>
                <w:rFonts w:eastAsia="Calibri" w:cs="Times New Roman"/>
                <w:color w:val="000000" w:themeColor="text1"/>
                <w:spacing w:val="-2"/>
                <w:sz w:val="22"/>
                <w:szCs w:val="22"/>
              </w:rPr>
              <w:t xml:space="preserve">otencjał rozwoju sektora </w:t>
            </w:r>
            <w:proofErr w:type="spellStart"/>
            <w:r w:rsidRPr="00154E08">
              <w:rPr>
                <w:rFonts w:eastAsia="Calibri" w:cs="Times New Roman"/>
                <w:color w:val="000000" w:themeColor="text1"/>
                <w:spacing w:val="-2"/>
                <w:sz w:val="22"/>
                <w:szCs w:val="22"/>
              </w:rPr>
              <w:t>biometanu</w:t>
            </w:r>
            <w:proofErr w:type="spellEnd"/>
            <w:r w:rsidRPr="00154E08">
              <w:rPr>
                <w:rFonts w:eastAsia="Calibri" w:cs="Times New Roman"/>
                <w:color w:val="000000" w:themeColor="text1"/>
                <w:spacing w:val="-2"/>
                <w:sz w:val="22"/>
                <w:szCs w:val="22"/>
              </w:rPr>
              <w:t xml:space="preserve"> </w:t>
            </w:r>
            <w:r w:rsidR="006D392B" w:rsidRPr="00154E08">
              <w:rPr>
                <w:rFonts w:eastAsia="Calibri" w:cs="Times New Roman"/>
                <w:color w:val="000000" w:themeColor="text1"/>
                <w:spacing w:val="-2"/>
                <w:sz w:val="22"/>
                <w:szCs w:val="22"/>
              </w:rPr>
              <w:t>w oparciu o posiadaną infrastrukturę jest</w:t>
            </w:r>
            <w:r w:rsidR="006D392B" w:rsidRPr="00154E08" w:rsidDel="006D392B">
              <w:rPr>
                <w:rFonts w:eastAsia="Calibri" w:cs="Times New Roman"/>
                <w:color w:val="000000" w:themeColor="text1"/>
                <w:spacing w:val="-2"/>
                <w:sz w:val="22"/>
                <w:szCs w:val="22"/>
              </w:rPr>
              <w:t xml:space="preserve"> </w:t>
            </w:r>
            <w:r w:rsidR="00EC719E" w:rsidRPr="00154E08">
              <w:rPr>
                <w:rFonts w:eastAsia="Calibri" w:cs="Times New Roman"/>
                <w:color w:val="000000" w:themeColor="text1"/>
                <w:spacing w:val="-2"/>
                <w:sz w:val="22"/>
                <w:szCs w:val="22"/>
              </w:rPr>
              <w:t xml:space="preserve">tam </w:t>
            </w:r>
            <w:r w:rsidRPr="00154E08">
              <w:rPr>
                <w:rFonts w:eastAsia="Calibri" w:cs="Times New Roman"/>
                <w:color w:val="000000" w:themeColor="text1"/>
                <w:spacing w:val="-2"/>
                <w:sz w:val="22"/>
                <w:szCs w:val="22"/>
              </w:rPr>
              <w:t>wzmacniany w ramach programu pomocowego nr SA.48424 (2017/N), wydanego decyzją K</w:t>
            </w:r>
            <w:r w:rsidR="00092567" w:rsidRPr="00154E08">
              <w:rPr>
                <w:rFonts w:eastAsia="Calibri" w:cs="Times New Roman"/>
                <w:color w:val="000000" w:themeColor="text1"/>
                <w:spacing w:val="-2"/>
                <w:sz w:val="22"/>
                <w:szCs w:val="22"/>
              </w:rPr>
              <w:t xml:space="preserve">omisji </w:t>
            </w:r>
            <w:r w:rsidRPr="00154E08">
              <w:rPr>
                <w:rFonts w:eastAsia="Calibri" w:cs="Times New Roman"/>
                <w:color w:val="000000" w:themeColor="text1"/>
                <w:spacing w:val="-2"/>
                <w:sz w:val="22"/>
                <w:szCs w:val="22"/>
              </w:rPr>
              <w:t>E</w:t>
            </w:r>
            <w:r w:rsidR="00092567" w:rsidRPr="00154E08">
              <w:rPr>
                <w:rFonts w:eastAsia="Calibri" w:cs="Times New Roman"/>
                <w:color w:val="000000" w:themeColor="text1"/>
                <w:spacing w:val="-2"/>
                <w:sz w:val="22"/>
                <w:szCs w:val="22"/>
              </w:rPr>
              <w:t>uropejskiej</w:t>
            </w:r>
            <w:r w:rsidRPr="00154E08">
              <w:rPr>
                <w:rFonts w:eastAsia="Calibri" w:cs="Times New Roman"/>
                <w:color w:val="000000" w:themeColor="text1"/>
                <w:spacing w:val="-2"/>
                <w:sz w:val="22"/>
                <w:szCs w:val="22"/>
              </w:rPr>
              <w:t xml:space="preserve"> z dnia 1 marca 2018</w:t>
            </w:r>
            <w:r w:rsidR="00654ACD" w:rsidRPr="00154E08">
              <w:rPr>
                <w:rFonts w:eastAsia="Calibri" w:cs="Times New Roman"/>
                <w:color w:val="000000" w:themeColor="text1"/>
                <w:spacing w:val="-2"/>
                <w:sz w:val="22"/>
                <w:szCs w:val="22"/>
              </w:rPr>
              <w:t> </w:t>
            </w:r>
            <w:r w:rsidRPr="00154E08">
              <w:rPr>
                <w:rFonts w:eastAsia="Calibri" w:cs="Times New Roman"/>
                <w:color w:val="000000" w:themeColor="text1"/>
                <w:spacing w:val="-2"/>
                <w:sz w:val="22"/>
                <w:szCs w:val="22"/>
              </w:rPr>
              <w:t xml:space="preserve">r. – </w:t>
            </w:r>
            <w:r w:rsidR="003B7F30" w:rsidRPr="00154E08">
              <w:rPr>
                <w:rFonts w:eastAsia="Calibri" w:cs="Times New Roman"/>
                <w:color w:val="000000" w:themeColor="text1"/>
                <w:spacing w:val="-2"/>
                <w:sz w:val="22"/>
                <w:szCs w:val="22"/>
              </w:rPr>
              <w:t>(</w:t>
            </w:r>
            <w:r w:rsidRPr="00154E08">
              <w:rPr>
                <w:rFonts w:eastAsia="Calibri" w:cs="Times New Roman"/>
                <w:color w:val="000000" w:themeColor="text1"/>
                <w:spacing w:val="-2"/>
                <w:sz w:val="22"/>
                <w:szCs w:val="22"/>
              </w:rPr>
              <w:t xml:space="preserve">ang. </w:t>
            </w:r>
            <w:r w:rsidRPr="00154E08">
              <w:rPr>
                <w:rFonts w:eastAsia="Calibri" w:cs="Times New Roman"/>
                <w:i/>
                <w:color w:val="000000" w:themeColor="text1"/>
                <w:spacing w:val="-2"/>
                <w:sz w:val="22"/>
                <w:szCs w:val="22"/>
                <w:lang w:val="en-GB"/>
              </w:rPr>
              <w:t xml:space="preserve">Italy </w:t>
            </w:r>
            <w:r w:rsidR="00684A87" w:rsidRPr="00154E08">
              <w:rPr>
                <w:rFonts w:eastAsia="Calibri" w:cs="Times New Roman"/>
                <w:i/>
                <w:color w:val="000000" w:themeColor="text1"/>
                <w:spacing w:val="-2"/>
                <w:sz w:val="22"/>
                <w:szCs w:val="22"/>
                <w:lang w:val="en-GB"/>
              </w:rPr>
              <w:t>–</w:t>
            </w:r>
            <w:r w:rsidRPr="00154E08">
              <w:rPr>
                <w:rFonts w:eastAsia="Calibri" w:cs="Times New Roman"/>
                <w:i/>
                <w:color w:val="000000" w:themeColor="text1"/>
                <w:spacing w:val="-2"/>
                <w:sz w:val="22"/>
                <w:szCs w:val="22"/>
                <w:lang w:val="en-GB"/>
              </w:rPr>
              <w:t xml:space="preserve"> Support scheme for the production and distribution of advanced biomethane and other </w:t>
            </w:r>
            <w:r w:rsidR="00DC3026" w:rsidRPr="00154E08">
              <w:rPr>
                <w:rFonts w:eastAsia="Calibri" w:cs="Times New Roman"/>
                <w:i/>
                <w:color w:val="000000" w:themeColor="text1"/>
                <w:spacing w:val="-2"/>
                <w:sz w:val="22"/>
                <w:szCs w:val="22"/>
                <w:lang w:val="en-GB"/>
              </w:rPr>
              <w:t xml:space="preserve">adv. </w:t>
            </w:r>
            <w:r w:rsidRPr="00154E08">
              <w:rPr>
                <w:rFonts w:eastAsia="Calibri" w:cs="Times New Roman"/>
                <w:i/>
                <w:color w:val="000000" w:themeColor="text1"/>
                <w:spacing w:val="-2"/>
                <w:sz w:val="22"/>
                <w:szCs w:val="22"/>
                <w:lang w:val="en-GB"/>
              </w:rPr>
              <w:t>biofuels for use in the transport sector</w:t>
            </w:r>
            <w:r w:rsidR="003B7F30" w:rsidRPr="00154E08">
              <w:rPr>
                <w:rFonts w:eastAsia="Calibri" w:cs="Times New Roman"/>
                <w:color w:val="000000" w:themeColor="text1"/>
                <w:spacing w:val="-2"/>
                <w:sz w:val="22"/>
                <w:szCs w:val="22"/>
                <w:lang w:val="en-GB"/>
              </w:rPr>
              <w:t>)</w:t>
            </w:r>
            <w:r w:rsidRPr="00154E08">
              <w:rPr>
                <w:rFonts w:eastAsia="Calibri" w:cs="Times New Roman"/>
                <w:i/>
                <w:iCs/>
                <w:color w:val="000000" w:themeColor="text1"/>
                <w:spacing w:val="-2"/>
                <w:sz w:val="22"/>
                <w:szCs w:val="22"/>
                <w:lang w:val="en-GB"/>
              </w:rPr>
              <w:t>.</w:t>
            </w:r>
            <w:r w:rsidRPr="00154E08">
              <w:rPr>
                <w:rFonts w:eastAsia="Calibri" w:cs="Times New Roman"/>
                <w:color w:val="000000" w:themeColor="text1"/>
                <w:spacing w:val="-2"/>
                <w:sz w:val="22"/>
                <w:szCs w:val="22"/>
                <w:lang w:val="en-GB"/>
              </w:rPr>
              <w:t xml:space="preserve"> </w:t>
            </w:r>
          </w:p>
          <w:p w14:paraId="05DAC607" w14:textId="144B5056" w:rsidR="00264EB3" w:rsidRPr="00154E08" w:rsidRDefault="00DC3026"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W</w:t>
            </w:r>
            <w:r w:rsidR="00D130E1" w:rsidRPr="00154E08">
              <w:rPr>
                <w:rFonts w:eastAsia="Calibri" w:cs="Times New Roman"/>
                <w:color w:val="000000" w:themeColor="text1"/>
                <w:spacing w:val="-2"/>
                <w:sz w:val="22"/>
                <w:szCs w:val="22"/>
              </w:rPr>
              <w:t xml:space="preserve"> </w:t>
            </w:r>
            <w:r w:rsidR="00F0729E" w:rsidRPr="00154E08">
              <w:rPr>
                <w:rFonts w:eastAsia="Calibri" w:cs="Times New Roman"/>
                <w:color w:val="000000" w:themeColor="text1"/>
                <w:spacing w:val="-2"/>
                <w:sz w:val="22"/>
                <w:szCs w:val="22"/>
              </w:rPr>
              <w:t>model</w:t>
            </w:r>
            <w:r w:rsidR="00912758" w:rsidRPr="00154E08">
              <w:rPr>
                <w:rFonts w:eastAsia="Calibri" w:cs="Times New Roman"/>
                <w:color w:val="000000" w:themeColor="text1"/>
                <w:spacing w:val="-2"/>
                <w:sz w:val="22"/>
                <w:szCs w:val="22"/>
              </w:rPr>
              <w:t>u</w:t>
            </w:r>
            <w:r w:rsidR="00F0729E" w:rsidRPr="00154E08">
              <w:rPr>
                <w:rFonts w:eastAsia="Calibri" w:cs="Times New Roman"/>
                <w:color w:val="000000" w:themeColor="text1"/>
                <w:spacing w:val="-2"/>
                <w:sz w:val="22"/>
                <w:szCs w:val="22"/>
              </w:rPr>
              <w:t xml:space="preserve"> szwedzkim, bazującym na bezpośrednim wykorzystaniu biogazu</w:t>
            </w:r>
            <w:r w:rsidR="00C54F94" w:rsidRPr="00154E08">
              <w:rPr>
                <w:rFonts w:eastAsia="Calibri" w:cs="Times New Roman"/>
                <w:color w:val="000000" w:themeColor="text1"/>
                <w:spacing w:val="-2"/>
                <w:sz w:val="22"/>
                <w:szCs w:val="22"/>
              </w:rPr>
              <w:t>,</w:t>
            </w:r>
            <w:r w:rsidR="00F0729E" w:rsidRPr="00154E08">
              <w:rPr>
                <w:rFonts w:eastAsia="Calibri" w:cs="Times New Roman"/>
                <w:color w:val="000000" w:themeColor="text1"/>
                <w:spacing w:val="-2"/>
                <w:sz w:val="22"/>
                <w:szCs w:val="22"/>
              </w:rPr>
              <w:t xml:space="preserve"> korzysta ponad trzydzieści szwedzkich miast</w:t>
            </w:r>
            <w:r w:rsidR="00A5647E" w:rsidRPr="00154E08">
              <w:rPr>
                <w:rFonts w:eastAsia="Calibri" w:cs="Times New Roman"/>
                <w:color w:val="000000" w:themeColor="text1"/>
                <w:spacing w:val="-2"/>
                <w:sz w:val="22"/>
                <w:szCs w:val="22"/>
              </w:rPr>
              <w:t>,</w:t>
            </w:r>
            <w:r w:rsidR="00D130E1" w:rsidRPr="00154E08">
              <w:rPr>
                <w:rFonts w:eastAsia="Calibri" w:cs="Times New Roman"/>
                <w:color w:val="000000" w:themeColor="text1"/>
                <w:spacing w:val="-2"/>
                <w:sz w:val="22"/>
                <w:szCs w:val="22"/>
              </w:rPr>
              <w:t xml:space="preserve"> </w:t>
            </w:r>
            <w:r w:rsidR="00F0729E" w:rsidRPr="00154E08">
              <w:rPr>
                <w:rFonts w:eastAsia="Calibri" w:cs="Times New Roman"/>
                <w:color w:val="000000" w:themeColor="text1"/>
                <w:spacing w:val="-2"/>
                <w:sz w:val="22"/>
                <w:szCs w:val="22"/>
              </w:rPr>
              <w:t xml:space="preserve">aż </w:t>
            </w:r>
            <w:r w:rsidR="00D130E1" w:rsidRPr="00154E08">
              <w:rPr>
                <w:rFonts w:eastAsia="Calibri" w:cs="Times New Roman"/>
                <w:color w:val="000000" w:themeColor="text1"/>
                <w:spacing w:val="-2"/>
                <w:sz w:val="22"/>
                <w:szCs w:val="22"/>
              </w:rPr>
              <w:t xml:space="preserve">80,3% biogazu </w:t>
            </w:r>
            <w:r w:rsidR="004317F3" w:rsidRPr="00154E08">
              <w:rPr>
                <w:rFonts w:eastAsia="Calibri" w:cs="Times New Roman"/>
                <w:color w:val="000000" w:themeColor="text1"/>
                <w:spacing w:val="-2"/>
                <w:sz w:val="22"/>
                <w:szCs w:val="22"/>
              </w:rPr>
              <w:t xml:space="preserve">jest </w:t>
            </w:r>
            <w:r w:rsidR="00D130E1" w:rsidRPr="00154E08">
              <w:rPr>
                <w:rFonts w:eastAsia="Calibri" w:cs="Times New Roman"/>
                <w:color w:val="000000" w:themeColor="text1"/>
                <w:spacing w:val="-2"/>
                <w:sz w:val="22"/>
                <w:szCs w:val="22"/>
              </w:rPr>
              <w:t>zużywane w</w:t>
            </w:r>
            <w:r w:rsidR="00A5647E" w:rsidRPr="00154E08">
              <w:rPr>
                <w:rFonts w:eastAsia="Calibri" w:cs="Times New Roman"/>
                <w:color w:val="000000" w:themeColor="text1"/>
                <w:spacing w:val="-2"/>
                <w:sz w:val="22"/>
                <w:szCs w:val="22"/>
              </w:rPr>
              <w:t> </w:t>
            </w:r>
            <w:r w:rsidR="00D130E1" w:rsidRPr="00154E08">
              <w:rPr>
                <w:rFonts w:eastAsia="Calibri" w:cs="Times New Roman"/>
                <w:color w:val="000000" w:themeColor="text1"/>
                <w:spacing w:val="-2"/>
                <w:sz w:val="22"/>
                <w:szCs w:val="22"/>
              </w:rPr>
              <w:t xml:space="preserve">transporcie, co </w:t>
            </w:r>
            <w:r w:rsidR="00F0729E" w:rsidRPr="00154E08">
              <w:rPr>
                <w:rFonts w:eastAsia="Calibri" w:cs="Times New Roman"/>
                <w:color w:val="000000" w:themeColor="text1"/>
                <w:spacing w:val="-2"/>
                <w:sz w:val="22"/>
                <w:szCs w:val="22"/>
              </w:rPr>
              <w:t xml:space="preserve">zapewnia udział </w:t>
            </w:r>
            <w:r w:rsidR="00D130E1" w:rsidRPr="00154E08">
              <w:rPr>
                <w:rFonts w:eastAsia="Calibri" w:cs="Times New Roman"/>
                <w:color w:val="000000" w:themeColor="text1"/>
                <w:spacing w:val="-2"/>
                <w:sz w:val="22"/>
                <w:szCs w:val="22"/>
              </w:rPr>
              <w:t xml:space="preserve">ok. 10% </w:t>
            </w:r>
            <w:r w:rsidR="00A5647E" w:rsidRPr="00154E08">
              <w:rPr>
                <w:rFonts w:eastAsia="Calibri" w:cs="Times New Roman"/>
                <w:color w:val="000000" w:themeColor="text1"/>
                <w:spacing w:val="-2"/>
                <w:sz w:val="22"/>
                <w:szCs w:val="22"/>
              </w:rPr>
              <w:t>realizacji</w:t>
            </w:r>
            <w:r w:rsidR="00D130E1" w:rsidRPr="00154E08">
              <w:rPr>
                <w:rFonts w:eastAsia="Calibri" w:cs="Times New Roman"/>
                <w:color w:val="000000" w:themeColor="text1"/>
                <w:spacing w:val="-2"/>
                <w:sz w:val="22"/>
                <w:szCs w:val="22"/>
              </w:rPr>
              <w:t xml:space="preserve"> całego celu OZE w</w:t>
            </w:r>
            <w:r w:rsidR="00684A87" w:rsidRPr="00154E08">
              <w:rPr>
                <w:rFonts w:eastAsia="Calibri" w:cs="Times New Roman"/>
                <w:color w:val="000000" w:themeColor="text1"/>
                <w:spacing w:val="-2"/>
                <w:sz w:val="22"/>
                <w:szCs w:val="22"/>
              </w:rPr>
              <w:t xml:space="preserve"> </w:t>
            </w:r>
            <w:r w:rsidR="00D130E1" w:rsidRPr="00154E08">
              <w:rPr>
                <w:rFonts w:eastAsia="Calibri" w:cs="Times New Roman"/>
                <w:color w:val="000000" w:themeColor="text1"/>
                <w:spacing w:val="-2"/>
                <w:sz w:val="22"/>
                <w:szCs w:val="22"/>
              </w:rPr>
              <w:t xml:space="preserve">transporcie. </w:t>
            </w:r>
            <w:r w:rsidR="00F0729E" w:rsidRPr="00154E08">
              <w:rPr>
                <w:rFonts w:eastAsia="Calibri" w:cs="Times New Roman"/>
                <w:color w:val="000000" w:themeColor="text1"/>
                <w:spacing w:val="-2"/>
                <w:sz w:val="22"/>
                <w:szCs w:val="22"/>
              </w:rPr>
              <w:t xml:space="preserve">Paliwo </w:t>
            </w:r>
            <w:r w:rsidR="00D130E1" w:rsidRPr="00154E08">
              <w:rPr>
                <w:rFonts w:eastAsia="Calibri" w:cs="Times New Roman"/>
                <w:color w:val="000000" w:themeColor="text1"/>
                <w:spacing w:val="-2"/>
                <w:sz w:val="22"/>
                <w:szCs w:val="22"/>
              </w:rPr>
              <w:t xml:space="preserve">jest wykorzystywane </w:t>
            </w:r>
            <w:r w:rsidR="00F0729E" w:rsidRPr="00154E08">
              <w:rPr>
                <w:rFonts w:eastAsia="Calibri" w:cs="Times New Roman"/>
                <w:color w:val="000000" w:themeColor="text1"/>
                <w:spacing w:val="-2"/>
                <w:sz w:val="22"/>
                <w:szCs w:val="22"/>
              </w:rPr>
              <w:t xml:space="preserve">bez zatłaczania do sieci dystrybucyjnych, </w:t>
            </w:r>
            <w:r w:rsidR="00EA37E1" w:rsidRPr="00154E08">
              <w:rPr>
                <w:rFonts w:eastAsia="Calibri" w:cs="Times New Roman"/>
                <w:color w:val="000000" w:themeColor="text1"/>
                <w:spacing w:val="-2"/>
                <w:sz w:val="22"/>
                <w:szCs w:val="22"/>
              </w:rPr>
              <w:t xml:space="preserve">wprost </w:t>
            </w:r>
            <w:r w:rsidR="00F0729E" w:rsidRPr="00154E08">
              <w:rPr>
                <w:rFonts w:eastAsia="Calibri" w:cs="Times New Roman"/>
                <w:color w:val="000000" w:themeColor="text1"/>
                <w:spacing w:val="-2"/>
                <w:sz w:val="22"/>
                <w:szCs w:val="22"/>
              </w:rPr>
              <w:t>ze</w:t>
            </w:r>
            <w:r w:rsidR="00EA37E1" w:rsidRPr="00154E08">
              <w:rPr>
                <w:rFonts w:eastAsia="Calibri" w:cs="Times New Roman"/>
                <w:color w:val="000000" w:themeColor="text1"/>
                <w:spacing w:val="-2"/>
                <w:sz w:val="22"/>
                <w:szCs w:val="22"/>
              </w:rPr>
              <w:t> </w:t>
            </w:r>
            <w:r w:rsidR="00F0729E" w:rsidRPr="00154E08">
              <w:rPr>
                <w:rFonts w:eastAsia="Calibri" w:cs="Times New Roman"/>
                <w:color w:val="000000" w:themeColor="text1"/>
                <w:spacing w:val="-2"/>
                <w:sz w:val="22"/>
                <w:szCs w:val="22"/>
              </w:rPr>
              <w:t>stacji tankowania ulokowanych na terenie zakładów przewozowych, głównie</w:t>
            </w:r>
            <w:r w:rsidR="00D130E1" w:rsidRPr="00154E08">
              <w:rPr>
                <w:rFonts w:eastAsia="Calibri" w:cs="Times New Roman"/>
                <w:color w:val="000000" w:themeColor="text1"/>
                <w:spacing w:val="-2"/>
                <w:sz w:val="22"/>
                <w:szCs w:val="22"/>
              </w:rPr>
              <w:t xml:space="preserve"> w</w:t>
            </w:r>
            <w:r w:rsidR="00C54F94" w:rsidRPr="00154E08">
              <w:rPr>
                <w:rFonts w:eastAsia="Calibri" w:cs="Times New Roman"/>
                <w:color w:val="000000" w:themeColor="text1"/>
                <w:spacing w:val="-2"/>
                <w:sz w:val="22"/>
                <w:szCs w:val="22"/>
              </w:rPr>
              <w:t> </w:t>
            </w:r>
            <w:r w:rsidR="00D130E1" w:rsidRPr="00154E08">
              <w:rPr>
                <w:rFonts w:eastAsia="Calibri" w:cs="Times New Roman"/>
                <w:color w:val="000000" w:themeColor="text1"/>
                <w:spacing w:val="-2"/>
                <w:sz w:val="22"/>
                <w:szCs w:val="22"/>
              </w:rPr>
              <w:t>transporcie zbiorowym</w:t>
            </w:r>
            <w:r w:rsidR="004317F3" w:rsidRPr="00154E08">
              <w:rPr>
                <w:rFonts w:eastAsia="Calibri" w:cs="Times New Roman"/>
                <w:color w:val="000000" w:themeColor="text1"/>
                <w:spacing w:val="-2"/>
                <w:sz w:val="22"/>
                <w:szCs w:val="22"/>
              </w:rPr>
              <w:t>,</w:t>
            </w:r>
            <w:r w:rsidR="00D130E1" w:rsidRPr="00154E08">
              <w:rPr>
                <w:rFonts w:eastAsia="Calibri" w:cs="Times New Roman"/>
                <w:color w:val="000000" w:themeColor="text1"/>
                <w:spacing w:val="-2"/>
                <w:sz w:val="22"/>
                <w:szCs w:val="22"/>
              </w:rPr>
              <w:t xml:space="preserve"> tj. komunikacji miejskiej</w:t>
            </w:r>
            <w:r w:rsidR="00F0729E" w:rsidRPr="00154E08">
              <w:rPr>
                <w:rFonts w:eastAsia="Calibri" w:cs="Times New Roman"/>
                <w:color w:val="000000" w:themeColor="text1"/>
                <w:spacing w:val="-2"/>
                <w:sz w:val="22"/>
                <w:szCs w:val="22"/>
              </w:rPr>
              <w:t xml:space="preserve"> i</w:t>
            </w:r>
            <w:r w:rsidR="00A5647E" w:rsidRPr="00154E08">
              <w:rPr>
                <w:rFonts w:eastAsia="Calibri" w:cs="Times New Roman"/>
                <w:color w:val="000000" w:themeColor="text1"/>
                <w:spacing w:val="-2"/>
                <w:sz w:val="22"/>
                <w:szCs w:val="22"/>
              </w:rPr>
              <w:t> </w:t>
            </w:r>
            <w:r w:rsidR="00F0729E" w:rsidRPr="00154E08">
              <w:rPr>
                <w:rFonts w:eastAsia="Calibri" w:cs="Times New Roman"/>
                <w:color w:val="000000" w:themeColor="text1"/>
                <w:spacing w:val="-2"/>
                <w:sz w:val="22"/>
                <w:szCs w:val="22"/>
              </w:rPr>
              <w:t>komunalnej</w:t>
            </w:r>
            <w:r w:rsidR="00D130E1" w:rsidRPr="00154E08">
              <w:rPr>
                <w:rFonts w:eastAsia="Calibri" w:cs="Times New Roman"/>
                <w:color w:val="000000" w:themeColor="text1"/>
                <w:spacing w:val="-2"/>
                <w:sz w:val="22"/>
                <w:szCs w:val="22"/>
              </w:rPr>
              <w:t xml:space="preserve"> (</w:t>
            </w:r>
            <w:r w:rsidR="00092567" w:rsidRPr="00154E08">
              <w:rPr>
                <w:rFonts w:eastAsia="Calibri" w:cs="Times New Roman"/>
                <w:spacing w:val="-2"/>
                <w:sz w:val="22"/>
                <w:szCs w:val="22"/>
              </w:rPr>
              <w:t>http://scandinavianbiogas.com/en/about</w:t>
            </w:r>
            <w:r w:rsidR="00684A87" w:rsidRPr="00154E08">
              <w:rPr>
                <w:rFonts w:eastAsia="Calibri" w:cs="Times New Roman"/>
                <w:spacing w:val="-2"/>
                <w:sz w:val="22"/>
                <w:szCs w:val="22"/>
              </w:rPr>
              <w:t xml:space="preserve"> –</w:t>
            </w:r>
            <w:proofErr w:type="spellStart"/>
            <w:r w:rsidR="00092567" w:rsidRPr="00154E08">
              <w:rPr>
                <w:rFonts w:eastAsia="Calibri" w:cs="Times New Roman"/>
                <w:spacing w:val="-2"/>
                <w:sz w:val="22"/>
                <w:szCs w:val="22"/>
              </w:rPr>
              <w:t>biogas</w:t>
            </w:r>
            <w:proofErr w:type="spellEnd"/>
            <w:r w:rsidR="00092567" w:rsidRPr="00154E08">
              <w:rPr>
                <w:rFonts w:eastAsia="Calibri" w:cs="Times New Roman"/>
                <w:spacing w:val="-2"/>
                <w:sz w:val="22"/>
                <w:szCs w:val="22"/>
              </w:rPr>
              <w:t>/</w:t>
            </w:r>
            <w:r w:rsidR="00D130E1" w:rsidRPr="00154E08">
              <w:rPr>
                <w:rFonts w:eastAsia="Calibri" w:cs="Times New Roman"/>
                <w:color w:val="000000" w:themeColor="text1"/>
                <w:spacing w:val="-2"/>
                <w:sz w:val="22"/>
                <w:szCs w:val="22"/>
              </w:rPr>
              <w:t>)</w:t>
            </w:r>
            <w:r w:rsidR="00F0729E" w:rsidRPr="00154E08">
              <w:rPr>
                <w:rFonts w:eastAsia="Calibri" w:cs="Times New Roman"/>
                <w:color w:val="000000" w:themeColor="text1"/>
                <w:spacing w:val="-2"/>
                <w:sz w:val="22"/>
                <w:szCs w:val="22"/>
              </w:rPr>
              <w:t>.</w:t>
            </w:r>
          </w:p>
          <w:p w14:paraId="2D728B54" w14:textId="2855BEB2" w:rsidR="00BB4465" w:rsidRPr="00154E08" w:rsidRDefault="00F0729E"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W</w:t>
            </w:r>
            <w:r w:rsidR="00D130E1" w:rsidRPr="00154E08">
              <w:rPr>
                <w:rFonts w:eastAsia="Calibri" w:cs="Times New Roman"/>
                <w:color w:val="000000" w:themeColor="text1"/>
                <w:spacing w:val="-2"/>
                <w:sz w:val="22"/>
                <w:szCs w:val="22"/>
              </w:rPr>
              <w:t xml:space="preserve"> Niemczech będących największym producentem europejskiego biogazu (53,6% udział w</w:t>
            </w:r>
            <w:r w:rsidR="00553B85" w:rsidRPr="00154E08">
              <w:rPr>
                <w:rFonts w:eastAsia="Calibri" w:cs="Times New Roman"/>
                <w:color w:val="000000" w:themeColor="text1"/>
                <w:spacing w:val="-2"/>
                <w:sz w:val="22"/>
                <w:szCs w:val="22"/>
              </w:rPr>
              <w:t> </w:t>
            </w:r>
            <w:r w:rsidR="00D130E1" w:rsidRPr="00154E08">
              <w:rPr>
                <w:rFonts w:eastAsia="Calibri" w:cs="Times New Roman"/>
                <w:color w:val="000000" w:themeColor="text1"/>
                <w:spacing w:val="-2"/>
                <w:sz w:val="22"/>
                <w:szCs w:val="22"/>
              </w:rPr>
              <w:t>konsumpcji biogazu ogółem), na cele transport</w:t>
            </w:r>
            <w:r w:rsidR="00553B85" w:rsidRPr="00154E08">
              <w:rPr>
                <w:rFonts w:eastAsia="Calibri" w:cs="Times New Roman"/>
                <w:color w:val="000000" w:themeColor="text1"/>
                <w:spacing w:val="-2"/>
                <w:sz w:val="22"/>
                <w:szCs w:val="22"/>
              </w:rPr>
              <w:t>owe</w:t>
            </w:r>
            <w:r w:rsidR="00D130E1" w:rsidRPr="00154E08">
              <w:rPr>
                <w:rFonts w:eastAsia="Calibri" w:cs="Times New Roman"/>
                <w:color w:val="000000" w:themeColor="text1"/>
                <w:spacing w:val="-2"/>
                <w:sz w:val="22"/>
                <w:szCs w:val="22"/>
              </w:rPr>
              <w:t xml:space="preserve"> </w:t>
            </w:r>
            <w:r w:rsidR="004317F3" w:rsidRPr="00154E08">
              <w:rPr>
                <w:rFonts w:eastAsia="Calibri" w:cs="Times New Roman"/>
                <w:color w:val="000000" w:themeColor="text1"/>
                <w:spacing w:val="-2"/>
                <w:sz w:val="22"/>
                <w:szCs w:val="22"/>
              </w:rPr>
              <w:t xml:space="preserve">jest </w:t>
            </w:r>
            <w:r w:rsidR="00D130E1" w:rsidRPr="00154E08">
              <w:rPr>
                <w:rFonts w:eastAsia="Calibri" w:cs="Times New Roman"/>
                <w:color w:val="000000" w:themeColor="text1"/>
                <w:spacing w:val="-2"/>
                <w:sz w:val="22"/>
                <w:szCs w:val="22"/>
              </w:rPr>
              <w:t xml:space="preserve">wykorzystywane </w:t>
            </w:r>
            <w:r w:rsidRPr="00154E08">
              <w:rPr>
                <w:rFonts w:eastAsia="Calibri" w:cs="Times New Roman"/>
                <w:color w:val="000000" w:themeColor="text1"/>
                <w:spacing w:val="-2"/>
                <w:sz w:val="22"/>
                <w:szCs w:val="22"/>
              </w:rPr>
              <w:t xml:space="preserve">tylko </w:t>
            </w:r>
            <w:r w:rsidR="00D130E1" w:rsidRPr="00154E08">
              <w:rPr>
                <w:rFonts w:eastAsia="Calibri" w:cs="Times New Roman"/>
                <w:color w:val="000000" w:themeColor="text1"/>
                <w:spacing w:val="-2"/>
                <w:sz w:val="22"/>
                <w:szCs w:val="22"/>
              </w:rPr>
              <w:t>2,5% biogazu zużytego w tym kraju.</w:t>
            </w:r>
            <w:r w:rsidR="002E5623" w:rsidRPr="00154E08">
              <w:rPr>
                <w:rFonts w:eastAsia="Calibri" w:cs="Times New Roman"/>
                <w:color w:val="000000" w:themeColor="text1"/>
                <w:spacing w:val="-2"/>
                <w:sz w:val="22"/>
                <w:szCs w:val="22"/>
              </w:rPr>
              <w:t xml:space="preserve"> </w:t>
            </w:r>
          </w:p>
          <w:p w14:paraId="7B7DF8F5" w14:textId="1076A85C" w:rsidR="007E2A13" w:rsidRPr="00154E08" w:rsidRDefault="00430CB4" w:rsidP="00B279FD">
            <w:pPr>
              <w:spacing w:after="120" w:line="240" w:lineRule="auto"/>
              <w:jc w:val="both"/>
              <w:rPr>
                <w:rFonts w:eastAsia="Calibri" w:cs="Times New Roman"/>
                <w:color w:val="000000" w:themeColor="text1"/>
                <w:spacing w:val="-2"/>
                <w:sz w:val="22"/>
                <w:szCs w:val="22"/>
                <w:u w:val="single"/>
              </w:rPr>
            </w:pPr>
            <w:r w:rsidRPr="00154E08">
              <w:rPr>
                <w:rFonts w:eastAsia="Calibri" w:cs="Times New Roman"/>
                <w:color w:val="000000" w:themeColor="text1"/>
                <w:spacing w:val="-2"/>
                <w:sz w:val="22"/>
                <w:szCs w:val="22"/>
              </w:rPr>
              <w:t xml:space="preserve">W długiej perspektywie </w:t>
            </w:r>
            <w:r w:rsidR="00E879FB" w:rsidRPr="00154E08">
              <w:rPr>
                <w:rFonts w:eastAsia="Calibri" w:cs="Times New Roman"/>
                <w:color w:val="000000" w:themeColor="text1"/>
                <w:spacing w:val="-2"/>
                <w:sz w:val="22"/>
                <w:szCs w:val="22"/>
              </w:rPr>
              <w:t>działań pro</w:t>
            </w:r>
            <w:r w:rsidR="00684A87" w:rsidRPr="00154E08">
              <w:rPr>
                <w:rFonts w:eastAsia="Calibri" w:cs="Times New Roman"/>
                <w:color w:val="000000" w:themeColor="text1"/>
                <w:spacing w:val="-2"/>
                <w:sz w:val="22"/>
                <w:szCs w:val="22"/>
              </w:rPr>
              <w:t>–</w:t>
            </w:r>
            <w:r w:rsidR="00E879FB" w:rsidRPr="00154E08">
              <w:rPr>
                <w:rFonts w:eastAsia="Calibri" w:cs="Times New Roman"/>
                <w:color w:val="000000" w:themeColor="text1"/>
                <w:spacing w:val="-2"/>
                <w:sz w:val="22"/>
                <w:szCs w:val="22"/>
              </w:rPr>
              <w:t xml:space="preserve">środowiskowych realizowanych w ramach przyjętych perspektyw tj.: 2030 </w:t>
            </w:r>
            <w:r w:rsidR="004317F3" w:rsidRPr="00154E08">
              <w:rPr>
                <w:rFonts w:eastAsia="Calibri" w:cs="Times New Roman"/>
                <w:color w:val="000000" w:themeColor="text1"/>
                <w:spacing w:val="-2"/>
                <w:sz w:val="22"/>
                <w:szCs w:val="22"/>
              </w:rPr>
              <w:t xml:space="preserve">r. </w:t>
            </w:r>
            <w:r w:rsidR="00E879FB" w:rsidRPr="00154E08">
              <w:rPr>
                <w:rFonts w:eastAsia="Calibri" w:cs="Times New Roman"/>
                <w:color w:val="000000" w:themeColor="text1"/>
                <w:spacing w:val="-2"/>
                <w:sz w:val="22"/>
                <w:szCs w:val="22"/>
              </w:rPr>
              <w:t>(</w:t>
            </w:r>
            <w:r w:rsidR="00092567" w:rsidRPr="00154E08">
              <w:rPr>
                <w:rFonts w:eastAsia="Calibri" w:cs="Times New Roman"/>
                <w:color w:val="000000" w:themeColor="text1"/>
                <w:spacing w:val="-2"/>
                <w:sz w:val="22"/>
                <w:szCs w:val="22"/>
              </w:rPr>
              <w:t xml:space="preserve">dyrektywa </w:t>
            </w:r>
            <w:r w:rsidR="00E879FB" w:rsidRPr="00154E08">
              <w:rPr>
                <w:rFonts w:eastAsia="Calibri" w:cs="Times New Roman"/>
                <w:color w:val="000000" w:themeColor="text1"/>
                <w:spacing w:val="-2"/>
                <w:sz w:val="22"/>
                <w:szCs w:val="22"/>
              </w:rPr>
              <w:t xml:space="preserve">REDII) </w:t>
            </w:r>
            <w:r w:rsidR="00DF7387" w:rsidRPr="00154E08">
              <w:rPr>
                <w:rFonts w:eastAsia="Calibri" w:cs="Times New Roman"/>
                <w:color w:val="000000" w:themeColor="text1"/>
                <w:spacing w:val="-2"/>
                <w:sz w:val="22"/>
                <w:szCs w:val="22"/>
              </w:rPr>
              <w:t>oraz dłuższej:</w:t>
            </w:r>
            <w:r w:rsidR="00E879FB" w:rsidRPr="00154E08">
              <w:rPr>
                <w:rFonts w:eastAsia="Calibri" w:cs="Times New Roman"/>
                <w:color w:val="000000" w:themeColor="text1"/>
                <w:spacing w:val="-2"/>
                <w:sz w:val="22"/>
                <w:szCs w:val="22"/>
              </w:rPr>
              <w:t xml:space="preserve"> 2050 </w:t>
            </w:r>
            <w:r w:rsidR="004317F3" w:rsidRPr="00154E08">
              <w:rPr>
                <w:rFonts w:eastAsia="Calibri" w:cs="Times New Roman"/>
                <w:color w:val="000000" w:themeColor="text1"/>
                <w:spacing w:val="-2"/>
                <w:sz w:val="22"/>
                <w:szCs w:val="22"/>
              </w:rPr>
              <w:t xml:space="preserve">r. </w:t>
            </w:r>
            <w:r w:rsidR="00E879FB" w:rsidRPr="00154E08">
              <w:rPr>
                <w:rFonts w:eastAsia="Calibri" w:cs="Times New Roman"/>
                <w:color w:val="000000" w:themeColor="text1"/>
                <w:spacing w:val="-2"/>
                <w:sz w:val="22"/>
                <w:szCs w:val="22"/>
              </w:rPr>
              <w:t>(Europ</w:t>
            </w:r>
            <w:r w:rsidR="002A0281" w:rsidRPr="00154E08">
              <w:rPr>
                <w:rFonts w:eastAsia="Calibri" w:cs="Times New Roman"/>
                <w:color w:val="000000" w:themeColor="text1"/>
                <w:spacing w:val="-2"/>
                <w:sz w:val="22"/>
                <w:szCs w:val="22"/>
              </w:rPr>
              <w:t>ejski</w:t>
            </w:r>
            <w:r w:rsidR="00E879FB" w:rsidRPr="00154E08">
              <w:rPr>
                <w:rFonts w:eastAsia="Calibri" w:cs="Times New Roman"/>
                <w:color w:val="000000" w:themeColor="text1"/>
                <w:spacing w:val="-2"/>
                <w:sz w:val="22"/>
                <w:szCs w:val="22"/>
              </w:rPr>
              <w:t xml:space="preserve"> Zielony Ład), poszczególne </w:t>
            </w:r>
            <w:r w:rsidR="004317F3" w:rsidRPr="00154E08">
              <w:rPr>
                <w:rFonts w:eastAsia="Calibri" w:cs="Times New Roman"/>
                <w:color w:val="000000" w:themeColor="text1"/>
                <w:spacing w:val="-2"/>
                <w:sz w:val="22"/>
                <w:szCs w:val="22"/>
              </w:rPr>
              <w:t xml:space="preserve">państwa </w:t>
            </w:r>
            <w:r w:rsidR="00E879FB" w:rsidRPr="00154E08">
              <w:rPr>
                <w:rFonts w:eastAsia="Calibri" w:cs="Times New Roman"/>
                <w:color w:val="000000" w:themeColor="text1"/>
                <w:spacing w:val="-2"/>
                <w:sz w:val="22"/>
                <w:szCs w:val="22"/>
              </w:rPr>
              <w:t>członkowskie, wykazują odmienne strategie realizacji oraz zróżnicowany stopień akceptacji</w:t>
            </w:r>
            <w:r w:rsidR="00EA37E1" w:rsidRPr="00154E08">
              <w:rPr>
                <w:rFonts w:eastAsia="Calibri" w:cs="Times New Roman"/>
                <w:color w:val="000000" w:themeColor="text1"/>
                <w:spacing w:val="-2"/>
                <w:sz w:val="22"/>
                <w:szCs w:val="22"/>
              </w:rPr>
              <w:t xml:space="preserve"> </w:t>
            </w:r>
            <w:r w:rsidR="000F2867" w:rsidRPr="00154E08">
              <w:rPr>
                <w:rFonts w:eastAsia="Calibri" w:cs="Times New Roman"/>
                <w:color w:val="000000" w:themeColor="text1"/>
                <w:spacing w:val="-2"/>
                <w:sz w:val="22"/>
                <w:szCs w:val="22"/>
              </w:rPr>
              <w:t xml:space="preserve">społecznej dla </w:t>
            </w:r>
            <w:r w:rsidR="00EA37E1" w:rsidRPr="00154E08">
              <w:rPr>
                <w:rFonts w:eastAsia="Calibri" w:cs="Times New Roman"/>
                <w:color w:val="000000" w:themeColor="text1"/>
                <w:spacing w:val="-2"/>
                <w:sz w:val="22"/>
                <w:szCs w:val="22"/>
              </w:rPr>
              <w:t>coraz</w:t>
            </w:r>
            <w:r w:rsidR="00E879FB" w:rsidRPr="00154E08">
              <w:rPr>
                <w:rFonts w:eastAsia="Calibri" w:cs="Times New Roman"/>
                <w:color w:val="000000" w:themeColor="text1"/>
                <w:spacing w:val="-2"/>
                <w:sz w:val="22"/>
                <w:szCs w:val="22"/>
              </w:rPr>
              <w:t xml:space="preserve"> ambitn</w:t>
            </w:r>
            <w:r w:rsidR="00EA37E1" w:rsidRPr="00154E08">
              <w:rPr>
                <w:rFonts w:eastAsia="Calibri" w:cs="Times New Roman"/>
                <w:color w:val="000000" w:themeColor="text1"/>
                <w:spacing w:val="-2"/>
                <w:sz w:val="22"/>
                <w:szCs w:val="22"/>
              </w:rPr>
              <w:t>iejszych</w:t>
            </w:r>
            <w:r w:rsidR="00E879FB" w:rsidRPr="00154E08">
              <w:rPr>
                <w:rFonts w:eastAsia="Calibri" w:cs="Times New Roman"/>
                <w:color w:val="000000" w:themeColor="text1"/>
                <w:spacing w:val="-2"/>
                <w:sz w:val="22"/>
                <w:szCs w:val="22"/>
              </w:rPr>
              <w:t xml:space="preserve"> celów</w:t>
            </w:r>
            <w:r w:rsidR="00EA5753" w:rsidRPr="00154E08">
              <w:rPr>
                <w:rFonts w:eastAsia="Calibri" w:cs="Times New Roman"/>
                <w:color w:val="000000" w:themeColor="text1"/>
                <w:spacing w:val="-2"/>
                <w:sz w:val="22"/>
                <w:szCs w:val="22"/>
              </w:rPr>
              <w:t xml:space="preserve"> klimatycznych</w:t>
            </w:r>
            <w:r w:rsidR="00E879FB" w:rsidRPr="00154E08">
              <w:rPr>
                <w:rFonts w:eastAsia="Calibri" w:cs="Times New Roman"/>
                <w:color w:val="000000" w:themeColor="text1"/>
                <w:spacing w:val="-2"/>
                <w:sz w:val="22"/>
                <w:szCs w:val="22"/>
              </w:rPr>
              <w:t xml:space="preserve">. </w:t>
            </w:r>
            <w:r w:rsidR="003B07F0" w:rsidRPr="00154E08">
              <w:rPr>
                <w:rFonts w:eastAsia="Calibri" w:cs="Times New Roman"/>
                <w:color w:val="000000" w:themeColor="text1"/>
                <w:spacing w:val="-2"/>
                <w:sz w:val="22"/>
                <w:szCs w:val="22"/>
              </w:rPr>
              <w:t xml:space="preserve">Możliwość realizacji celów jest </w:t>
            </w:r>
            <w:r w:rsidR="008C4833" w:rsidRPr="00154E08">
              <w:rPr>
                <w:rFonts w:eastAsia="Calibri" w:cs="Times New Roman"/>
                <w:color w:val="000000" w:themeColor="text1"/>
                <w:spacing w:val="-2"/>
                <w:sz w:val="22"/>
                <w:szCs w:val="22"/>
              </w:rPr>
              <w:t>determinowan</w:t>
            </w:r>
            <w:r w:rsidR="003B07F0" w:rsidRPr="00154E08">
              <w:rPr>
                <w:rFonts w:eastAsia="Calibri" w:cs="Times New Roman"/>
                <w:color w:val="000000" w:themeColor="text1"/>
                <w:spacing w:val="-2"/>
                <w:sz w:val="22"/>
                <w:szCs w:val="22"/>
              </w:rPr>
              <w:t>a</w:t>
            </w:r>
            <w:r w:rsidR="00553B85" w:rsidRPr="00154E08">
              <w:rPr>
                <w:rFonts w:eastAsia="Calibri" w:cs="Times New Roman"/>
                <w:color w:val="000000" w:themeColor="text1"/>
                <w:spacing w:val="-2"/>
                <w:sz w:val="22"/>
                <w:szCs w:val="22"/>
              </w:rPr>
              <w:t xml:space="preserve"> </w:t>
            </w:r>
            <w:r w:rsidR="006353CE" w:rsidRPr="00154E08">
              <w:rPr>
                <w:rFonts w:eastAsia="Calibri" w:cs="Times New Roman"/>
                <w:color w:val="000000" w:themeColor="text1"/>
                <w:spacing w:val="-2"/>
                <w:sz w:val="22"/>
                <w:szCs w:val="22"/>
              </w:rPr>
              <w:t xml:space="preserve">także </w:t>
            </w:r>
            <w:r w:rsidR="008C4833" w:rsidRPr="00154E08">
              <w:rPr>
                <w:rFonts w:eastAsia="Calibri" w:cs="Times New Roman"/>
                <w:color w:val="000000" w:themeColor="text1"/>
                <w:spacing w:val="-2"/>
                <w:sz w:val="22"/>
                <w:szCs w:val="22"/>
              </w:rPr>
              <w:t>różnym stopniem dojrzałości technologicznej</w:t>
            </w:r>
            <w:r w:rsidR="001F71CC" w:rsidRPr="00154E08">
              <w:rPr>
                <w:rFonts w:eastAsia="Calibri" w:cs="Times New Roman"/>
                <w:color w:val="000000" w:themeColor="text1"/>
                <w:spacing w:val="-2"/>
                <w:sz w:val="22"/>
                <w:szCs w:val="22"/>
              </w:rPr>
              <w:t xml:space="preserve">, </w:t>
            </w:r>
            <w:r w:rsidR="008C4833" w:rsidRPr="00154E08">
              <w:rPr>
                <w:rFonts w:eastAsia="Calibri" w:cs="Times New Roman"/>
                <w:color w:val="000000" w:themeColor="text1"/>
                <w:spacing w:val="-2"/>
                <w:sz w:val="22"/>
                <w:szCs w:val="22"/>
              </w:rPr>
              <w:t>przemysłowe</w:t>
            </w:r>
            <w:r w:rsidR="00A5647E" w:rsidRPr="00154E08">
              <w:rPr>
                <w:rFonts w:eastAsia="Calibri" w:cs="Times New Roman"/>
                <w:color w:val="000000" w:themeColor="text1"/>
                <w:spacing w:val="-2"/>
                <w:sz w:val="22"/>
                <w:szCs w:val="22"/>
              </w:rPr>
              <w:t>j</w:t>
            </w:r>
            <w:r w:rsidR="00553B85" w:rsidRPr="00154E08">
              <w:rPr>
                <w:rFonts w:eastAsia="Calibri" w:cs="Times New Roman"/>
                <w:color w:val="000000" w:themeColor="text1"/>
                <w:spacing w:val="-2"/>
                <w:sz w:val="22"/>
                <w:szCs w:val="22"/>
              </w:rPr>
              <w:t>,</w:t>
            </w:r>
            <w:r w:rsidR="008C4833" w:rsidRPr="00154E08">
              <w:rPr>
                <w:rFonts w:eastAsia="Calibri" w:cs="Times New Roman"/>
                <w:color w:val="000000" w:themeColor="text1"/>
                <w:spacing w:val="-2"/>
                <w:sz w:val="22"/>
                <w:szCs w:val="22"/>
              </w:rPr>
              <w:t xml:space="preserve"> a zwłaszcza ekonomicznej poszczególnych państw</w:t>
            </w:r>
            <w:r w:rsidR="00374454" w:rsidRPr="00154E08">
              <w:rPr>
                <w:rFonts w:eastAsia="Calibri" w:cs="Times New Roman"/>
                <w:color w:val="000000" w:themeColor="text1"/>
                <w:spacing w:val="-2"/>
                <w:sz w:val="22"/>
                <w:szCs w:val="22"/>
              </w:rPr>
              <w:t xml:space="preserve">. Istotny jest również stopień </w:t>
            </w:r>
            <w:r w:rsidR="00553B85" w:rsidRPr="00154E08">
              <w:rPr>
                <w:rFonts w:eastAsia="Calibri" w:cs="Times New Roman"/>
                <w:color w:val="000000" w:themeColor="text1"/>
                <w:spacing w:val="-2"/>
                <w:sz w:val="22"/>
                <w:szCs w:val="22"/>
              </w:rPr>
              <w:t>dostęp</w:t>
            </w:r>
            <w:r w:rsidR="00374454" w:rsidRPr="00154E08">
              <w:rPr>
                <w:rFonts w:eastAsia="Calibri" w:cs="Times New Roman"/>
                <w:color w:val="000000" w:themeColor="text1"/>
                <w:spacing w:val="-2"/>
                <w:sz w:val="22"/>
                <w:szCs w:val="22"/>
              </w:rPr>
              <w:t>u</w:t>
            </w:r>
            <w:r w:rsidR="00553B85" w:rsidRPr="00154E08">
              <w:rPr>
                <w:rFonts w:eastAsia="Calibri" w:cs="Times New Roman"/>
                <w:color w:val="000000" w:themeColor="text1"/>
                <w:spacing w:val="-2"/>
                <w:sz w:val="22"/>
                <w:szCs w:val="22"/>
              </w:rPr>
              <w:t xml:space="preserve"> do surowców</w:t>
            </w:r>
            <w:r w:rsidR="00817174" w:rsidRPr="00154E08">
              <w:rPr>
                <w:rFonts w:eastAsia="Calibri" w:cs="Times New Roman"/>
                <w:color w:val="000000" w:themeColor="text1"/>
                <w:spacing w:val="-2"/>
                <w:sz w:val="22"/>
                <w:szCs w:val="22"/>
              </w:rPr>
              <w:t xml:space="preserve"> energetycznych</w:t>
            </w:r>
            <w:r w:rsidR="00553B85" w:rsidRPr="00154E08">
              <w:rPr>
                <w:rFonts w:eastAsia="Calibri" w:cs="Times New Roman"/>
                <w:color w:val="000000" w:themeColor="text1"/>
                <w:spacing w:val="-2"/>
                <w:sz w:val="22"/>
                <w:szCs w:val="22"/>
              </w:rPr>
              <w:t xml:space="preserve"> </w:t>
            </w:r>
            <w:r w:rsidR="00374454" w:rsidRPr="00154E08">
              <w:rPr>
                <w:rFonts w:eastAsia="Calibri" w:cs="Times New Roman"/>
                <w:color w:val="000000" w:themeColor="text1"/>
                <w:spacing w:val="-2"/>
                <w:sz w:val="22"/>
                <w:szCs w:val="22"/>
              </w:rPr>
              <w:t xml:space="preserve">oraz </w:t>
            </w:r>
            <w:r w:rsidR="00553B85" w:rsidRPr="00154E08">
              <w:rPr>
                <w:rFonts w:eastAsia="Calibri" w:cs="Times New Roman"/>
                <w:color w:val="000000" w:themeColor="text1"/>
                <w:spacing w:val="-2"/>
                <w:sz w:val="22"/>
                <w:szCs w:val="22"/>
              </w:rPr>
              <w:t>źródeł nisko</w:t>
            </w:r>
            <w:r w:rsidR="00C379E6" w:rsidRPr="00154E08">
              <w:rPr>
                <w:rFonts w:eastAsia="Calibri" w:cs="Times New Roman"/>
                <w:color w:val="000000" w:themeColor="text1"/>
                <w:spacing w:val="-2"/>
                <w:sz w:val="22"/>
                <w:szCs w:val="22"/>
              </w:rPr>
              <w:t>(zero)</w:t>
            </w:r>
            <w:r w:rsidR="00553B85" w:rsidRPr="00154E08">
              <w:rPr>
                <w:rFonts w:eastAsia="Calibri" w:cs="Times New Roman"/>
                <w:color w:val="000000" w:themeColor="text1"/>
                <w:spacing w:val="-2"/>
                <w:sz w:val="22"/>
                <w:szCs w:val="22"/>
              </w:rPr>
              <w:t>emisyjn</w:t>
            </w:r>
            <w:r w:rsidR="00C379E6" w:rsidRPr="00154E08">
              <w:rPr>
                <w:rFonts w:eastAsia="Calibri" w:cs="Times New Roman"/>
                <w:color w:val="000000" w:themeColor="text1"/>
                <w:spacing w:val="-2"/>
                <w:sz w:val="22"/>
                <w:szCs w:val="22"/>
              </w:rPr>
              <w:t>ej</w:t>
            </w:r>
            <w:r w:rsidR="00553B85" w:rsidRPr="00154E08">
              <w:rPr>
                <w:rFonts w:eastAsia="Calibri" w:cs="Times New Roman"/>
                <w:color w:val="000000" w:themeColor="text1"/>
                <w:spacing w:val="-2"/>
                <w:sz w:val="22"/>
                <w:szCs w:val="22"/>
              </w:rPr>
              <w:t xml:space="preserve"> odnawialnej energii, </w:t>
            </w:r>
            <w:r w:rsidR="00C379E6" w:rsidRPr="00154E08">
              <w:rPr>
                <w:rFonts w:eastAsia="Calibri" w:cs="Times New Roman"/>
                <w:color w:val="000000" w:themeColor="text1"/>
                <w:spacing w:val="-2"/>
                <w:sz w:val="22"/>
                <w:szCs w:val="22"/>
              </w:rPr>
              <w:t xml:space="preserve">posiadana </w:t>
            </w:r>
            <w:r w:rsidR="00553B85" w:rsidRPr="00154E08">
              <w:rPr>
                <w:rFonts w:eastAsia="Calibri" w:cs="Times New Roman"/>
                <w:color w:val="000000" w:themeColor="text1"/>
                <w:spacing w:val="-2"/>
                <w:sz w:val="22"/>
                <w:szCs w:val="22"/>
              </w:rPr>
              <w:t>infrastruktur</w:t>
            </w:r>
            <w:r w:rsidR="00C379E6" w:rsidRPr="00154E08">
              <w:rPr>
                <w:rFonts w:eastAsia="Calibri" w:cs="Times New Roman"/>
                <w:color w:val="000000" w:themeColor="text1"/>
                <w:spacing w:val="-2"/>
                <w:sz w:val="22"/>
                <w:szCs w:val="22"/>
              </w:rPr>
              <w:t>a</w:t>
            </w:r>
            <w:r w:rsidR="00553B85" w:rsidRPr="00154E08">
              <w:rPr>
                <w:rFonts w:eastAsia="Calibri" w:cs="Times New Roman"/>
                <w:color w:val="000000" w:themeColor="text1"/>
                <w:spacing w:val="-2"/>
                <w:sz w:val="22"/>
                <w:szCs w:val="22"/>
              </w:rPr>
              <w:t xml:space="preserve"> i </w:t>
            </w:r>
            <w:r w:rsidR="00C379E6" w:rsidRPr="00154E08">
              <w:rPr>
                <w:rFonts w:eastAsia="Calibri" w:cs="Times New Roman"/>
                <w:color w:val="000000" w:themeColor="text1"/>
                <w:spacing w:val="-2"/>
                <w:sz w:val="22"/>
                <w:szCs w:val="22"/>
              </w:rPr>
              <w:t xml:space="preserve">flota </w:t>
            </w:r>
            <w:r w:rsidR="00553B85" w:rsidRPr="00154E08">
              <w:rPr>
                <w:rFonts w:eastAsia="Calibri" w:cs="Times New Roman"/>
                <w:color w:val="000000" w:themeColor="text1"/>
                <w:spacing w:val="-2"/>
                <w:sz w:val="22"/>
                <w:szCs w:val="22"/>
              </w:rPr>
              <w:t xml:space="preserve">pojazdów, </w:t>
            </w:r>
            <w:r w:rsidR="00A5647E" w:rsidRPr="00154E08">
              <w:rPr>
                <w:rFonts w:eastAsia="Calibri" w:cs="Times New Roman"/>
                <w:color w:val="000000" w:themeColor="text1"/>
                <w:spacing w:val="-2"/>
                <w:sz w:val="22"/>
                <w:szCs w:val="22"/>
              </w:rPr>
              <w:t>czy wreszcie</w:t>
            </w:r>
            <w:r w:rsidR="008C4833" w:rsidRPr="00154E08">
              <w:rPr>
                <w:rFonts w:eastAsia="Calibri" w:cs="Times New Roman"/>
                <w:color w:val="000000" w:themeColor="text1"/>
                <w:spacing w:val="-2"/>
                <w:sz w:val="22"/>
                <w:szCs w:val="22"/>
              </w:rPr>
              <w:t xml:space="preserve"> wielkoś</w:t>
            </w:r>
            <w:r w:rsidR="00C379E6" w:rsidRPr="00154E08">
              <w:rPr>
                <w:rFonts w:eastAsia="Calibri" w:cs="Times New Roman"/>
                <w:color w:val="000000" w:themeColor="text1"/>
                <w:spacing w:val="-2"/>
                <w:sz w:val="22"/>
                <w:szCs w:val="22"/>
              </w:rPr>
              <w:t>ć</w:t>
            </w:r>
            <w:r w:rsidR="008C4833" w:rsidRPr="00154E08">
              <w:rPr>
                <w:rFonts w:eastAsia="Calibri" w:cs="Times New Roman"/>
                <w:color w:val="000000" w:themeColor="text1"/>
                <w:spacing w:val="-2"/>
                <w:sz w:val="22"/>
                <w:szCs w:val="22"/>
              </w:rPr>
              <w:t xml:space="preserve"> </w:t>
            </w:r>
            <w:r w:rsidR="00C379E6" w:rsidRPr="00154E08">
              <w:rPr>
                <w:rFonts w:eastAsia="Calibri" w:cs="Times New Roman"/>
                <w:color w:val="000000" w:themeColor="text1"/>
                <w:spacing w:val="-2"/>
                <w:sz w:val="22"/>
                <w:szCs w:val="22"/>
              </w:rPr>
              <w:t>wewnętrznego rynku. Wszystkie powyższe elementy,</w:t>
            </w:r>
            <w:r w:rsidR="008C4833" w:rsidRPr="00154E08">
              <w:rPr>
                <w:rFonts w:eastAsia="Calibri" w:cs="Times New Roman"/>
                <w:color w:val="000000" w:themeColor="text1"/>
                <w:spacing w:val="-2"/>
                <w:sz w:val="22"/>
                <w:szCs w:val="22"/>
              </w:rPr>
              <w:t xml:space="preserve"> </w:t>
            </w:r>
            <w:r w:rsidR="00EA37E1" w:rsidRPr="00154E08">
              <w:rPr>
                <w:rFonts w:eastAsia="Calibri" w:cs="Times New Roman"/>
                <w:color w:val="000000" w:themeColor="text1"/>
                <w:spacing w:val="-2"/>
                <w:sz w:val="22"/>
                <w:szCs w:val="22"/>
              </w:rPr>
              <w:t xml:space="preserve">finalnie </w:t>
            </w:r>
            <w:r w:rsidR="00C379E6" w:rsidRPr="00154E08">
              <w:rPr>
                <w:rFonts w:eastAsia="Calibri" w:cs="Times New Roman"/>
                <w:color w:val="000000" w:themeColor="text1"/>
                <w:spacing w:val="-2"/>
                <w:sz w:val="22"/>
                <w:szCs w:val="22"/>
              </w:rPr>
              <w:t xml:space="preserve">determinują </w:t>
            </w:r>
            <w:r w:rsidR="008C4833" w:rsidRPr="00154E08">
              <w:rPr>
                <w:rFonts w:eastAsia="Calibri" w:cs="Times New Roman"/>
                <w:color w:val="000000" w:themeColor="text1"/>
                <w:spacing w:val="-2"/>
                <w:sz w:val="22"/>
                <w:szCs w:val="22"/>
              </w:rPr>
              <w:t xml:space="preserve">zakres </w:t>
            </w:r>
            <w:r w:rsidR="004A54AD" w:rsidRPr="00154E08">
              <w:rPr>
                <w:rFonts w:eastAsia="Calibri" w:cs="Times New Roman"/>
                <w:color w:val="000000" w:themeColor="text1"/>
                <w:spacing w:val="-2"/>
                <w:sz w:val="22"/>
                <w:szCs w:val="22"/>
              </w:rPr>
              <w:t xml:space="preserve">oraz tempo </w:t>
            </w:r>
            <w:r w:rsidR="009841CA" w:rsidRPr="00154E08">
              <w:rPr>
                <w:rFonts w:eastAsia="Calibri" w:cs="Times New Roman"/>
                <w:color w:val="000000" w:themeColor="text1"/>
                <w:spacing w:val="-2"/>
                <w:sz w:val="22"/>
                <w:szCs w:val="22"/>
              </w:rPr>
              <w:t xml:space="preserve">możliwych do przeprowadzenia zmian oraz </w:t>
            </w:r>
            <w:r w:rsidR="004A54AD" w:rsidRPr="00154E08">
              <w:rPr>
                <w:rFonts w:eastAsia="Calibri" w:cs="Times New Roman"/>
                <w:color w:val="000000" w:themeColor="text1"/>
                <w:spacing w:val="-2"/>
                <w:sz w:val="22"/>
                <w:szCs w:val="22"/>
              </w:rPr>
              <w:t xml:space="preserve">determinują </w:t>
            </w:r>
            <w:r w:rsidR="00553B85" w:rsidRPr="00154E08">
              <w:rPr>
                <w:rFonts w:eastAsia="Calibri" w:cs="Times New Roman"/>
                <w:color w:val="000000" w:themeColor="text1"/>
                <w:spacing w:val="-2"/>
                <w:sz w:val="22"/>
                <w:szCs w:val="22"/>
              </w:rPr>
              <w:t xml:space="preserve">koszty </w:t>
            </w:r>
            <w:r w:rsidR="008C4833" w:rsidRPr="00154E08">
              <w:rPr>
                <w:rFonts w:eastAsia="Calibri" w:cs="Times New Roman"/>
                <w:color w:val="000000" w:themeColor="text1"/>
                <w:spacing w:val="-2"/>
                <w:sz w:val="22"/>
                <w:szCs w:val="22"/>
              </w:rPr>
              <w:t>konieczn</w:t>
            </w:r>
            <w:r w:rsidR="004A54AD" w:rsidRPr="00154E08">
              <w:rPr>
                <w:rFonts w:eastAsia="Calibri" w:cs="Times New Roman"/>
                <w:color w:val="000000" w:themeColor="text1"/>
                <w:spacing w:val="-2"/>
                <w:sz w:val="22"/>
                <w:szCs w:val="22"/>
              </w:rPr>
              <w:t>e</w:t>
            </w:r>
            <w:r w:rsidR="008C4833" w:rsidRPr="00154E08">
              <w:rPr>
                <w:rFonts w:eastAsia="Calibri" w:cs="Times New Roman"/>
                <w:color w:val="000000" w:themeColor="text1"/>
                <w:spacing w:val="-2"/>
                <w:sz w:val="22"/>
                <w:szCs w:val="22"/>
              </w:rPr>
              <w:t xml:space="preserve"> </w:t>
            </w:r>
            <w:r w:rsidR="00EA5753" w:rsidRPr="00154E08">
              <w:rPr>
                <w:rFonts w:eastAsia="Calibri" w:cs="Times New Roman"/>
                <w:color w:val="000000" w:themeColor="text1"/>
                <w:spacing w:val="-2"/>
                <w:sz w:val="22"/>
                <w:szCs w:val="22"/>
              </w:rPr>
              <w:t xml:space="preserve">do podjęcia </w:t>
            </w:r>
            <w:r w:rsidR="008C4833" w:rsidRPr="00154E08">
              <w:rPr>
                <w:rFonts w:eastAsia="Calibri" w:cs="Times New Roman"/>
                <w:color w:val="000000" w:themeColor="text1"/>
                <w:spacing w:val="-2"/>
                <w:sz w:val="22"/>
                <w:szCs w:val="22"/>
              </w:rPr>
              <w:t>działań</w:t>
            </w:r>
            <w:r w:rsidR="00A5647E" w:rsidRPr="00154E08">
              <w:rPr>
                <w:rFonts w:eastAsia="Calibri" w:cs="Times New Roman"/>
                <w:color w:val="000000" w:themeColor="text1"/>
                <w:spacing w:val="-2"/>
                <w:sz w:val="22"/>
                <w:szCs w:val="22"/>
              </w:rPr>
              <w:t xml:space="preserve"> na </w:t>
            </w:r>
            <w:r w:rsidR="00D828B3" w:rsidRPr="00154E08">
              <w:rPr>
                <w:rFonts w:eastAsia="Calibri" w:cs="Times New Roman"/>
                <w:color w:val="000000" w:themeColor="text1"/>
                <w:spacing w:val="-2"/>
                <w:sz w:val="22"/>
                <w:szCs w:val="22"/>
              </w:rPr>
              <w:t>indywidualnym</w:t>
            </w:r>
            <w:r w:rsidR="00A5647E" w:rsidRPr="00154E08">
              <w:rPr>
                <w:rFonts w:eastAsia="Calibri" w:cs="Times New Roman"/>
                <w:color w:val="000000" w:themeColor="text1"/>
                <w:spacing w:val="-2"/>
                <w:sz w:val="22"/>
                <w:szCs w:val="22"/>
              </w:rPr>
              <w:t xml:space="preserve"> poziomie poszczególnych państw</w:t>
            </w:r>
            <w:r w:rsidR="008C4833" w:rsidRPr="00154E08">
              <w:rPr>
                <w:rFonts w:eastAsia="Calibri" w:cs="Times New Roman"/>
                <w:color w:val="000000" w:themeColor="text1"/>
                <w:spacing w:val="-2"/>
                <w:sz w:val="22"/>
                <w:szCs w:val="22"/>
              </w:rPr>
              <w:t>.</w:t>
            </w:r>
            <w:r w:rsidR="004C7085" w:rsidRPr="00154E08">
              <w:rPr>
                <w:rFonts w:eastAsia="Calibri" w:cs="Times New Roman"/>
                <w:color w:val="000000" w:themeColor="text1"/>
                <w:spacing w:val="-2"/>
                <w:sz w:val="22"/>
                <w:szCs w:val="22"/>
              </w:rPr>
              <w:t xml:space="preserve"> </w:t>
            </w:r>
            <w:r w:rsidR="00553B85" w:rsidRPr="00154E08">
              <w:rPr>
                <w:rFonts w:eastAsia="Calibri" w:cs="Times New Roman"/>
                <w:color w:val="000000" w:themeColor="text1"/>
                <w:spacing w:val="-2"/>
                <w:sz w:val="22"/>
                <w:szCs w:val="22"/>
              </w:rPr>
              <w:t>Polska plasuje się na szóstym miejscu w</w:t>
            </w:r>
            <w:r w:rsidR="00D828B3" w:rsidRPr="00154E08">
              <w:rPr>
                <w:rFonts w:eastAsia="Calibri" w:cs="Times New Roman"/>
                <w:color w:val="000000" w:themeColor="text1"/>
                <w:spacing w:val="-2"/>
                <w:sz w:val="22"/>
                <w:szCs w:val="22"/>
              </w:rPr>
              <w:t> </w:t>
            </w:r>
            <w:r w:rsidR="00553B85" w:rsidRPr="00154E08">
              <w:rPr>
                <w:rFonts w:eastAsia="Calibri" w:cs="Times New Roman"/>
                <w:color w:val="000000" w:themeColor="text1"/>
                <w:spacing w:val="-2"/>
                <w:sz w:val="22"/>
                <w:szCs w:val="22"/>
              </w:rPr>
              <w:t>U</w:t>
            </w:r>
            <w:r w:rsidR="00D8692F" w:rsidRPr="00154E08">
              <w:rPr>
                <w:rFonts w:eastAsia="Calibri" w:cs="Times New Roman"/>
                <w:color w:val="000000" w:themeColor="text1"/>
                <w:spacing w:val="-2"/>
                <w:sz w:val="22"/>
                <w:szCs w:val="22"/>
              </w:rPr>
              <w:t xml:space="preserve">nii </w:t>
            </w:r>
            <w:r w:rsidR="004C7085" w:rsidRPr="00154E08">
              <w:rPr>
                <w:rFonts w:eastAsia="Calibri" w:cs="Times New Roman"/>
                <w:color w:val="000000" w:themeColor="text1"/>
                <w:spacing w:val="-2"/>
                <w:sz w:val="22"/>
                <w:szCs w:val="22"/>
              </w:rPr>
              <w:t>Europ</w:t>
            </w:r>
            <w:r w:rsidR="00D91818" w:rsidRPr="00154E08">
              <w:rPr>
                <w:rFonts w:eastAsia="Calibri" w:cs="Times New Roman"/>
                <w:color w:val="000000" w:themeColor="text1"/>
                <w:spacing w:val="-2"/>
                <w:sz w:val="22"/>
                <w:szCs w:val="22"/>
              </w:rPr>
              <w:t>ejskiej</w:t>
            </w:r>
            <w:r w:rsidR="004C7085" w:rsidRPr="00154E08">
              <w:rPr>
                <w:rFonts w:eastAsia="Calibri" w:cs="Times New Roman"/>
                <w:color w:val="000000" w:themeColor="text1"/>
                <w:spacing w:val="-2"/>
                <w:sz w:val="22"/>
                <w:szCs w:val="22"/>
              </w:rPr>
              <w:t xml:space="preserve"> </w:t>
            </w:r>
            <w:r w:rsidR="00553B85" w:rsidRPr="00154E08">
              <w:rPr>
                <w:rFonts w:eastAsia="Calibri" w:cs="Times New Roman"/>
                <w:color w:val="000000" w:themeColor="text1"/>
                <w:spacing w:val="-2"/>
                <w:sz w:val="22"/>
                <w:szCs w:val="22"/>
              </w:rPr>
              <w:t>w zużyciu en</w:t>
            </w:r>
            <w:r w:rsidR="00BB4465" w:rsidRPr="00154E08">
              <w:rPr>
                <w:rFonts w:eastAsia="Calibri" w:cs="Times New Roman"/>
                <w:color w:val="000000" w:themeColor="text1"/>
                <w:spacing w:val="-2"/>
                <w:sz w:val="22"/>
                <w:szCs w:val="22"/>
              </w:rPr>
              <w:t xml:space="preserve">ergii </w:t>
            </w:r>
            <w:r w:rsidR="00553B85" w:rsidRPr="00154E08">
              <w:rPr>
                <w:rFonts w:eastAsia="Calibri" w:cs="Times New Roman"/>
                <w:color w:val="000000" w:themeColor="text1"/>
                <w:spacing w:val="-2"/>
                <w:sz w:val="22"/>
                <w:szCs w:val="22"/>
              </w:rPr>
              <w:t>w</w:t>
            </w:r>
            <w:r w:rsidR="00BB4465" w:rsidRPr="00154E08">
              <w:rPr>
                <w:rFonts w:eastAsia="Calibri" w:cs="Times New Roman"/>
                <w:color w:val="000000" w:themeColor="text1"/>
                <w:spacing w:val="-2"/>
                <w:sz w:val="22"/>
                <w:szCs w:val="22"/>
              </w:rPr>
              <w:t> </w:t>
            </w:r>
            <w:r w:rsidR="00553B85" w:rsidRPr="00154E08">
              <w:rPr>
                <w:rFonts w:eastAsia="Calibri" w:cs="Times New Roman"/>
                <w:color w:val="000000" w:themeColor="text1"/>
                <w:spacing w:val="-2"/>
                <w:sz w:val="22"/>
                <w:szCs w:val="22"/>
              </w:rPr>
              <w:t>transp</w:t>
            </w:r>
            <w:r w:rsidR="00BB4465" w:rsidRPr="00154E08">
              <w:rPr>
                <w:rFonts w:eastAsia="Calibri" w:cs="Times New Roman"/>
                <w:color w:val="000000" w:themeColor="text1"/>
                <w:spacing w:val="-2"/>
                <w:sz w:val="22"/>
                <w:szCs w:val="22"/>
              </w:rPr>
              <w:t xml:space="preserve">orcie </w:t>
            </w:r>
            <w:r w:rsidR="007872B3" w:rsidRPr="00154E08">
              <w:rPr>
                <w:rFonts w:eastAsia="Calibri" w:cs="Times New Roman"/>
                <w:color w:val="000000" w:themeColor="text1"/>
                <w:spacing w:val="-2"/>
                <w:sz w:val="22"/>
                <w:szCs w:val="22"/>
              </w:rPr>
              <w:t>za Niemcami, Francją</w:t>
            </w:r>
            <w:r w:rsidR="004C7085" w:rsidRPr="00154E08">
              <w:rPr>
                <w:rFonts w:eastAsia="Calibri" w:cs="Times New Roman"/>
                <w:color w:val="000000" w:themeColor="text1"/>
                <w:spacing w:val="-2"/>
                <w:sz w:val="22"/>
                <w:szCs w:val="22"/>
              </w:rPr>
              <w:t xml:space="preserve">, </w:t>
            </w:r>
            <w:r w:rsidR="007872B3" w:rsidRPr="00154E08">
              <w:rPr>
                <w:rFonts w:eastAsia="Calibri" w:cs="Times New Roman"/>
                <w:color w:val="000000" w:themeColor="text1"/>
                <w:spacing w:val="-2"/>
                <w:sz w:val="22"/>
                <w:szCs w:val="22"/>
              </w:rPr>
              <w:t>Włochami</w:t>
            </w:r>
            <w:r w:rsidR="00D828B3" w:rsidRPr="00154E08">
              <w:rPr>
                <w:rFonts w:eastAsia="Calibri" w:cs="Times New Roman"/>
                <w:color w:val="000000" w:themeColor="text1"/>
                <w:spacing w:val="-2"/>
                <w:sz w:val="22"/>
                <w:szCs w:val="22"/>
              </w:rPr>
              <w:t xml:space="preserve"> </w:t>
            </w:r>
            <w:r w:rsidR="00912758" w:rsidRPr="00154E08">
              <w:rPr>
                <w:rFonts w:eastAsia="Calibri" w:cs="Times New Roman"/>
                <w:color w:val="000000" w:themeColor="text1"/>
                <w:spacing w:val="-2"/>
                <w:sz w:val="22"/>
                <w:szCs w:val="22"/>
              </w:rPr>
              <w:t>– co pokazuje skalę wyzwania związaną z wdrożeniem polityki długoterminowej</w:t>
            </w:r>
            <w:r w:rsidR="00EA37E1" w:rsidRPr="00154E08">
              <w:rPr>
                <w:rFonts w:eastAsia="Calibri" w:cs="Times New Roman"/>
                <w:color w:val="000000" w:themeColor="text1"/>
                <w:spacing w:val="-2"/>
                <w:sz w:val="22"/>
                <w:szCs w:val="22"/>
              </w:rPr>
              <w:t xml:space="preserve"> (</w:t>
            </w:r>
            <w:r w:rsidR="008F4D80" w:rsidRPr="00154E08">
              <w:rPr>
                <w:rFonts w:eastAsia="Calibri" w:cs="Times New Roman"/>
                <w:color w:val="000000" w:themeColor="text1"/>
                <w:spacing w:val="-2"/>
                <w:sz w:val="22"/>
                <w:szCs w:val="22"/>
              </w:rPr>
              <w:t xml:space="preserve">do </w:t>
            </w:r>
            <w:r w:rsidR="00EA37E1" w:rsidRPr="00154E08">
              <w:rPr>
                <w:rFonts w:eastAsia="Calibri" w:cs="Times New Roman"/>
                <w:color w:val="000000" w:themeColor="text1"/>
                <w:spacing w:val="-2"/>
                <w:sz w:val="22"/>
                <w:szCs w:val="22"/>
              </w:rPr>
              <w:t>2050</w:t>
            </w:r>
            <w:r w:rsidR="004317F3" w:rsidRPr="00154E08">
              <w:rPr>
                <w:rFonts w:eastAsia="Calibri" w:cs="Times New Roman"/>
                <w:color w:val="000000" w:themeColor="text1"/>
                <w:spacing w:val="-2"/>
                <w:sz w:val="22"/>
                <w:szCs w:val="22"/>
              </w:rPr>
              <w:t xml:space="preserve"> r.</w:t>
            </w:r>
            <w:r w:rsidR="00EA37E1" w:rsidRPr="00154E08">
              <w:rPr>
                <w:rFonts w:eastAsia="Calibri" w:cs="Times New Roman"/>
                <w:color w:val="000000" w:themeColor="text1"/>
                <w:spacing w:val="-2"/>
                <w:sz w:val="22"/>
                <w:szCs w:val="22"/>
              </w:rPr>
              <w:t>)</w:t>
            </w:r>
            <w:r w:rsidR="00D828B3" w:rsidRPr="00154E08">
              <w:rPr>
                <w:rFonts w:eastAsia="Calibri" w:cs="Times New Roman"/>
                <w:color w:val="000000" w:themeColor="text1"/>
                <w:spacing w:val="-2"/>
                <w:sz w:val="22"/>
                <w:szCs w:val="22"/>
              </w:rPr>
              <w:t xml:space="preserve"> i </w:t>
            </w:r>
            <w:r w:rsidR="008F4D80" w:rsidRPr="00154E08">
              <w:rPr>
                <w:rFonts w:eastAsia="Calibri" w:cs="Times New Roman"/>
                <w:color w:val="000000" w:themeColor="text1"/>
                <w:spacing w:val="-2"/>
                <w:sz w:val="22"/>
                <w:szCs w:val="22"/>
              </w:rPr>
              <w:t xml:space="preserve">duże </w:t>
            </w:r>
            <w:r w:rsidR="00D828B3" w:rsidRPr="00154E08">
              <w:rPr>
                <w:rFonts w:eastAsia="Calibri" w:cs="Times New Roman"/>
                <w:color w:val="000000" w:themeColor="text1"/>
                <w:spacing w:val="-2"/>
                <w:sz w:val="22"/>
                <w:szCs w:val="22"/>
              </w:rPr>
              <w:t xml:space="preserve">koszty </w:t>
            </w:r>
            <w:r w:rsidR="000B11D8" w:rsidRPr="00154E08">
              <w:rPr>
                <w:rFonts w:eastAsia="Calibri" w:cs="Times New Roman"/>
                <w:color w:val="000000" w:themeColor="text1"/>
                <w:spacing w:val="-2"/>
                <w:sz w:val="22"/>
                <w:szCs w:val="22"/>
              </w:rPr>
              <w:t>transformacji</w:t>
            </w:r>
            <w:r w:rsidR="00912758" w:rsidRPr="00154E08">
              <w:rPr>
                <w:rFonts w:eastAsia="Calibri" w:cs="Times New Roman"/>
                <w:color w:val="000000" w:themeColor="text1"/>
                <w:spacing w:val="-2"/>
                <w:sz w:val="22"/>
                <w:szCs w:val="22"/>
              </w:rPr>
              <w:t xml:space="preserve">. </w:t>
            </w:r>
          </w:p>
          <w:p w14:paraId="5899353E" w14:textId="4178840A" w:rsidR="007E2A13" w:rsidRPr="00154E08" w:rsidRDefault="007E2A13"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u w:val="single"/>
              </w:rPr>
              <w:t>Wykorzystanie odnawialnej energii elektrycznej w transporcie w państwach UE</w:t>
            </w:r>
          </w:p>
          <w:p w14:paraId="7F2F5BD5" w14:textId="00A626E7" w:rsidR="007E2A13" w:rsidRPr="00154E08" w:rsidRDefault="007E2A13"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Innym wielkoskalowym rozwiązaniem umożliwiającym dekarbonizację jest elektryfikacja transportu. W</w:t>
            </w:r>
            <w:r w:rsidR="00071CE1" w:rsidRPr="00154E08">
              <w:rPr>
                <w:rFonts w:eastAsia="Calibri" w:cs="Times New Roman"/>
                <w:color w:val="000000" w:themeColor="text1"/>
                <w:spacing w:val="-2"/>
                <w:sz w:val="22"/>
                <w:szCs w:val="22"/>
              </w:rPr>
              <w:t> </w:t>
            </w:r>
            <w:r w:rsidRPr="00154E08">
              <w:rPr>
                <w:rFonts w:eastAsia="Calibri" w:cs="Times New Roman"/>
                <w:color w:val="000000" w:themeColor="text1"/>
                <w:spacing w:val="-2"/>
                <w:sz w:val="22"/>
                <w:szCs w:val="22"/>
              </w:rPr>
              <w:t xml:space="preserve">Unii Europejskiej auta elektryczne stanowiły 14,2 procent wszystkich sprzedawanych pojazdów, przegoniły </w:t>
            </w:r>
            <w:proofErr w:type="spellStart"/>
            <w:r w:rsidR="006D683F" w:rsidRPr="00154E08">
              <w:rPr>
                <w:rFonts w:eastAsia="Calibri" w:cs="Times New Roman"/>
                <w:color w:val="000000" w:themeColor="text1"/>
                <w:spacing w:val="-2"/>
                <w:sz w:val="22"/>
                <w:szCs w:val="22"/>
              </w:rPr>
              <w:t>diesle</w:t>
            </w:r>
            <w:proofErr w:type="spellEnd"/>
            <w:r w:rsidRPr="00154E08">
              <w:rPr>
                <w:rFonts w:eastAsia="Calibri" w:cs="Times New Roman"/>
                <w:color w:val="000000" w:themeColor="text1"/>
                <w:spacing w:val="-2"/>
                <w:sz w:val="22"/>
                <w:szCs w:val="22"/>
              </w:rPr>
              <w:t xml:space="preserve"> (13,7 procent).</w:t>
            </w:r>
          </w:p>
          <w:p w14:paraId="41A38576" w14:textId="1CA240F9" w:rsidR="00C70303" w:rsidRPr="00154E08" w:rsidRDefault="00430CB4"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 xml:space="preserve">Przykładowo, </w:t>
            </w:r>
            <w:r w:rsidR="00EA5753" w:rsidRPr="00154E08">
              <w:rPr>
                <w:rFonts w:eastAsia="Calibri" w:cs="Times New Roman"/>
                <w:color w:val="000000" w:themeColor="text1"/>
                <w:spacing w:val="-2"/>
                <w:sz w:val="22"/>
                <w:szCs w:val="22"/>
              </w:rPr>
              <w:t xml:space="preserve">na </w:t>
            </w:r>
            <w:r w:rsidR="007F14E4" w:rsidRPr="00154E08">
              <w:rPr>
                <w:rFonts w:eastAsia="Calibri" w:cs="Times New Roman"/>
                <w:color w:val="000000" w:themeColor="text1"/>
                <w:spacing w:val="-2"/>
                <w:sz w:val="22"/>
                <w:szCs w:val="22"/>
              </w:rPr>
              <w:t>największy</w:t>
            </w:r>
            <w:r w:rsidR="002A0281" w:rsidRPr="00154E08">
              <w:rPr>
                <w:rFonts w:eastAsia="Calibri" w:cs="Times New Roman"/>
                <w:color w:val="000000" w:themeColor="text1"/>
                <w:spacing w:val="-2"/>
                <w:sz w:val="22"/>
                <w:szCs w:val="22"/>
              </w:rPr>
              <w:t>m</w:t>
            </w:r>
            <w:r w:rsidRPr="00154E08">
              <w:rPr>
                <w:rFonts w:eastAsia="Calibri" w:cs="Times New Roman"/>
                <w:color w:val="000000" w:themeColor="text1"/>
                <w:spacing w:val="-2"/>
                <w:sz w:val="22"/>
                <w:szCs w:val="22"/>
              </w:rPr>
              <w:t xml:space="preserve"> rynk</w:t>
            </w:r>
            <w:r w:rsidR="007F14E4" w:rsidRPr="00154E08">
              <w:rPr>
                <w:rFonts w:eastAsia="Calibri" w:cs="Times New Roman"/>
                <w:color w:val="000000" w:themeColor="text1"/>
                <w:spacing w:val="-2"/>
                <w:sz w:val="22"/>
                <w:szCs w:val="22"/>
              </w:rPr>
              <w:t>u</w:t>
            </w:r>
            <w:r w:rsidRPr="00154E08">
              <w:rPr>
                <w:rFonts w:eastAsia="Calibri" w:cs="Times New Roman"/>
                <w:color w:val="000000" w:themeColor="text1"/>
                <w:spacing w:val="-2"/>
                <w:sz w:val="22"/>
                <w:szCs w:val="22"/>
              </w:rPr>
              <w:t xml:space="preserve"> transportowy</w:t>
            </w:r>
            <w:r w:rsidR="007F14E4" w:rsidRPr="00154E08">
              <w:rPr>
                <w:rFonts w:eastAsia="Calibri" w:cs="Times New Roman"/>
                <w:color w:val="000000" w:themeColor="text1"/>
                <w:spacing w:val="-2"/>
                <w:sz w:val="22"/>
                <w:szCs w:val="22"/>
              </w:rPr>
              <w:t>m U</w:t>
            </w:r>
            <w:r w:rsidR="00D8692F" w:rsidRPr="00154E08">
              <w:rPr>
                <w:rFonts w:eastAsia="Calibri" w:cs="Times New Roman"/>
                <w:color w:val="000000" w:themeColor="text1"/>
                <w:spacing w:val="-2"/>
                <w:sz w:val="22"/>
                <w:szCs w:val="22"/>
              </w:rPr>
              <w:t xml:space="preserve">nii </w:t>
            </w:r>
            <w:r w:rsidR="007F14E4" w:rsidRPr="00154E08">
              <w:rPr>
                <w:rFonts w:eastAsia="Calibri" w:cs="Times New Roman"/>
                <w:color w:val="000000" w:themeColor="text1"/>
                <w:spacing w:val="-2"/>
                <w:sz w:val="22"/>
                <w:szCs w:val="22"/>
              </w:rPr>
              <w:t>E</w:t>
            </w:r>
            <w:r w:rsidR="00D8692F" w:rsidRPr="00154E08">
              <w:rPr>
                <w:rFonts w:eastAsia="Calibri" w:cs="Times New Roman"/>
                <w:color w:val="000000" w:themeColor="text1"/>
                <w:spacing w:val="-2"/>
                <w:sz w:val="22"/>
                <w:szCs w:val="22"/>
              </w:rPr>
              <w:t>uropejskiej</w:t>
            </w:r>
            <w:r w:rsidR="00BB4465" w:rsidRPr="00154E08">
              <w:rPr>
                <w:rFonts w:eastAsia="Calibri" w:cs="Times New Roman"/>
                <w:color w:val="000000" w:themeColor="text1"/>
                <w:spacing w:val="-2"/>
                <w:sz w:val="22"/>
                <w:szCs w:val="22"/>
              </w:rPr>
              <w:t xml:space="preserve"> (</w:t>
            </w:r>
            <w:r w:rsidR="00912758" w:rsidRPr="00154E08">
              <w:rPr>
                <w:rFonts w:eastAsia="Calibri" w:cs="Times New Roman"/>
                <w:color w:val="000000" w:themeColor="text1"/>
                <w:spacing w:val="-2"/>
                <w:sz w:val="22"/>
                <w:szCs w:val="22"/>
              </w:rPr>
              <w:t>ryn</w:t>
            </w:r>
            <w:r w:rsidR="00883F6C" w:rsidRPr="00154E08">
              <w:rPr>
                <w:rFonts w:eastAsia="Calibri" w:cs="Times New Roman"/>
                <w:color w:val="000000" w:themeColor="text1"/>
                <w:spacing w:val="-2"/>
                <w:sz w:val="22"/>
                <w:szCs w:val="22"/>
              </w:rPr>
              <w:t xml:space="preserve">ku </w:t>
            </w:r>
            <w:r w:rsidR="00912758" w:rsidRPr="00154E08">
              <w:rPr>
                <w:rFonts w:eastAsia="Calibri" w:cs="Times New Roman"/>
                <w:color w:val="000000" w:themeColor="text1"/>
                <w:spacing w:val="-2"/>
                <w:sz w:val="22"/>
                <w:szCs w:val="22"/>
              </w:rPr>
              <w:t>niemiecki</w:t>
            </w:r>
            <w:r w:rsidR="00883F6C" w:rsidRPr="00154E08">
              <w:rPr>
                <w:rFonts w:eastAsia="Calibri" w:cs="Times New Roman"/>
                <w:color w:val="000000" w:themeColor="text1"/>
                <w:spacing w:val="-2"/>
                <w:sz w:val="22"/>
                <w:szCs w:val="22"/>
              </w:rPr>
              <w:t>m</w:t>
            </w:r>
            <w:r w:rsidR="00BB4465" w:rsidRPr="00154E08">
              <w:rPr>
                <w:rFonts w:eastAsia="Calibri" w:cs="Times New Roman"/>
                <w:color w:val="000000" w:themeColor="text1"/>
                <w:spacing w:val="-2"/>
                <w:sz w:val="22"/>
                <w:szCs w:val="22"/>
              </w:rPr>
              <w:t>)</w:t>
            </w:r>
            <w:r w:rsidRPr="00154E08">
              <w:rPr>
                <w:rFonts w:eastAsia="Calibri" w:cs="Times New Roman"/>
                <w:color w:val="000000" w:themeColor="text1"/>
                <w:spacing w:val="-2"/>
                <w:sz w:val="22"/>
                <w:szCs w:val="22"/>
              </w:rPr>
              <w:t xml:space="preserve"> </w:t>
            </w:r>
            <w:r w:rsidR="00883F6C" w:rsidRPr="00154E08">
              <w:rPr>
                <w:rFonts w:eastAsia="Calibri" w:cs="Times New Roman"/>
                <w:color w:val="000000" w:themeColor="text1"/>
                <w:spacing w:val="-2"/>
                <w:sz w:val="22"/>
                <w:szCs w:val="22"/>
              </w:rPr>
              <w:t>podejmowane</w:t>
            </w:r>
            <w:r w:rsidRPr="00154E08">
              <w:rPr>
                <w:rFonts w:eastAsia="Calibri" w:cs="Times New Roman"/>
                <w:color w:val="000000" w:themeColor="text1"/>
                <w:spacing w:val="-2"/>
                <w:sz w:val="22"/>
                <w:szCs w:val="22"/>
              </w:rPr>
              <w:t xml:space="preserve"> </w:t>
            </w:r>
            <w:r w:rsidR="004317F3" w:rsidRPr="00154E08">
              <w:rPr>
                <w:rFonts w:eastAsia="Calibri" w:cs="Times New Roman"/>
                <w:color w:val="000000" w:themeColor="text1"/>
                <w:spacing w:val="-2"/>
                <w:sz w:val="22"/>
                <w:szCs w:val="22"/>
              </w:rPr>
              <w:t xml:space="preserve">są </w:t>
            </w:r>
            <w:r w:rsidR="00EA5753" w:rsidRPr="00154E08">
              <w:rPr>
                <w:rFonts w:eastAsia="Calibri" w:cs="Times New Roman"/>
                <w:color w:val="000000" w:themeColor="text1"/>
                <w:spacing w:val="-2"/>
                <w:sz w:val="22"/>
                <w:szCs w:val="22"/>
              </w:rPr>
              <w:t xml:space="preserve">obserwowane działania </w:t>
            </w:r>
            <w:r w:rsidR="0003317B" w:rsidRPr="00154E08">
              <w:rPr>
                <w:rFonts w:eastAsia="Calibri" w:cs="Times New Roman"/>
                <w:color w:val="000000" w:themeColor="text1"/>
                <w:spacing w:val="-2"/>
                <w:sz w:val="22"/>
                <w:szCs w:val="22"/>
              </w:rPr>
              <w:t>zwiększające</w:t>
            </w:r>
            <w:r w:rsidR="00EA5753" w:rsidRPr="00154E08">
              <w:rPr>
                <w:rFonts w:eastAsia="Calibri" w:cs="Times New Roman"/>
                <w:color w:val="000000" w:themeColor="text1"/>
                <w:spacing w:val="-2"/>
                <w:sz w:val="22"/>
                <w:szCs w:val="22"/>
              </w:rPr>
              <w:t xml:space="preserve"> wykorzystani</w:t>
            </w:r>
            <w:r w:rsidR="0003317B" w:rsidRPr="00154E08">
              <w:rPr>
                <w:rFonts w:eastAsia="Calibri" w:cs="Times New Roman"/>
                <w:color w:val="000000" w:themeColor="text1"/>
                <w:spacing w:val="-2"/>
                <w:sz w:val="22"/>
                <w:szCs w:val="22"/>
              </w:rPr>
              <w:t>e</w:t>
            </w:r>
            <w:r w:rsidR="00EA5753" w:rsidRPr="00154E08">
              <w:rPr>
                <w:rFonts w:eastAsia="Calibri" w:cs="Times New Roman"/>
                <w:color w:val="000000" w:themeColor="text1"/>
                <w:spacing w:val="-2"/>
                <w:sz w:val="22"/>
                <w:szCs w:val="22"/>
              </w:rPr>
              <w:t xml:space="preserve"> w transporcie energii elektrycznej ze źródeł OZE. </w:t>
            </w:r>
            <w:r w:rsidR="00C70303" w:rsidRPr="00154E08">
              <w:rPr>
                <w:rFonts w:eastAsia="Calibri" w:cs="Times New Roman"/>
                <w:color w:val="000000" w:themeColor="text1"/>
                <w:spacing w:val="-2"/>
                <w:sz w:val="22"/>
                <w:szCs w:val="22"/>
              </w:rPr>
              <w:t xml:space="preserve">Sprzedaż aut elektrycznych utrzymuje się na imponującym poziomie, ok. 500 tys. pojazdów w 2023 r. </w:t>
            </w:r>
          </w:p>
          <w:p w14:paraId="7941AFFA" w14:textId="3CB13C71" w:rsidR="007D6893" w:rsidRPr="00154E08" w:rsidRDefault="00EA5753" w:rsidP="00B279FD">
            <w:pPr>
              <w:spacing w:after="120" w:line="240" w:lineRule="auto"/>
              <w:jc w:val="both"/>
              <w:rPr>
                <w:rFonts w:eastAsia="Calibri" w:cs="Times New Roman"/>
                <w:b/>
                <w:bCs/>
                <w:color w:val="000000" w:themeColor="text1"/>
                <w:spacing w:val="-2"/>
                <w:sz w:val="22"/>
                <w:szCs w:val="22"/>
              </w:rPr>
            </w:pPr>
            <w:r w:rsidRPr="00154E08">
              <w:rPr>
                <w:rFonts w:eastAsia="Calibri" w:cs="Times New Roman"/>
                <w:color w:val="000000" w:themeColor="text1"/>
                <w:spacing w:val="-2"/>
                <w:sz w:val="22"/>
                <w:szCs w:val="22"/>
              </w:rPr>
              <w:lastRenderedPageBreak/>
              <w:t xml:space="preserve">Obecnie na rynek trafia </w:t>
            </w:r>
            <w:r w:rsidR="00EA37E1" w:rsidRPr="00154E08">
              <w:rPr>
                <w:rFonts w:eastAsia="Calibri" w:cs="Times New Roman"/>
                <w:color w:val="000000" w:themeColor="text1"/>
                <w:spacing w:val="-2"/>
                <w:sz w:val="22"/>
                <w:szCs w:val="22"/>
              </w:rPr>
              <w:t xml:space="preserve">tam </w:t>
            </w:r>
            <w:r w:rsidRPr="00154E08">
              <w:rPr>
                <w:rFonts w:eastAsia="Calibri" w:cs="Times New Roman"/>
                <w:color w:val="000000" w:themeColor="text1"/>
                <w:spacing w:val="-2"/>
                <w:sz w:val="22"/>
                <w:szCs w:val="22"/>
              </w:rPr>
              <w:t>j</w:t>
            </w:r>
            <w:r w:rsidR="00430CB4" w:rsidRPr="00154E08">
              <w:rPr>
                <w:rFonts w:eastAsia="Calibri" w:cs="Times New Roman"/>
                <w:color w:val="000000" w:themeColor="text1"/>
                <w:spacing w:val="-2"/>
                <w:sz w:val="22"/>
                <w:szCs w:val="22"/>
              </w:rPr>
              <w:t>uż nawet ~60 tys</w:t>
            </w:r>
            <w:r w:rsidRPr="00154E08">
              <w:rPr>
                <w:rFonts w:eastAsia="Calibri" w:cs="Times New Roman"/>
                <w:color w:val="000000" w:themeColor="text1"/>
                <w:spacing w:val="-2"/>
                <w:sz w:val="22"/>
                <w:szCs w:val="22"/>
              </w:rPr>
              <w:t>.</w:t>
            </w:r>
            <w:r w:rsidR="00430CB4" w:rsidRPr="00154E08">
              <w:rPr>
                <w:rFonts w:eastAsia="Calibri" w:cs="Times New Roman"/>
                <w:color w:val="000000" w:themeColor="text1"/>
                <w:spacing w:val="-2"/>
                <w:sz w:val="22"/>
                <w:szCs w:val="22"/>
              </w:rPr>
              <w:t xml:space="preserve"> </w:t>
            </w:r>
            <w:r w:rsidR="00B85A65" w:rsidRPr="00154E08">
              <w:rPr>
                <w:rFonts w:eastAsia="Calibri" w:cs="Times New Roman"/>
                <w:color w:val="000000" w:themeColor="text1"/>
                <w:spacing w:val="-2"/>
                <w:sz w:val="22"/>
                <w:szCs w:val="22"/>
              </w:rPr>
              <w:t>elektrycznych (</w:t>
            </w:r>
            <w:proofErr w:type="spellStart"/>
            <w:r w:rsidR="00B85A65" w:rsidRPr="00154E08">
              <w:rPr>
                <w:rFonts w:eastAsia="Calibri" w:cs="Times New Roman"/>
                <w:color w:val="000000" w:themeColor="text1"/>
                <w:spacing w:val="-2"/>
                <w:sz w:val="22"/>
                <w:szCs w:val="22"/>
              </w:rPr>
              <w:t>eV</w:t>
            </w:r>
            <w:proofErr w:type="spellEnd"/>
            <w:r w:rsidR="00B85A65" w:rsidRPr="00154E08">
              <w:rPr>
                <w:rFonts w:eastAsia="Calibri" w:cs="Times New Roman"/>
                <w:color w:val="000000" w:themeColor="text1"/>
                <w:spacing w:val="-2"/>
                <w:sz w:val="22"/>
                <w:szCs w:val="22"/>
              </w:rPr>
              <w:t>) i hybrydowych (</w:t>
            </w:r>
            <w:proofErr w:type="spellStart"/>
            <w:r w:rsidR="00B85A65" w:rsidRPr="00154E08">
              <w:rPr>
                <w:rFonts w:eastAsia="Calibri" w:cs="Times New Roman"/>
                <w:color w:val="000000" w:themeColor="text1"/>
                <w:spacing w:val="-2"/>
                <w:sz w:val="22"/>
                <w:szCs w:val="22"/>
              </w:rPr>
              <w:t>BHeV</w:t>
            </w:r>
            <w:proofErr w:type="spellEnd"/>
            <w:r w:rsidR="00B85A65" w:rsidRPr="00154E08">
              <w:rPr>
                <w:rFonts w:eastAsia="Calibri" w:cs="Times New Roman"/>
                <w:color w:val="000000" w:themeColor="text1"/>
                <w:spacing w:val="-2"/>
                <w:sz w:val="22"/>
                <w:szCs w:val="22"/>
              </w:rPr>
              <w:t>)</w:t>
            </w:r>
            <w:r w:rsidR="00486D4F" w:rsidRPr="00154E08">
              <w:rPr>
                <w:rFonts w:eastAsia="Calibri" w:cs="Times New Roman"/>
                <w:color w:val="000000" w:themeColor="text1"/>
                <w:spacing w:val="-2"/>
                <w:sz w:val="22"/>
                <w:szCs w:val="22"/>
              </w:rPr>
              <w:t xml:space="preserve"> au</w:t>
            </w:r>
            <w:r w:rsidR="008A1EC9" w:rsidRPr="00154E08">
              <w:rPr>
                <w:rFonts w:eastAsia="Calibri" w:cs="Times New Roman"/>
                <w:color w:val="000000" w:themeColor="text1"/>
                <w:spacing w:val="-2"/>
                <w:sz w:val="22"/>
                <w:szCs w:val="22"/>
              </w:rPr>
              <w:t>t miesięcznie</w:t>
            </w:r>
            <w:r w:rsidRPr="00154E08">
              <w:rPr>
                <w:rFonts w:eastAsia="Calibri" w:cs="Times New Roman"/>
                <w:color w:val="000000" w:themeColor="text1"/>
                <w:spacing w:val="-2"/>
                <w:sz w:val="22"/>
                <w:szCs w:val="22"/>
              </w:rPr>
              <w:t>, co powoduje, że</w:t>
            </w:r>
            <w:r w:rsidR="00912758" w:rsidRPr="00154E08">
              <w:rPr>
                <w:rFonts w:eastAsia="Calibri" w:cs="Times New Roman"/>
                <w:color w:val="000000" w:themeColor="text1"/>
                <w:spacing w:val="-2"/>
                <w:sz w:val="22"/>
                <w:szCs w:val="22"/>
              </w:rPr>
              <w:t xml:space="preserve"> już</w:t>
            </w:r>
            <w:r w:rsidRPr="00154E08">
              <w:rPr>
                <w:rFonts w:eastAsia="Calibri" w:cs="Times New Roman"/>
                <w:color w:val="000000" w:themeColor="text1"/>
                <w:spacing w:val="-2"/>
                <w:sz w:val="22"/>
                <w:szCs w:val="22"/>
              </w:rPr>
              <w:t xml:space="preserve"> co piąte (~</w:t>
            </w:r>
            <w:r w:rsidR="00696185" w:rsidRPr="00154E08">
              <w:rPr>
                <w:rFonts w:eastAsia="Calibri" w:cs="Times New Roman"/>
                <w:color w:val="000000" w:themeColor="text1"/>
                <w:spacing w:val="-2"/>
                <w:sz w:val="22"/>
                <w:szCs w:val="22"/>
              </w:rPr>
              <w:t>19</w:t>
            </w:r>
            <w:r w:rsidRPr="00154E08">
              <w:rPr>
                <w:rFonts w:eastAsia="Calibri" w:cs="Times New Roman"/>
                <w:color w:val="000000" w:themeColor="text1"/>
                <w:spacing w:val="-2"/>
                <w:sz w:val="22"/>
                <w:szCs w:val="22"/>
              </w:rPr>
              <w:t xml:space="preserve">%) nowe auto trafiające na rynek niemiecki </w:t>
            </w:r>
            <w:r w:rsidR="00B85A65" w:rsidRPr="00154E08">
              <w:rPr>
                <w:rFonts w:eastAsia="Calibri" w:cs="Times New Roman"/>
                <w:color w:val="000000" w:themeColor="text1"/>
                <w:spacing w:val="-2"/>
                <w:sz w:val="22"/>
                <w:szCs w:val="22"/>
              </w:rPr>
              <w:t xml:space="preserve">może </w:t>
            </w:r>
            <w:r w:rsidRPr="00154E08">
              <w:rPr>
                <w:rFonts w:eastAsia="Calibri" w:cs="Times New Roman"/>
                <w:color w:val="000000" w:themeColor="text1"/>
                <w:spacing w:val="-2"/>
                <w:sz w:val="22"/>
                <w:szCs w:val="22"/>
              </w:rPr>
              <w:t>korzysta</w:t>
            </w:r>
            <w:r w:rsidR="00B85A65" w:rsidRPr="00154E08">
              <w:rPr>
                <w:rFonts w:eastAsia="Calibri" w:cs="Times New Roman"/>
                <w:color w:val="000000" w:themeColor="text1"/>
                <w:spacing w:val="-2"/>
                <w:sz w:val="22"/>
                <w:szCs w:val="22"/>
              </w:rPr>
              <w:t>ć</w:t>
            </w:r>
            <w:r w:rsidRPr="00154E08">
              <w:rPr>
                <w:rFonts w:eastAsia="Calibri" w:cs="Times New Roman"/>
                <w:color w:val="000000" w:themeColor="text1"/>
                <w:spacing w:val="-2"/>
                <w:sz w:val="22"/>
                <w:szCs w:val="22"/>
              </w:rPr>
              <w:t xml:space="preserve"> </w:t>
            </w:r>
            <w:r w:rsidR="00B85A65" w:rsidRPr="00154E08">
              <w:rPr>
                <w:rFonts w:eastAsia="Calibri" w:cs="Times New Roman"/>
                <w:color w:val="000000" w:themeColor="text1"/>
                <w:spacing w:val="-2"/>
                <w:sz w:val="22"/>
                <w:szCs w:val="22"/>
              </w:rPr>
              <w:t>z</w:t>
            </w:r>
            <w:r w:rsidR="00264EB3" w:rsidRPr="00154E08">
              <w:rPr>
                <w:rFonts w:eastAsia="Calibri" w:cs="Times New Roman"/>
                <w:color w:val="000000" w:themeColor="text1"/>
                <w:spacing w:val="-2"/>
                <w:sz w:val="22"/>
                <w:szCs w:val="22"/>
              </w:rPr>
              <w:t> </w:t>
            </w:r>
            <w:r w:rsidR="00B85A65" w:rsidRPr="00154E08">
              <w:rPr>
                <w:rFonts w:eastAsia="Calibri" w:cs="Times New Roman"/>
                <w:color w:val="000000" w:themeColor="text1"/>
                <w:spacing w:val="-2"/>
                <w:sz w:val="22"/>
                <w:szCs w:val="22"/>
              </w:rPr>
              <w:t>energii el</w:t>
            </w:r>
            <w:r w:rsidR="00D828B3" w:rsidRPr="00154E08">
              <w:rPr>
                <w:rFonts w:eastAsia="Calibri" w:cs="Times New Roman"/>
                <w:color w:val="000000" w:themeColor="text1"/>
                <w:spacing w:val="-2"/>
                <w:sz w:val="22"/>
                <w:szCs w:val="22"/>
              </w:rPr>
              <w:t>ektrycznej</w:t>
            </w:r>
            <w:r w:rsidR="00B85A65" w:rsidRPr="00154E08">
              <w:rPr>
                <w:rFonts w:eastAsia="Calibri" w:cs="Times New Roman"/>
                <w:color w:val="000000" w:themeColor="text1"/>
                <w:spacing w:val="-2"/>
                <w:sz w:val="22"/>
                <w:szCs w:val="22"/>
              </w:rPr>
              <w:t xml:space="preserve">, </w:t>
            </w:r>
            <w:r w:rsidR="00B904C7" w:rsidRPr="00154E08">
              <w:rPr>
                <w:rFonts w:eastAsia="Calibri" w:cs="Times New Roman"/>
                <w:color w:val="000000" w:themeColor="text1"/>
                <w:spacing w:val="-2"/>
                <w:sz w:val="22"/>
                <w:szCs w:val="22"/>
              </w:rPr>
              <w:t xml:space="preserve">w tym </w:t>
            </w:r>
            <w:r w:rsidR="007F14E4" w:rsidRPr="00154E08">
              <w:rPr>
                <w:rFonts w:eastAsia="Calibri" w:cs="Times New Roman"/>
                <w:color w:val="000000" w:themeColor="text1"/>
                <w:spacing w:val="-2"/>
                <w:sz w:val="22"/>
                <w:szCs w:val="22"/>
              </w:rPr>
              <w:t>zasilane</w:t>
            </w:r>
            <w:r w:rsidR="00B85A65" w:rsidRPr="00154E08">
              <w:rPr>
                <w:rFonts w:eastAsia="Calibri" w:cs="Times New Roman"/>
                <w:color w:val="000000" w:themeColor="text1"/>
                <w:spacing w:val="-2"/>
                <w:sz w:val="22"/>
                <w:szCs w:val="22"/>
              </w:rPr>
              <w:t xml:space="preserve"> z</w:t>
            </w:r>
            <w:r w:rsidR="00A07154" w:rsidRPr="00154E08">
              <w:rPr>
                <w:rFonts w:eastAsia="Calibri" w:cs="Times New Roman"/>
                <w:color w:val="000000" w:themeColor="text1"/>
                <w:spacing w:val="-2"/>
                <w:sz w:val="22"/>
                <w:szCs w:val="22"/>
              </w:rPr>
              <w:t> </w:t>
            </w:r>
            <w:r w:rsidR="00B85A65" w:rsidRPr="00154E08">
              <w:rPr>
                <w:rFonts w:eastAsia="Calibri" w:cs="Times New Roman"/>
                <w:color w:val="000000" w:themeColor="text1"/>
                <w:spacing w:val="-2"/>
                <w:sz w:val="22"/>
                <w:szCs w:val="22"/>
              </w:rPr>
              <w:t xml:space="preserve">intensywnie rozwijanych </w:t>
            </w:r>
            <w:r w:rsidR="00BB4465" w:rsidRPr="00154E08">
              <w:rPr>
                <w:rFonts w:eastAsia="Calibri" w:cs="Times New Roman"/>
                <w:color w:val="000000" w:themeColor="text1"/>
                <w:spacing w:val="-2"/>
                <w:sz w:val="22"/>
                <w:szCs w:val="22"/>
              </w:rPr>
              <w:t xml:space="preserve">i dostępnych </w:t>
            </w:r>
            <w:r w:rsidR="00B85A65" w:rsidRPr="00154E08">
              <w:rPr>
                <w:rFonts w:eastAsia="Calibri" w:cs="Times New Roman"/>
                <w:color w:val="000000" w:themeColor="text1"/>
                <w:spacing w:val="-2"/>
                <w:sz w:val="22"/>
                <w:szCs w:val="22"/>
              </w:rPr>
              <w:t>źródeł OZE</w:t>
            </w:r>
            <w:r w:rsidR="00837D94" w:rsidRPr="00154E08">
              <w:rPr>
                <w:rFonts w:eastAsia="Calibri" w:cs="Times New Roman"/>
                <w:color w:val="000000" w:themeColor="text1"/>
                <w:spacing w:val="-2"/>
                <w:sz w:val="22"/>
                <w:szCs w:val="22"/>
              </w:rPr>
              <w:t>.</w:t>
            </w:r>
            <w:r w:rsidR="00B85A65" w:rsidRPr="00154E08">
              <w:rPr>
                <w:rFonts w:eastAsia="Calibri" w:cs="Times New Roman"/>
                <w:color w:val="000000" w:themeColor="text1"/>
                <w:spacing w:val="-2"/>
                <w:sz w:val="22"/>
                <w:szCs w:val="22"/>
              </w:rPr>
              <w:t xml:space="preserve"> Działania </w:t>
            </w:r>
            <w:r w:rsidR="0044039A" w:rsidRPr="00154E08">
              <w:rPr>
                <w:rFonts w:eastAsia="Calibri" w:cs="Times New Roman"/>
                <w:color w:val="000000" w:themeColor="text1"/>
                <w:spacing w:val="-2"/>
                <w:sz w:val="22"/>
                <w:szCs w:val="22"/>
              </w:rPr>
              <w:t>wpierające</w:t>
            </w:r>
            <w:r w:rsidR="00B85A65" w:rsidRPr="00154E08">
              <w:rPr>
                <w:rFonts w:eastAsia="Calibri" w:cs="Times New Roman"/>
                <w:color w:val="000000" w:themeColor="text1"/>
                <w:spacing w:val="-2"/>
                <w:sz w:val="22"/>
                <w:szCs w:val="22"/>
              </w:rPr>
              <w:t xml:space="preserve"> wymian</w:t>
            </w:r>
            <w:r w:rsidR="00700A1E" w:rsidRPr="00154E08">
              <w:rPr>
                <w:rFonts w:eastAsia="Calibri" w:cs="Times New Roman"/>
                <w:color w:val="000000" w:themeColor="text1"/>
                <w:spacing w:val="-2"/>
                <w:sz w:val="22"/>
                <w:szCs w:val="22"/>
              </w:rPr>
              <w:t>ę</w:t>
            </w:r>
            <w:r w:rsidR="00B85A65" w:rsidRPr="00154E08">
              <w:rPr>
                <w:rFonts w:eastAsia="Calibri" w:cs="Times New Roman"/>
                <w:color w:val="000000" w:themeColor="text1"/>
                <w:spacing w:val="-2"/>
                <w:sz w:val="22"/>
                <w:szCs w:val="22"/>
              </w:rPr>
              <w:t xml:space="preserve"> floty </w:t>
            </w:r>
            <w:r w:rsidR="003C4D8A" w:rsidRPr="00154E08">
              <w:rPr>
                <w:rFonts w:eastAsia="Calibri" w:cs="Times New Roman"/>
                <w:color w:val="000000" w:themeColor="text1"/>
                <w:spacing w:val="-2"/>
                <w:sz w:val="22"/>
                <w:szCs w:val="22"/>
              </w:rPr>
              <w:t>to między innymi</w:t>
            </w:r>
            <w:r w:rsidR="00B85A65" w:rsidRPr="00154E08">
              <w:rPr>
                <w:rFonts w:eastAsia="Calibri" w:cs="Times New Roman"/>
                <w:color w:val="000000" w:themeColor="text1"/>
                <w:spacing w:val="-2"/>
                <w:sz w:val="22"/>
                <w:szCs w:val="22"/>
              </w:rPr>
              <w:t xml:space="preserve"> rozbudow</w:t>
            </w:r>
            <w:r w:rsidR="003C4D8A" w:rsidRPr="00154E08">
              <w:rPr>
                <w:rFonts w:eastAsia="Calibri" w:cs="Times New Roman"/>
                <w:color w:val="000000" w:themeColor="text1"/>
                <w:spacing w:val="-2"/>
                <w:sz w:val="22"/>
                <w:szCs w:val="22"/>
              </w:rPr>
              <w:t>a</w:t>
            </w:r>
            <w:r w:rsidR="00B85A65" w:rsidRPr="00154E08">
              <w:rPr>
                <w:rFonts w:eastAsia="Calibri" w:cs="Times New Roman"/>
                <w:color w:val="000000" w:themeColor="text1"/>
                <w:spacing w:val="-2"/>
                <w:sz w:val="22"/>
                <w:szCs w:val="22"/>
              </w:rPr>
              <w:t xml:space="preserve"> </w:t>
            </w:r>
            <w:r w:rsidR="00EB0BF1" w:rsidRPr="00154E08">
              <w:rPr>
                <w:rFonts w:eastAsia="Calibri" w:cs="Times New Roman"/>
                <w:color w:val="000000" w:themeColor="text1"/>
                <w:spacing w:val="-2"/>
                <w:sz w:val="22"/>
                <w:szCs w:val="22"/>
              </w:rPr>
              <w:t xml:space="preserve">inteligentnej </w:t>
            </w:r>
            <w:r w:rsidR="00B85A65" w:rsidRPr="00154E08">
              <w:rPr>
                <w:rFonts w:eastAsia="Calibri" w:cs="Times New Roman"/>
                <w:color w:val="000000" w:themeColor="text1"/>
                <w:spacing w:val="-2"/>
                <w:sz w:val="22"/>
                <w:szCs w:val="22"/>
              </w:rPr>
              <w:t>infrastruktury do ładowania samochodów elektrycznych: publiczne i</w:t>
            </w:r>
            <w:r w:rsidR="007D0AD5" w:rsidRPr="00154E08">
              <w:rPr>
                <w:rFonts w:eastAsia="Calibri" w:cs="Times New Roman"/>
                <w:color w:val="000000" w:themeColor="text1"/>
                <w:spacing w:val="-2"/>
                <w:sz w:val="22"/>
                <w:szCs w:val="22"/>
              </w:rPr>
              <w:t> </w:t>
            </w:r>
            <w:r w:rsidR="00B85A65" w:rsidRPr="00154E08">
              <w:rPr>
                <w:rFonts w:eastAsia="Calibri" w:cs="Times New Roman"/>
                <w:color w:val="000000" w:themeColor="text1"/>
                <w:spacing w:val="-2"/>
                <w:sz w:val="22"/>
                <w:szCs w:val="22"/>
              </w:rPr>
              <w:t>prywatn</w:t>
            </w:r>
            <w:r w:rsidR="00EB0BF1" w:rsidRPr="00154E08">
              <w:rPr>
                <w:rFonts w:eastAsia="Calibri" w:cs="Times New Roman"/>
                <w:color w:val="000000" w:themeColor="text1"/>
                <w:spacing w:val="-2"/>
                <w:sz w:val="22"/>
                <w:szCs w:val="22"/>
              </w:rPr>
              <w:t>e</w:t>
            </w:r>
            <w:r w:rsidR="00B85A65" w:rsidRPr="00154E08">
              <w:rPr>
                <w:rFonts w:eastAsia="Calibri" w:cs="Times New Roman"/>
                <w:color w:val="000000" w:themeColor="text1"/>
                <w:spacing w:val="-2"/>
                <w:sz w:val="22"/>
                <w:szCs w:val="22"/>
              </w:rPr>
              <w:t xml:space="preserve"> </w:t>
            </w:r>
            <w:r w:rsidR="00F316CC" w:rsidRPr="00154E08">
              <w:rPr>
                <w:rFonts w:eastAsia="Calibri" w:cs="Times New Roman"/>
                <w:color w:val="000000" w:themeColor="text1"/>
                <w:spacing w:val="-2"/>
                <w:sz w:val="22"/>
                <w:szCs w:val="22"/>
              </w:rPr>
              <w:t>stacj</w:t>
            </w:r>
            <w:r w:rsidR="00CD1638" w:rsidRPr="00154E08">
              <w:rPr>
                <w:rFonts w:eastAsia="Calibri" w:cs="Times New Roman"/>
                <w:color w:val="000000" w:themeColor="text1"/>
                <w:spacing w:val="-2"/>
                <w:sz w:val="22"/>
                <w:szCs w:val="22"/>
              </w:rPr>
              <w:t>e</w:t>
            </w:r>
            <w:r w:rsidR="00B85A65" w:rsidRPr="00154E08">
              <w:rPr>
                <w:rFonts w:eastAsia="Calibri" w:cs="Times New Roman"/>
                <w:color w:val="000000" w:themeColor="text1"/>
                <w:spacing w:val="-2"/>
                <w:sz w:val="22"/>
                <w:szCs w:val="22"/>
              </w:rPr>
              <w:t xml:space="preserve"> </w:t>
            </w:r>
            <w:r w:rsidR="00BB4465" w:rsidRPr="00154E08">
              <w:rPr>
                <w:rFonts w:eastAsia="Calibri" w:cs="Times New Roman"/>
                <w:color w:val="000000" w:themeColor="text1"/>
                <w:spacing w:val="-2"/>
                <w:sz w:val="22"/>
                <w:szCs w:val="22"/>
              </w:rPr>
              <w:t xml:space="preserve">tzw. </w:t>
            </w:r>
            <w:r w:rsidR="00B85A65" w:rsidRPr="00154E08">
              <w:rPr>
                <w:rFonts w:eastAsia="Calibri" w:cs="Times New Roman"/>
                <w:color w:val="000000" w:themeColor="text1"/>
                <w:spacing w:val="-2"/>
                <w:sz w:val="22"/>
                <w:szCs w:val="22"/>
              </w:rPr>
              <w:t>„</w:t>
            </w:r>
            <w:r w:rsidR="00622350" w:rsidRPr="00154E08">
              <w:rPr>
                <w:rFonts w:eastAsia="Calibri" w:cs="Times New Roman"/>
                <w:color w:val="000000" w:themeColor="text1"/>
                <w:spacing w:val="-2"/>
                <w:sz w:val="22"/>
                <w:szCs w:val="22"/>
              </w:rPr>
              <w:t xml:space="preserve">smart </w:t>
            </w:r>
            <w:proofErr w:type="spellStart"/>
            <w:r w:rsidR="00B85A65" w:rsidRPr="00154E08">
              <w:rPr>
                <w:rFonts w:eastAsia="Calibri" w:cs="Times New Roman"/>
                <w:color w:val="000000" w:themeColor="text1"/>
                <w:spacing w:val="-2"/>
                <w:sz w:val="22"/>
                <w:szCs w:val="22"/>
              </w:rPr>
              <w:t>wallbox</w:t>
            </w:r>
            <w:proofErr w:type="spellEnd"/>
            <w:r w:rsidR="00A07154" w:rsidRPr="00154E08">
              <w:rPr>
                <w:rFonts w:eastAsia="Calibri" w:cs="Times New Roman"/>
                <w:color w:val="000000" w:themeColor="text1"/>
                <w:spacing w:val="-2"/>
                <w:sz w:val="22"/>
                <w:szCs w:val="22"/>
              </w:rPr>
              <w:t xml:space="preserve">”. </w:t>
            </w:r>
            <w:r w:rsidR="002D1672" w:rsidRPr="00154E08">
              <w:rPr>
                <w:rFonts w:eastAsia="Calibri" w:cs="Times New Roman"/>
                <w:color w:val="000000" w:themeColor="text1"/>
                <w:spacing w:val="-2"/>
                <w:sz w:val="22"/>
                <w:szCs w:val="22"/>
              </w:rPr>
              <w:t>D</w:t>
            </w:r>
            <w:r w:rsidR="00EA37E1" w:rsidRPr="00154E08">
              <w:rPr>
                <w:rFonts w:eastAsia="Calibri" w:cs="Times New Roman"/>
                <w:color w:val="000000" w:themeColor="text1"/>
                <w:spacing w:val="-2"/>
                <w:sz w:val="22"/>
                <w:szCs w:val="22"/>
              </w:rPr>
              <w:t xml:space="preserve">alszy wzrost </w:t>
            </w:r>
            <w:r w:rsidR="00A07154" w:rsidRPr="00154E08">
              <w:rPr>
                <w:rFonts w:eastAsia="Calibri" w:cs="Times New Roman"/>
                <w:color w:val="000000" w:themeColor="text1"/>
                <w:spacing w:val="-2"/>
                <w:sz w:val="22"/>
                <w:szCs w:val="22"/>
              </w:rPr>
              <w:t>zainteresowani</w:t>
            </w:r>
            <w:r w:rsidR="00B32D34" w:rsidRPr="00154E08">
              <w:rPr>
                <w:rFonts w:eastAsia="Calibri" w:cs="Times New Roman"/>
                <w:color w:val="000000" w:themeColor="text1"/>
                <w:spacing w:val="-2"/>
                <w:sz w:val="22"/>
                <w:szCs w:val="22"/>
              </w:rPr>
              <w:t>a</w:t>
            </w:r>
            <w:r w:rsidR="00A07154" w:rsidRPr="00154E08">
              <w:rPr>
                <w:rFonts w:eastAsia="Calibri" w:cs="Times New Roman"/>
                <w:color w:val="000000" w:themeColor="text1"/>
                <w:spacing w:val="-2"/>
                <w:sz w:val="22"/>
                <w:szCs w:val="22"/>
              </w:rPr>
              <w:t xml:space="preserve"> nabywców </w:t>
            </w:r>
            <w:r w:rsidR="00CA7247" w:rsidRPr="00154E08">
              <w:rPr>
                <w:rFonts w:eastAsia="Calibri" w:cs="Times New Roman"/>
                <w:color w:val="000000" w:themeColor="text1"/>
                <w:spacing w:val="-2"/>
                <w:sz w:val="22"/>
                <w:szCs w:val="22"/>
              </w:rPr>
              <w:t xml:space="preserve">zakupem aut elektrycznych </w:t>
            </w:r>
            <w:r w:rsidR="00A07154" w:rsidRPr="00154E08">
              <w:rPr>
                <w:rFonts w:eastAsia="Calibri" w:cs="Times New Roman"/>
                <w:color w:val="000000" w:themeColor="text1"/>
                <w:spacing w:val="-2"/>
                <w:sz w:val="22"/>
                <w:szCs w:val="22"/>
              </w:rPr>
              <w:t xml:space="preserve">– konsumentów </w:t>
            </w:r>
            <w:r w:rsidR="007D6893" w:rsidRPr="00154E08">
              <w:rPr>
                <w:rFonts w:eastAsia="Calibri" w:cs="Times New Roman"/>
                <w:color w:val="000000" w:themeColor="text1"/>
                <w:spacing w:val="-2"/>
                <w:sz w:val="22"/>
                <w:szCs w:val="22"/>
              </w:rPr>
              <w:t xml:space="preserve">będzie kształtowane przez relację kosztu zakupu i używania pojazdów elektrycznych względem innych odnawialnych alternatyw. </w:t>
            </w:r>
          </w:p>
          <w:p w14:paraId="24E4FB10" w14:textId="7668A140" w:rsidR="00EA5753" w:rsidRPr="00154E08" w:rsidRDefault="007D6893" w:rsidP="00B279FD">
            <w:pPr>
              <w:spacing w:after="120" w:line="240" w:lineRule="auto"/>
              <w:jc w:val="both"/>
              <w:rPr>
                <w:rFonts w:eastAsia="Calibri" w:cs="Times New Roman"/>
                <w:b/>
                <w:bCs/>
                <w:color w:val="000000" w:themeColor="text1"/>
                <w:spacing w:val="-2"/>
                <w:sz w:val="22"/>
                <w:szCs w:val="22"/>
              </w:rPr>
            </w:pPr>
            <w:r w:rsidRPr="00154E08">
              <w:rPr>
                <w:rFonts w:eastAsia="Calibri" w:cs="Times New Roman"/>
                <w:color w:val="000000" w:themeColor="text1"/>
                <w:spacing w:val="-2"/>
                <w:sz w:val="22"/>
                <w:szCs w:val="22"/>
                <w:u w:val="single"/>
              </w:rPr>
              <w:t>Wykorzystanie biopaliw w transporcie w państwach UE</w:t>
            </w:r>
          </w:p>
          <w:p w14:paraId="28CCC61D" w14:textId="2EFA0ABC" w:rsidR="004509E5" w:rsidRPr="00154E08" w:rsidRDefault="00817174"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W</w:t>
            </w:r>
            <w:r w:rsidR="00D60C5E" w:rsidRPr="00154E08">
              <w:rPr>
                <w:rFonts w:eastAsia="Calibri" w:cs="Times New Roman"/>
                <w:color w:val="000000" w:themeColor="text1"/>
                <w:spacing w:val="-2"/>
                <w:sz w:val="22"/>
                <w:szCs w:val="22"/>
              </w:rPr>
              <w:t>e Francji</w:t>
            </w:r>
            <w:r w:rsidR="00D828B3" w:rsidRPr="00154E08">
              <w:rPr>
                <w:rFonts w:eastAsia="Calibri" w:cs="Times New Roman"/>
                <w:color w:val="000000" w:themeColor="text1"/>
                <w:spacing w:val="-2"/>
                <w:sz w:val="22"/>
                <w:szCs w:val="22"/>
              </w:rPr>
              <w:t xml:space="preserve">, </w:t>
            </w:r>
            <w:r w:rsidR="00D60C5E" w:rsidRPr="00154E08">
              <w:rPr>
                <w:rFonts w:eastAsia="Calibri" w:cs="Times New Roman"/>
                <w:color w:val="000000" w:themeColor="text1"/>
                <w:spacing w:val="-2"/>
                <w:sz w:val="22"/>
                <w:szCs w:val="22"/>
              </w:rPr>
              <w:t>będącej po USA, Brazylii i Niemczech, czwartym na świecie producentem biopaliw, z</w:t>
            </w:r>
            <w:r w:rsidR="00D828B3" w:rsidRPr="00154E08">
              <w:rPr>
                <w:rFonts w:eastAsia="Calibri" w:cs="Times New Roman"/>
                <w:color w:val="000000" w:themeColor="text1"/>
                <w:spacing w:val="-2"/>
                <w:sz w:val="22"/>
                <w:szCs w:val="22"/>
              </w:rPr>
              <w:t> </w:t>
            </w:r>
            <w:r w:rsidR="00D60C5E" w:rsidRPr="00154E08">
              <w:rPr>
                <w:rFonts w:eastAsia="Calibri" w:cs="Times New Roman"/>
                <w:color w:val="000000" w:themeColor="text1"/>
                <w:spacing w:val="-2"/>
                <w:sz w:val="22"/>
                <w:szCs w:val="22"/>
              </w:rPr>
              <w:t xml:space="preserve">udziałem w światowej </w:t>
            </w:r>
            <w:r w:rsidR="00E759D4" w:rsidRPr="00154E08">
              <w:rPr>
                <w:rFonts w:eastAsia="Calibri" w:cs="Times New Roman"/>
                <w:color w:val="000000" w:themeColor="text1"/>
                <w:spacing w:val="-2"/>
                <w:sz w:val="22"/>
                <w:szCs w:val="22"/>
              </w:rPr>
              <w:t>produkcji ok.</w:t>
            </w:r>
            <w:r w:rsidR="00D60C5E" w:rsidRPr="00154E08">
              <w:rPr>
                <w:rFonts w:eastAsia="Calibri" w:cs="Times New Roman"/>
                <w:color w:val="000000" w:themeColor="text1"/>
                <w:spacing w:val="-2"/>
                <w:sz w:val="22"/>
                <w:szCs w:val="22"/>
              </w:rPr>
              <w:t xml:space="preserve"> 2 mln ton biopaliw rocznie </w:t>
            </w:r>
            <w:r w:rsidR="00684A87" w:rsidRPr="00154E08">
              <w:rPr>
                <w:rFonts w:eastAsia="Calibri" w:cs="Times New Roman"/>
                <w:color w:val="000000" w:themeColor="text1"/>
                <w:spacing w:val="-2"/>
                <w:sz w:val="22"/>
                <w:szCs w:val="22"/>
              </w:rPr>
              <w:t>–</w:t>
            </w:r>
            <w:r w:rsidR="00D60C5E" w:rsidRPr="00154E08">
              <w:rPr>
                <w:rFonts w:eastAsia="Calibri" w:cs="Times New Roman"/>
                <w:color w:val="000000" w:themeColor="text1"/>
                <w:spacing w:val="-2"/>
                <w:sz w:val="22"/>
                <w:szCs w:val="22"/>
              </w:rPr>
              <w:t xml:space="preserve"> powszechnie </w:t>
            </w:r>
            <w:r w:rsidR="00B55AEE" w:rsidRPr="00154E08">
              <w:rPr>
                <w:rFonts w:eastAsia="Calibri" w:cs="Times New Roman"/>
                <w:color w:val="000000" w:themeColor="text1"/>
                <w:spacing w:val="-2"/>
                <w:sz w:val="22"/>
                <w:szCs w:val="22"/>
              </w:rPr>
              <w:t xml:space="preserve">są </w:t>
            </w:r>
            <w:r w:rsidR="00D60C5E" w:rsidRPr="00154E08">
              <w:rPr>
                <w:rFonts w:eastAsia="Calibri" w:cs="Times New Roman"/>
                <w:color w:val="000000" w:themeColor="text1"/>
                <w:spacing w:val="-2"/>
                <w:sz w:val="22"/>
                <w:szCs w:val="22"/>
              </w:rPr>
              <w:t xml:space="preserve">stosowane mniej emisyjne paliwa, </w:t>
            </w:r>
            <w:r w:rsidR="00D828B3" w:rsidRPr="00154E08">
              <w:rPr>
                <w:rFonts w:eastAsia="Calibri" w:cs="Times New Roman"/>
                <w:color w:val="000000" w:themeColor="text1"/>
                <w:spacing w:val="-2"/>
                <w:sz w:val="22"/>
                <w:szCs w:val="22"/>
              </w:rPr>
              <w:t xml:space="preserve">np. </w:t>
            </w:r>
            <w:r w:rsidR="00D60C5E" w:rsidRPr="00154E08">
              <w:rPr>
                <w:rFonts w:eastAsia="Calibri" w:cs="Times New Roman"/>
                <w:color w:val="000000" w:themeColor="text1"/>
                <w:spacing w:val="-2"/>
                <w:sz w:val="22"/>
                <w:szCs w:val="22"/>
              </w:rPr>
              <w:t>w postaci</w:t>
            </w:r>
            <w:r w:rsidR="00A44EF8" w:rsidRPr="00154E08">
              <w:rPr>
                <w:rFonts w:eastAsia="Calibri" w:cs="Times New Roman"/>
                <w:color w:val="000000" w:themeColor="text1"/>
                <w:spacing w:val="-2"/>
                <w:sz w:val="22"/>
                <w:szCs w:val="22"/>
              </w:rPr>
              <w:t xml:space="preserve"> </w:t>
            </w:r>
            <w:proofErr w:type="spellStart"/>
            <w:r w:rsidR="00A44EF8" w:rsidRPr="00154E08">
              <w:rPr>
                <w:rFonts w:eastAsia="Calibri" w:cs="Times New Roman"/>
                <w:color w:val="000000" w:themeColor="text1"/>
                <w:spacing w:val="-2"/>
                <w:sz w:val="22"/>
                <w:szCs w:val="22"/>
              </w:rPr>
              <w:t>blendów</w:t>
            </w:r>
            <w:proofErr w:type="spellEnd"/>
            <w:r w:rsidR="00D60C5E" w:rsidRPr="00154E08">
              <w:rPr>
                <w:rFonts w:eastAsia="Calibri" w:cs="Times New Roman"/>
                <w:color w:val="000000" w:themeColor="text1"/>
                <w:spacing w:val="-2"/>
                <w:sz w:val="22"/>
                <w:szCs w:val="22"/>
              </w:rPr>
              <w:t>: benzyn E5 zawierających do 5% objętości bioetanolu lub 15% ETBE, benzyn E10 zawierających do 10 % objętości etanolu (od 2009 r.) lub 22% ETBE, czy oleju napędowego B7 o zawartości do 7% objętości FAME, B10 o objętości do 10% FAME, a także promowany cenowo super</w:t>
            </w:r>
            <w:r w:rsidR="00684A87" w:rsidRPr="00154E08">
              <w:rPr>
                <w:rFonts w:eastAsia="Calibri" w:cs="Times New Roman"/>
                <w:color w:val="000000" w:themeColor="text1"/>
                <w:spacing w:val="-2"/>
                <w:sz w:val="22"/>
                <w:szCs w:val="22"/>
              </w:rPr>
              <w:t xml:space="preserve"> –</w:t>
            </w:r>
            <w:r w:rsidR="00D60C5E" w:rsidRPr="00154E08">
              <w:rPr>
                <w:rFonts w:eastAsia="Calibri" w:cs="Times New Roman"/>
                <w:color w:val="000000" w:themeColor="text1"/>
                <w:spacing w:val="-2"/>
                <w:sz w:val="22"/>
                <w:szCs w:val="22"/>
              </w:rPr>
              <w:t>etanol E85 zawierający między 65% a 85% etanolu.</w:t>
            </w:r>
            <w:r w:rsidR="00BB4465" w:rsidRPr="00154E08">
              <w:rPr>
                <w:rFonts w:eastAsia="Calibri" w:cs="Times New Roman"/>
                <w:color w:val="000000" w:themeColor="text1"/>
                <w:spacing w:val="-2"/>
                <w:sz w:val="22"/>
                <w:szCs w:val="22"/>
              </w:rPr>
              <w:t xml:space="preserve"> </w:t>
            </w:r>
            <w:r w:rsidR="00D60C5E" w:rsidRPr="00154E08">
              <w:rPr>
                <w:rFonts w:eastAsia="Calibri" w:cs="Times New Roman"/>
                <w:color w:val="000000" w:themeColor="text1"/>
                <w:spacing w:val="-2"/>
                <w:sz w:val="22"/>
                <w:szCs w:val="22"/>
              </w:rPr>
              <w:t>Benzyna E10 jest najczęściej sprzedawanym paliwem na rynku francuskim</w:t>
            </w:r>
            <w:r w:rsidR="00313D0A" w:rsidRPr="00154E08">
              <w:rPr>
                <w:rFonts w:eastAsia="Calibri" w:cs="Times New Roman"/>
                <w:color w:val="000000" w:themeColor="text1"/>
                <w:spacing w:val="-2"/>
                <w:sz w:val="22"/>
                <w:szCs w:val="22"/>
              </w:rPr>
              <w:t xml:space="preserve"> </w:t>
            </w:r>
            <w:r w:rsidR="00D60C5E" w:rsidRPr="00154E08">
              <w:rPr>
                <w:rFonts w:eastAsia="Calibri" w:cs="Times New Roman"/>
                <w:color w:val="000000" w:themeColor="text1"/>
                <w:spacing w:val="-2"/>
                <w:sz w:val="22"/>
                <w:szCs w:val="22"/>
              </w:rPr>
              <w:t>z ok. 50%</w:t>
            </w:r>
            <w:r w:rsidR="00313D0A" w:rsidRPr="00154E08">
              <w:rPr>
                <w:rFonts w:eastAsia="Calibri" w:cs="Times New Roman"/>
                <w:color w:val="000000" w:themeColor="text1"/>
                <w:spacing w:val="-2"/>
                <w:sz w:val="22"/>
                <w:szCs w:val="22"/>
              </w:rPr>
              <w:t xml:space="preserve"> udziałem.</w:t>
            </w:r>
          </w:p>
          <w:p w14:paraId="45C1DCAB" w14:textId="6F086B94" w:rsidR="00867156" w:rsidRPr="00154E08" w:rsidRDefault="00313D0A"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W</w:t>
            </w:r>
            <w:r w:rsidR="00264EB3" w:rsidRPr="00154E08">
              <w:rPr>
                <w:rFonts w:eastAsia="Calibri" w:cs="Times New Roman"/>
                <w:color w:val="000000" w:themeColor="text1"/>
                <w:spacing w:val="-2"/>
                <w:sz w:val="22"/>
                <w:szCs w:val="22"/>
              </w:rPr>
              <w:t xml:space="preserve">edług </w:t>
            </w:r>
            <w:r w:rsidRPr="00154E08">
              <w:rPr>
                <w:rFonts w:eastAsia="Calibri" w:cs="Times New Roman"/>
                <w:color w:val="000000" w:themeColor="text1"/>
                <w:spacing w:val="-2"/>
                <w:sz w:val="22"/>
                <w:szCs w:val="22"/>
              </w:rPr>
              <w:t>prognoz liczba aut we Francji wzrośnie w latach 2020</w:t>
            </w:r>
            <w:r w:rsidR="00684A87" w:rsidRPr="00154E08">
              <w:rPr>
                <w:rFonts w:eastAsia="Calibri" w:cs="Times New Roman"/>
                <w:color w:val="000000" w:themeColor="text1"/>
                <w:spacing w:val="-2"/>
                <w:sz w:val="22"/>
                <w:szCs w:val="22"/>
              </w:rPr>
              <w:t xml:space="preserve"> –</w:t>
            </w:r>
            <w:r w:rsidRPr="00154E08">
              <w:rPr>
                <w:rFonts w:eastAsia="Calibri" w:cs="Times New Roman"/>
                <w:color w:val="000000" w:themeColor="text1"/>
                <w:spacing w:val="-2"/>
                <w:sz w:val="22"/>
                <w:szCs w:val="22"/>
              </w:rPr>
              <w:t>2050 z</w:t>
            </w:r>
            <w:r w:rsidR="00D828B3" w:rsidRPr="00154E08">
              <w:rPr>
                <w:rFonts w:eastAsia="Calibri" w:cs="Times New Roman"/>
                <w:color w:val="000000" w:themeColor="text1"/>
                <w:spacing w:val="-2"/>
                <w:sz w:val="22"/>
                <w:szCs w:val="22"/>
              </w:rPr>
              <w:t> </w:t>
            </w:r>
            <w:r w:rsidRPr="00154E08">
              <w:rPr>
                <w:rFonts w:eastAsia="Calibri" w:cs="Times New Roman"/>
                <w:color w:val="000000" w:themeColor="text1"/>
                <w:spacing w:val="-2"/>
                <w:sz w:val="22"/>
                <w:szCs w:val="22"/>
              </w:rPr>
              <w:t>około 33 milionów do 39 milionów (</w:t>
            </w:r>
            <w:r w:rsidR="007872B3" w:rsidRPr="00154E08">
              <w:rPr>
                <w:rFonts w:eastAsia="Calibri" w:cs="Times New Roman"/>
                <w:color w:val="000000" w:themeColor="text1"/>
                <w:spacing w:val="-2"/>
                <w:sz w:val="22"/>
                <w:szCs w:val="22"/>
              </w:rPr>
              <w:t>dane Departamentu Ropy i Paliw Transportowych)</w:t>
            </w:r>
            <w:r w:rsidR="007872B3" w:rsidRPr="00154E08">
              <w:rPr>
                <w:rFonts w:eastAsia="Calibri" w:cs="Times New Roman"/>
                <w:i/>
                <w:iCs/>
                <w:color w:val="000000" w:themeColor="text1"/>
                <w:spacing w:val="-2"/>
                <w:sz w:val="22"/>
                <w:szCs w:val="22"/>
              </w:rPr>
              <w:t>.</w:t>
            </w:r>
            <w:r w:rsidR="00867156" w:rsidRPr="00154E08">
              <w:rPr>
                <w:rFonts w:eastAsia="Calibri" w:cs="Times New Roman"/>
                <w:color w:val="000000" w:themeColor="text1"/>
                <w:spacing w:val="-2"/>
                <w:sz w:val="22"/>
                <w:szCs w:val="22"/>
              </w:rPr>
              <w:t xml:space="preserve"> Wymiana floty, budowa infrastruktury dla paliw alternatywnych jest procesem obliczonym na lata, natomiast szybk</w:t>
            </w:r>
            <w:r w:rsidR="006D683F" w:rsidRPr="00154E08">
              <w:rPr>
                <w:rFonts w:eastAsia="Calibri" w:cs="Times New Roman"/>
                <w:color w:val="000000" w:themeColor="text1"/>
                <w:spacing w:val="-2"/>
                <w:sz w:val="22"/>
                <w:szCs w:val="22"/>
              </w:rPr>
              <w:t>a</w:t>
            </w:r>
            <w:r w:rsidR="00867156" w:rsidRPr="00154E08">
              <w:rPr>
                <w:rFonts w:eastAsia="Calibri" w:cs="Times New Roman"/>
                <w:color w:val="000000" w:themeColor="text1"/>
                <w:spacing w:val="-2"/>
                <w:sz w:val="22"/>
                <w:szCs w:val="22"/>
              </w:rPr>
              <w:t xml:space="preserve"> </w:t>
            </w:r>
            <w:r w:rsidR="006D683F" w:rsidRPr="00154E08">
              <w:rPr>
                <w:rFonts w:eastAsia="Calibri" w:cs="Times New Roman"/>
                <w:color w:val="000000" w:themeColor="text1"/>
                <w:spacing w:val="-2"/>
                <w:sz w:val="22"/>
                <w:szCs w:val="22"/>
              </w:rPr>
              <w:t xml:space="preserve">redukcja </w:t>
            </w:r>
            <w:r w:rsidR="00867156" w:rsidRPr="00154E08">
              <w:rPr>
                <w:rFonts w:eastAsia="Calibri" w:cs="Times New Roman"/>
                <w:color w:val="000000" w:themeColor="text1"/>
                <w:spacing w:val="-2"/>
                <w:sz w:val="22"/>
                <w:szCs w:val="22"/>
              </w:rPr>
              <w:t>emisji na tak dużych rynkach jest możliwe poprzez masowe stosowanie paliw z podwyższoną zawartością biokomponentów lub zastępowanie paliw tradycyjnych ich odnawialnymi, niskoemisyjnymi odpowiednikami.</w:t>
            </w:r>
          </w:p>
          <w:p w14:paraId="04EA55F5" w14:textId="1375EC95" w:rsidR="00DC43DC" w:rsidRPr="00154E08" w:rsidRDefault="00867156"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u w:val="single"/>
              </w:rPr>
              <w:t xml:space="preserve">Rynek paliwowy Unii Europejskiej </w:t>
            </w:r>
          </w:p>
          <w:p w14:paraId="45E72F7B" w14:textId="1CA12A33" w:rsidR="00D60C5E" w:rsidRPr="00154E08" w:rsidRDefault="00DC43DC"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 xml:space="preserve">Różne modele predykcyjne wskazują, że w perspektywie 2030 r. paliwa oparte o ropę będą jeszcze nadal powszechnie wykorzystywane w Unii Europejskiej, a ich udział będzie stanowił nadal powyżej 83% energii zużywanej w transporcie </w:t>
            </w:r>
            <w:r w:rsidRPr="00154E08">
              <w:rPr>
                <w:rFonts w:eastAsia="Calibri" w:cs="Times New Roman"/>
                <w:spacing w:val="-2"/>
                <w:sz w:val="22"/>
                <w:szCs w:val="22"/>
              </w:rPr>
              <w:t>(</w:t>
            </w:r>
            <w:hyperlink r:id="rId11" w:history="1">
              <w:r w:rsidRPr="00154E08">
                <w:rPr>
                  <w:rStyle w:val="Hipercze"/>
                  <w:rFonts w:cs="Times New Roman"/>
                  <w:sz w:val="22"/>
                  <w:szCs w:val="22"/>
                </w:rPr>
                <w:t>https://www.euractiv.com/section/agriculture-food/news/oil-will-still-drive-europes-cars-by-2030-data-show/</w:t>
              </w:r>
            </w:hyperlink>
            <w:r w:rsidRPr="00154E08">
              <w:rPr>
                <w:rFonts w:eastAsia="Calibri" w:cs="Times New Roman"/>
                <w:spacing w:val="-2"/>
                <w:sz w:val="22"/>
                <w:szCs w:val="22"/>
              </w:rPr>
              <w:t xml:space="preserve">). </w:t>
            </w:r>
          </w:p>
          <w:p w14:paraId="184B2861" w14:textId="55E713F5" w:rsidR="00920D29" w:rsidRPr="00154E08" w:rsidRDefault="00817174"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 xml:space="preserve">W zużyciu </w:t>
            </w:r>
            <w:r w:rsidR="00E31CC6" w:rsidRPr="00154E08">
              <w:rPr>
                <w:rFonts w:eastAsia="Calibri" w:cs="Times New Roman"/>
                <w:color w:val="000000" w:themeColor="text1"/>
                <w:spacing w:val="-2"/>
                <w:sz w:val="22"/>
                <w:szCs w:val="22"/>
              </w:rPr>
              <w:t xml:space="preserve">energii w transporcie </w:t>
            </w:r>
            <w:r w:rsidRPr="00154E08">
              <w:rPr>
                <w:rFonts w:eastAsia="Calibri" w:cs="Times New Roman"/>
                <w:color w:val="000000" w:themeColor="text1"/>
                <w:spacing w:val="-2"/>
                <w:sz w:val="22"/>
                <w:szCs w:val="22"/>
              </w:rPr>
              <w:t>w U</w:t>
            </w:r>
            <w:r w:rsidR="00005589" w:rsidRPr="00154E08">
              <w:rPr>
                <w:rFonts w:eastAsia="Calibri" w:cs="Times New Roman"/>
                <w:color w:val="000000" w:themeColor="text1"/>
                <w:spacing w:val="-2"/>
                <w:sz w:val="22"/>
                <w:szCs w:val="22"/>
              </w:rPr>
              <w:t xml:space="preserve">nii </w:t>
            </w:r>
            <w:r w:rsidRPr="00154E08">
              <w:rPr>
                <w:rFonts w:eastAsia="Calibri" w:cs="Times New Roman"/>
                <w:color w:val="000000" w:themeColor="text1"/>
                <w:spacing w:val="-2"/>
                <w:sz w:val="22"/>
                <w:szCs w:val="22"/>
              </w:rPr>
              <w:t>E</w:t>
            </w:r>
            <w:r w:rsidR="00005589" w:rsidRPr="00154E08">
              <w:rPr>
                <w:rFonts w:eastAsia="Calibri" w:cs="Times New Roman"/>
                <w:color w:val="000000" w:themeColor="text1"/>
                <w:spacing w:val="-2"/>
                <w:sz w:val="22"/>
                <w:szCs w:val="22"/>
              </w:rPr>
              <w:t>uropejskiej</w:t>
            </w:r>
            <w:r w:rsidRPr="00154E08">
              <w:rPr>
                <w:rFonts w:eastAsia="Calibri" w:cs="Times New Roman"/>
                <w:color w:val="000000" w:themeColor="text1"/>
                <w:spacing w:val="-2"/>
                <w:sz w:val="22"/>
                <w:szCs w:val="22"/>
              </w:rPr>
              <w:t xml:space="preserve"> </w:t>
            </w:r>
            <w:r w:rsidR="00BD425A" w:rsidRPr="00154E08">
              <w:rPr>
                <w:rFonts w:eastAsia="Calibri" w:cs="Times New Roman"/>
                <w:color w:val="000000" w:themeColor="text1"/>
                <w:spacing w:val="-2"/>
                <w:sz w:val="22"/>
                <w:szCs w:val="22"/>
              </w:rPr>
              <w:t xml:space="preserve">w 2022 r. </w:t>
            </w:r>
            <w:r w:rsidRPr="00154E08">
              <w:rPr>
                <w:rFonts w:eastAsia="Calibri" w:cs="Times New Roman"/>
                <w:color w:val="000000" w:themeColor="text1"/>
                <w:spacing w:val="-2"/>
                <w:sz w:val="22"/>
                <w:szCs w:val="22"/>
              </w:rPr>
              <w:t>dominował</w:t>
            </w:r>
            <w:r w:rsidR="00E31CC6" w:rsidRPr="00154E08">
              <w:rPr>
                <w:rFonts w:eastAsia="Calibri" w:cs="Times New Roman"/>
                <w:color w:val="000000" w:themeColor="text1"/>
                <w:spacing w:val="-2"/>
                <w:sz w:val="22"/>
                <w:szCs w:val="22"/>
              </w:rPr>
              <w:t>y paliwa kopalne:</w:t>
            </w:r>
            <w:r w:rsidRPr="00154E08">
              <w:rPr>
                <w:rFonts w:eastAsia="Calibri" w:cs="Times New Roman"/>
                <w:color w:val="000000" w:themeColor="text1"/>
                <w:spacing w:val="-2"/>
                <w:sz w:val="22"/>
                <w:szCs w:val="22"/>
              </w:rPr>
              <w:t xml:space="preserve"> olej napędowy (</w:t>
            </w:r>
            <w:r w:rsidR="00E31CC6" w:rsidRPr="00154E08">
              <w:rPr>
                <w:rFonts w:eastAsia="Calibri" w:cs="Times New Roman"/>
                <w:color w:val="000000" w:themeColor="text1"/>
                <w:spacing w:val="-2"/>
                <w:sz w:val="22"/>
                <w:szCs w:val="22"/>
              </w:rPr>
              <w:t xml:space="preserve">diesel: </w:t>
            </w:r>
            <w:r w:rsidRPr="00154E08">
              <w:rPr>
                <w:rFonts w:eastAsia="Calibri" w:cs="Times New Roman"/>
                <w:color w:val="000000" w:themeColor="text1"/>
                <w:spacing w:val="-2"/>
                <w:sz w:val="22"/>
                <w:szCs w:val="22"/>
              </w:rPr>
              <w:t>59,8%; 8</w:t>
            </w:r>
            <w:r w:rsidR="00D828B3" w:rsidRPr="00154E08">
              <w:rPr>
                <w:rFonts w:eastAsia="Calibri" w:cs="Times New Roman"/>
                <w:color w:val="000000" w:themeColor="text1"/>
                <w:spacing w:val="-2"/>
                <w:sz w:val="22"/>
                <w:szCs w:val="22"/>
              </w:rPr>
              <w:t> </w:t>
            </w:r>
            <w:r w:rsidRPr="00154E08">
              <w:rPr>
                <w:rFonts w:eastAsia="Calibri" w:cs="Times New Roman"/>
                <w:color w:val="000000" w:themeColor="text1"/>
                <w:spacing w:val="-2"/>
                <w:sz w:val="22"/>
                <w:szCs w:val="22"/>
              </w:rPr>
              <w:t>386 PJ), kolejno benzyna (</w:t>
            </w:r>
            <w:r w:rsidR="00E31CC6" w:rsidRPr="00154E08">
              <w:rPr>
                <w:rFonts w:eastAsia="Calibri" w:cs="Times New Roman"/>
                <w:color w:val="000000" w:themeColor="text1"/>
                <w:spacing w:val="-2"/>
                <w:sz w:val="22"/>
                <w:szCs w:val="22"/>
              </w:rPr>
              <w:t xml:space="preserve">petrol: </w:t>
            </w:r>
            <w:r w:rsidRPr="00154E08">
              <w:rPr>
                <w:rFonts w:eastAsia="Calibri" w:cs="Times New Roman"/>
                <w:color w:val="000000" w:themeColor="text1"/>
                <w:spacing w:val="-2"/>
                <w:sz w:val="22"/>
                <w:szCs w:val="22"/>
              </w:rPr>
              <w:t>23,3%; 3</w:t>
            </w:r>
            <w:r w:rsidR="00D828B3" w:rsidRPr="00154E08">
              <w:rPr>
                <w:rFonts w:eastAsia="Calibri" w:cs="Times New Roman"/>
                <w:color w:val="000000" w:themeColor="text1"/>
                <w:spacing w:val="-2"/>
                <w:sz w:val="22"/>
                <w:szCs w:val="22"/>
              </w:rPr>
              <w:t xml:space="preserve"> </w:t>
            </w:r>
            <w:r w:rsidRPr="00154E08">
              <w:rPr>
                <w:rFonts w:eastAsia="Calibri" w:cs="Times New Roman"/>
                <w:color w:val="000000" w:themeColor="text1"/>
                <w:spacing w:val="-2"/>
                <w:sz w:val="22"/>
                <w:szCs w:val="22"/>
              </w:rPr>
              <w:t xml:space="preserve">271 PJ) </w:t>
            </w:r>
            <w:r w:rsidRPr="00154E08">
              <w:rPr>
                <w:rFonts w:eastAsia="Calibri" w:cs="Times New Roman"/>
                <w:spacing w:val="-2"/>
                <w:sz w:val="22"/>
                <w:szCs w:val="22"/>
              </w:rPr>
              <w:t xml:space="preserve">i </w:t>
            </w:r>
            <w:r w:rsidR="00E31CC6" w:rsidRPr="00154E08">
              <w:rPr>
                <w:rFonts w:eastAsia="Calibri" w:cs="Times New Roman"/>
                <w:spacing w:val="-2"/>
                <w:sz w:val="22"/>
                <w:szCs w:val="22"/>
              </w:rPr>
              <w:t>lekki olej</w:t>
            </w:r>
            <w:r w:rsidRPr="00154E08">
              <w:rPr>
                <w:rFonts w:eastAsia="Calibri" w:cs="Times New Roman"/>
                <w:spacing w:val="-2"/>
                <w:sz w:val="22"/>
                <w:szCs w:val="22"/>
              </w:rPr>
              <w:t xml:space="preserve"> (</w:t>
            </w:r>
            <w:proofErr w:type="spellStart"/>
            <w:r w:rsidR="00E31CC6" w:rsidRPr="00154E08">
              <w:rPr>
                <w:rFonts w:eastAsia="Calibri" w:cs="Times New Roman"/>
                <w:spacing w:val="-2"/>
                <w:sz w:val="22"/>
                <w:szCs w:val="22"/>
              </w:rPr>
              <w:t>gas</w:t>
            </w:r>
            <w:proofErr w:type="spellEnd"/>
            <w:r w:rsidR="00E31CC6" w:rsidRPr="00154E08">
              <w:rPr>
                <w:rFonts w:eastAsia="Calibri" w:cs="Times New Roman"/>
                <w:spacing w:val="-2"/>
                <w:sz w:val="22"/>
                <w:szCs w:val="22"/>
              </w:rPr>
              <w:t xml:space="preserve"> </w:t>
            </w:r>
            <w:proofErr w:type="spellStart"/>
            <w:r w:rsidR="00E31CC6" w:rsidRPr="00154E08">
              <w:rPr>
                <w:rFonts w:eastAsia="Calibri" w:cs="Times New Roman"/>
                <w:spacing w:val="-2"/>
                <w:sz w:val="22"/>
                <w:szCs w:val="22"/>
              </w:rPr>
              <w:t>oil</w:t>
            </w:r>
            <w:proofErr w:type="spellEnd"/>
            <w:r w:rsidR="00E31CC6" w:rsidRPr="00154E08">
              <w:rPr>
                <w:rFonts w:eastAsia="Calibri" w:cs="Times New Roman"/>
                <w:spacing w:val="-2"/>
                <w:sz w:val="22"/>
                <w:szCs w:val="22"/>
              </w:rPr>
              <w:t xml:space="preserve">: </w:t>
            </w:r>
            <w:r w:rsidRPr="00154E08">
              <w:rPr>
                <w:rFonts w:eastAsia="Calibri" w:cs="Times New Roman"/>
                <w:color w:val="000000" w:themeColor="text1"/>
                <w:spacing w:val="-2"/>
                <w:sz w:val="22"/>
                <w:szCs w:val="22"/>
              </w:rPr>
              <w:t>9,7%; 1 363 PJ)</w:t>
            </w:r>
            <w:r w:rsidR="00E31CC6" w:rsidRPr="00154E08">
              <w:rPr>
                <w:rFonts w:eastAsia="Calibri" w:cs="Times New Roman"/>
                <w:color w:val="000000" w:themeColor="text1"/>
                <w:spacing w:val="-2"/>
                <w:sz w:val="22"/>
                <w:szCs w:val="22"/>
              </w:rPr>
              <w:t>, natomiast s</w:t>
            </w:r>
            <w:r w:rsidRPr="00154E08">
              <w:rPr>
                <w:rFonts w:eastAsia="Calibri" w:cs="Times New Roman"/>
                <w:color w:val="000000" w:themeColor="text1"/>
                <w:spacing w:val="-2"/>
                <w:sz w:val="22"/>
                <w:szCs w:val="22"/>
              </w:rPr>
              <w:t>kroplony gaz ropopochodny</w:t>
            </w:r>
            <w:r w:rsidR="00E31CC6" w:rsidRPr="00154E08">
              <w:rPr>
                <w:rFonts w:eastAsia="Calibri" w:cs="Times New Roman"/>
                <w:color w:val="000000" w:themeColor="text1"/>
                <w:spacing w:val="-2"/>
                <w:sz w:val="22"/>
                <w:szCs w:val="22"/>
              </w:rPr>
              <w:t xml:space="preserve"> (LPG)</w:t>
            </w:r>
            <w:r w:rsidRPr="00154E08">
              <w:rPr>
                <w:rFonts w:eastAsia="Calibri" w:cs="Times New Roman"/>
                <w:color w:val="000000" w:themeColor="text1"/>
                <w:spacing w:val="-2"/>
                <w:sz w:val="22"/>
                <w:szCs w:val="22"/>
              </w:rPr>
              <w:t>, gaz ziemny</w:t>
            </w:r>
            <w:r w:rsidR="00684A87" w:rsidRPr="00154E08">
              <w:rPr>
                <w:rFonts w:eastAsia="Calibri" w:cs="Times New Roman"/>
                <w:color w:val="000000" w:themeColor="text1"/>
                <w:spacing w:val="-2"/>
                <w:sz w:val="22"/>
                <w:szCs w:val="22"/>
              </w:rPr>
              <w:t xml:space="preserve"> –</w:t>
            </w:r>
            <w:r w:rsidR="00A24F4B" w:rsidRPr="00154E08">
              <w:rPr>
                <w:rFonts w:eastAsia="Calibri" w:cs="Times New Roman"/>
                <w:color w:val="000000" w:themeColor="text1"/>
                <w:spacing w:val="-2"/>
                <w:sz w:val="22"/>
                <w:szCs w:val="22"/>
              </w:rPr>
              <w:t xml:space="preserve"> </w:t>
            </w:r>
            <w:r w:rsidRPr="00154E08">
              <w:rPr>
                <w:rFonts w:eastAsia="Calibri" w:cs="Times New Roman"/>
                <w:color w:val="000000" w:themeColor="text1"/>
                <w:spacing w:val="-2"/>
                <w:sz w:val="22"/>
                <w:szCs w:val="22"/>
              </w:rPr>
              <w:t>sprężony</w:t>
            </w:r>
            <w:r w:rsidR="00E31CC6" w:rsidRPr="00154E08">
              <w:rPr>
                <w:rFonts w:eastAsia="Calibri" w:cs="Times New Roman"/>
                <w:color w:val="000000" w:themeColor="text1"/>
                <w:spacing w:val="-2"/>
                <w:sz w:val="22"/>
                <w:szCs w:val="22"/>
              </w:rPr>
              <w:t xml:space="preserve"> (CNG)</w:t>
            </w:r>
            <w:r w:rsidRPr="00154E08">
              <w:rPr>
                <w:rFonts w:eastAsia="Calibri" w:cs="Times New Roman"/>
                <w:color w:val="000000" w:themeColor="text1"/>
                <w:spacing w:val="-2"/>
                <w:sz w:val="22"/>
                <w:szCs w:val="22"/>
              </w:rPr>
              <w:t xml:space="preserve"> </w:t>
            </w:r>
            <w:r w:rsidR="00E31CC6" w:rsidRPr="00154E08">
              <w:rPr>
                <w:rFonts w:eastAsia="Calibri" w:cs="Times New Roman"/>
                <w:color w:val="000000" w:themeColor="text1"/>
                <w:spacing w:val="-2"/>
                <w:sz w:val="22"/>
                <w:szCs w:val="22"/>
              </w:rPr>
              <w:t xml:space="preserve">i skroplony (LNG) </w:t>
            </w:r>
            <w:r w:rsidRPr="00154E08">
              <w:rPr>
                <w:rFonts w:eastAsia="Calibri" w:cs="Times New Roman"/>
                <w:color w:val="000000" w:themeColor="text1"/>
                <w:spacing w:val="-2"/>
                <w:sz w:val="22"/>
                <w:szCs w:val="22"/>
              </w:rPr>
              <w:t>stanowiły łącznie 2% (275 PJ).</w:t>
            </w:r>
            <w:r w:rsidR="00E31CC6" w:rsidRPr="00154E08">
              <w:rPr>
                <w:rFonts w:eastAsia="Calibri" w:cs="Times New Roman"/>
                <w:color w:val="000000" w:themeColor="text1"/>
                <w:spacing w:val="-2"/>
                <w:sz w:val="22"/>
                <w:szCs w:val="22"/>
              </w:rPr>
              <w:t xml:space="preserve"> </w:t>
            </w:r>
          </w:p>
          <w:p w14:paraId="4A8F7088" w14:textId="66427882" w:rsidR="00D828B3" w:rsidRPr="00154E08" w:rsidRDefault="002B4214"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 xml:space="preserve">Duży i utrzymujący się na niektórych rynkach popyt na produkty ropopochodne tj. benzyny, ON, LPG oznacza, że w okresie przejściowym transformacji tj. w okresie wymiany floty pojazdów, </w:t>
            </w:r>
            <w:r w:rsidR="00071CE1" w:rsidRPr="00154E08">
              <w:rPr>
                <w:rFonts w:eastAsia="Calibri" w:cs="Times New Roman"/>
                <w:color w:val="000000" w:themeColor="text1"/>
                <w:spacing w:val="-2"/>
                <w:sz w:val="22"/>
                <w:szCs w:val="22"/>
              </w:rPr>
              <w:t xml:space="preserve">w tym samym czasie w państwach UE-27 należy </w:t>
            </w:r>
            <w:r w:rsidRPr="00154E08">
              <w:rPr>
                <w:rFonts w:eastAsia="Calibri" w:cs="Times New Roman"/>
                <w:color w:val="000000" w:themeColor="text1"/>
                <w:spacing w:val="-2"/>
                <w:sz w:val="22"/>
                <w:szCs w:val="22"/>
              </w:rPr>
              <w:t xml:space="preserve">dostarczać dla transportu jak największe ilości niskoemisyjnych suplementów paliw kopalnych, </w:t>
            </w:r>
            <w:r w:rsidR="00071CE1" w:rsidRPr="00154E08">
              <w:rPr>
                <w:rFonts w:eastAsia="Calibri" w:cs="Times New Roman"/>
                <w:color w:val="000000" w:themeColor="text1"/>
                <w:spacing w:val="-2"/>
                <w:sz w:val="22"/>
                <w:szCs w:val="22"/>
              </w:rPr>
              <w:t>np.</w:t>
            </w:r>
            <w:r w:rsidRPr="00154E08">
              <w:rPr>
                <w:rFonts w:eastAsia="Calibri" w:cs="Times New Roman"/>
                <w:color w:val="000000" w:themeColor="text1"/>
                <w:spacing w:val="-2"/>
                <w:sz w:val="22"/>
                <w:szCs w:val="22"/>
              </w:rPr>
              <w:t> </w:t>
            </w:r>
            <w:r w:rsidR="00071CE1" w:rsidRPr="00154E08">
              <w:rPr>
                <w:rFonts w:eastAsia="Calibri" w:cs="Times New Roman"/>
                <w:color w:val="000000" w:themeColor="text1"/>
                <w:spacing w:val="-2"/>
                <w:sz w:val="22"/>
                <w:szCs w:val="22"/>
              </w:rPr>
              <w:t xml:space="preserve">zaawansowanych </w:t>
            </w:r>
            <w:r w:rsidRPr="00154E08">
              <w:rPr>
                <w:rFonts w:eastAsia="Calibri" w:cs="Times New Roman"/>
                <w:color w:val="000000" w:themeColor="text1"/>
                <w:spacing w:val="-2"/>
                <w:sz w:val="22"/>
                <w:szCs w:val="22"/>
              </w:rPr>
              <w:t>biopaliw</w:t>
            </w:r>
            <w:r w:rsidR="00071CE1" w:rsidRPr="00154E08">
              <w:rPr>
                <w:rFonts w:eastAsia="Calibri" w:cs="Times New Roman"/>
                <w:color w:val="000000" w:themeColor="text1"/>
                <w:spacing w:val="-2"/>
                <w:sz w:val="22"/>
                <w:szCs w:val="22"/>
              </w:rPr>
              <w:t xml:space="preserve"> i</w:t>
            </w:r>
            <w:r w:rsidRPr="00154E08">
              <w:rPr>
                <w:rFonts w:eastAsia="Calibri" w:cs="Times New Roman"/>
                <w:color w:val="000000" w:themeColor="text1"/>
                <w:spacing w:val="-2"/>
                <w:sz w:val="22"/>
                <w:szCs w:val="22"/>
              </w:rPr>
              <w:t xml:space="preserve"> biokomponent</w:t>
            </w:r>
            <w:r w:rsidR="00071CE1" w:rsidRPr="00154E08">
              <w:rPr>
                <w:rFonts w:eastAsia="Calibri" w:cs="Times New Roman"/>
                <w:color w:val="000000" w:themeColor="text1"/>
                <w:spacing w:val="-2"/>
                <w:sz w:val="22"/>
                <w:szCs w:val="22"/>
              </w:rPr>
              <w:t>ów</w:t>
            </w:r>
            <w:r w:rsidRPr="00154E08">
              <w:rPr>
                <w:rFonts w:eastAsia="Calibri" w:cs="Times New Roman"/>
                <w:color w:val="000000" w:themeColor="text1"/>
                <w:spacing w:val="-2"/>
                <w:sz w:val="22"/>
                <w:szCs w:val="22"/>
              </w:rPr>
              <w:t xml:space="preserve"> (estry</w:t>
            </w:r>
            <w:r w:rsidR="00071CE1" w:rsidRPr="00154E08">
              <w:rPr>
                <w:rFonts w:eastAsia="Calibri" w:cs="Times New Roman"/>
                <w:color w:val="000000" w:themeColor="text1"/>
                <w:spacing w:val="-2"/>
                <w:sz w:val="22"/>
                <w:szCs w:val="22"/>
              </w:rPr>
              <w:t xml:space="preserve">, </w:t>
            </w:r>
            <w:r w:rsidRPr="00154E08">
              <w:rPr>
                <w:rFonts w:eastAsia="Calibri" w:cs="Times New Roman"/>
                <w:color w:val="000000" w:themeColor="text1"/>
                <w:spacing w:val="-2"/>
                <w:sz w:val="22"/>
                <w:szCs w:val="22"/>
              </w:rPr>
              <w:t>bioetanol</w:t>
            </w:r>
            <w:r w:rsidR="00071CE1" w:rsidRPr="00154E08">
              <w:rPr>
                <w:rFonts w:eastAsia="Calibri" w:cs="Times New Roman"/>
                <w:color w:val="000000" w:themeColor="text1"/>
                <w:spacing w:val="-2"/>
                <w:sz w:val="22"/>
                <w:szCs w:val="22"/>
              </w:rPr>
              <w:t xml:space="preserve">, HVO, </w:t>
            </w:r>
            <w:proofErr w:type="spellStart"/>
            <w:r w:rsidR="00071CE1" w:rsidRPr="00154E08">
              <w:rPr>
                <w:rFonts w:eastAsia="Calibri" w:cs="Times New Roman"/>
                <w:color w:val="000000" w:themeColor="text1"/>
                <w:spacing w:val="-2"/>
                <w:sz w:val="22"/>
                <w:szCs w:val="22"/>
              </w:rPr>
              <w:t>biometan</w:t>
            </w:r>
            <w:proofErr w:type="spellEnd"/>
            <w:r w:rsidRPr="00154E08">
              <w:rPr>
                <w:rFonts w:eastAsia="Calibri" w:cs="Times New Roman"/>
                <w:color w:val="000000" w:themeColor="text1"/>
                <w:spacing w:val="-2"/>
                <w:sz w:val="22"/>
                <w:szCs w:val="22"/>
              </w:rPr>
              <w:t>).</w:t>
            </w:r>
            <w:r w:rsidR="00071CE1" w:rsidRPr="00154E08">
              <w:rPr>
                <w:rFonts w:eastAsia="Calibri" w:cs="Times New Roman"/>
                <w:color w:val="000000" w:themeColor="text1"/>
                <w:spacing w:val="-2"/>
                <w:sz w:val="22"/>
                <w:szCs w:val="22"/>
              </w:rPr>
              <w:t xml:space="preserve"> Obecnie jednak z</w:t>
            </w:r>
            <w:r w:rsidR="00A24F4B" w:rsidRPr="00154E08">
              <w:rPr>
                <w:rFonts w:eastAsia="Calibri" w:cs="Times New Roman"/>
                <w:color w:val="000000" w:themeColor="text1"/>
                <w:spacing w:val="-2"/>
                <w:sz w:val="22"/>
                <w:szCs w:val="22"/>
              </w:rPr>
              <w:t>użycie biopaliw w państwach członkowskich U</w:t>
            </w:r>
            <w:r w:rsidR="00005589" w:rsidRPr="00154E08">
              <w:rPr>
                <w:rFonts w:eastAsia="Calibri" w:cs="Times New Roman"/>
                <w:color w:val="000000" w:themeColor="text1"/>
                <w:spacing w:val="-2"/>
                <w:sz w:val="22"/>
                <w:szCs w:val="22"/>
              </w:rPr>
              <w:t xml:space="preserve">nii </w:t>
            </w:r>
            <w:r w:rsidR="00A24F4B" w:rsidRPr="00154E08">
              <w:rPr>
                <w:rFonts w:eastAsia="Calibri" w:cs="Times New Roman"/>
                <w:color w:val="000000" w:themeColor="text1"/>
                <w:spacing w:val="-2"/>
                <w:sz w:val="22"/>
                <w:szCs w:val="22"/>
              </w:rPr>
              <w:t>E</w:t>
            </w:r>
            <w:r w:rsidR="00005589" w:rsidRPr="00154E08">
              <w:rPr>
                <w:rFonts w:eastAsia="Calibri" w:cs="Times New Roman"/>
                <w:color w:val="000000" w:themeColor="text1"/>
                <w:spacing w:val="-2"/>
                <w:sz w:val="22"/>
                <w:szCs w:val="22"/>
              </w:rPr>
              <w:t>uropejskiej</w:t>
            </w:r>
            <w:r w:rsidR="00A24F4B" w:rsidRPr="00154E08">
              <w:rPr>
                <w:rFonts w:eastAsia="Calibri" w:cs="Times New Roman"/>
                <w:color w:val="000000" w:themeColor="text1"/>
                <w:spacing w:val="-2"/>
                <w:sz w:val="22"/>
                <w:szCs w:val="22"/>
              </w:rPr>
              <w:t xml:space="preserve"> jest zdominowane przez</w:t>
            </w:r>
            <w:r w:rsidR="00565A91" w:rsidRPr="00154E08">
              <w:rPr>
                <w:rFonts w:eastAsia="Calibri" w:cs="Times New Roman"/>
                <w:color w:val="000000" w:themeColor="text1"/>
                <w:spacing w:val="-2"/>
                <w:sz w:val="22"/>
                <w:szCs w:val="22"/>
              </w:rPr>
              <w:t>:</w:t>
            </w:r>
          </w:p>
          <w:p w14:paraId="04704A91" w14:textId="74AB4172" w:rsidR="00071CE1" w:rsidRPr="00154E08" w:rsidRDefault="00684A87" w:rsidP="00B279FD">
            <w:pPr>
              <w:spacing w:after="120" w:line="240" w:lineRule="auto"/>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 xml:space="preserve"> –</w:t>
            </w:r>
            <w:r w:rsidR="00565A91" w:rsidRPr="00154E08">
              <w:rPr>
                <w:rFonts w:eastAsia="Calibri" w:cs="Times New Roman"/>
                <w:color w:val="000000" w:themeColor="text1"/>
                <w:spacing w:val="-2"/>
                <w:sz w:val="22"/>
                <w:szCs w:val="22"/>
              </w:rPr>
              <w:t xml:space="preserve"> </w:t>
            </w:r>
            <w:r w:rsidR="00A24F4B" w:rsidRPr="00154E08">
              <w:rPr>
                <w:rFonts w:eastAsia="Calibri" w:cs="Times New Roman"/>
                <w:color w:val="000000" w:themeColor="text1"/>
                <w:spacing w:val="-2"/>
                <w:sz w:val="22"/>
                <w:szCs w:val="22"/>
              </w:rPr>
              <w:t>biodiesel</w:t>
            </w:r>
            <w:r w:rsidR="00B55AEE" w:rsidRPr="00154E08">
              <w:rPr>
                <w:rFonts w:eastAsia="Calibri" w:cs="Times New Roman"/>
                <w:color w:val="000000" w:themeColor="text1"/>
                <w:spacing w:val="-2"/>
                <w:sz w:val="22"/>
                <w:szCs w:val="22"/>
              </w:rPr>
              <w:t>,</w:t>
            </w:r>
            <w:r w:rsidR="00A24F4B" w:rsidRPr="00154E08">
              <w:rPr>
                <w:rFonts w:eastAsia="Calibri" w:cs="Times New Roman"/>
                <w:color w:val="000000" w:themeColor="text1"/>
                <w:spacing w:val="-2"/>
                <w:sz w:val="22"/>
                <w:szCs w:val="22"/>
              </w:rPr>
              <w:t xml:space="preserve"> tj. estry metylowe kwasów tłuszczowych (FAME)</w:t>
            </w:r>
            <w:r w:rsidR="00B105D1" w:rsidRPr="00154E08">
              <w:rPr>
                <w:rFonts w:eastAsia="Calibri" w:cs="Times New Roman"/>
                <w:color w:val="000000" w:themeColor="text1"/>
                <w:spacing w:val="-2"/>
                <w:sz w:val="22"/>
                <w:szCs w:val="22"/>
              </w:rPr>
              <w:t>,</w:t>
            </w:r>
            <w:r w:rsidR="00A24F4B" w:rsidRPr="00154E08">
              <w:rPr>
                <w:rFonts w:eastAsia="Calibri" w:cs="Times New Roman"/>
                <w:color w:val="000000" w:themeColor="text1"/>
                <w:spacing w:val="-2"/>
                <w:sz w:val="22"/>
                <w:szCs w:val="22"/>
              </w:rPr>
              <w:t xml:space="preserve"> </w:t>
            </w:r>
          </w:p>
          <w:p w14:paraId="2EA77F7E" w14:textId="28E81901" w:rsidR="00F748D6" w:rsidRPr="00154E08" w:rsidRDefault="00071CE1" w:rsidP="00B279FD">
            <w:pPr>
              <w:spacing w:after="120" w:line="240" w:lineRule="auto"/>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 xml:space="preserve"> </w:t>
            </w:r>
            <w:r w:rsidR="00684A87" w:rsidRPr="00154E08">
              <w:rPr>
                <w:rFonts w:eastAsia="Calibri" w:cs="Times New Roman"/>
                <w:color w:val="000000" w:themeColor="text1"/>
                <w:spacing w:val="-2"/>
                <w:sz w:val="22"/>
                <w:szCs w:val="22"/>
              </w:rPr>
              <w:t>–</w:t>
            </w:r>
            <w:r w:rsidR="00565A91" w:rsidRPr="00154E08">
              <w:rPr>
                <w:rFonts w:eastAsia="Calibri" w:cs="Times New Roman"/>
                <w:color w:val="000000" w:themeColor="text1"/>
                <w:spacing w:val="-2"/>
                <w:sz w:val="22"/>
                <w:szCs w:val="22"/>
              </w:rPr>
              <w:t xml:space="preserve"> </w:t>
            </w:r>
            <w:r w:rsidR="00A24F4B" w:rsidRPr="00154E08">
              <w:rPr>
                <w:rFonts w:eastAsia="Calibri" w:cs="Times New Roman"/>
                <w:color w:val="000000" w:themeColor="text1"/>
                <w:spacing w:val="-2"/>
                <w:sz w:val="22"/>
                <w:szCs w:val="22"/>
              </w:rPr>
              <w:t>kolejno</w:t>
            </w:r>
            <w:r w:rsidR="00565A91" w:rsidRPr="00154E08">
              <w:rPr>
                <w:rFonts w:eastAsia="Calibri" w:cs="Times New Roman"/>
                <w:color w:val="000000" w:themeColor="text1"/>
                <w:spacing w:val="-2"/>
                <w:sz w:val="22"/>
                <w:szCs w:val="22"/>
              </w:rPr>
              <w:t xml:space="preserve"> przez</w:t>
            </w:r>
            <w:r w:rsidR="00A24F4B" w:rsidRPr="00154E08">
              <w:rPr>
                <w:rFonts w:eastAsia="Calibri" w:cs="Times New Roman"/>
                <w:color w:val="000000" w:themeColor="text1"/>
                <w:spacing w:val="-2"/>
                <w:sz w:val="22"/>
                <w:szCs w:val="22"/>
              </w:rPr>
              <w:t xml:space="preserve"> bioetanol</w:t>
            </w:r>
            <w:r w:rsidR="00B105D1" w:rsidRPr="00154E08">
              <w:rPr>
                <w:rFonts w:eastAsia="Calibri" w:cs="Times New Roman"/>
                <w:color w:val="000000" w:themeColor="text1"/>
                <w:spacing w:val="-2"/>
                <w:sz w:val="22"/>
                <w:szCs w:val="22"/>
              </w:rPr>
              <w:t>,</w:t>
            </w:r>
            <w:r w:rsidR="00A24F4B" w:rsidRPr="00154E08">
              <w:rPr>
                <w:rFonts w:eastAsia="Calibri" w:cs="Times New Roman"/>
                <w:color w:val="000000" w:themeColor="text1"/>
                <w:spacing w:val="-2"/>
                <w:sz w:val="22"/>
                <w:szCs w:val="22"/>
              </w:rPr>
              <w:t xml:space="preserve"> </w:t>
            </w:r>
            <w:r w:rsidR="00565A91" w:rsidRPr="00154E08">
              <w:rPr>
                <w:rFonts w:eastAsia="Calibri" w:cs="Times New Roman"/>
                <w:color w:val="000000" w:themeColor="text1"/>
                <w:spacing w:val="-2"/>
                <w:sz w:val="22"/>
                <w:szCs w:val="22"/>
              </w:rPr>
              <w:br/>
            </w:r>
            <w:r w:rsidR="00684A87" w:rsidRPr="00154E08">
              <w:rPr>
                <w:rFonts w:eastAsia="Calibri" w:cs="Times New Roman"/>
                <w:color w:val="000000" w:themeColor="text1"/>
                <w:spacing w:val="-2"/>
                <w:sz w:val="22"/>
                <w:szCs w:val="22"/>
              </w:rPr>
              <w:t xml:space="preserve"> –</w:t>
            </w:r>
            <w:r w:rsidR="00CB33BE" w:rsidRPr="00154E08">
              <w:rPr>
                <w:rFonts w:eastAsia="Calibri" w:cs="Times New Roman"/>
                <w:color w:val="000000" w:themeColor="text1"/>
                <w:spacing w:val="-2"/>
                <w:sz w:val="22"/>
                <w:szCs w:val="22"/>
              </w:rPr>
              <w:t xml:space="preserve"> </w:t>
            </w:r>
            <w:r w:rsidR="00A24F4B" w:rsidRPr="00154E08">
              <w:rPr>
                <w:rFonts w:eastAsia="Calibri" w:cs="Times New Roman"/>
                <w:color w:val="000000" w:themeColor="text1"/>
                <w:spacing w:val="-2"/>
                <w:sz w:val="22"/>
                <w:szCs w:val="22"/>
              </w:rPr>
              <w:t>hydro</w:t>
            </w:r>
            <w:r w:rsidR="00B105D1" w:rsidRPr="00154E08">
              <w:rPr>
                <w:rFonts w:eastAsia="Calibri" w:cs="Times New Roman"/>
                <w:color w:val="000000" w:themeColor="text1"/>
                <w:spacing w:val="-2"/>
                <w:sz w:val="22"/>
                <w:szCs w:val="22"/>
              </w:rPr>
              <w:t>-</w:t>
            </w:r>
            <w:r w:rsidR="00A24F4B" w:rsidRPr="00154E08">
              <w:rPr>
                <w:rFonts w:eastAsia="Calibri" w:cs="Times New Roman"/>
                <w:color w:val="000000" w:themeColor="text1"/>
                <w:spacing w:val="-2"/>
                <w:sz w:val="22"/>
                <w:szCs w:val="22"/>
              </w:rPr>
              <w:t>rafinowany olej roślinny</w:t>
            </w:r>
            <w:r w:rsidR="00B55AEE" w:rsidRPr="00154E08">
              <w:rPr>
                <w:rFonts w:eastAsia="Calibri" w:cs="Times New Roman"/>
                <w:color w:val="000000" w:themeColor="text1"/>
                <w:spacing w:val="-2"/>
                <w:sz w:val="22"/>
                <w:szCs w:val="22"/>
              </w:rPr>
              <w:t>,</w:t>
            </w:r>
            <w:r w:rsidR="00CF293A" w:rsidRPr="00154E08">
              <w:rPr>
                <w:rFonts w:eastAsia="Calibri" w:cs="Times New Roman"/>
                <w:color w:val="000000" w:themeColor="text1"/>
                <w:spacing w:val="-2"/>
                <w:sz w:val="22"/>
                <w:szCs w:val="22"/>
              </w:rPr>
              <w:t xml:space="preserve"> tzw. </w:t>
            </w:r>
            <w:r w:rsidR="00A24F4B" w:rsidRPr="00154E08">
              <w:rPr>
                <w:rFonts w:eastAsia="Calibri" w:cs="Times New Roman"/>
                <w:color w:val="000000" w:themeColor="text1"/>
                <w:spacing w:val="-2"/>
                <w:sz w:val="22"/>
                <w:szCs w:val="22"/>
              </w:rPr>
              <w:t>HVO</w:t>
            </w:r>
            <w:r w:rsidR="00B55AEE" w:rsidRPr="00154E08">
              <w:rPr>
                <w:rFonts w:eastAsia="Calibri" w:cs="Times New Roman"/>
                <w:color w:val="000000" w:themeColor="text1"/>
                <w:spacing w:val="-2"/>
                <w:sz w:val="22"/>
                <w:szCs w:val="22"/>
              </w:rPr>
              <w:t>,</w:t>
            </w:r>
            <w:r w:rsidR="00684A87" w:rsidRPr="00154E08">
              <w:rPr>
                <w:rFonts w:eastAsia="Calibri" w:cs="Times New Roman"/>
                <w:color w:val="000000" w:themeColor="text1"/>
                <w:spacing w:val="-2"/>
                <w:sz w:val="22"/>
                <w:szCs w:val="22"/>
              </w:rPr>
              <w:t xml:space="preserve"> </w:t>
            </w:r>
            <w:r w:rsidR="00CF293A" w:rsidRPr="00154E08">
              <w:rPr>
                <w:rFonts w:eastAsia="Calibri" w:cs="Times New Roman"/>
                <w:color w:val="000000" w:themeColor="text1"/>
                <w:spacing w:val="-2"/>
                <w:sz w:val="22"/>
                <w:szCs w:val="22"/>
              </w:rPr>
              <w:br/>
            </w:r>
            <w:r w:rsidR="00684A87" w:rsidRPr="00154E08">
              <w:rPr>
                <w:rFonts w:eastAsia="Calibri" w:cs="Times New Roman"/>
                <w:color w:val="000000" w:themeColor="text1"/>
                <w:spacing w:val="-2"/>
                <w:sz w:val="22"/>
                <w:szCs w:val="22"/>
              </w:rPr>
              <w:t xml:space="preserve"> –</w:t>
            </w:r>
            <w:r w:rsidR="00CF293A" w:rsidRPr="00154E08">
              <w:rPr>
                <w:rFonts w:eastAsia="Calibri" w:cs="Times New Roman"/>
                <w:color w:val="000000" w:themeColor="text1"/>
                <w:spacing w:val="-2"/>
                <w:sz w:val="22"/>
                <w:szCs w:val="22"/>
              </w:rPr>
              <w:t xml:space="preserve"> </w:t>
            </w:r>
            <w:r w:rsidR="00B32D34" w:rsidRPr="00154E08">
              <w:rPr>
                <w:rFonts w:eastAsia="Calibri" w:cs="Times New Roman"/>
                <w:color w:val="000000" w:themeColor="text1"/>
                <w:spacing w:val="-2"/>
                <w:sz w:val="22"/>
                <w:szCs w:val="22"/>
              </w:rPr>
              <w:t>po</w:t>
            </w:r>
            <w:r w:rsidR="00CF293A" w:rsidRPr="00154E08">
              <w:rPr>
                <w:rFonts w:eastAsia="Calibri" w:cs="Times New Roman"/>
                <w:color w:val="000000" w:themeColor="text1"/>
                <w:spacing w:val="-2"/>
                <w:sz w:val="22"/>
                <w:szCs w:val="22"/>
              </w:rPr>
              <w:t xml:space="preserve">zostałe np. </w:t>
            </w:r>
            <w:proofErr w:type="spellStart"/>
            <w:r w:rsidR="00F27651" w:rsidRPr="00154E08">
              <w:rPr>
                <w:rFonts w:eastAsia="Calibri" w:cs="Times New Roman"/>
                <w:color w:val="000000" w:themeColor="text1"/>
                <w:spacing w:val="-2"/>
                <w:sz w:val="22"/>
                <w:szCs w:val="22"/>
              </w:rPr>
              <w:t>bio</w:t>
            </w:r>
            <w:proofErr w:type="spellEnd"/>
            <w:r w:rsidR="00684A87" w:rsidRPr="00154E08">
              <w:rPr>
                <w:rFonts w:eastAsia="Calibri" w:cs="Times New Roman"/>
                <w:i/>
                <w:iCs/>
                <w:color w:val="000000" w:themeColor="text1"/>
                <w:spacing w:val="-2"/>
                <w:sz w:val="22"/>
                <w:szCs w:val="22"/>
              </w:rPr>
              <w:t xml:space="preserve"> –</w:t>
            </w:r>
            <w:r w:rsidR="006865D8" w:rsidRPr="00154E08">
              <w:rPr>
                <w:rFonts w:eastAsia="Calibri" w:cs="Times New Roman"/>
                <w:i/>
                <w:iCs/>
                <w:color w:val="000000" w:themeColor="text1"/>
                <w:spacing w:val="-2"/>
                <w:sz w:val="22"/>
                <w:szCs w:val="22"/>
              </w:rPr>
              <w:t xml:space="preserve"> </w:t>
            </w:r>
            <w:r w:rsidR="00F27651" w:rsidRPr="00154E08">
              <w:rPr>
                <w:rFonts w:eastAsia="Calibri" w:cs="Times New Roman"/>
                <w:i/>
                <w:iCs/>
                <w:color w:val="000000" w:themeColor="text1"/>
                <w:spacing w:val="-2"/>
                <w:sz w:val="22"/>
                <w:szCs w:val="22"/>
              </w:rPr>
              <w:t>ETBE</w:t>
            </w:r>
            <w:r w:rsidR="00F27651" w:rsidRPr="00154E08">
              <w:rPr>
                <w:rFonts w:eastAsia="Calibri" w:cs="Times New Roman"/>
                <w:color w:val="000000" w:themeColor="text1"/>
                <w:spacing w:val="-2"/>
                <w:sz w:val="22"/>
                <w:szCs w:val="22"/>
              </w:rPr>
              <w:t xml:space="preserve"> (</w:t>
            </w:r>
            <w:r w:rsidR="00CF293A" w:rsidRPr="00154E08">
              <w:rPr>
                <w:rFonts w:eastAsia="Calibri" w:cs="Times New Roman"/>
                <w:color w:val="000000" w:themeColor="text1"/>
                <w:spacing w:val="-2"/>
                <w:sz w:val="22"/>
                <w:szCs w:val="22"/>
              </w:rPr>
              <w:t>e</w:t>
            </w:r>
            <w:r w:rsidR="00A24F4B" w:rsidRPr="00154E08">
              <w:rPr>
                <w:rFonts w:eastAsia="Calibri" w:cs="Times New Roman"/>
                <w:color w:val="000000" w:themeColor="text1"/>
                <w:spacing w:val="-2"/>
                <w:sz w:val="22"/>
                <w:szCs w:val="22"/>
              </w:rPr>
              <w:t xml:space="preserve">ter </w:t>
            </w:r>
            <w:proofErr w:type="spellStart"/>
            <w:r w:rsidR="00A24F4B" w:rsidRPr="00154E08">
              <w:rPr>
                <w:rFonts w:eastAsia="Calibri" w:cs="Times New Roman"/>
                <w:color w:val="000000" w:themeColor="text1"/>
                <w:spacing w:val="-2"/>
                <w:sz w:val="22"/>
                <w:szCs w:val="22"/>
              </w:rPr>
              <w:t>bioetylowo</w:t>
            </w:r>
            <w:proofErr w:type="spellEnd"/>
            <w:r w:rsidR="00684A87" w:rsidRPr="00154E08">
              <w:rPr>
                <w:rFonts w:eastAsia="Calibri" w:cs="Times New Roman"/>
                <w:color w:val="000000" w:themeColor="text1"/>
                <w:spacing w:val="-2"/>
                <w:sz w:val="22"/>
                <w:szCs w:val="22"/>
              </w:rPr>
              <w:t xml:space="preserve"> –</w:t>
            </w:r>
            <w:proofErr w:type="spellStart"/>
            <w:r w:rsidR="00A24F4B" w:rsidRPr="00154E08">
              <w:rPr>
                <w:rFonts w:eastAsia="Calibri" w:cs="Times New Roman"/>
                <w:color w:val="000000" w:themeColor="text1"/>
                <w:spacing w:val="-2"/>
                <w:sz w:val="22"/>
                <w:szCs w:val="22"/>
              </w:rPr>
              <w:t>tert</w:t>
            </w:r>
            <w:proofErr w:type="spellEnd"/>
            <w:r w:rsidR="00684A87" w:rsidRPr="00154E08">
              <w:rPr>
                <w:rFonts w:eastAsia="Calibri" w:cs="Times New Roman"/>
                <w:color w:val="000000" w:themeColor="text1"/>
                <w:spacing w:val="-2"/>
                <w:sz w:val="22"/>
                <w:szCs w:val="22"/>
              </w:rPr>
              <w:t xml:space="preserve"> –</w:t>
            </w:r>
            <w:r w:rsidR="00A24F4B" w:rsidRPr="00154E08">
              <w:rPr>
                <w:rFonts w:eastAsia="Calibri" w:cs="Times New Roman"/>
                <w:color w:val="000000" w:themeColor="text1"/>
                <w:spacing w:val="-2"/>
                <w:sz w:val="22"/>
                <w:szCs w:val="22"/>
              </w:rPr>
              <w:t xml:space="preserve">butylowy) </w:t>
            </w:r>
            <w:r w:rsidRPr="00154E08">
              <w:rPr>
                <w:rFonts w:eastAsia="Calibri" w:cs="Times New Roman"/>
                <w:color w:val="000000" w:themeColor="text1"/>
                <w:spacing w:val="-2"/>
                <w:sz w:val="22"/>
                <w:szCs w:val="22"/>
              </w:rPr>
              <w:t>czy biogaz</w:t>
            </w:r>
            <w:r w:rsidR="00A24F4B" w:rsidRPr="00154E08">
              <w:rPr>
                <w:rFonts w:eastAsia="Calibri" w:cs="Times New Roman"/>
                <w:color w:val="000000" w:themeColor="text1"/>
                <w:spacing w:val="-2"/>
                <w:sz w:val="22"/>
                <w:szCs w:val="22"/>
              </w:rPr>
              <w:t xml:space="preserve">. </w:t>
            </w:r>
          </w:p>
          <w:p w14:paraId="645E1BC1" w14:textId="2B75ACF0" w:rsidR="00524A55" w:rsidRPr="00154E08" w:rsidRDefault="00CF293A" w:rsidP="00B279FD">
            <w:pPr>
              <w:spacing w:after="120" w:line="240" w:lineRule="auto"/>
              <w:jc w:val="both"/>
              <w:rPr>
                <w:rFonts w:cs="Times New Roman"/>
                <w:color w:val="C9211E"/>
                <w:sz w:val="22"/>
                <w:szCs w:val="22"/>
              </w:rPr>
            </w:pPr>
            <w:r w:rsidRPr="00154E08">
              <w:rPr>
                <w:rFonts w:eastAsia="Calibri" w:cs="Times New Roman"/>
                <w:color w:val="000000" w:themeColor="text1"/>
                <w:spacing w:val="-2"/>
                <w:sz w:val="22"/>
                <w:szCs w:val="22"/>
              </w:rPr>
              <w:t>W przypadku biopaliw i biokomponentów fundamentalne znaczenie w odniesieniu do spełnienia wymagań w</w:t>
            </w:r>
            <w:r w:rsidR="007D0AD5" w:rsidRPr="00154E08">
              <w:rPr>
                <w:rFonts w:eastAsia="Calibri" w:cs="Times New Roman"/>
                <w:color w:val="000000" w:themeColor="text1"/>
                <w:spacing w:val="-2"/>
                <w:sz w:val="22"/>
                <w:szCs w:val="22"/>
              </w:rPr>
              <w:t> </w:t>
            </w:r>
            <w:r w:rsidRPr="00154E08">
              <w:rPr>
                <w:rFonts w:eastAsia="Calibri" w:cs="Times New Roman"/>
                <w:color w:val="000000" w:themeColor="text1"/>
                <w:spacing w:val="-2"/>
                <w:sz w:val="22"/>
                <w:szCs w:val="22"/>
              </w:rPr>
              <w:t>zakresie spełniania KZR</w:t>
            </w:r>
            <w:r w:rsidR="00B55AEE" w:rsidRPr="00154E08">
              <w:rPr>
                <w:rFonts w:eastAsia="Calibri" w:cs="Times New Roman"/>
                <w:color w:val="000000" w:themeColor="text1"/>
                <w:spacing w:val="-2"/>
                <w:sz w:val="22"/>
                <w:szCs w:val="22"/>
              </w:rPr>
              <w:t>,</w:t>
            </w:r>
            <w:r w:rsidRPr="00154E08">
              <w:rPr>
                <w:rFonts w:eastAsia="Calibri" w:cs="Times New Roman"/>
                <w:color w:val="000000" w:themeColor="text1"/>
                <w:spacing w:val="-2"/>
                <w:sz w:val="22"/>
                <w:szCs w:val="22"/>
              </w:rPr>
              <w:t xml:space="preserve"> </w:t>
            </w:r>
            <w:r w:rsidR="00C54F94" w:rsidRPr="00154E08">
              <w:rPr>
                <w:rFonts w:eastAsia="Calibri" w:cs="Times New Roman"/>
                <w:color w:val="000000" w:themeColor="text1"/>
                <w:spacing w:val="-2"/>
                <w:sz w:val="22"/>
                <w:szCs w:val="22"/>
              </w:rPr>
              <w:t>ma wykazany</w:t>
            </w:r>
            <w:r w:rsidRPr="00154E08">
              <w:rPr>
                <w:rFonts w:eastAsia="Calibri" w:cs="Times New Roman"/>
                <w:color w:val="000000" w:themeColor="text1"/>
                <w:spacing w:val="-2"/>
                <w:sz w:val="22"/>
                <w:szCs w:val="22"/>
              </w:rPr>
              <w:t xml:space="preserve"> potencjał redukcji emisji </w:t>
            </w:r>
            <w:r w:rsidR="00D828B3" w:rsidRPr="00154E08">
              <w:rPr>
                <w:rFonts w:eastAsia="Calibri" w:cs="Times New Roman"/>
                <w:color w:val="000000" w:themeColor="text1"/>
                <w:spacing w:val="-2"/>
                <w:sz w:val="22"/>
                <w:szCs w:val="22"/>
              </w:rPr>
              <w:t>gazów cieplarnianych (</w:t>
            </w:r>
            <w:r w:rsidRPr="00154E08">
              <w:rPr>
                <w:rFonts w:eastAsia="Calibri" w:cs="Times New Roman"/>
                <w:color w:val="000000" w:themeColor="text1"/>
                <w:spacing w:val="-2"/>
                <w:sz w:val="22"/>
                <w:szCs w:val="22"/>
              </w:rPr>
              <w:t>GHG</w:t>
            </w:r>
            <w:r w:rsidR="00D828B3" w:rsidRPr="00154E08">
              <w:rPr>
                <w:rFonts w:eastAsia="Calibri" w:cs="Times New Roman"/>
                <w:color w:val="000000" w:themeColor="text1"/>
                <w:spacing w:val="-2"/>
                <w:sz w:val="22"/>
                <w:szCs w:val="22"/>
              </w:rPr>
              <w:t>)</w:t>
            </w:r>
            <w:r w:rsidRPr="00154E08">
              <w:rPr>
                <w:rFonts w:eastAsia="Calibri" w:cs="Times New Roman"/>
                <w:color w:val="000000" w:themeColor="text1"/>
                <w:spacing w:val="-2"/>
                <w:sz w:val="22"/>
                <w:szCs w:val="22"/>
              </w:rPr>
              <w:t xml:space="preserve"> – min. 65% (od 2021 r.)</w:t>
            </w:r>
            <w:r w:rsidR="00B55AEE" w:rsidRPr="00154E08">
              <w:rPr>
                <w:rFonts w:eastAsia="Calibri" w:cs="Times New Roman"/>
                <w:color w:val="000000" w:themeColor="text1"/>
                <w:spacing w:val="-2"/>
                <w:sz w:val="22"/>
                <w:szCs w:val="22"/>
              </w:rPr>
              <w:t>,</w:t>
            </w:r>
            <w:r w:rsidRPr="00154E08">
              <w:rPr>
                <w:rFonts w:eastAsia="Calibri" w:cs="Times New Roman"/>
                <w:color w:val="000000" w:themeColor="text1"/>
                <w:spacing w:val="-2"/>
                <w:sz w:val="22"/>
                <w:szCs w:val="22"/>
              </w:rPr>
              <w:t xml:space="preserve"> </w:t>
            </w:r>
            <w:r w:rsidR="00C54F94" w:rsidRPr="00154E08">
              <w:rPr>
                <w:rFonts w:eastAsia="Calibri" w:cs="Times New Roman"/>
                <w:color w:val="000000" w:themeColor="text1"/>
                <w:spacing w:val="-2"/>
                <w:sz w:val="22"/>
                <w:szCs w:val="22"/>
              </w:rPr>
              <w:t xml:space="preserve">który zależy w dużym stopniu od </w:t>
            </w:r>
            <w:r w:rsidR="00641162" w:rsidRPr="00154E08">
              <w:rPr>
                <w:rFonts w:eastAsia="Calibri" w:cs="Times New Roman"/>
                <w:color w:val="000000" w:themeColor="text1"/>
                <w:spacing w:val="-2"/>
                <w:sz w:val="22"/>
                <w:szCs w:val="22"/>
              </w:rPr>
              <w:t xml:space="preserve">surowców użytych do ich wytworzenia. Kwestie te są szczegółowo określone </w:t>
            </w:r>
            <w:r w:rsidR="007E265A" w:rsidRPr="00154E08">
              <w:rPr>
                <w:rFonts w:eastAsia="Calibri" w:cs="Times New Roman"/>
                <w:color w:val="000000" w:themeColor="text1"/>
                <w:spacing w:val="-2"/>
                <w:sz w:val="22"/>
                <w:szCs w:val="22"/>
              </w:rPr>
              <w:t>przepisami</w:t>
            </w:r>
            <w:r w:rsidR="007E265A" w:rsidRPr="00154E08">
              <w:rPr>
                <w:rFonts w:eastAsia="Calibri" w:cs="Times New Roman"/>
                <w:i/>
                <w:iCs/>
                <w:color w:val="000000" w:themeColor="text1"/>
                <w:spacing w:val="-2"/>
                <w:sz w:val="22"/>
                <w:szCs w:val="22"/>
              </w:rPr>
              <w:t xml:space="preserve"> </w:t>
            </w:r>
            <w:r w:rsidR="00B279FD" w:rsidRPr="00154E08">
              <w:rPr>
                <w:rFonts w:eastAsia="Calibri" w:cs="Times New Roman"/>
                <w:color w:val="000000" w:themeColor="text1"/>
                <w:spacing w:val="-2"/>
                <w:sz w:val="22"/>
                <w:szCs w:val="22"/>
              </w:rPr>
              <w:t>d</w:t>
            </w:r>
            <w:r w:rsidR="00017214" w:rsidRPr="00154E08">
              <w:rPr>
                <w:rFonts w:eastAsia="Calibri" w:cs="Times New Roman"/>
                <w:color w:val="000000" w:themeColor="text1"/>
                <w:spacing w:val="-2"/>
                <w:sz w:val="22"/>
                <w:szCs w:val="22"/>
              </w:rPr>
              <w:t>yrektywy Parlamentu Europejskiego i Rady (UE) 2015/1513 z dnia 9</w:t>
            </w:r>
            <w:r w:rsidR="00C54F94" w:rsidRPr="00154E08">
              <w:rPr>
                <w:rFonts w:eastAsia="Calibri" w:cs="Times New Roman"/>
                <w:color w:val="000000" w:themeColor="text1"/>
                <w:spacing w:val="-2"/>
                <w:sz w:val="22"/>
                <w:szCs w:val="22"/>
              </w:rPr>
              <w:t> </w:t>
            </w:r>
            <w:r w:rsidR="00017214" w:rsidRPr="00154E08">
              <w:rPr>
                <w:rFonts w:eastAsia="Calibri" w:cs="Times New Roman"/>
                <w:color w:val="000000" w:themeColor="text1"/>
                <w:spacing w:val="-2"/>
                <w:sz w:val="22"/>
                <w:szCs w:val="22"/>
              </w:rPr>
              <w:t>września 2015 r. zmieniając</w:t>
            </w:r>
            <w:r w:rsidR="00BB139C" w:rsidRPr="00154E08">
              <w:rPr>
                <w:rFonts w:eastAsia="Calibri" w:cs="Times New Roman"/>
                <w:color w:val="000000" w:themeColor="text1"/>
                <w:spacing w:val="-2"/>
                <w:sz w:val="22"/>
                <w:szCs w:val="22"/>
              </w:rPr>
              <w:t>ej</w:t>
            </w:r>
            <w:r w:rsidR="00017214" w:rsidRPr="00154E08">
              <w:rPr>
                <w:rFonts w:eastAsia="Calibri" w:cs="Times New Roman"/>
                <w:color w:val="000000" w:themeColor="text1"/>
                <w:spacing w:val="-2"/>
                <w:sz w:val="22"/>
                <w:szCs w:val="22"/>
              </w:rPr>
              <w:t xml:space="preserve"> dyrektywę 98/70/WE odnoszącą się do jakości benzyny i olejów napędowych oraz zmieniając</w:t>
            </w:r>
            <w:r w:rsidR="00BB139C" w:rsidRPr="00154E08">
              <w:rPr>
                <w:rFonts w:eastAsia="Calibri" w:cs="Times New Roman"/>
                <w:color w:val="000000" w:themeColor="text1"/>
                <w:spacing w:val="-2"/>
                <w:sz w:val="22"/>
                <w:szCs w:val="22"/>
              </w:rPr>
              <w:t>ej</w:t>
            </w:r>
            <w:r w:rsidR="00017214" w:rsidRPr="00154E08">
              <w:rPr>
                <w:rFonts w:eastAsia="Calibri" w:cs="Times New Roman"/>
                <w:color w:val="000000" w:themeColor="text1"/>
                <w:spacing w:val="-2"/>
                <w:sz w:val="22"/>
                <w:szCs w:val="22"/>
              </w:rPr>
              <w:t xml:space="preserve"> dyrektywę 2009/28/WE w</w:t>
            </w:r>
            <w:r w:rsidR="00A60150" w:rsidRPr="00154E08">
              <w:rPr>
                <w:rFonts w:eastAsia="Calibri" w:cs="Times New Roman"/>
                <w:color w:val="000000" w:themeColor="text1"/>
                <w:spacing w:val="-2"/>
                <w:sz w:val="22"/>
                <w:szCs w:val="22"/>
              </w:rPr>
              <w:t> </w:t>
            </w:r>
            <w:r w:rsidR="00017214" w:rsidRPr="00154E08">
              <w:rPr>
                <w:rFonts w:eastAsia="Calibri" w:cs="Times New Roman"/>
                <w:color w:val="000000" w:themeColor="text1"/>
                <w:spacing w:val="-2"/>
                <w:sz w:val="22"/>
                <w:szCs w:val="22"/>
              </w:rPr>
              <w:t>sprawie promowania stosowania energii ze źródeł odnawialnych</w:t>
            </w:r>
            <w:r w:rsidR="00BB139C" w:rsidRPr="00154E08">
              <w:rPr>
                <w:rFonts w:eastAsia="Calibri" w:cs="Times New Roman"/>
                <w:color w:val="000000" w:themeColor="text1"/>
                <w:spacing w:val="-2"/>
                <w:sz w:val="22"/>
                <w:szCs w:val="22"/>
              </w:rPr>
              <w:t xml:space="preserve"> (Dz. Urz. UE L Nr 239 z 15.09.2015, str. 1, z </w:t>
            </w:r>
            <w:proofErr w:type="spellStart"/>
            <w:r w:rsidR="00BB139C" w:rsidRPr="00154E08">
              <w:rPr>
                <w:rFonts w:eastAsia="Calibri" w:cs="Times New Roman"/>
                <w:color w:val="000000" w:themeColor="text1"/>
                <w:spacing w:val="-2"/>
                <w:sz w:val="22"/>
                <w:szCs w:val="22"/>
              </w:rPr>
              <w:t>późn</w:t>
            </w:r>
            <w:proofErr w:type="spellEnd"/>
            <w:r w:rsidR="00BB139C" w:rsidRPr="00154E08">
              <w:rPr>
                <w:rFonts w:eastAsia="Calibri" w:cs="Times New Roman"/>
                <w:color w:val="000000" w:themeColor="text1"/>
                <w:spacing w:val="-2"/>
                <w:sz w:val="22"/>
                <w:szCs w:val="22"/>
              </w:rPr>
              <w:t>. zm.</w:t>
            </w:r>
            <w:r w:rsidR="00017214" w:rsidRPr="00154E08">
              <w:rPr>
                <w:rFonts w:eastAsia="Calibri" w:cs="Times New Roman"/>
                <w:color w:val="000000" w:themeColor="text1"/>
                <w:spacing w:val="-2"/>
                <w:sz w:val="22"/>
                <w:szCs w:val="22"/>
              </w:rPr>
              <w:t>)</w:t>
            </w:r>
            <w:r w:rsidR="00D12AA9" w:rsidRPr="00154E08">
              <w:rPr>
                <w:rFonts w:eastAsia="Calibri" w:cs="Times New Roman"/>
                <w:color w:val="000000" w:themeColor="text1"/>
                <w:spacing w:val="-2"/>
                <w:sz w:val="22"/>
                <w:szCs w:val="22"/>
              </w:rPr>
              <w:t>.</w:t>
            </w:r>
          </w:p>
        </w:tc>
        <w:tc>
          <w:tcPr>
            <w:tcW w:w="1256" w:type="dxa"/>
          </w:tcPr>
          <w:p w14:paraId="095B98DA" w14:textId="77777777" w:rsidR="00250BF6" w:rsidRPr="00154E08" w:rsidRDefault="00250BF6">
            <w:pPr>
              <w:rPr>
                <w:rFonts w:cs="Times New Roman"/>
                <w:sz w:val="22"/>
                <w:szCs w:val="22"/>
              </w:rPr>
            </w:pPr>
          </w:p>
        </w:tc>
      </w:tr>
      <w:tr w:rsidR="00B432CA" w:rsidRPr="00154E08" w14:paraId="6E32D516" w14:textId="77777777" w:rsidTr="3E65ED00">
        <w:trPr>
          <w:trHeight w:val="359"/>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center"/>
          </w:tcPr>
          <w:p w14:paraId="180E26C5" w14:textId="77777777" w:rsidR="00250BF6" w:rsidRPr="00154E08" w:rsidRDefault="00CE3FE5">
            <w:pPr>
              <w:numPr>
                <w:ilvl w:val="0"/>
                <w:numId w:val="1"/>
              </w:numPr>
              <w:spacing w:before="60" w:after="60" w:line="240" w:lineRule="auto"/>
              <w:ind w:left="318" w:hanging="284"/>
              <w:jc w:val="both"/>
              <w:rPr>
                <w:rFonts w:eastAsia="Calibri" w:cs="Times New Roman"/>
                <w:b/>
                <w:color w:val="000000"/>
                <w:sz w:val="22"/>
                <w:szCs w:val="22"/>
              </w:rPr>
            </w:pPr>
            <w:r w:rsidRPr="00154E08">
              <w:rPr>
                <w:rFonts w:eastAsia="Calibri" w:cs="Times New Roman"/>
                <w:b/>
                <w:color w:val="000000"/>
                <w:sz w:val="22"/>
                <w:szCs w:val="22"/>
              </w:rPr>
              <w:lastRenderedPageBreak/>
              <w:t>Podmioty, na które oddziałuje projekt</w:t>
            </w:r>
          </w:p>
        </w:tc>
        <w:tc>
          <w:tcPr>
            <w:tcW w:w="1256" w:type="dxa"/>
          </w:tcPr>
          <w:p w14:paraId="71F20EE8" w14:textId="77777777" w:rsidR="00250BF6" w:rsidRPr="00154E08" w:rsidRDefault="00250BF6">
            <w:pPr>
              <w:rPr>
                <w:rFonts w:cs="Times New Roman"/>
                <w:sz w:val="22"/>
                <w:szCs w:val="22"/>
              </w:rPr>
            </w:pPr>
          </w:p>
        </w:tc>
      </w:tr>
      <w:tr w:rsidR="00390F4D" w:rsidRPr="00154E08" w14:paraId="43EC2D82"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25A21B" w14:textId="77777777" w:rsidR="00250BF6" w:rsidRPr="00154E08" w:rsidRDefault="00CE3FE5">
            <w:pPr>
              <w:spacing w:before="40" w:line="240" w:lineRule="auto"/>
              <w:jc w:val="center"/>
              <w:rPr>
                <w:rFonts w:eastAsia="Calibri" w:cs="Times New Roman"/>
                <w:b/>
                <w:bCs/>
                <w:color w:val="000000"/>
                <w:spacing w:val="-2"/>
                <w:sz w:val="22"/>
                <w:szCs w:val="22"/>
              </w:rPr>
            </w:pPr>
            <w:r w:rsidRPr="00154E08">
              <w:rPr>
                <w:rFonts w:eastAsia="Calibri" w:cs="Times New Roman"/>
                <w:b/>
                <w:bCs/>
                <w:color w:val="000000"/>
                <w:spacing w:val="-2"/>
                <w:sz w:val="22"/>
                <w:szCs w:val="22"/>
              </w:rPr>
              <w:t>Grupa</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C8BC0D" w14:textId="77777777" w:rsidR="00250BF6" w:rsidRPr="00154E08" w:rsidRDefault="00CE3FE5">
            <w:pPr>
              <w:spacing w:before="40" w:line="240" w:lineRule="auto"/>
              <w:jc w:val="center"/>
              <w:rPr>
                <w:rFonts w:eastAsia="Calibri" w:cs="Times New Roman"/>
                <w:b/>
                <w:bCs/>
                <w:color w:val="000000"/>
                <w:spacing w:val="-2"/>
                <w:sz w:val="22"/>
                <w:szCs w:val="22"/>
              </w:rPr>
            </w:pPr>
            <w:r w:rsidRPr="00154E08">
              <w:rPr>
                <w:rFonts w:eastAsia="Calibri" w:cs="Times New Roman"/>
                <w:b/>
                <w:bCs/>
                <w:color w:val="000000"/>
                <w:spacing w:val="-2"/>
                <w:sz w:val="22"/>
                <w:szCs w:val="22"/>
              </w:rPr>
              <w:t>Wielkość</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E31B30" w14:textId="77777777" w:rsidR="00250BF6" w:rsidRPr="00154E08" w:rsidRDefault="00CE3FE5">
            <w:pPr>
              <w:spacing w:before="40" w:line="240" w:lineRule="auto"/>
              <w:jc w:val="center"/>
              <w:rPr>
                <w:rFonts w:eastAsia="Calibri" w:cs="Times New Roman"/>
                <w:b/>
                <w:bCs/>
                <w:color w:val="000000"/>
                <w:spacing w:val="-2"/>
                <w:sz w:val="22"/>
                <w:szCs w:val="22"/>
              </w:rPr>
            </w:pPr>
            <w:r w:rsidRPr="00154E08">
              <w:rPr>
                <w:rFonts w:eastAsia="Calibri" w:cs="Times New Roman"/>
                <w:b/>
                <w:bCs/>
                <w:color w:val="000000"/>
                <w:spacing w:val="-2"/>
                <w:sz w:val="22"/>
                <w:szCs w:val="22"/>
              </w:rPr>
              <w:t xml:space="preserve">Źródło danych </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96B975" w14:textId="77777777" w:rsidR="00250BF6" w:rsidRPr="00154E08" w:rsidRDefault="00CE3FE5">
            <w:pPr>
              <w:spacing w:before="40" w:line="240" w:lineRule="auto"/>
              <w:jc w:val="center"/>
              <w:rPr>
                <w:rFonts w:eastAsia="Calibri" w:cs="Times New Roman"/>
                <w:b/>
                <w:bCs/>
                <w:color w:val="000000"/>
                <w:spacing w:val="-2"/>
                <w:sz w:val="22"/>
                <w:szCs w:val="22"/>
              </w:rPr>
            </w:pPr>
            <w:r w:rsidRPr="00154E08">
              <w:rPr>
                <w:rFonts w:eastAsia="Calibri" w:cs="Times New Roman"/>
                <w:b/>
                <w:bCs/>
                <w:color w:val="000000"/>
                <w:spacing w:val="-2"/>
                <w:sz w:val="22"/>
                <w:szCs w:val="22"/>
              </w:rPr>
              <w:t>Oddziaływanie</w:t>
            </w:r>
          </w:p>
        </w:tc>
        <w:tc>
          <w:tcPr>
            <w:tcW w:w="1256" w:type="dxa"/>
          </w:tcPr>
          <w:p w14:paraId="6455A01C" w14:textId="77777777" w:rsidR="00250BF6" w:rsidRPr="00154E08" w:rsidRDefault="00250BF6">
            <w:pPr>
              <w:rPr>
                <w:rFonts w:cs="Times New Roman"/>
                <w:sz w:val="22"/>
                <w:szCs w:val="22"/>
              </w:rPr>
            </w:pPr>
          </w:p>
        </w:tc>
      </w:tr>
      <w:tr w:rsidR="00390F4D" w:rsidRPr="00154E08" w14:paraId="7C01EE44"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ABE2D" w14:textId="77777777" w:rsidR="00250BF6" w:rsidRPr="00154E08" w:rsidRDefault="00CE3FE5">
            <w:pPr>
              <w:spacing w:line="240" w:lineRule="auto"/>
              <w:rPr>
                <w:rFonts w:eastAsia="Calibri" w:cs="Times New Roman"/>
                <w:color w:val="000000" w:themeColor="text1"/>
                <w:spacing w:val="-2"/>
                <w:sz w:val="20"/>
              </w:rPr>
            </w:pPr>
            <w:r w:rsidRPr="00154E08">
              <w:rPr>
                <w:rFonts w:eastAsia="Calibri" w:cs="Times New Roman"/>
                <w:color w:val="000000" w:themeColor="text1"/>
                <w:sz w:val="20"/>
              </w:rPr>
              <w:t xml:space="preserve">Podmioty realizujące NCW </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7E980C" w14:textId="6990FDFC" w:rsidR="00250BF6" w:rsidRPr="00154E08" w:rsidRDefault="00D91635">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1</w:t>
            </w:r>
            <w:r w:rsidR="009A317F" w:rsidRPr="00154E08">
              <w:rPr>
                <w:rFonts w:eastAsia="Calibri" w:cs="Times New Roman"/>
                <w:color w:val="000000" w:themeColor="text1"/>
                <w:spacing w:val="-2"/>
                <w:sz w:val="20"/>
              </w:rPr>
              <w:t>5</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9BB3B6" w14:textId="013892EE" w:rsidR="00250BF6" w:rsidRPr="00154E08" w:rsidRDefault="00D91635">
            <w:pPr>
              <w:spacing w:line="240" w:lineRule="auto"/>
              <w:rPr>
                <w:rFonts w:eastAsia="Calibri" w:cs="Times New Roman"/>
                <w:color w:val="000000" w:themeColor="text1"/>
                <w:sz w:val="20"/>
              </w:rPr>
            </w:pPr>
            <w:r w:rsidRPr="00154E08">
              <w:rPr>
                <w:rFonts w:eastAsia="Calibri" w:cs="Times New Roman"/>
                <w:color w:val="000000" w:themeColor="text1"/>
                <w:sz w:val="20"/>
              </w:rPr>
              <w:t>Prezes URE</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3C7A2" w14:textId="4A43A468" w:rsidR="00250BF6" w:rsidRPr="00154E08" w:rsidRDefault="00CE3FE5" w:rsidP="00BB3BCA">
            <w:pPr>
              <w:spacing w:before="60" w:line="240" w:lineRule="auto"/>
              <w:contextualSpacing/>
              <w:jc w:val="both"/>
              <w:rPr>
                <w:rFonts w:eastAsia="Calibri" w:cs="Times New Roman"/>
                <w:color w:val="000000" w:themeColor="text1"/>
                <w:spacing w:val="-2"/>
                <w:sz w:val="20"/>
                <w:shd w:val="clear" w:color="auto" w:fill="FFFF00"/>
              </w:rPr>
            </w:pPr>
            <w:r w:rsidRPr="00154E08">
              <w:rPr>
                <w:rFonts w:eastAsia="Calibri" w:cs="Times New Roman"/>
                <w:color w:val="000000" w:themeColor="text1"/>
                <w:spacing w:val="-2"/>
                <w:sz w:val="20"/>
              </w:rPr>
              <w:t>Działalność gospodarcza w zakresie wytwarzania biokomponentów</w:t>
            </w:r>
            <w:r w:rsidR="00557465" w:rsidRPr="00154E08">
              <w:rPr>
                <w:rFonts w:eastAsia="Calibri" w:cs="Times New Roman"/>
                <w:color w:val="000000" w:themeColor="text1"/>
                <w:spacing w:val="-2"/>
                <w:sz w:val="20"/>
              </w:rPr>
              <w:t xml:space="preserve">, </w:t>
            </w:r>
            <w:proofErr w:type="spellStart"/>
            <w:r w:rsidR="00557465" w:rsidRPr="00154E08">
              <w:rPr>
                <w:rFonts w:eastAsia="Calibri" w:cs="Times New Roman"/>
                <w:color w:val="000000" w:themeColor="text1"/>
                <w:spacing w:val="-2"/>
                <w:sz w:val="20"/>
              </w:rPr>
              <w:t>biometanu</w:t>
            </w:r>
            <w:proofErr w:type="spellEnd"/>
            <w:r w:rsidR="00557465" w:rsidRPr="00154E08">
              <w:rPr>
                <w:rFonts w:eastAsia="Calibri" w:cs="Times New Roman"/>
                <w:color w:val="000000" w:themeColor="text1"/>
                <w:spacing w:val="-2"/>
                <w:sz w:val="20"/>
              </w:rPr>
              <w:t>, energii elektryczne</w:t>
            </w:r>
            <w:r w:rsidR="00804B3C" w:rsidRPr="00154E08">
              <w:rPr>
                <w:rFonts w:eastAsia="Calibri" w:cs="Times New Roman"/>
                <w:color w:val="000000" w:themeColor="text1"/>
                <w:spacing w:val="-2"/>
                <w:sz w:val="20"/>
              </w:rPr>
              <w:t xml:space="preserve">j odnawialnej </w:t>
            </w:r>
            <w:r w:rsidRPr="00154E08">
              <w:rPr>
                <w:rFonts w:eastAsia="Calibri" w:cs="Times New Roman"/>
                <w:color w:val="000000" w:themeColor="text1"/>
                <w:spacing w:val="-2"/>
                <w:sz w:val="20"/>
              </w:rPr>
              <w:t>oraz zaliczanie tych</w:t>
            </w:r>
            <w:r w:rsidR="00557465" w:rsidRPr="00154E08">
              <w:rPr>
                <w:rFonts w:eastAsia="Calibri" w:cs="Times New Roman"/>
                <w:color w:val="000000" w:themeColor="text1"/>
                <w:spacing w:val="-2"/>
                <w:sz w:val="20"/>
              </w:rPr>
              <w:t xml:space="preserve"> nośników energii</w:t>
            </w:r>
            <w:r w:rsidRPr="00154E08">
              <w:rPr>
                <w:rFonts w:eastAsia="Calibri" w:cs="Times New Roman"/>
                <w:color w:val="000000" w:themeColor="text1"/>
                <w:spacing w:val="-2"/>
                <w:sz w:val="20"/>
              </w:rPr>
              <w:t xml:space="preserve"> do </w:t>
            </w:r>
            <w:r w:rsidR="00614D31" w:rsidRPr="00154E08">
              <w:rPr>
                <w:rFonts w:eastAsia="Calibri" w:cs="Times New Roman"/>
                <w:color w:val="000000" w:themeColor="text1"/>
                <w:spacing w:val="-2"/>
                <w:sz w:val="20"/>
              </w:rPr>
              <w:t xml:space="preserve">celu </w:t>
            </w:r>
            <w:r w:rsidRPr="00154E08">
              <w:rPr>
                <w:rFonts w:eastAsia="Calibri" w:cs="Times New Roman"/>
                <w:color w:val="000000" w:themeColor="text1"/>
                <w:spacing w:val="-2"/>
                <w:sz w:val="20"/>
              </w:rPr>
              <w:t>NCW</w:t>
            </w:r>
            <w:r w:rsidR="00557465" w:rsidRPr="00154E08">
              <w:rPr>
                <w:rFonts w:eastAsia="Calibri" w:cs="Times New Roman"/>
                <w:color w:val="000000" w:themeColor="text1"/>
                <w:spacing w:val="-2"/>
                <w:sz w:val="20"/>
              </w:rPr>
              <w:t xml:space="preserve"> (</w:t>
            </w:r>
            <w:r w:rsidR="00B53FB2" w:rsidRPr="00154E08">
              <w:rPr>
                <w:rFonts w:eastAsia="Calibri" w:cs="Times New Roman"/>
                <w:color w:val="000000" w:themeColor="text1"/>
                <w:spacing w:val="-2"/>
                <w:sz w:val="20"/>
              </w:rPr>
              <w:t>rozliczanie</w:t>
            </w:r>
            <w:r w:rsidR="00557465" w:rsidRPr="00154E08">
              <w:rPr>
                <w:rFonts w:eastAsia="Calibri" w:cs="Times New Roman"/>
                <w:color w:val="000000" w:themeColor="text1"/>
                <w:spacing w:val="-2"/>
                <w:sz w:val="20"/>
              </w:rPr>
              <w:t xml:space="preserve"> obowiązków NCW możliwy</w:t>
            </w:r>
            <w:r w:rsidR="009D2D12" w:rsidRPr="00154E08">
              <w:rPr>
                <w:rFonts w:eastAsia="Calibri" w:cs="Times New Roman"/>
                <w:color w:val="000000" w:themeColor="text1"/>
                <w:spacing w:val="-2"/>
                <w:sz w:val="20"/>
              </w:rPr>
              <w:t>ch</w:t>
            </w:r>
            <w:r w:rsidR="00557465" w:rsidRPr="00154E08">
              <w:rPr>
                <w:rFonts w:eastAsia="Calibri" w:cs="Times New Roman"/>
                <w:color w:val="000000" w:themeColor="text1"/>
                <w:spacing w:val="-2"/>
                <w:sz w:val="20"/>
              </w:rPr>
              <w:t xml:space="preserve"> do wykonania przez </w:t>
            </w:r>
            <w:hyperlink r:id="rId12">
              <w:r w:rsidR="7150C99C" w:rsidRPr="00154E08">
                <w:rPr>
                  <w:rStyle w:val="Hipercze"/>
                  <w:rFonts w:eastAsia="Calibri" w:cs="Times New Roman"/>
                  <w:color w:val="auto"/>
                  <w:sz w:val="20"/>
                </w:rPr>
                <w:t>zobowiązane podmioty</w:t>
              </w:r>
            </w:hyperlink>
            <w:r w:rsidR="00614D31" w:rsidRPr="00154E08">
              <w:rPr>
                <w:rFonts w:eastAsia="Calibri" w:cs="Times New Roman"/>
                <w:color w:val="000000" w:themeColor="text1"/>
                <w:spacing w:val="-2"/>
                <w:sz w:val="20"/>
              </w:rPr>
              <w:t xml:space="preserve"> paliwowe</w:t>
            </w:r>
            <w:r w:rsidR="00557465" w:rsidRPr="00154E08">
              <w:rPr>
                <w:rFonts w:eastAsia="Calibri" w:cs="Times New Roman"/>
                <w:color w:val="000000" w:themeColor="text1"/>
                <w:spacing w:val="-2"/>
                <w:sz w:val="20"/>
              </w:rPr>
              <w:t>)</w:t>
            </w:r>
          </w:p>
        </w:tc>
        <w:tc>
          <w:tcPr>
            <w:tcW w:w="1256" w:type="dxa"/>
          </w:tcPr>
          <w:p w14:paraId="279E391E" w14:textId="77777777" w:rsidR="00250BF6" w:rsidRPr="00154E08" w:rsidRDefault="00250BF6">
            <w:pPr>
              <w:rPr>
                <w:rFonts w:cs="Times New Roman"/>
              </w:rPr>
            </w:pPr>
          </w:p>
        </w:tc>
      </w:tr>
      <w:tr w:rsidR="00390F4D" w:rsidRPr="00154E08" w14:paraId="3D912A42"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1E93A5" w14:textId="72696769" w:rsidR="00250BF6" w:rsidRPr="00154E08" w:rsidRDefault="00CE3FE5">
            <w:pPr>
              <w:spacing w:line="240" w:lineRule="auto"/>
              <w:rPr>
                <w:rFonts w:eastAsia="Calibri" w:cs="Times New Roman"/>
                <w:color w:val="000000" w:themeColor="text1"/>
                <w:sz w:val="20"/>
              </w:rPr>
            </w:pPr>
            <w:r w:rsidRPr="00154E08">
              <w:rPr>
                <w:rFonts w:eastAsia="Calibri" w:cs="Times New Roman"/>
                <w:color w:val="000000" w:themeColor="text1"/>
                <w:sz w:val="20"/>
              </w:rPr>
              <w:t xml:space="preserve">Wytwórcy </w:t>
            </w:r>
            <w:r w:rsidR="00557465" w:rsidRPr="00154E08">
              <w:rPr>
                <w:rFonts w:eastAsia="Calibri" w:cs="Times New Roman"/>
                <w:color w:val="000000" w:themeColor="text1"/>
                <w:sz w:val="20"/>
              </w:rPr>
              <w:t>b</w:t>
            </w:r>
            <w:r w:rsidRPr="00154E08">
              <w:rPr>
                <w:rFonts w:eastAsia="Calibri" w:cs="Times New Roman"/>
                <w:color w:val="000000" w:themeColor="text1"/>
                <w:sz w:val="20"/>
              </w:rPr>
              <w:t>iokomponentów</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32557" w14:textId="20070C50" w:rsidR="00250BF6" w:rsidRPr="00154E08" w:rsidRDefault="00CE3FE5">
            <w:pPr>
              <w:spacing w:line="240" w:lineRule="auto"/>
              <w:rPr>
                <w:rFonts w:cs="Times New Roman"/>
                <w:color w:val="000000" w:themeColor="text1"/>
                <w:sz w:val="20"/>
              </w:rPr>
            </w:pPr>
            <w:r w:rsidRPr="00154E08">
              <w:rPr>
                <w:rFonts w:cs="Times New Roman"/>
                <w:color w:val="000000" w:themeColor="text1"/>
                <w:sz w:val="20"/>
              </w:rPr>
              <w:t>2</w:t>
            </w:r>
            <w:r w:rsidR="00B53FB2" w:rsidRPr="00154E08">
              <w:rPr>
                <w:rFonts w:cs="Times New Roman"/>
                <w:color w:val="000000" w:themeColor="text1"/>
                <w:sz w:val="20"/>
              </w:rPr>
              <w:t>2</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56EDAB" w14:textId="6F8BC307" w:rsidR="00250BF6" w:rsidRPr="00154E08" w:rsidRDefault="0021514D">
            <w:pPr>
              <w:spacing w:line="240" w:lineRule="auto"/>
              <w:rPr>
                <w:rFonts w:cs="Times New Roman"/>
                <w:color w:val="000000" w:themeColor="text1"/>
              </w:rPr>
            </w:pPr>
            <w:r w:rsidRPr="00154E08">
              <w:rPr>
                <w:rFonts w:eastAsia="Calibri" w:cs="Times New Roman"/>
                <w:color w:val="000000" w:themeColor="text1"/>
                <w:spacing w:val="-2"/>
                <w:sz w:val="20"/>
              </w:rPr>
              <w:t xml:space="preserve">Rejestr wytwórców, KOWR stan na </w:t>
            </w:r>
            <w:r w:rsidR="00B53FB2" w:rsidRPr="00154E08">
              <w:rPr>
                <w:rFonts w:eastAsia="Calibri" w:cs="Times New Roman"/>
                <w:color w:val="000000" w:themeColor="text1"/>
                <w:spacing w:val="-2"/>
                <w:sz w:val="20"/>
              </w:rPr>
              <w:t>30</w:t>
            </w:r>
            <w:r w:rsidRPr="00154E08">
              <w:rPr>
                <w:rFonts w:eastAsia="Calibri" w:cs="Times New Roman"/>
                <w:color w:val="000000" w:themeColor="text1"/>
                <w:spacing w:val="-2"/>
                <w:sz w:val="20"/>
              </w:rPr>
              <w:t>.</w:t>
            </w:r>
            <w:r w:rsidR="00B53FB2" w:rsidRPr="00154E08">
              <w:rPr>
                <w:rFonts w:eastAsia="Calibri" w:cs="Times New Roman"/>
                <w:color w:val="000000" w:themeColor="text1"/>
                <w:spacing w:val="-2"/>
                <w:sz w:val="20"/>
              </w:rPr>
              <w:t>11</w:t>
            </w:r>
            <w:r w:rsidRPr="00154E08">
              <w:rPr>
                <w:rFonts w:eastAsia="Calibri" w:cs="Times New Roman"/>
                <w:color w:val="000000" w:themeColor="text1"/>
                <w:spacing w:val="-2"/>
                <w:sz w:val="20"/>
              </w:rPr>
              <w:t>.202</w:t>
            </w:r>
            <w:r w:rsidR="00B53FB2" w:rsidRPr="00154E08">
              <w:rPr>
                <w:rFonts w:eastAsia="Calibri" w:cs="Times New Roman"/>
                <w:color w:val="000000" w:themeColor="text1"/>
                <w:spacing w:val="-2"/>
                <w:sz w:val="20"/>
              </w:rPr>
              <w:t xml:space="preserve"> </w:t>
            </w:r>
            <w:r w:rsidRPr="00154E08">
              <w:rPr>
                <w:rFonts w:eastAsia="Calibri" w:cs="Times New Roman"/>
                <w:color w:val="000000" w:themeColor="text1"/>
                <w:spacing w:val="-2"/>
                <w:sz w:val="20"/>
              </w:rPr>
              <w:t>3r.</w:t>
            </w:r>
            <w:r w:rsidR="00CE3FE5" w:rsidRPr="00154E08">
              <w:rPr>
                <w:rFonts w:eastAsia="Calibri" w:cs="Times New Roman"/>
                <w:color w:val="000000" w:themeColor="text1"/>
                <w:spacing w:val="-2"/>
                <w:sz w:val="20"/>
              </w:rPr>
              <w:t xml:space="preserve"> </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E8BE92" w14:textId="44C4D34F" w:rsidR="00250BF6" w:rsidRPr="00154E08" w:rsidRDefault="00CE3FE5" w:rsidP="00BB3BCA">
            <w:pPr>
              <w:spacing w:line="240" w:lineRule="auto"/>
              <w:jc w:val="both"/>
              <w:rPr>
                <w:rFonts w:eastAsia="Calibri" w:cs="Times New Roman"/>
                <w:color w:val="000000" w:themeColor="text1"/>
                <w:spacing w:val="-2"/>
                <w:sz w:val="20"/>
              </w:rPr>
            </w:pPr>
            <w:r w:rsidRPr="00154E08">
              <w:rPr>
                <w:rFonts w:eastAsia="Calibri" w:cs="Times New Roman"/>
                <w:color w:val="000000" w:themeColor="text1"/>
                <w:spacing w:val="-2"/>
                <w:sz w:val="20"/>
              </w:rPr>
              <w:t>Określenie obowiązków NCW na poziomie gwarantującym co najmniej dotychczasową konsumpcję biokomponentów</w:t>
            </w:r>
            <w:r w:rsidR="00557465" w:rsidRPr="00154E08">
              <w:rPr>
                <w:rFonts w:eastAsia="Calibri" w:cs="Times New Roman"/>
                <w:color w:val="000000" w:themeColor="text1"/>
                <w:spacing w:val="-2"/>
                <w:sz w:val="20"/>
              </w:rPr>
              <w:t xml:space="preserve"> oraz zaadresowani</w:t>
            </w:r>
            <w:r w:rsidR="00614D31" w:rsidRPr="00154E08">
              <w:rPr>
                <w:rFonts w:eastAsia="Calibri" w:cs="Times New Roman"/>
                <w:color w:val="000000" w:themeColor="text1"/>
                <w:spacing w:val="-2"/>
                <w:sz w:val="20"/>
              </w:rPr>
              <w:t>e</w:t>
            </w:r>
            <w:r w:rsidR="00557465" w:rsidRPr="00154E08">
              <w:rPr>
                <w:rFonts w:eastAsia="Calibri" w:cs="Times New Roman"/>
                <w:color w:val="000000" w:themeColor="text1"/>
                <w:spacing w:val="-2"/>
                <w:sz w:val="20"/>
              </w:rPr>
              <w:t xml:space="preserve"> konieczności stosowania surowców </w:t>
            </w:r>
            <w:r w:rsidR="00B53FB2" w:rsidRPr="00154E08">
              <w:rPr>
                <w:rFonts w:eastAsia="Calibri" w:cs="Times New Roman"/>
                <w:color w:val="000000" w:themeColor="text1"/>
                <w:spacing w:val="-2"/>
                <w:sz w:val="20"/>
              </w:rPr>
              <w:t>z</w:t>
            </w:r>
            <w:r w:rsidR="00557465" w:rsidRPr="00154E08">
              <w:rPr>
                <w:rFonts w:eastAsia="Calibri" w:cs="Times New Roman"/>
                <w:color w:val="000000" w:themeColor="text1"/>
                <w:spacing w:val="-2"/>
                <w:sz w:val="20"/>
              </w:rPr>
              <w:t xml:space="preserve"> </w:t>
            </w:r>
            <w:r w:rsidR="00B55AEE" w:rsidRPr="00154E08">
              <w:rPr>
                <w:rFonts w:eastAsia="Calibri" w:cs="Times New Roman"/>
                <w:color w:val="000000" w:themeColor="text1"/>
                <w:spacing w:val="-2"/>
                <w:sz w:val="20"/>
              </w:rPr>
              <w:t>z</w:t>
            </w:r>
            <w:r w:rsidR="00557465" w:rsidRPr="00154E08">
              <w:rPr>
                <w:rFonts w:eastAsia="Calibri" w:cs="Times New Roman"/>
                <w:color w:val="000000" w:themeColor="text1"/>
                <w:spacing w:val="-2"/>
                <w:sz w:val="20"/>
              </w:rPr>
              <w:t>ałącznik</w:t>
            </w:r>
            <w:r w:rsidR="00B53FB2" w:rsidRPr="00154E08">
              <w:rPr>
                <w:rFonts w:eastAsia="Calibri" w:cs="Times New Roman"/>
                <w:color w:val="000000" w:themeColor="text1"/>
                <w:spacing w:val="-2"/>
                <w:sz w:val="20"/>
              </w:rPr>
              <w:t>a</w:t>
            </w:r>
            <w:r w:rsidR="00557465" w:rsidRPr="00154E08">
              <w:rPr>
                <w:rFonts w:eastAsia="Calibri" w:cs="Times New Roman"/>
                <w:color w:val="000000" w:themeColor="text1"/>
                <w:spacing w:val="-2"/>
                <w:sz w:val="20"/>
              </w:rPr>
              <w:t xml:space="preserve"> </w:t>
            </w:r>
            <w:r w:rsidR="00B55AEE" w:rsidRPr="00154E08">
              <w:rPr>
                <w:rFonts w:eastAsia="Calibri" w:cs="Times New Roman"/>
                <w:color w:val="000000" w:themeColor="text1"/>
                <w:spacing w:val="-2"/>
                <w:sz w:val="20"/>
              </w:rPr>
              <w:t xml:space="preserve">nr </w:t>
            </w:r>
            <w:r w:rsidR="00557465" w:rsidRPr="00154E08">
              <w:rPr>
                <w:rFonts w:eastAsia="Calibri" w:cs="Times New Roman"/>
                <w:color w:val="000000" w:themeColor="text1"/>
                <w:spacing w:val="-2"/>
                <w:sz w:val="20"/>
              </w:rPr>
              <w:t>1</w:t>
            </w:r>
            <w:r w:rsidR="00B55AEE" w:rsidRPr="00154E08">
              <w:rPr>
                <w:rFonts w:eastAsia="Calibri" w:cs="Times New Roman"/>
                <w:color w:val="000000" w:themeColor="text1"/>
                <w:spacing w:val="-2"/>
                <w:sz w:val="20"/>
              </w:rPr>
              <w:t xml:space="preserve"> do</w:t>
            </w:r>
            <w:r w:rsidR="00557465" w:rsidRPr="00154E08">
              <w:rPr>
                <w:rFonts w:eastAsia="Calibri" w:cs="Times New Roman"/>
                <w:color w:val="000000" w:themeColor="text1"/>
                <w:spacing w:val="-2"/>
                <w:sz w:val="20"/>
              </w:rPr>
              <w:t xml:space="preserve"> ustawy, </w:t>
            </w:r>
            <w:r w:rsidR="00614D31" w:rsidRPr="00154E08">
              <w:rPr>
                <w:rFonts w:eastAsia="Calibri" w:cs="Times New Roman"/>
                <w:color w:val="000000" w:themeColor="text1"/>
                <w:spacing w:val="-2"/>
                <w:sz w:val="20"/>
              </w:rPr>
              <w:br/>
            </w:r>
            <w:r w:rsidR="00557465" w:rsidRPr="00154E08">
              <w:rPr>
                <w:rFonts w:eastAsia="Calibri" w:cs="Times New Roman"/>
                <w:color w:val="000000" w:themeColor="text1"/>
                <w:spacing w:val="-2"/>
                <w:sz w:val="20"/>
              </w:rPr>
              <w:t xml:space="preserve">do produkcji biokomponentów zaawansowanych </w:t>
            </w:r>
          </w:p>
        </w:tc>
        <w:tc>
          <w:tcPr>
            <w:tcW w:w="1256" w:type="dxa"/>
          </w:tcPr>
          <w:p w14:paraId="54E3ADD8" w14:textId="77777777" w:rsidR="00250BF6" w:rsidRPr="00154E08" w:rsidRDefault="00250BF6">
            <w:pPr>
              <w:rPr>
                <w:rFonts w:cs="Times New Roman"/>
              </w:rPr>
            </w:pPr>
          </w:p>
        </w:tc>
      </w:tr>
      <w:tr w:rsidR="00390F4D" w:rsidRPr="00154E08" w14:paraId="1D11E948"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0F0A4F" w14:textId="77777777" w:rsidR="0055167C" w:rsidRPr="00154E08" w:rsidRDefault="0055167C" w:rsidP="0055167C">
            <w:pPr>
              <w:spacing w:line="240" w:lineRule="auto"/>
              <w:rPr>
                <w:rFonts w:eastAsia="Calibri" w:cs="Times New Roman"/>
                <w:color w:val="000000" w:themeColor="text1"/>
                <w:sz w:val="20"/>
              </w:rPr>
            </w:pPr>
            <w:r w:rsidRPr="00154E08">
              <w:rPr>
                <w:rFonts w:eastAsia="Calibri" w:cs="Times New Roman"/>
                <w:color w:val="000000" w:themeColor="text1"/>
                <w:sz w:val="20"/>
              </w:rPr>
              <w:lastRenderedPageBreak/>
              <w:t xml:space="preserve">Wytwórcy </w:t>
            </w:r>
            <w:proofErr w:type="spellStart"/>
            <w:r w:rsidRPr="00154E08">
              <w:rPr>
                <w:rFonts w:eastAsia="Calibri" w:cs="Times New Roman"/>
                <w:color w:val="000000" w:themeColor="text1"/>
                <w:sz w:val="20"/>
              </w:rPr>
              <w:t>biometanu</w:t>
            </w:r>
            <w:proofErr w:type="spellEnd"/>
            <w:r w:rsidRPr="00154E08">
              <w:rPr>
                <w:rFonts w:eastAsia="Calibri" w:cs="Times New Roman"/>
                <w:color w:val="000000" w:themeColor="text1"/>
                <w:sz w:val="20"/>
              </w:rPr>
              <w:t xml:space="preserve"> z biogazu lub biogazu rolniczego</w:t>
            </w:r>
            <w:r w:rsidR="00557465" w:rsidRPr="00154E08">
              <w:rPr>
                <w:rFonts w:eastAsia="Calibri" w:cs="Times New Roman"/>
                <w:color w:val="000000" w:themeColor="text1"/>
                <w:sz w:val="20"/>
              </w:rPr>
              <w:t xml:space="preserve"> na cele transportowe</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0B347E" w14:textId="77777777" w:rsidR="0055167C" w:rsidRPr="00154E08" w:rsidRDefault="0055167C" w:rsidP="0055167C">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Nawet kilkaset jednostek wytwórczych</w:t>
            </w:r>
          </w:p>
          <w:p w14:paraId="21E99DAB" w14:textId="77777777" w:rsidR="0055167C" w:rsidRPr="00154E08" w:rsidRDefault="0055167C" w:rsidP="0055167C">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ab/>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525F12" w14:textId="77777777" w:rsidR="0055167C" w:rsidRPr="00154E08" w:rsidRDefault="0055167C" w:rsidP="0055167C">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Własne</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1606FC" w14:textId="4E7E90CF" w:rsidR="0055167C" w:rsidRPr="00154E08" w:rsidRDefault="0055167C" w:rsidP="3E65ED00">
            <w:pPr>
              <w:spacing w:line="240" w:lineRule="auto"/>
              <w:jc w:val="both"/>
              <w:rPr>
                <w:rFonts w:eastAsia="Calibri" w:cs="Times New Roman"/>
                <w:color w:val="000000" w:themeColor="text1"/>
                <w:spacing w:val="-2"/>
                <w:sz w:val="20"/>
              </w:rPr>
            </w:pPr>
            <w:r w:rsidRPr="00154E08">
              <w:rPr>
                <w:rFonts w:eastAsia="Calibri" w:cs="Times New Roman"/>
                <w:color w:val="000000" w:themeColor="text1"/>
                <w:spacing w:val="-2"/>
                <w:sz w:val="20"/>
              </w:rPr>
              <w:t>Działalnoś</w:t>
            </w:r>
            <w:r w:rsidR="004124DA" w:rsidRPr="00154E08">
              <w:rPr>
                <w:rFonts w:eastAsia="Calibri" w:cs="Times New Roman"/>
                <w:color w:val="000000" w:themeColor="text1"/>
                <w:spacing w:val="-2"/>
                <w:sz w:val="20"/>
              </w:rPr>
              <w:t xml:space="preserve">ć </w:t>
            </w:r>
            <w:r w:rsidRPr="00154E08">
              <w:rPr>
                <w:rFonts w:eastAsia="Calibri" w:cs="Times New Roman"/>
                <w:color w:val="000000" w:themeColor="text1"/>
                <w:spacing w:val="-2"/>
                <w:sz w:val="20"/>
              </w:rPr>
              <w:t>gospodarcz</w:t>
            </w:r>
            <w:r w:rsidR="004124DA" w:rsidRPr="00154E08">
              <w:rPr>
                <w:rFonts w:eastAsia="Calibri" w:cs="Times New Roman"/>
                <w:color w:val="000000" w:themeColor="text1"/>
                <w:spacing w:val="-2"/>
                <w:sz w:val="20"/>
              </w:rPr>
              <w:t>a</w:t>
            </w:r>
            <w:r w:rsidRPr="00154E08">
              <w:rPr>
                <w:rFonts w:eastAsia="Calibri" w:cs="Times New Roman"/>
                <w:color w:val="000000" w:themeColor="text1"/>
                <w:spacing w:val="-2"/>
                <w:sz w:val="20"/>
              </w:rPr>
              <w:t xml:space="preserve"> w zakresie wytwarzania </w:t>
            </w:r>
            <w:proofErr w:type="spellStart"/>
            <w:r w:rsidRPr="00154E08">
              <w:rPr>
                <w:rFonts w:eastAsia="Calibri" w:cs="Times New Roman"/>
                <w:color w:val="000000" w:themeColor="text1"/>
                <w:spacing w:val="-2"/>
                <w:sz w:val="20"/>
              </w:rPr>
              <w:t>biometanu</w:t>
            </w:r>
            <w:proofErr w:type="spellEnd"/>
            <w:r w:rsidR="00614D31" w:rsidRPr="00154E08">
              <w:rPr>
                <w:rFonts w:eastAsia="Calibri" w:cs="Times New Roman"/>
                <w:color w:val="000000" w:themeColor="text1"/>
                <w:spacing w:val="-2"/>
                <w:sz w:val="20"/>
              </w:rPr>
              <w:t>,</w:t>
            </w:r>
            <w:r w:rsidR="644D092B" w:rsidRPr="00154E08">
              <w:rPr>
                <w:rFonts w:eastAsia="Calibri" w:cs="Times New Roman"/>
                <w:color w:val="000000" w:themeColor="text1"/>
                <w:spacing w:val="-2"/>
                <w:sz w:val="20"/>
              </w:rPr>
              <w:t xml:space="preserve"> </w:t>
            </w:r>
            <w:r w:rsidR="644D092B" w:rsidRPr="00154E08">
              <w:rPr>
                <w:rFonts w:eastAsia="Calibri" w:cs="Times New Roman"/>
                <w:color w:val="000000" w:themeColor="text1"/>
                <w:sz w:val="20"/>
              </w:rPr>
              <w:t xml:space="preserve">który może być </w:t>
            </w:r>
            <w:r w:rsidR="004124DA" w:rsidRPr="00154E08">
              <w:rPr>
                <w:rFonts w:eastAsia="Calibri" w:cs="Times New Roman"/>
                <w:color w:val="000000" w:themeColor="text1"/>
                <w:spacing w:val="-2"/>
                <w:sz w:val="20"/>
              </w:rPr>
              <w:t>zatłacza</w:t>
            </w:r>
            <w:r w:rsidR="04BF5860" w:rsidRPr="00154E08">
              <w:rPr>
                <w:rFonts w:eastAsia="Calibri" w:cs="Times New Roman"/>
                <w:color w:val="000000" w:themeColor="text1"/>
                <w:spacing w:val="-2"/>
                <w:sz w:val="20"/>
              </w:rPr>
              <w:t>ny</w:t>
            </w:r>
            <w:r w:rsidR="004124DA" w:rsidRPr="00154E08">
              <w:rPr>
                <w:rFonts w:eastAsia="Calibri" w:cs="Times New Roman"/>
                <w:color w:val="000000" w:themeColor="text1"/>
                <w:spacing w:val="-2"/>
                <w:sz w:val="20"/>
              </w:rPr>
              <w:t xml:space="preserve"> do sieci gazowych,</w:t>
            </w:r>
            <w:r w:rsidR="7842BF8A" w:rsidRPr="00154E08">
              <w:rPr>
                <w:rFonts w:eastAsia="Calibri" w:cs="Times New Roman"/>
                <w:color w:val="000000" w:themeColor="text1"/>
                <w:spacing w:val="-2"/>
                <w:sz w:val="20"/>
              </w:rPr>
              <w:t xml:space="preserve"> </w:t>
            </w:r>
            <w:r w:rsidR="00614D31" w:rsidRPr="00154E08">
              <w:rPr>
                <w:rFonts w:eastAsia="Calibri" w:cs="Times New Roman"/>
                <w:color w:val="000000" w:themeColor="text1"/>
                <w:spacing w:val="-2"/>
                <w:sz w:val="20"/>
              </w:rPr>
              <w:br/>
            </w:r>
            <w:r w:rsidR="00B51571" w:rsidRPr="00154E08">
              <w:rPr>
                <w:rFonts w:eastAsia="Calibri" w:cs="Times New Roman"/>
                <w:color w:val="000000" w:themeColor="text1"/>
                <w:spacing w:val="-2"/>
                <w:sz w:val="20"/>
              </w:rPr>
              <w:t xml:space="preserve">dostaw </w:t>
            </w:r>
            <w:r w:rsidR="004124DA" w:rsidRPr="00154E08">
              <w:rPr>
                <w:rFonts w:eastAsia="Calibri" w:cs="Times New Roman"/>
                <w:color w:val="000000" w:themeColor="text1"/>
                <w:spacing w:val="-2"/>
                <w:sz w:val="20"/>
              </w:rPr>
              <w:t>dla odbiorców z</w:t>
            </w:r>
            <w:r w:rsidR="00614D31" w:rsidRPr="00154E08">
              <w:rPr>
                <w:rFonts w:eastAsia="Calibri" w:cs="Times New Roman"/>
                <w:color w:val="000000" w:themeColor="text1"/>
                <w:spacing w:val="-2"/>
                <w:sz w:val="20"/>
              </w:rPr>
              <w:t> </w:t>
            </w:r>
            <w:r w:rsidR="004124DA" w:rsidRPr="00154E08">
              <w:rPr>
                <w:rFonts w:eastAsia="Calibri" w:cs="Times New Roman"/>
                <w:color w:val="000000" w:themeColor="text1"/>
                <w:spacing w:val="-2"/>
                <w:sz w:val="20"/>
              </w:rPr>
              <w:t xml:space="preserve">sektora transportu (rafinerie, </w:t>
            </w:r>
            <w:r w:rsidR="00614D31" w:rsidRPr="00154E08">
              <w:rPr>
                <w:rFonts w:eastAsia="Calibri" w:cs="Times New Roman"/>
                <w:color w:val="000000" w:themeColor="text1"/>
                <w:spacing w:val="-2"/>
                <w:sz w:val="20"/>
              </w:rPr>
              <w:t xml:space="preserve">stacje tankowania </w:t>
            </w:r>
            <w:r w:rsidR="004124DA" w:rsidRPr="00154E08">
              <w:rPr>
                <w:rFonts w:eastAsia="Calibri" w:cs="Times New Roman"/>
                <w:color w:val="000000" w:themeColor="text1"/>
                <w:spacing w:val="-2"/>
                <w:sz w:val="20"/>
              </w:rPr>
              <w:t>CNG</w:t>
            </w:r>
            <w:r w:rsidR="00614D31" w:rsidRPr="00154E08">
              <w:rPr>
                <w:rFonts w:eastAsia="Calibri" w:cs="Times New Roman"/>
                <w:color w:val="000000" w:themeColor="text1"/>
                <w:spacing w:val="-2"/>
                <w:sz w:val="20"/>
              </w:rPr>
              <w:t xml:space="preserve"> lub LNG</w:t>
            </w:r>
            <w:r w:rsidR="004124DA" w:rsidRPr="00154E08">
              <w:rPr>
                <w:rFonts w:eastAsia="Calibri" w:cs="Times New Roman"/>
                <w:color w:val="000000" w:themeColor="text1"/>
                <w:spacing w:val="-2"/>
                <w:sz w:val="20"/>
              </w:rPr>
              <w:t>)</w:t>
            </w:r>
          </w:p>
        </w:tc>
        <w:tc>
          <w:tcPr>
            <w:tcW w:w="1256" w:type="dxa"/>
          </w:tcPr>
          <w:p w14:paraId="1916DC66" w14:textId="77777777" w:rsidR="0055167C" w:rsidRPr="00154E08" w:rsidRDefault="0055167C">
            <w:pPr>
              <w:rPr>
                <w:rFonts w:cs="Times New Roman"/>
              </w:rPr>
            </w:pPr>
          </w:p>
        </w:tc>
      </w:tr>
      <w:tr w:rsidR="006331D3" w:rsidRPr="00154E08" w14:paraId="5FA2B51C"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6D3513" w14:textId="0DCEB402" w:rsidR="006331D3" w:rsidRPr="00154E08" w:rsidRDefault="006331D3" w:rsidP="006331D3">
            <w:pPr>
              <w:spacing w:line="240" w:lineRule="auto"/>
              <w:rPr>
                <w:rFonts w:eastAsia="Calibri" w:cs="Times New Roman"/>
                <w:color w:val="000000" w:themeColor="text1"/>
                <w:sz w:val="20"/>
              </w:rPr>
            </w:pPr>
            <w:r w:rsidRPr="00154E08">
              <w:rPr>
                <w:rFonts w:eastAsia="Calibri" w:cs="Times New Roman"/>
                <w:color w:val="000000" w:themeColor="text1"/>
                <w:sz w:val="20"/>
              </w:rPr>
              <w:t>Wytwórcy wykorzystujący paliwa z biomasy w instalacjach których mowa w art. 135a ust. 8</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99D58C" w14:textId="4B427FBB"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Trudne do oszacowania</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225D1" w14:textId="512B02B3"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Własne</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91811E" w14:textId="7A136EBB" w:rsidR="006331D3" w:rsidRPr="00154E08" w:rsidRDefault="006331D3" w:rsidP="006331D3">
            <w:pPr>
              <w:spacing w:line="240" w:lineRule="auto"/>
              <w:jc w:val="both"/>
              <w:rPr>
                <w:rFonts w:eastAsia="Calibri" w:cs="Times New Roman"/>
                <w:color w:val="000000" w:themeColor="text1"/>
                <w:spacing w:val="-2"/>
                <w:sz w:val="20"/>
              </w:rPr>
            </w:pPr>
            <w:r w:rsidRPr="00154E08">
              <w:rPr>
                <w:rFonts w:eastAsia="Calibri" w:cs="Times New Roman"/>
                <w:color w:val="000000" w:themeColor="text1"/>
                <w:spacing w:val="-2"/>
                <w:sz w:val="20"/>
              </w:rPr>
              <w:t>Działalność gospodarcza w zakresie wytwarzania energii elektrycznej, ciepła lub chłodu z paliw z biomasy w instalacjach, o których mowa w art. 135a ust. 8 wymagać będzie spełnienia KZR.</w:t>
            </w:r>
          </w:p>
        </w:tc>
        <w:tc>
          <w:tcPr>
            <w:tcW w:w="1256" w:type="dxa"/>
          </w:tcPr>
          <w:p w14:paraId="29132C99" w14:textId="77777777" w:rsidR="006331D3" w:rsidRPr="00154E08" w:rsidRDefault="006331D3" w:rsidP="006331D3">
            <w:pPr>
              <w:rPr>
                <w:rFonts w:cs="Times New Roman"/>
              </w:rPr>
            </w:pPr>
          </w:p>
        </w:tc>
      </w:tr>
      <w:tr w:rsidR="006331D3" w:rsidRPr="00154E08" w14:paraId="3DC6F9CB"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2F39C9" w14:textId="77777777" w:rsidR="006331D3" w:rsidRPr="00154E08" w:rsidRDefault="006331D3" w:rsidP="006331D3">
            <w:pPr>
              <w:spacing w:line="240" w:lineRule="auto"/>
              <w:rPr>
                <w:rFonts w:eastAsia="Calibri" w:cs="Times New Roman"/>
                <w:color w:val="000000" w:themeColor="text1"/>
                <w:sz w:val="20"/>
              </w:rPr>
            </w:pPr>
            <w:r w:rsidRPr="00154E08">
              <w:rPr>
                <w:rFonts w:eastAsia="Calibri" w:cs="Times New Roman"/>
                <w:color w:val="000000" w:themeColor="text1"/>
                <w:sz w:val="20"/>
              </w:rPr>
              <w:t>Wytwórcy odnawialnej energii elektrycznej na cele transportowe</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C8AA90" w14:textId="64156044"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Kilka tysięcy jednostek wytwórczych</w:t>
            </w:r>
          </w:p>
          <w:p w14:paraId="0E44284A" w14:textId="77777777"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ab/>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CA476B" w14:textId="77777777"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Własne</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2B7F9" w14:textId="015F288A" w:rsidR="006331D3" w:rsidRPr="00154E08" w:rsidRDefault="006331D3" w:rsidP="006331D3">
            <w:pPr>
              <w:spacing w:line="240" w:lineRule="auto"/>
              <w:jc w:val="both"/>
              <w:rPr>
                <w:rFonts w:eastAsia="Calibri" w:cs="Times New Roman"/>
                <w:color w:val="000000" w:themeColor="text1"/>
                <w:spacing w:val="-2"/>
                <w:sz w:val="20"/>
              </w:rPr>
            </w:pPr>
            <w:r w:rsidRPr="00154E08">
              <w:rPr>
                <w:rFonts w:eastAsia="Calibri" w:cs="Times New Roman"/>
                <w:color w:val="000000" w:themeColor="text1"/>
                <w:spacing w:val="-2"/>
                <w:sz w:val="20"/>
              </w:rPr>
              <w:t>Działalność gospodarcza w zakresie wytwarzania energii elektrycznej stosowanej w transporcie, ze źródeł wytwórczych przyłączonych bezpośrednio do instalacji odbiorców z sektora transportu (rafinerii, instalacji CNG/wodorowe, stacji ładowania aut, sieci trakcyjnych)</w:t>
            </w:r>
          </w:p>
        </w:tc>
        <w:tc>
          <w:tcPr>
            <w:tcW w:w="1256" w:type="dxa"/>
          </w:tcPr>
          <w:p w14:paraId="0CF8BF13" w14:textId="77777777" w:rsidR="006331D3" w:rsidRPr="00154E08" w:rsidRDefault="006331D3" w:rsidP="006331D3">
            <w:pPr>
              <w:rPr>
                <w:rFonts w:cs="Times New Roman"/>
              </w:rPr>
            </w:pPr>
          </w:p>
        </w:tc>
      </w:tr>
      <w:tr w:rsidR="006331D3" w:rsidRPr="00154E08" w14:paraId="4B080DE3"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38899" w14:textId="1C7A8AE9" w:rsidR="006331D3" w:rsidRPr="00154E08" w:rsidRDefault="006331D3" w:rsidP="006331D3">
            <w:pPr>
              <w:spacing w:line="240" w:lineRule="auto"/>
              <w:rPr>
                <w:rFonts w:eastAsia="Calibri" w:cs="Times New Roman"/>
                <w:color w:val="C00000"/>
                <w:sz w:val="20"/>
              </w:rPr>
            </w:pPr>
            <w:r w:rsidRPr="00154E08">
              <w:rPr>
                <w:rFonts w:eastAsia="Calibri" w:cs="Times New Roman"/>
                <w:sz w:val="20"/>
              </w:rPr>
              <w:t>Operatorzy infrastruktury ładowania pojazdów elektrycznych oraz przewoźnicy kolejowi</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6C229A" w14:textId="4AC71688" w:rsidR="006331D3" w:rsidRPr="00154E08" w:rsidRDefault="006331D3" w:rsidP="006331D3">
            <w:pPr>
              <w:spacing w:line="240" w:lineRule="auto"/>
              <w:rPr>
                <w:rFonts w:eastAsia="Calibri" w:cs="Times New Roman"/>
                <w:spacing w:val="-2"/>
                <w:sz w:val="20"/>
              </w:rPr>
            </w:pPr>
            <w:r w:rsidRPr="00154E08">
              <w:rPr>
                <w:rFonts w:eastAsia="Calibri" w:cs="Times New Roman"/>
                <w:spacing w:val="-2"/>
                <w:sz w:val="20"/>
              </w:rPr>
              <w:t>Nawet kilkadziesiąt podmiotów – z przewagą dominujących jednostek</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85365" w14:textId="7EAFEC1E" w:rsidR="006331D3" w:rsidRPr="00154E08" w:rsidRDefault="006331D3" w:rsidP="006331D3">
            <w:pPr>
              <w:spacing w:line="240" w:lineRule="auto"/>
              <w:rPr>
                <w:rFonts w:eastAsia="Calibri" w:cs="Times New Roman"/>
                <w:spacing w:val="-2"/>
                <w:sz w:val="20"/>
              </w:rPr>
            </w:pPr>
            <w:r w:rsidRPr="00154E08">
              <w:rPr>
                <w:rFonts w:eastAsia="Calibri" w:cs="Times New Roman"/>
                <w:spacing w:val="-2"/>
                <w:sz w:val="20"/>
              </w:rPr>
              <w:t>Własne</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2447CB" w14:textId="41C29D9B" w:rsidR="006331D3" w:rsidRPr="00154E08" w:rsidRDefault="006331D3" w:rsidP="006331D3">
            <w:pPr>
              <w:spacing w:line="240" w:lineRule="auto"/>
              <w:jc w:val="both"/>
              <w:rPr>
                <w:rFonts w:eastAsia="Calibri" w:cs="Times New Roman"/>
                <w:spacing w:val="-2"/>
                <w:sz w:val="20"/>
              </w:rPr>
            </w:pPr>
            <w:r w:rsidRPr="00154E08">
              <w:rPr>
                <w:rFonts w:eastAsia="Calibri" w:cs="Times New Roman"/>
                <w:spacing w:val="-2"/>
                <w:sz w:val="20"/>
              </w:rPr>
              <w:t>Działalność w zakresie obsługi stacji ładownia pojazdów oraz instalacji wykorzystania odnawialnej energii elektrycznej w sektorze transportu – drogowym i kolejowym</w:t>
            </w:r>
          </w:p>
        </w:tc>
        <w:tc>
          <w:tcPr>
            <w:tcW w:w="1256" w:type="dxa"/>
          </w:tcPr>
          <w:p w14:paraId="69E32B7B" w14:textId="77777777" w:rsidR="006331D3" w:rsidRPr="00154E08" w:rsidRDefault="006331D3" w:rsidP="006331D3">
            <w:pPr>
              <w:rPr>
                <w:rFonts w:cs="Times New Roman"/>
              </w:rPr>
            </w:pPr>
          </w:p>
        </w:tc>
      </w:tr>
      <w:tr w:rsidR="006331D3" w:rsidRPr="00154E08" w14:paraId="54688E30"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69BBF0" w14:textId="77777777" w:rsidR="006331D3" w:rsidRPr="00154E08" w:rsidRDefault="006331D3" w:rsidP="006331D3">
            <w:pPr>
              <w:spacing w:line="240" w:lineRule="auto"/>
              <w:rPr>
                <w:rFonts w:eastAsia="Calibri" w:cs="Times New Roman"/>
                <w:color w:val="000000" w:themeColor="text1"/>
                <w:sz w:val="20"/>
              </w:rPr>
            </w:pPr>
            <w:r w:rsidRPr="00154E08">
              <w:rPr>
                <w:rFonts w:eastAsia="Calibri" w:cs="Times New Roman"/>
                <w:color w:val="000000" w:themeColor="text1"/>
                <w:sz w:val="20"/>
              </w:rPr>
              <w:t>Podmioty sprowadzające</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5B9BD7" w14:textId="1F4EA665"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27</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63CAF" w14:textId="02A636A6"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Wykaz prowadzony przez Dyrektora Generalnego KOWR stan na 21.11.2024 r.</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2B42D" w14:textId="0664393C" w:rsidR="006331D3" w:rsidRPr="00154E08" w:rsidRDefault="006331D3" w:rsidP="006331D3">
            <w:pPr>
              <w:spacing w:line="240" w:lineRule="auto"/>
              <w:jc w:val="both"/>
              <w:rPr>
                <w:rFonts w:eastAsia="Calibri" w:cs="Times New Roman"/>
                <w:color w:val="000000" w:themeColor="text1"/>
                <w:spacing w:val="-2"/>
                <w:sz w:val="20"/>
              </w:rPr>
            </w:pPr>
            <w:r w:rsidRPr="00154E08">
              <w:rPr>
                <w:rFonts w:eastAsia="Calibri" w:cs="Times New Roman"/>
                <w:color w:val="000000" w:themeColor="text1"/>
                <w:spacing w:val="-2"/>
                <w:sz w:val="20"/>
              </w:rPr>
              <w:t xml:space="preserve">Możliwość składania oświadczeń w miejsce sprawozdań, uwzględnienie także wytwórców </w:t>
            </w:r>
            <w:proofErr w:type="spellStart"/>
            <w:r w:rsidRPr="00154E08">
              <w:rPr>
                <w:rFonts w:eastAsia="Calibri" w:cs="Times New Roman"/>
                <w:color w:val="000000" w:themeColor="text1"/>
                <w:spacing w:val="-2"/>
                <w:sz w:val="20"/>
              </w:rPr>
              <w:t>biometanu</w:t>
            </w:r>
            <w:proofErr w:type="spellEnd"/>
            <w:r w:rsidRPr="00154E08">
              <w:rPr>
                <w:rFonts w:eastAsia="Calibri" w:cs="Times New Roman"/>
                <w:color w:val="000000" w:themeColor="text1"/>
                <w:spacing w:val="-2"/>
                <w:sz w:val="20"/>
              </w:rPr>
              <w:t xml:space="preserve">, w tym zaawansowanego </w:t>
            </w:r>
          </w:p>
        </w:tc>
        <w:tc>
          <w:tcPr>
            <w:tcW w:w="1256" w:type="dxa"/>
          </w:tcPr>
          <w:p w14:paraId="4AC721CD" w14:textId="77777777" w:rsidR="006331D3" w:rsidRPr="00154E08" w:rsidRDefault="006331D3" w:rsidP="006331D3">
            <w:pPr>
              <w:rPr>
                <w:rFonts w:cs="Times New Roman"/>
              </w:rPr>
            </w:pPr>
          </w:p>
        </w:tc>
      </w:tr>
      <w:tr w:rsidR="006331D3" w:rsidRPr="00154E08" w14:paraId="1CD27D20"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23A3AD" w14:textId="77777777" w:rsidR="006331D3" w:rsidRPr="00154E08" w:rsidRDefault="006331D3" w:rsidP="006331D3">
            <w:pPr>
              <w:spacing w:line="240" w:lineRule="auto"/>
              <w:rPr>
                <w:rFonts w:eastAsia="Calibri" w:cs="Times New Roman"/>
                <w:color w:val="000000" w:themeColor="text1"/>
                <w:sz w:val="20"/>
              </w:rPr>
            </w:pPr>
            <w:r w:rsidRPr="00154E08">
              <w:rPr>
                <w:rFonts w:eastAsia="Calibri" w:cs="Times New Roman"/>
                <w:color w:val="000000" w:themeColor="text1"/>
                <w:sz w:val="20"/>
              </w:rPr>
              <w:t>Jednostki certyfikujące</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4AEE53" w14:textId="27523F98"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13</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EDE07A" w14:textId="252BAD6E"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Wykaz prowadzony przez Dyrektora Generalnego KOWR stan na 20.02.2024 r.</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C97678" w14:textId="1FAA5F05" w:rsidR="006331D3" w:rsidRPr="00154E08" w:rsidRDefault="006331D3" w:rsidP="006331D3">
            <w:pPr>
              <w:spacing w:line="240" w:lineRule="auto"/>
              <w:jc w:val="both"/>
              <w:rPr>
                <w:rFonts w:eastAsia="Calibri" w:cs="Times New Roman"/>
                <w:color w:val="000000" w:themeColor="text1"/>
                <w:spacing w:val="-2"/>
                <w:sz w:val="20"/>
                <w:shd w:val="clear" w:color="auto" w:fill="FFFF00"/>
              </w:rPr>
            </w:pPr>
            <w:r w:rsidRPr="00154E08">
              <w:rPr>
                <w:rFonts w:eastAsia="Calibri" w:cs="Times New Roman"/>
                <w:color w:val="000000" w:themeColor="text1"/>
                <w:spacing w:val="-2"/>
                <w:sz w:val="20"/>
                <w:shd w:val="clear" w:color="auto" w:fill="FFFFFF"/>
              </w:rPr>
              <w:t xml:space="preserve">Obowiązek nadzoru wytwórców i przekazywania sprawozdań okresowych, z uwzględnieniem rozszerzonego katalogu biokomponentów zaawansowanych </w:t>
            </w:r>
          </w:p>
        </w:tc>
        <w:tc>
          <w:tcPr>
            <w:tcW w:w="1256" w:type="dxa"/>
          </w:tcPr>
          <w:p w14:paraId="5CD2C4BD" w14:textId="77777777" w:rsidR="006331D3" w:rsidRPr="00154E08" w:rsidRDefault="006331D3" w:rsidP="006331D3">
            <w:pPr>
              <w:rPr>
                <w:rFonts w:cs="Times New Roman"/>
              </w:rPr>
            </w:pPr>
          </w:p>
        </w:tc>
      </w:tr>
      <w:tr w:rsidR="006331D3" w:rsidRPr="00154E08" w14:paraId="645DAC08"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16EEC5" w14:textId="77777777" w:rsidR="006331D3" w:rsidRPr="00154E08" w:rsidRDefault="006331D3" w:rsidP="006331D3">
            <w:pPr>
              <w:spacing w:line="240" w:lineRule="auto"/>
              <w:rPr>
                <w:rFonts w:eastAsia="Calibri" w:cs="Times New Roman"/>
                <w:color w:val="000000" w:themeColor="text1"/>
                <w:sz w:val="20"/>
              </w:rPr>
            </w:pPr>
            <w:r w:rsidRPr="00154E08">
              <w:rPr>
                <w:rFonts w:eastAsia="Calibri" w:cs="Times New Roman"/>
                <w:color w:val="000000" w:themeColor="text1"/>
                <w:sz w:val="20"/>
              </w:rPr>
              <w:t>Administratorzy systemów certyfikacji</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2D39B" w14:textId="77777777"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3</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9F629" w14:textId="37B39AA9"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Wykaz prowadzony przez Dyrektora Generalnego KOWR stan na 23.08.2023 r.</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521C4" w14:textId="323B51AA" w:rsidR="006331D3" w:rsidRPr="00154E08" w:rsidRDefault="006331D3" w:rsidP="006331D3">
            <w:pPr>
              <w:spacing w:line="240" w:lineRule="auto"/>
              <w:jc w:val="both"/>
              <w:rPr>
                <w:rFonts w:eastAsia="Calibri" w:cs="Times New Roman"/>
                <w:color w:val="000000" w:themeColor="text1"/>
                <w:spacing w:val="-2"/>
                <w:sz w:val="20"/>
              </w:rPr>
            </w:pPr>
            <w:r w:rsidRPr="00154E08">
              <w:rPr>
                <w:rFonts w:eastAsia="Calibri" w:cs="Times New Roman"/>
                <w:color w:val="000000" w:themeColor="text1"/>
                <w:spacing w:val="-2"/>
                <w:sz w:val="20"/>
              </w:rPr>
              <w:t xml:space="preserve">Obowiązek przekazywania aktualnych dokumentów systemowych, sprawozdań okresowych oraz nadzór nad działaniem systemu </w:t>
            </w:r>
          </w:p>
        </w:tc>
        <w:tc>
          <w:tcPr>
            <w:tcW w:w="1256" w:type="dxa"/>
          </w:tcPr>
          <w:p w14:paraId="363D2FC0" w14:textId="77777777" w:rsidR="006331D3" w:rsidRPr="00154E08" w:rsidRDefault="006331D3" w:rsidP="006331D3">
            <w:pPr>
              <w:rPr>
                <w:rFonts w:cs="Times New Roman"/>
              </w:rPr>
            </w:pPr>
          </w:p>
        </w:tc>
      </w:tr>
      <w:tr w:rsidR="006331D3" w:rsidRPr="00154E08" w14:paraId="5B774950"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9D97CD" w14:textId="00104540" w:rsidR="006331D3" w:rsidRPr="00154E08" w:rsidRDefault="006331D3" w:rsidP="006331D3">
            <w:pPr>
              <w:spacing w:line="240" w:lineRule="auto"/>
              <w:rPr>
                <w:rFonts w:eastAsia="Calibri" w:cs="Times New Roman"/>
                <w:color w:val="000000" w:themeColor="text1"/>
                <w:sz w:val="20"/>
              </w:rPr>
            </w:pPr>
            <w:r w:rsidRPr="00154E08">
              <w:rPr>
                <w:rFonts w:eastAsia="Calibri" w:cs="Times New Roman"/>
                <w:color w:val="000000" w:themeColor="text1"/>
                <w:sz w:val="20"/>
              </w:rPr>
              <w:t>Dostawcy surowców, biomasy,</w:t>
            </w:r>
          </w:p>
          <w:p w14:paraId="50D59F10" w14:textId="77777777" w:rsidR="006331D3" w:rsidRPr="00154E08" w:rsidRDefault="006331D3" w:rsidP="006331D3">
            <w:pPr>
              <w:spacing w:line="240" w:lineRule="auto"/>
              <w:rPr>
                <w:rFonts w:cs="Times New Roman"/>
                <w:color w:val="000000" w:themeColor="text1"/>
              </w:rPr>
            </w:pPr>
            <w:r w:rsidRPr="00154E08">
              <w:rPr>
                <w:rFonts w:eastAsia="Calibri" w:cs="Times New Roman"/>
                <w:color w:val="000000" w:themeColor="text1"/>
                <w:sz w:val="20"/>
              </w:rPr>
              <w:t xml:space="preserve">w tym odpadów biodegradowalnych </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4411F0" w14:textId="77777777"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 xml:space="preserve">ok. 150 tys. gospodarstw rolnych, w tym – dostawców zrównoważonej biomasy </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70F7F6" w14:textId="77777777"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GUS</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4D923B" w14:textId="28B8C339" w:rsidR="006331D3" w:rsidRPr="00154E08" w:rsidRDefault="006331D3" w:rsidP="006331D3">
            <w:pPr>
              <w:spacing w:line="240" w:lineRule="auto"/>
              <w:jc w:val="both"/>
              <w:rPr>
                <w:rFonts w:eastAsia="Calibri" w:cs="Times New Roman"/>
                <w:color w:val="000000" w:themeColor="text1"/>
                <w:spacing w:val="-2"/>
                <w:sz w:val="20"/>
              </w:rPr>
            </w:pPr>
            <w:r w:rsidRPr="00154E08">
              <w:rPr>
                <w:rFonts w:eastAsia="Calibri" w:cs="Times New Roman"/>
                <w:color w:val="000000" w:themeColor="text1"/>
                <w:spacing w:val="-2"/>
                <w:sz w:val="20"/>
              </w:rPr>
              <w:t>Dostawy zrównoważonej biomasy tradycyjnej (spełniającej kryteria: KZR, ILUC), ale także surowców z załącznika nr 1 do ustawy.</w:t>
            </w:r>
          </w:p>
          <w:p w14:paraId="7CE54EB0" w14:textId="53261ABA" w:rsidR="006331D3" w:rsidRPr="00154E08" w:rsidRDefault="006331D3" w:rsidP="006331D3">
            <w:pPr>
              <w:spacing w:line="240" w:lineRule="auto"/>
              <w:jc w:val="both"/>
              <w:rPr>
                <w:rFonts w:cs="Times New Roman"/>
                <w:color w:val="000000" w:themeColor="text1"/>
              </w:rPr>
            </w:pPr>
            <w:r w:rsidRPr="00154E08">
              <w:rPr>
                <w:rFonts w:eastAsia="Calibri" w:cs="Times New Roman"/>
                <w:color w:val="000000" w:themeColor="text1"/>
                <w:spacing w:val="-2"/>
                <w:sz w:val="20"/>
              </w:rPr>
              <w:t>Utrzymanie dostaw na poziomie gwarantującym co najmniej dotychczasowe wykorzystanie do realizacji NCW</w:t>
            </w:r>
          </w:p>
        </w:tc>
        <w:tc>
          <w:tcPr>
            <w:tcW w:w="1256" w:type="dxa"/>
          </w:tcPr>
          <w:p w14:paraId="0408AA3B" w14:textId="77777777" w:rsidR="006331D3" w:rsidRPr="00154E08" w:rsidRDefault="006331D3" w:rsidP="006331D3">
            <w:pPr>
              <w:rPr>
                <w:rFonts w:cs="Times New Roman"/>
              </w:rPr>
            </w:pPr>
          </w:p>
        </w:tc>
      </w:tr>
      <w:tr w:rsidR="006331D3" w:rsidRPr="00154E08" w14:paraId="161FD3BD"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445E87" w14:textId="77777777" w:rsidR="006331D3" w:rsidRPr="00154E08" w:rsidRDefault="006331D3" w:rsidP="006331D3">
            <w:pPr>
              <w:spacing w:line="240" w:lineRule="auto"/>
              <w:rPr>
                <w:rFonts w:eastAsia="Calibri" w:cs="Times New Roman"/>
                <w:color w:val="000000" w:themeColor="text1"/>
                <w:spacing w:val="-2"/>
                <w:szCs w:val="24"/>
              </w:rPr>
            </w:pPr>
            <w:r w:rsidRPr="00154E08">
              <w:rPr>
                <w:rFonts w:eastAsia="Calibri" w:cs="Times New Roman"/>
                <w:color w:val="000000" w:themeColor="text1"/>
                <w:sz w:val="20"/>
              </w:rPr>
              <w:t>Dyrektor Generalny Krajowego Ośrodka Wsparcia Rolnictwa</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EB1A0F" w14:textId="77777777"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1</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53BA6C" w14:textId="77777777"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Własne</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37635" w14:textId="00412754" w:rsidR="006331D3" w:rsidRPr="00154E08" w:rsidRDefault="006331D3" w:rsidP="006331D3">
            <w:pPr>
              <w:spacing w:line="240" w:lineRule="auto"/>
              <w:jc w:val="both"/>
              <w:rPr>
                <w:rFonts w:eastAsia="Calibri" w:cs="Times New Roman"/>
                <w:color w:val="000000" w:themeColor="text1"/>
                <w:spacing w:val="-2"/>
              </w:rPr>
            </w:pPr>
            <w:r w:rsidRPr="00154E08">
              <w:rPr>
                <w:rFonts w:eastAsia="Calibri" w:cs="Times New Roman"/>
                <w:color w:val="000000" w:themeColor="text1"/>
                <w:spacing w:val="-2"/>
                <w:sz w:val="20"/>
              </w:rPr>
              <w:t xml:space="preserve">Prowadzenie kontroli i monitorowania rynku biokomponentów, biopaliw ciekłych i biopaliw gazowych, nadzór nad przedsiębiorcami zajmującymi się wytwarzaniem biokomponentów, biopaliw ciekłych i biopaliw gazowych, z uwzględnieniem </w:t>
            </w:r>
            <w:proofErr w:type="spellStart"/>
            <w:r w:rsidRPr="00154E08">
              <w:rPr>
                <w:rFonts w:eastAsia="Calibri" w:cs="Times New Roman"/>
                <w:color w:val="000000" w:themeColor="text1"/>
                <w:spacing w:val="-2"/>
                <w:sz w:val="20"/>
              </w:rPr>
              <w:t>biometanu</w:t>
            </w:r>
            <w:proofErr w:type="spellEnd"/>
          </w:p>
        </w:tc>
        <w:tc>
          <w:tcPr>
            <w:tcW w:w="1256" w:type="dxa"/>
          </w:tcPr>
          <w:p w14:paraId="037AB935" w14:textId="77777777" w:rsidR="006331D3" w:rsidRPr="00154E08" w:rsidRDefault="006331D3" w:rsidP="006331D3">
            <w:pPr>
              <w:rPr>
                <w:rFonts w:cs="Times New Roman"/>
              </w:rPr>
            </w:pPr>
          </w:p>
        </w:tc>
      </w:tr>
      <w:tr w:rsidR="006331D3" w:rsidRPr="00154E08" w14:paraId="61822F26"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0AB6F3" w14:textId="77777777" w:rsidR="006331D3" w:rsidRPr="00154E08" w:rsidRDefault="006331D3" w:rsidP="006331D3">
            <w:pPr>
              <w:tabs>
                <w:tab w:val="left" w:pos="1560"/>
              </w:tabs>
              <w:spacing w:line="240" w:lineRule="auto"/>
              <w:rPr>
                <w:rFonts w:eastAsia="Calibri" w:cs="Times New Roman"/>
                <w:color w:val="000000" w:themeColor="text1"/>
                <w:szCs w:val="24"/>
              </w:rPr>
            </w:pPr>
            <w:r w:rsidRPr="00154E08">
              <w:rPr>
                <w:rFonts w:eastAsia="Calibri" w:cs="Times New Roman"/>
                <w:color w:val="000000" w:themeColor="text1"/>
                <w:sz w:val="20"/>
              </w:rPr>
              <w:t>Prezes Urzędu Regulacji Energetyki</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197872" w14:textId="77777777"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1</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E8408" w14:textId="77777777" w:rsidR="006331D3" w:rsidRPr="00154E08" w:rsidRDefault="006331D3" w:rsidP="006331D3">
            <w:pPr>
              <w:spacing w:line="240" w:lineRule="auto"/>
              <w:rPr>
                <w:rFonts w:eastAsia="Calibri" w:cs="Times New Roman"/>
                <w:color w:val="000000" w:themeColor="text1"/>
                <w:spacing w:val="-2"/>
                <w:sz w:val="20"/>
              </w:rPr>
            </w:pPr>
            <w:r w:rsidRPr="00154E08">
              <w:rPr>
                <w:rFonts w:eastAsia="Calibri" w:cs="Times New Roman"/>
                <w:color w:val="000000" w:themeColor="text1"/>
                <w:spacing w:val="-2"/>
                <w:sz w:val="20"/>
              </w:rPr>
              <w:t>Własne</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8BFFDA" w14:textId="7FF3D67B" w:rsidR="006331D3" w:rsidRPr="00154E08" w:rsidRDefault="006331D3" w:rsidP="006331D3">
            <w:pPr>
              <w:spacing w:line="240" w:lineRule="auto"/>
              <w:jc w:val="both"/>
              <w:rPr>
                <w:rFonts w:eastAsia="Calibri" w:cs="Times New Roman"/>
                <w:color w:val="000000" w:themeColor="text1"/>
                <w:spacing w:val="-2"/>
              </w:rPr>
            </w:pPr>
            <w:r w:rsidRPr="00154E08">
              <w:rPr>
                <w:rFonts w:eastAsia="Calibri" w:cs="Times New Roman"/>
                <w:color w:val="000000" w:themeColor="text1"/>
                <w:spacing w:val="-2"/>
                <w:sz w:val="20"/>
              </w:rPr>
              <w:t xml:space="preserve">Prowadzenie kontroli i monitorowania realizacji NCW, poszerzonego o wykorzystanie </w:t>
            </w:r>
            <w:proofErr w:type="spellStart"/>
            <w:r w:rsidRPr="00154E08">
              <w:rPr>
                <w:rFonts w:eastAsia="Calibri" w:cs="Times New Roman"/>
                <w:color w:val="000000" w:themeColor="text1"/>
                <w:spacing w:val="-2"/>
                <w:sz w:val="20"/>
              </w:rPr>
              <w:t>biometanu</w:t>
            </w:r>
            <w:proofErr w:type="spellEnd"/>
            <w:r w:rsidRPr="00154E08">
              <w:rPr>
                <w:rFonts w:eastAsia="Calibri" w:cs="Times New Roman"/>
                <w:color w:val="000000" w:themeColor="text1"/>
                <w:spacing w:val="-2"/>
                <w:sz w:val="20"/>
              </w:rPr>
              <w:t xml:space="preserve"> w produkcji rafineryjnej oraz energii elektrycznej odnawialnej zużytej w transporcie</w:t>
            </w:r>
          </w:p>
        </w:tc>
        <w:tc>
          <w:tcPr>
            <w:tcW w:w="1256" w:type="dxa"/>
          </w:tcPr>
          <w:p w14:paraId="14E2F29D" w14:textId="77777777" w:rsidR="006331D3" w:rsidRPr="00154E08" w:rsidRDefault="006331D3" w:rsidP="006331D3">
            <w:pPr>
              <w:rPr>
                <w:rFonts w:cs="Times New Roman"/>
              </w:rPr>
            </w:pPr>
          </w:p>
        </w:tc>
      </w:tr>
      <w:tr w:rsidR="006331D3" w:rsidRPr="00154E08" w14:paraId="5C08C812"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D48C3" w14:textId="002D6FF7" w:rsidR="006331D3" w:rsidRPr="00154E08" w:rsidRDefault="006331D3" w:rsidP="006331D3">
            <w:pPr>
              <w:tabs>
                <w:tab w:val="left" w:pos="1560"/>
              </w:tabs>
              <w:spacing w:line="240" w:lineRule="auto"/>
              <w:rPr>
                <w:rFonts w:eastAsia="Calibri" w:cs="Times New Roman"/>
                <w:color w:val="000000"/>
                <w:szCs w:val="24"/>
              </w:rPr>
            </w:pPr>
            <w:r w:rsidRPr="00154E08">
              <w:rPr>
                <w:rFonts w:eastAsia="Calibri" w:cs="Times New Roman"/>
                <w:color w:val="000000"/>
                <w:sz w:val="20"/>
              </w:rPr>
              <w:t>Podmioty wykonujące działalność gospodarczą w zakresie obrotu paliwami ciekłymi przy wykorzystaniu stacji paliw ciekłych</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AD4FA9" w14:textId="379A31B9" w:rsidR="006331D3" w:rsidRPr="00154E08" w:rsidRDefault="006331D3" w:rsidP="006331D3">
            <w:pPr>
              <w:spacing w:line="240" w:lineRule="auto"/>
              <w:rPr>
                <w:rFonts w:cs="Times New Roman"/>
                <w:color w:val="000000" w:themeColor="text1"/>
              </w:rPr>
            </w:pPr>
            <w:r w:rsidRPr="00154E08">
              <w:rPr>
                <w:rFonts w:cs="Times New Roman"/>
                <w:color w:val="000000" w:themeColor="text1"/>
                <w:sz w:val="20"/>
              </w:rPr>
              <w:t>Ok. 3 700</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D5D2AD" w14:textId="5D9E5F20" w:rsidR="006331D3" w:rsidRPr="00154E08" w:rsidRDefault="006331D3" w:rsidP="006331D3">
            <w:pPr>
              <w:spacing w:line="240" w:lineRule="auto"/>
              <w:rPr>
                <w:rFonts w:cs="Times New Roman"/>
                <w:color w:val="000000" w:themeColor="text1"/>
              </w:rPr>
            </w:pPr>
            <w:r w:rsidRPr="00154E08">
              <w:rPr>
                <w:rFonts w:cs="Times New Roman"/>
                <w:color w:val="000000" w:themeColor="text1"/>
                <w:sz w:val="20"/>
              </w:rPr>
              <w:t>Rejestr stacji paliw ciekłych Prezesa URE</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FFE6E0" w14:textId="6A2CFF7D" w:rsidR="006331D3" w:rsidRPr="00154E08" w:rsidRDefault="006331D3" w:rsidP="006331D3">
            <w:pPr>
              <w:spacing w:line="240" w:lineRule="auto"/>
              <w:jc w:val="both"/>
              <w:rPr>
                <w:rFonts w:cs="Times New Roman"/>
                <w:color w:val="000000" w:themeColor="text1"/>
              </w:rPr>
            </w:pPr>
            <w:r w:rsidRPr="00154E08">
              <w:rPr>
                <w:rFonts w:cs="Times New Roman"/>
                <w:color w:val="000000" w:themeColor="text1"/>
                <w:sz w:val="20"/>
              </w:rPr>
              <w:t>Obowiązek udostępniania miejsc tankowania paliw, zasilania pojazdów nośnikami energii ujętymi w projekcie ustawy</w:t>
            </w:r>
          </w:p>
        </w:tc>
        <w:tc>
          <w:tcPr>
            <w:tcW w:w="1256" w:type="dxa"/>
          </w:tcPr>
          <w:p w14:paraId="1B4909C7" w14:textId="77777777" w:rsidR="006331D3" w:rsidRPr="00154E08" w:rsidRDefault="006331D3" w:rsidP="006331D3">
            <w:pPr>
              <w:rPr>
                <w:rFonts w:cs="Times New Roman"/>
              </w:rPr>
            </w:pPr>
          </w:p>
        </w:tc>
      </w:tr>
      <w:tr w:rsidR="006331D3" w:rsidRPr="00154E08" w14:paraId="680BC10D"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DD6712" w14:textId="01A3FFD2" w:rsidR="006331D3" w:rsidRPr="00154E08" w:rsidRDefault="006331D3" w:rsidP="006331D3">
            <w:pPr>
              <w:tabs>
                <w:tab w:val="left" w:pos="1560"/>
              </w:tabs>
              <w:spacing w:line="240" w:lineRule="auto"/>
              <w:rPr>
                <w:rFonts w:cs="Times New Roman"/>
                <w:sz w:val="20"/>
                <w:highlight w:val="yellow"/>
              </w:rPr>
            </w:pPr>
            <w:r w:rsidRPr="00154E08">
              <w:rPr>
                <w:rFonts w:cs="Times New Roman"/>
                <w:sz w:val="20"/>
              </w:rPr>
              <w:lastRenderedPageBreak/>
              <w:t>Podmioty wykonujące działalność gospodarczą w zakresie oferowania gazu ziemnego (CNG, LNG) do celów napędowych</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7EA6B" w14:textId="2A7F9C0F" w:rsidR="006331D3" w:rsidRPr="00154E08" w:rsidRDefault="006331D3" w:rsidP="006331D3">
            <w:pPr>
              <w:spacing w:line="240" w:lineRule="auto"/>
              <w:rPr>
                <w:rFonts w:cs="Times New Roman"/>
                <w:sz w:val="20"/>
                <w:highlight w:val="yellow"/>
              </w:rPr>
            </w:pPr>
            <w:r w:rsidRPr="00154E08">
              <w:rPr>
                <w:rFonts w:cs="Times New Roman"/>
                <w:sz w:val="20"/>
              </w:rPr>
              <w:t>(odpowiednio: 28, 36)</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94DA11" w14:textId="77777777" w:rsidR="006331D3" w:rsidRPr="00154E08" w:rsidRDefault="006331D3" w:rsidP="006331D3">
            <w:pPr>
              <w:spacing w:line="240" w:lineRule="auto"/>
              <w:rPr>
                <w:rFonts w:cs="Times New Roman"/>
                <w:sz w:val="20"/>
                <w:lang w:val="en-GB"/>
              </w:rPr>
            </w:pPr>
            <w:proofErr w:type="spellStart"/>
            <w:r w:rsidRPr="00154E08">
              <w:rPr>
                <w:rFonts w:cs="Times New Roman"/>
                <w:sz w:val="20"/>
                <w:lang w:val="en-GB"/>
              </w:rPr>
              <w:t>Wg</w:t>
            </w:r>
            <w:proofErr w:type="spellEnd"/>
            <w:r w:rsidRPr="00154E08">
              <w:rPr>
                <w:rFonts w:cs="Times New Roman"/>
                <w:sz w:val="20"/>
                <w:lang w:val="en-GB"/>
              </w:rPr>
              <w:t xml:space="preserve"> https://cng-lng.pl/Stacje-CNG-LNG/stacje-cng-lng,wr.html;</w:t>
            </w:r>
          </w:p>
          <w:p w14:paraId="3C7EAA13" w14:textId="77777777" w:rsidR="006331D3" w:rsidRPr="00154E08" w:rsidRDefault="006331D3" w:rsidP="006331D3">
            <w:pPr>
              <w:spacing w:line="240" w:lineRule="auto"/>
              <w:rPr>
                <w:rFonts w:cs="Times New Roman"/>
                <w:sz w:val="20"/>
                <w:lang w:val="en-GB"/>
              </w:rPr>
            </w:pPr>
            <w:r w:rsidRPr="00154E08">
              <w:rPr>
                <w:rFonts w:cs="Times New Roman"/>
                <w:sz w:val="20"/>
                <w:lang w:val="en-GB"/>
              </w:rPr>
              <w:t>https://pplng.pl/wiecej-o-lng/stacje-tankowania-lng-w-polsce/</w:t>
            </w:r>
          </w:p>
          <w:p w14:paraId="0E78CC49" w14:textId="54381253" w:rsidR="006331D3" w:rsidRPr="00154E08" w:rsidRDefault="006331D3" w:rsidP="006331D3">
            <w:pPr>
              <w:spacing w:line="240" w:lineRule="auto"/>
              <w:rPr>
                <w:rFonts w:cs="Times New Roman"/>
                <w:sz w:val="20"/>
                <w:highlight w:val="yellow"/>
                <w:lang w:val="en-GB"/>
              </w:rPr>
            </w:pP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1D5F3" w14:textId="04015B2E" w:rsidR="006331D3" w:rsidRPr="00154E08" w:rsidRDefault="006331D3" w:rsidP="006331D3">
            <w:pPr>
              <w:spacing w:line="240" w:lineRule="auto"/>
              <w:jc w:val="both"/>
              <w:rPr>
                <w:rFonts w:cs="Times New Roman"/>
                <w:sz w:val="20"/>
                <w:highlight w:val="yellow"/>
              </w:rPr>
            </w:pPr>
            <w:r w:rsidRPr="00154E08">
              <w:rPr>
                <w:rFonts w:cs="Times New Roman"/>
                <w:sz w:val="20"/>
              </w:rPr>
              <w:t xml:space="preserve">Obowiązek udostępniania miejsc tankowania paliwem gazowym, zasilania pojazdów nośnikami energii ujętymi w projekcie ustawy, udostępniania informacji o udziale energii OZE w paliwach </w:t>
            </w:r>
          </w:p>
        </w:tc>
        <w:tc>
          <w:tcPr>
            <w:tcW w:w="1256" w:type="dxa"/>
          </w:tcPr>
          <w:p w14:paraId="37B9A56B" w14:textId="77777777" w:rsidR="006331D3" w:rsidRPr="00154E08" w:rsidRDefault="006331D3" w:rsidP="006331D3">
            <w:pPr>
              <w:rPr>
                <w:rFonts w:cs="Times New Roman"/>
              </w:rPr>
            </w:pPr>
          </w:p>
        </w:tc>
      </w:tr>
      <w:tr w:rsidR="004C796F" w:rsidRPr="00154E08" w14:paraId="14CBC51E" w14:textId="77777777" w:rsidTr="3E65ED00">
        <w:trPr>
          <w:trHeight w:val="142"/>
        </w:trPr>
        <w:tc>
          <w:tcPr>
            <w:tcW w:w="2024" w:type="dxa"/>
            <w:gridSpan w:val="2"/>
            <w:tcBorders>
              <w:top w:val="single" w:sz="4" w:space="0" w:color="000000" w:themeColor="text1"/>
              <w:left w:val="single" w:sz="4" w:space="0" w:color="000000" w:themeColor="text1"/>
              <w:bottom w:val="dotted" w:sz="4" w:space="0" w:color="FFFFFF" w:themeColor="background1"/>
              <w:right w:val="single" w:sz="4" w:space="0" w:color="000000" w:themeColor="text1"/>
            </w:tcBorders>
            <w:shd w:val="clear" w:color="auto" w:fill="FFFFFF" w:themeFill="background1"/>
          </w:tcPr>
          <w:p w14:paraId="37459AB3" w14:textId="798C6459" w:rsidR="006331D3" w:rsidRPr="00154E08" w:rsidRDefault="006331D3" w:rsidP="006331D3">
            <w:pPr>
              <w:tabs>
                <w:tab w:val="left" w:pos="1560"/>
              </w:tabs>
              <w:spacing w:line="240" w:lineRule="auto"/>
              <w:rPr>
                <w:rFonts w:cs="Times New Roman"/>
                <w:sz w:val="20"/>
              </w:rPr>
            </w:pPr>
            <w:r w:rsidRPr="00154E08">
              <w:rPr>
                <w:rFonts w:cs="Times New Roman"/>
                <w:sz w:val="20"/>
              </w:rPr>
              <w:t>Minister właściwy ds. transportu – Ministerstwo Infrastruktury</w:t>
            </w:r>
          </w:p>
        </w:tc>
        <w:tc>
          <w:tcPr>
            <w:tcW w:w="1481" w:type="dxa"/>
            <w:gridSpan w:val="2"/>
            <w:tcBorders>
              <w:top w:val="single" w:sz="4" w:space="0" w:color="000000" w:themeColor="text1"/>
              <w:left w:val="single" w:sz="4" w:space="0" w:color="000000" w:themeColor="text1"/>
              <w:bottom w:val="dotted" w:sz="4" w:space="0" w:color="FFFFFF" w:themeColor="background1"/>
              <w:right w:val="single" w:sz="4" w:space="0" w:color="000000" w:themeColor="text1"/>
            </w:tcBorders>
            <w:shd w:val="clear" w:color="auto" w:fill="FFFFFF" w:themeFill="background1"/>
          </w:tcPr>
          <w:p w14:paraId="044C9355" w14:textId="19F29CAD" w:rsidR="006331D3" w:rsidRPr="00154E08" w:rsidRDefault="006331D3" w:rsidP="006331D3">
            <w:pPr>
              <w:spacing w:line="240" w:lineRule="auto"/>
              <w:rPr>
                <w:rFonts w:cs="Times New Roman"/>
                <w:sz w:val="20"/>
              </w:rPr>
            </w:pPr>
            <w:r w:rsidRPr="00154E08">
              <w:rPr>
                <w:rFonts w:cs="Times New Roman"/>
                <w:sz w:val="20"/>
              </w:rPr>
              <w:t>1</w:t>
            </w:r>
          </w:p>
        </w:tc>
        <w:tc>
          <w:tcPr>
            <w:tcW w:w="1458" w:type="dxa"/>
            <w:gridSpan w:val="2"/>
            <w:tcBorders>
              <w:top w:val="single" w:sz="4" w:space="0" w:color="000000" w:themeColor="text1"/>
              <w:left w:val="single" w:sz="4" w:space="0" w:color="000000" w:themeColor="text1"/>
              <w:bottom w:val="dotted" w:sz="4" w:space="0" w:color="FFFFFF" w:themeColor="background1"/>
              <w:right w:val="single" w:sz="4" w:space="0" w:color="000000" w:themeColor="text1"/>
            </w:tcBorders>
            <w:shd w:val="clear" w:color="auto" w:fill="FFFFFF" w:themeFill="background1"/>
          </w:tcPr>
          <w:p w14:paraId="08BCD03D" w14:textId="0B715385" w:rsidR="006331D3" w:rsidRPr="00154E08" w:rsidRDefault="006331D3" w:rsidP="006331D3">
            <w:pPr>
              <w:spacing w:line="240" w:lineRule="auto"/>
              <w:rPr>
                <w:rFonts w:cs="Times New Roman"/>
                <w:sz w:val="20"/>
              </w:rPr>
            </w:pPr>
            <w:r w:rsidRPr="00154E08">
              <w:rPr>
                <w:rFonts w:cs="Times New Roman"/>
                <w:sz w:val="20"/>
              </w:rPr>
              <w:t>Własne</w:t>
            </w:r>
          </w:p>
        </w:tc>
        <w:tc>
          <w:tcPr>
            <w:tcW w:w="5832" w:type="dxa"/>
            <w:gridSpan w:val="8"/>
            <w:tcBorders>
              <w:top w:val="single" w:sz="4" w:space="0" w:color="000000" w:themeColor="text1"/>
              <w:left w:val="single" w:sz="4" w:space="0" w:color="000000" w:themeColor="text1"/>
              <w:bottom w:val="dotted" w:sz="4" w:space="0" w:color="FFFFFF" w:themeColor="background1"/>
              <w:right w:val="single" w:sz="4" w:space="0" w:color="000000" w:themeColor="text1"/>
            </w:tcBorders>
            <w:shd w:val="clear" w:color="auto" w:fill="FFFFFF" w:themeFill="background1"/>
          </w:tcPr>
          <w:p w14:paraId="4E8D7C04" w14:textId="3D681AE2" w:rsidR="006331D3" w:rsidRPr="00154E08" w:rsidRDefault="006331D3" w:rsidP="006331D3">
            <w:pPr>
              <w:spacing w:line="240" w:lineRule="auto"/>
              <w:jc w:val="both"/>
              <w:rPr>
                <w:rFonts w:cs="Times New Roman"/>
                <w:sz w:val="20"/>
              </w:rPr>
            </w:pPr>
            <w:r w:rsidRPr="00154E08">
              <w:rPr>
                <w:rFonts w:cs="Times New Roman"/>
                <w:sz w:val="20"/>
              </w:rPr>
              <w:t>Dysponent Funduszu rozwoju przewozów autobusowych w zakresie skutków finansowych dla FRPA po zmianach w funkcjonowaniu opłaty zastępczej stanowiącej obecnie ok. 1/8 przychodów Funduszu – wpływy ok. 100 mln zł rocznie</w:t>
            </w:r>
          </w:p>
        </w:tc>
        <w:tc>
          <w:tcPr>
            <w:tcW w:w="1256" w:type="dxa"/>
          </w:tcPr>
          <w:p w14:paraId="24DB86B6" w14:textId="77777777" w:rsidR="006331D3" w:rsidRPr="00154E08" w:rsidRDefault="006331D3" w:rsidP="006331D3">
            <w:pPr>
              <w:rPr>
                <w:rFonts w:cs="Times New Roman"/>
              </w:rPr>
            </w:pPr>
          </w:p>
        </w:tc>
      </w:tr>
      <w:tr w:rsidR="006331D3" w:rsidRPr="00154E08" w14:paraId="39C6BDF6"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01A31" w14:textId="01D53CC4" w:rsidR="006331D3" w:rsidRPr="00154E08" w:rsidRDefault="006331D3" w:rsidP="006331D3">
            <w:pPr>
              <w:tabs>
                <w:tab w:val="left" w:pos="1560"/>
              </w:tabs>
              <w:spacing w:line="240" w:lineRule="auto"/>
              <w:rPr>
                <w:rFonts w:cs="Times New Roman"/>
                <w:sz w:val="20"/>
              </w:rPr>
            </w:pPr>
            <w:r w:rsidRPr="00154E08">
              <w:rPr>
                <w:rFonts w:cs="Times New Roman"/>
                <w:sz w:val="20"/>
              </w:rPr>
              <w:t>Fundusz rozwoju przewozów autobusowych</w:t>
            </w: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E98F68" w14:textId="4DB96F17" w:rsidR="006331D3" w:rsidRPr="00154E08" w:rsidRDefault="006331D3" w:rsidP="006331D3">
            <w:pPr>
              <w:spacing w:line="240" w:lineRule="auto"/>
              <w:rPr>
                <w:rFonts w:cs="Times New Roman"/>
                <w:sz w:val="20"/>
              </w:rPr>
            </w:pPr>
            <w:r w:rsidRPr="00154E08">
              <w:rPr>
                <w:rFonts w:cs="Times New Roman"/>
                <w:sz w:val="20"/>
              </w:rPr>
              <w:t>1</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F7F2B" w14:textId="151C4042" w:rsidR="006331D3" w:rsidRPr="00154E08" w:rsidRDefault="006331D3" w:rsidP="006331D3">
            <w:pPr>
              <w:spacing w:line="240" w:lineRule="auto"/>
              <w:rPr>
                <w:rFonts w:cs="Times New Roman"/>
                <w:sz w:val="20"/>
              </w:rPr>
            </w:pPr>
            <w:r w:rsidRPr="00154E08">
              <w:rPr>
                <w:rFonts w:cs="Times New Roman"/>
                <w:sz w:val="20"/>
              </w:rPr>
              <w:t>Własne</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2E6E29" w14:textId="1385298A" w:rsidR="006331D3" w:rsidRPr="00154E08" w:rsidRDefault="006331D3" w:rsidP="006331D3">
            <w:pPr>
              <w:spacing w:line="240" w:lineRule="auto"/>
              <w:jc w:val="both"/>
              <w:rPr>
                <w:rFonts w:cs="Times New Roman"/>
                <w:sz w:val="20"/>
              </w:rPr>
            </w:pPr>
            <w:r w:rsidRPr="00154E08">
              <w:rPr>
                <w:rFonts w:cs="Times New Roman"/>
                <w:sz w:val="20"/>
              </w:rPr>
              <w:t>Finansowanie rozwoju przewozów autobusowych w ramach budżetu FRPA pod nadzorem MI, zgodnie z art. 15 projektu ustawy</w:t>
            </w:r>
          </w:p>
        </w:tc>
        <w:tc>
          <w:tcPr>
            <w:tcW w:w="1256" w:type="dxa"/>
          </w:tcPr>
          <w:p w14:paraId="5D44F70E" w14:textId="77777777" w:rsidR="006331D3" w:rsidRPr="00154E08" w:rsidRDefault="006331D3" w:rsidP="006331D3">
            <w:pPr>
              <w:rPr>
                <w:rFonts w:cs="Times New Roman"/>
              </w:rPr>
            </w:pPr>
          </w:p>
        </w:tc>
      </w:tr>
      <w:tr w:rsidR="006331D3" w:rsidRPr="00154E08" w14:paraId="64141F9A" w14:textId="77777777" w:rsidTr="3E65ED00">
        <w:trPr>
          <w:trHeight w:val="14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A68A74" w14:textId="77777777" w:rsidR="006331D3" w:rsidRPr="00154E08" w:rsidRDefault="006331D3" w:rsidP="006331D3">
            <w:pPr>
              <w:tabs>
                <w:tab w:val="left" w:pos="1560"/>
              </w:tabs>
              <w:spacing w:line="240" w:lineRule="auto"/>
              <w:rPr>
                <w:rFonts w:cs="Times New Roman"/>
                <w:sz w:val="20"/>
              </w:rPr>
            </w:pPr>
            <w:r w:rsidRPr="00154E08">
              <w:rPr>
                <w:rFonts w:cs="Times New Roman"/>
                <w:sz w:val="20"/>
              </w:rPr>
              <w:t>Narodowy Fundusz Ochrony Środowiska i Gospodarki Wodnej</w:t>
            </w:r>
          </w:p>
          <w:p w14:paraId="5CB0FD2D" w14:textId="1A4A68E7" w:rsidR="00055746" w:rsidRPr="00154E08" w:rsidRDefault="00055746" w:rsidP="006331D3">
            <w:pPr>
              <w:tabs>
                <w:tab w:val="left" w:pos="1560"/>
              </w:tabs>
              <w:spacing w:line="240" w:lineRule="auto"/>
              <w:rPr>
                <w:rFonts w:cs="Times New Roman"/>
                <w:sz w:val="20"/>
              </w:rPr>
            </w:pP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D8C81" w14:textId="645565F3" w:rsidR="006331D3" w:rsidRPr="00154E08" w:rsidRDefault="006331D3" w:rsidP="006331D3">
            <w:pPr>
              <w:spacing w:line="240" w:lineRule="auto"/>
              <w:rPr>
                <w:rFonts w:cs="Times New Roman"/>
                <w:sz w:val="20"/>
              </w:rPr>
            </w:pPr>
            <w:r w:rsidRPr="00154E08">
              <w:rPr>
                <w:rFonts w:cs="Times New Roman"/>
                <w:sz w:val="20"/>
              </w:rPr>
              <w:t>1</w:t>
            </w:r>
          </w:p>
        </w:tc>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33EC96" w14:textId="41E63BEF" w:rsidR="006331D3" w:rsidRPr="00154E08" w:rsidRDefault="006331D3" w:rsidP="006331D3">
            <w:pPr>
              <w:spacing w:line="240" w:lineRule="auto"/>
              <w:rPr>
                <w:rFonts w:cs="Times New Roman"/>
                <w:sz w:val="20"/>
              </w:rPr>
            </w:pPr>
            <w:r w:rsidRPr="00154E08">
              <w:rPr>
                <w:rFonts w:cs="Times New Roman"/>
                <w:sz w:val="20"/>
              </w:rPr>
              <w:t>Własne</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7E10D" w14:textId="0623D0D9" w:rsidR="006331D3" w:rsidRPr="00154E08" w:rsidRDefault="006331D3" w:rsidP="006331D3">
            <w:pPr>
              <w:spacing w:line="240" w:lineRule="auto"/>
              <w:jc w:val="both"/>
              <w:rPr>
                <w:rFonts w:cs="Times New Roman"/>
                <w:sz w:val="20"/>
              </w:rPr>
            </w:pPr>
            <w:r w:rsidRPr="00154E08">
              <w:rPr>
                <w:rFonts w:cs="Times New Roman"/>
                <w:sz w:val="20"/>
              </w:rPr>
              <w:t>Stopniowe ograniczanie przychodów z tytułu opłaty zastępczej</w:t>
            </w:r>
          </w:p>
        </w:tc>
        <w:tc>
          <w:tcPr>
            <w:tcW w:w="1256" w:type="dxa"/>
          </w:tcPr>
          <w:p w14:paraId="50519028" w14:textId="77777777" w:rsidR="006331D3" w:rsidRPr="00154E08" w:rsidRDefault="006331D3" w:rsidP="006331D3">
            <w:pPr>
              <w:rPr>
                <w:rFonts w:cs="Times New Roman"/>
              </w:rPr>
            </w:pPr>
          </w:p>
        </w:tc>
      </w:tr>
      <w:tr w:rsidR="006331D3" w:rsidRPr="00154E08" w14:paraId="0C70E7F1" w14:textId="77777777" w:rsidTr="3E65ED00">
        <w:trPr>
          <w:trHeight w:val="30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center"/>
          </w:tcPr>
          <w:p w14:paraId="1323BA2F" w14:textId="77777777" w:rsidR="006331D3" w:rsidRPr="00154E08" w:rsidRDefault="006331D3" w:rsidP="006331D3">
            <w:pPr>
              <w:numPr>
                <w:ilvl w:val="0"/>
                <w:numId w:val="1"/>
              </w:numPr>
              <w:spacing w:before="60" w:after="60" w:line="240" w:lineRule="auto"/>
              <w:ind w:left="318" w:hanging="284"/>
              <w:jc w:val="both"/>
              <w:rPr>
                <w:rFonts w:eastAsia="Calibri" w:cs="Times New Roman"/>
                <w:b/>
                <w:color w:val="000000"/>
                <w:sz w:val="22"/>
                <w:szCs w:val="22"/>
              </w:rPr>
            </w:pPr>
            <w:r w:rsidRPr="00154E08">
              <w:rPr>
                <w:rFonts w:eastAsia="Calibri" w:cs="Times New Roman"/>
                <w:b/>
                <w:color w:val="000000"/>
                <w:sz w:val="22"/>
                <w:szCs w:val="22"/>
              </w:rPr>
              <w:t>Informacje na temat zakresu, czasu trwania i podsumowanie wyników konsultacji</w:t>
            </w:r>
          </w:p>
        </w:tc>
        <w:tc>
          <w:tcPr>
            <w:tcW w:w="1256" w:type="dxa"/>
          </w:tcPr>
          <w:p w14:paraId="5CAA4DA0" w14:textId="77777777" w:rsidR="006331D3" w:rsidRPr="00154E08" w:rsidRDefault="006331D3" w:rsidP="006331D3">
            <w:pPr>
              <w:rPr>
                <w:rFonts w:cs="Times New Roman"/>
                <w:sz w:val="22"/>
                <w:szCs w:val="22"/>
              </w:rPr>
            </w:pPr>
          </w:p>
        </w:tc>
      </w:tr>
      <w:tr w:rsidR="006331D3" w:rsidRPr="00154E08" w14:paraId="43F9973C" w14:textId="77777777" w:rsidTr="3E65ED00">
        <w:trPr>
          <w:trHeight w:val="3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BCDA87" w14:textId="63307E41" w:rsidR="006331D3" w:rsidRPr="00154E08" w:rsidRDefault="006331D3" w:rsidP="00B279FD">
            <w:pPr>
              <w:spacing w:after="120" w:line="240" w:lineRule="auto"/>
              <w:jc w:val="both"/>
              <w:rPr>
                <w:rFonts w:cs="Times New Roman"/>
                <w:sz w:val="22"/>
                <w:szCs w:val="22"/>
              </w:rPr>
            </w:pPr>
            <w:r w:rsidRPr="00154E08">
              <w:rPr>
                <w:rFonts w:cs="Times New Roman"/>
                <w:color w:val="000000"/>
                <w:spacing w:val="-2"/>
                <w:sz w:val="22"/>
                <w:szCs w:val="22"/>
              </w:rPr>
              <w:t>Projekt ustawy</w:t>
            </w:r>
            <w:r w:rsidRPr="00154E08">
              <w:rPr>
                <w:rFonts w:cs="Times New Roman"/>
                <w:sz w:val="22"/>
                <w:szCs w:val="22"/>
              </w:rPr>
              <w:t xml:space="preserve"> będzie przedmiotem uzgodnień, konsultacji oraz opiniowania.</w:t>
            </w:r>
          </w:p>
          <w:p w14:paraId="4C2BC8BA" w14:textId="5EFB91D1" w:rsidR="006331D3" w:rsidRPr="00154E08" w:rsidRDefault="006331D3" w:rsidP="00B279FD">
            <w:pPr>
              <w:spacing w:after="120" w:line="240" w:lineRule="auto"/>
              <w:jc w:val="both"/>
              <w:rPr>
                <w:rFonts w:cs="Times New Roman"/>
                <w:color w:val="000000"/>
                <w:spacing w:val="-2"/>
                <w:sz w:val="22"/>
                <w:szCs w:val="22"/>
              </w:rPr>
            </w:pPr>
            <w:r w:rsidRPr="00154E08">
              <w:rPr>
                <w:rFonts w:cs="Times New Roman"/>
                <w:color w:val="000000"/>
                <w:spacing w:val="-2"/>
                <w:sz w:val="22"/>
                <w:szCs w:val="22"/>
              </w:rPr>
              <w:t xml:space="preserve">Projekt ustawy, zgodnie z art. 5 ustawy z dnia 7 lipca 2005 r. o działalności lobbingowej w procesie stanowienia prawa i § 52 uchwały nr 190 Rady Ministrów z dnia 29 października 2013 r. – Regulamin pracy Rady Ministrów, będzie udostępniony w Biuletynie Informacji Publicznej, na stronie podmiotowej Rządowego Centrum Legislacji, w serwisie Rządowy Proces Legislacyjny, a także udostępniony bezpośrednio administracji, podmiotom i organizacjom branżowym, w szczególności przekazany do konsultacji (z terminem 21 dni) do następujących podmiotów: </w:t>
            </w:r>
          </w:p>
          <w:tbl>
            <w:tblPr>
              <w:tblW w:w="9699" w:type="dxa"/>
              <w:tblLayout w:type="fixed"/>
              <w:tblCellMar>
                <w:left w:w="70" w:type="dxa"/>
                <w:right w:w="70" w:type="dxa"/>
              </w:tblCellMar>
              <w:tblLook w:val="04A0" w:firstRow="1" w:lastRow="0" w:firstColumn="1" w:lastColumn="0" w:noHBand="0" w:noVBand="1"/>
            </w:tblPr>
            <w:tblGrid>
              <w:gridCol w:w="9699"/>
            </w:tblGrid>
            <w:tr w:rsidR="006331D3" w:rsidRPr="00154E08" w14:paraId="5B67FD6B" w14:textId="77777777" w:rsidTr="3E65ED00">
              <w:trPr>
                <w:trHeight w:val="288"/>
              </w:trPr>
              <w:tc>
                <w:tcPr>
                  <w:tcW w:w="9699" w:type="dxa"/>
                  <w:shd w:val="clear" w:color="auto" w:fill="auto"/>
                  <w:vAlign w:val="bottom"/>
                </w:tcPr>
                <w:p w14:paraId="3405BE72" w14:textId="4D849C4F" w:rsidR="006331D3" w:rsidRPr="00154E08" w:rsidRDefault="006331D3" w:rsidP="00B279FD">
                  <w:pPr>
                    <w:pStyle w:val="Akapitzlist"/>
                    <w:numPr>
                      <w:ilvl w:val="0"/>
                      <w:numId w:val="21"/>
                    </w:numPr>
                    <w:spacing w:line="240" w:lineRule="auto"/>
                    <w:ind w:left="714" w:hanging="357"/>
                    <w:contextualSpacing w:val="0"/>
                    <w:rPr>
                      <w:rFonts w:ascii="Times New Roman" w:hAnsi="Times New Roman"/>
                      <w:sz w:val="22"/>
                      <w:szCs w:val="22"/>
                    </w:rPr>
                  </w:pPr>
                  <w:proofErr w:type="spellStart"/>
                  <w:r w:rsidRPr="00154E08">
                    <w:rPr>
                      <w:rFonts w:ascii="Times New Roman" w:hAnsi="Times New Roman"/>
                      <w:sz w:val="22"/>
                      <w:szCs w:val="22"/>
                    </w:rPr>
                    <w:t>Aramco</w:t>
                  </w:r>
                  <w:proofErr w:type="spellEnd"/>
                  <w:r w:rsidRPr="00154E08">
                    <w:rPr>
                      <w:rFonts w:ascii="Times New Roman" w:hAnsi="Times New Roman"/>
                      <w:sz w:val="22"/>
                      <w:szCs w:val="22"/>
                    </w:rPr>
                    <w:t xml:space="preserve"> </w:t>
                  </w:r>
                  <w:proofErr w:type="spellStart"/>
                  <w:r w:rsidRPr="00154E08">
                    <w:rPr>
                      <w:rFonts w:ascii="Times New Roman" w:hAnsi="Times New Roman"/>
                      <w:sz w:val="22"/>
                      <w:szCs w:val="22"/>
                    </w:rPr>
                    <w:t>Fuels</w:t>
                  </w:r>
                  <w:proofErr w:type="spellEnd"/>
                  <w:r w:rsidRPr="00154E08">
                    <w:rPr>
                      <w:rFonts w:ascii="Times New Roman" w:hAnsi="Times New Roman"/>
                      <w:sz w:val="22"/>
                      <w:szCs w:val="22"/>
                    </w:rPr>
                    <w:t xml:space="preserve"> Poland Sp. z o.o.</w:t>
                  </w:r>
                  <w:r w:rsidR="007D0AD5" w:rsidRPr="00154E08">
                    <w:rPr>
                      <w:rFonts w:ascii="Times New Roman" w:hAnsi="Times New Roman"/>
                      <w:sz w:val="22"/>
                      <w:szCs w:val="22"/>
                    </w:rPr>
                    <w:t>;</w:t>
                  </w:r>
                </w:p>
              </w:tc>
            </w:tr>
            <w:tr w:rsidR="006331D3" w:rsidRPr="00154E08" w14:paraId="0EFF2FFF" w14:textId="77777777" w:rsidTr="3E65ED00">
              <w:trPr>
                <w:trHeight w:val="288"/>
              </w:trPr>
              <w:tc>
                <w:tcPr>
                  <w:tcW w:w="9699" w:type="dxa"/>
                  <w:shd w:val="clear" w:color="auto" w:fill="auto"/>
                  <w:vAlign w:val="bottom"/>
                </w:tcPr>
                <w:p w14:paraId="3F71E230" w14:textId="736D6C6C"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Instytut Badań i Rozwoju Motoryzacji BOSMAL</w:t>
                  </w:r>
                  <w:r w:rsidR="007D0AD5" w:rsidRPr="00154E08">
                    <w:rPr>
                      <w:rFonts w:ascii="Times New Roman" w:hAnsi="Times New Roman"/>
                      <w:sz w:val="22"/>
                      <w:szCs w:val="22"/>
                    </w:rPr>
                    <w:t>;</w:t>
                  </w:r>
                </w:p>
              </w:tc>
            </w:tr>
            <w:tr w:rsidR="006331D3" w:rsidRPr="00154E08" w14:paraId="46FC62FC" w14:textId="77777777" w:rsidTr="3E65ED00">
              <w:trPr>
                <w:trHeight w:val="288"/>
              </w:trPr>
              <w:tc>
                <w:tcPr>
                  <w:tcW w:w="9699" w:type="dxa"/>
                  <w:shd w:val="clear" w:color="auto" w:fill="auto"/>
                  <w:vAlign w:val="bottom"/>
                </w:tcPr>
                <w:p w14:paraId="6EE0F3F8" w14:textId="47E55063"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Instytut Chemii Przemysłowej</w:t>
                  </w:r>
                  <w:r w:rsidR="007D0AD5" w:rsidRPr="00154E08">
                    <w:rPr>
                      <w:rFonts w:ascii="Times New Roman" w:hAnsi="Times New Roman"/>
                      <w:sz w:val="22"/>
                      <w:szCs w:val="22"/>
                    </w:rPr>
                    <w:t>;</w:t>
                  </w:r>
                </w:p>
              </w:tc>
            </w:tr>
            <w:tr w:rsidR="006331D3" w:rsidRPr="00154E08" w14:paraId="2ED99C6E" w14:textId="77777777" w:rsidTr="3E65ED00">
              <w:trPr>
                <w:trHeight w:val="288"/>
              </w:trPr>
              <w:tc>
                <w:tcPr>
                  <w:tcW w:w="9699" w:type="dxa"/>
                  <w:shd w:val="clear" w:color="auto" w:fill="auto"/>
                  <w:vAlign w:val="bottom"/>
                </w:tcPr>
                <w:p w14:paraId="5B6E3AFB" w14:textId="4349C832"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Instytut Nafty i Gazu</w:t>
                  </w:r>
                  <w:r w:rsidR="007D0AD5" w:rsidRPr="00154E08">
                    <w:rPr>
                      <w:rFonts w:ascii="Times New Roman" w:hAnsi="Times New Roman"/>
                      <w:sz w:val="22"/>
                      <w:szCs w:val="22"/>
                    </w:rPr>
                    <w:t>;</w:t>
                  </w:r>
                </w:p>
              </w:tc>
            </w:tr>
            <w:tr w:rsidR="006331D3" w:rsidRPr="00154E08" w14:paraId="2381B245" w14:textId="77777777" w:rsidTr="3E65ED00">
              <w:trPr>
                <w:trHeight w:val="288"/>
              </w:trPr>
              <w:tc>
                <w:tcPr>
                  <w:tcW w:w="9699" w:type="dxa"/>
                  <w:shd w:val="clear" w:color="auto" w:fill="auto"/>
                  <w:vAlign w:val="bottom"/>
                </w:tcPr>
                <w:p w14:paraId="6D52FB5B" w14:textId="00920507"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Instytut Techniczny Wojsk Lotniczych</w:t>
                  </w:r>
                  <w:r w:rsidR="007D0AD5" w:rsidRPr="00154E08">
                    <w:rPr>
                      <w:rFonts w:ascii="Times New Roman" w:hAnsi="Times New Roman"/>
                      <w:sz w:val="22"/>
                      <w:szCs w:val="22"/>
                    </w:rPr>
                    <w:t>;</w:t>
                  </w:r>
                </w:p>
              </w:tc>
            </w:tr>
            <w:tr w:rsidR="006331D3" w:rsidRPr="00154E08" w14:paraId="4E887B2A" w14:textId="77777777" w:rsidTr="3E65ED00">
              <w:trPr>
                <w:trHeight w:val="288"/>
              </w:trPr>
              <w:tc>
                <w:tcPr>
                  <w:tcW w:w="9699" w:type="dxa"/>
                  <w:shd w:val="clear" w:color="auto" w:fill="auto"/>
                  <w:vAlign w:val="bottom"/>
                </w:tcPr>
                <w:p w14:paraId="0C7033DD" w14:textId="7CD78F5E"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Instytut Transportu Samochodowego</w:t>
                  </w:r>
                  <w:r w:rsidR="007D0AD5" w:rsidRPr="00154E08">
                    <w:rPr>
                      <w:rFonts w:ascii="Times New Roman" w:hAnsi="Times New Roman"/>
                      <w:sz w:val="22"/>
                      <w:szCs w:val="22"/>
                    </w:rPr>
                    <w:t>;</w:t>
                  </w:r>
                </w:p>
                <w:p w14:paraId="41A0BD3C" w14:textId="74A40155" w:rsidR="006331D3" w:rsidRPr="00154E08" w:rsidRDefault="694B9129"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Izba Gospodarcza Ciepłownictwo Polskie</w:t>
                  </w:r>
                  <w:r w:rsidR="007D0AD5" w:rsidRPr="00154E08">
                    <w:rPr>
                      <w:rFonts w:ascii="Times New Roman" w:hAnsi="Times New Roman"/>
                      <w:sz w:val="22"/>
                      <w:szCs w:val="22"/>
                    </w:rPr>
                    <w:t>;</w:t>
                  </w:r>
                </w:p>
              </w:tc>
            </w:tr>
            <w:tr w:rsidR="006331D3" w:rsidRPr="00154E08" w14:paraId="7C82B1D5" w14:textId="77777777" w:rsidTr="3E65ED00">
              <w:trPr>
                <w:trHeight w:val="288"/>
              </w:trPr>
              <w:tc>
                <w:tcPr>
                  <w:tcW w:w="9699" w:type="dxa"/>
                  <w:shd w:val="clear" w:color="auto" w:fill="auto"/>
                  <w:vAlign w:val="bottom"/>
                </w:tcPr>
                <w:p w14:paraId="64E9E853" w14:textId="52D40CBE"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Izba Gospodarcza Gazownictwa</w:t>
                  </w:r>
                  <w:r w:rsidR="007D0AD5" w:rsidRPr="00154E08">
                    <w:rPr>
                      <w:rFonts w:ascii="Times New Roman" w:hAnsi="Times New Roman"/>
                      <w:sz w:val="22"/>
                      <w:szCs w:val="22"/>
                    </w:rPr>
                    <w:t>;</w:t>
                  </w:r>
                </w:p>
              </w:tc>
            </w:tr>
            <w:tr w:rsidR="006331D3" w:rsidRPr="00154E08" w14:paraId="4DB6A6EE" w14:textId="77777777" w:rsidTr="3E65ED00">
              <w:trPr>
                <w:trHeight w:val="288"/>
              </w:trPr>
              <w:tc>
                <w:tcPr>
                  <w:tcW w:w="9699" w:type="dxa"/>
                  <w:shd w:val="clear" w:color="auto" w:fill="auto"/>
                  <w:vAlign w:val="bottom"/>
                </w:tcPr>
                <w:p w14:paraId="7CD68B9B" w14:textId="2BF9C066"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Krajowa Izba Biegłych Rewidentów</w:t>
                  </w:r>
                  <w:r w:rsidR="007D0AD5" w:rsidRPr="00154E08">
                    <w:rPr>
                      <w:rFonts w:ascii="Times New Roman" w:hAnsi="Times New Roman"/>
                      <w:sz w:val="22"/>
                      <w:szCs w:val="22"/>
                    </w:rPr>
                    <w:t>;</w:t>
                  </w:r>
                </w:p>
              </w:tc>
            </w:tr>
            <w:tr w:rsidR="006331D3" w:rsidRPr="00154E08" w14:paraId="64CB36B7" w14:textId="77777777" w:rsidTr="3E65ED00">
              <w:trPr>
                <w:trHeight w:val="288"/>
              </w:trPr>
              <w:tc>
                <w:tcPr>
                  <w:tcW w:w="9699" w:type="dxa"/>
                  <w:shd w:val="clear" w:color="auto" w:fill="auto"/>
                  <w:vAlign w:val="bottom"/>
                </w:tcPr>
                <w:p w14:paraId="732EC868" w14:textId="2756C7B2"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Krajowa Izba Biopaliw</w:t>
                  </w:r>
                  <w:r w:rsidR="007D0AD5" w:rsidRPr="00154E08">
                    <w:rPr>
                      <w:rFonts w:ascii="Times New Roman" w:hAnsi="Times New Roman"/>
                      <w:sz w:val="22"/>
                      <w:szCs w:val="22"/>
                    </w:rPr>
                    <w:t>;</w:t>
                  </w:r>
                </w:p>
              </w:tc>
            </w:tr>
            <w:tr w:rsidR="006331D3" w:rsidRPr="00154E08" w14:paraId="6886E414" w14:textId="77777777" w:rsidTr="3E65ED00">
              <w:trPr>
                <w:trHeight w:val="288"/>
              </w:trPr>
              <w:tc>
                <w:tcPr>
                  <w:tcW w:w="9699" w:type="dxa"/>
                  <w:shd w:val="clear" w:color="auto" w:fill="auto"/>
                  <w:vAlign w:val="bottom"/>
                </w:tcPr>
                <w:p w14:paraId="62FEEAE9" w14:textId="395A2DB2"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Krajowa Izba Gospodarcza</w:t>
                  </w:r>
                  <w:r w:rsidR="007D0AD5" w:rsidRPr="00154E08">
                    <w:rPr>
                      <w:rFonts w:ascii="Times New Roman" w:hAnsi="Times New Roman"/>
                      <w:sz w:val="22"/>
                      <w:szCs w:val="22"/>
                    </w:rPr>
                    <w:t>;</w:t>
                  </w:r>
                </w:p>
              </w:tc>
            </w:tr>
            <w:tr w:rsidR="006331D3" w:rsidRPr="00154E08" w14:paraId="1159530C" w14:textId="77777777" w:rsidTr="3E65ED00">
              <w:trPr>
                <w:trHeight w:val="288"/>
              </w:trPr>
              <w:tc>
                <w:tcPr>
                  <w:tcW w:w="9699" w:type="dxa"/>
                  <w:shd w:val="clear" w:color="auto" w:fill="auto"/>
                  <w:vAlign w:val="bottom"/>
                </w:tcPr>
                <w:p w14:paraId="19E8C1A3" w14:textId="7594E835"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Krajowa Izba Paliw Alternatywnych</w:t>
                  </w:r>
                  <w:r w:rsidR="007D0AD5" w:rsidRPr="00154E08">
                    <w:rPr>
                      <w:rFonts w:ascii="Times New Roman" w:hAnsi="Times New Roman"/>
                      <w:sz w:val="22"/>
                      <w:szCs w:val="22"/>
                    </w:rPr>
                    <w:t>;</w:t>
                  </w:r>
                </w:p>
              </w:tc>
            </w:tr>
            <w:tr w:rsidR="006331D3" w:rsidRPr="00154E08" w14:paraId="17E48CB0" w14:textId="77777777" w:rsidTr="3E65ED00">
              <w:trPr>
                <w:trHeight w:val="288"/>
              </w:trPr>
              <w:tc>
                <w:tcPr>
                  <w:tcW w:w="9699" w:type="dxa"/>
                  <w:shd w:val="clear" w:color="auto" w:fill="auto"/>
                  <w:vAlign w:val="bottom"/>
                </w:tcPr>
                <w:p w14:paraId="2AD3BC1E" w14:textId="7857D909"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Krajowa Rada Gorzelnictwa i Produkcji Biopaliw</w:t>
                  </w:r>
                  <w:r w:rsidR="007D0AD5" w:rsidRPr="00154E08">
                    <w:rPr>
                      <w:rFonts w:ascii="Times New Roman" w:hAnsi="Times New Roman"/>
                      <w:sz w:val="22"/>
                      <w:szCs w:val="22"/>
                    </w:rPr>
                    <w:t>;</w:t>
                  </w:r>
                </w:p>
              </w:tc>
            </w:tr>
            <w:tr w:rsidR="006331D3" w:rsidRPr="00154E08" w14:paraId="39B1A75E" w14:textId="77777777" w:rsidTr="3E65ED00">
              <w:trPr>
                <w:trHeight w:val="288"/>
              </w:trPr>
              <w:tc>
                <w:tcPr>
                  <w:tcW w:w="9699" w:type="dxa"/>
                  <w:shd w:val="clear" w:color="auto" w:fill="auto"/>
                  <w:vAlign w:val="bottom"/>
                </w:tcPr>
                <w:p w14:paraId="35F601D9" w14:textId="0AE480E6"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Krajowe Zrzeszenia Producentów Rzepaku</w:t>
                  </w:r>
                  <w:r w:rsidR="007D0AD5" w:rsidRPr="00154E08">
                    <w:rPr>
                      <w:rFonts w:ascii="Times New Roman" w:hAnsi="Times New Roman"/>
                      <w:sz w:val="22"/>
                      <w:szCs w:val="22"/>
                    </w:rPr>
                    <w:t>;</w:t>
                  </w:r>
                </w:p>
              </w:tc>
            </w:tr>
            <w:tr w:rsidR="006331D3" w:rsidRPr="00154E08" w14:paraId="7EB8CA8C" w14:textId="77777777" w:rsidTr="3E65ED00">
              <w:trPr>
                <w:trHeight w:val="288"/>
              </w:trPr>
              <w:tc>
                <w:tcPr>
                  <w:tcW w:w="9699" w:type="dxa"/>
                  <w:shd w:val="clear" w:color="auto" w:fill="auto"/>
                  <w:vAlign w:val="bottom"/>
                </w:tcPr>
                <w:p w14:paraId="6F6E8A33" w14:textId="7B31BAD6" w:rsidR="006331D3" w:rsidRPr="00154E08" w:rsidRDefault="006331D3" w:rsidP="00B279FD">
                  <w:pPr>
                    <w:pStyle w:val="Akapitzlist"/>
                    <w:numPr>
                      <w:ilvl w:val="0"/>
                      <w:numId w:val="21"/>
                    </w:numPr>
                    <w:spacing w:line="240" w:lineRule="auto"/>
                    <w:contextualSpacing w:val="0"/>
                    <w:rPr>
                      <w:rFonts w:ascii="Times New Roman" w:hAnsi="Times New Roman"/>
                      <w:sz w:val="22"/>
                      <w:szCs w:val="22"/>
                      <w:lang w:val="en-GB"/>
                    </w:rPr>
                  </w:pPr>
                  <w:r w:rsidRPr="00154E08">
                    <w:rPr>
                      <w:rFonts w:ascii="Times New Roman" w:hAnsi="Times New Roman"/>
                      <w:sz w:val="22"/>
                      <w:szCs w:val="22"/>
                      <w:lang w:val="en-GB"/>
                    </w:rPr>
                    <w:t>Orlen S.A.</w:t>
                  </w:r>
                  <w:r w:rsidR="007D0AD5" w:rsidRPr="00154E08">
                    <w:rPr>
                      <w:rFonts w:ascii="Times New Roman" w:hAnsi="Times New Roman"/>
                      <w:sz w:val="22"/>
                      <w:szCs w:val="22"/>
                      <w:lang w:val="en-GB"/>
                    </w:rPr>
                    <w:t>;</w:t>
                  </w:r>
                </w:p>
              </w:tc>
            </w:tr>
            <w:tr w:rsidR="006331D3" w:rsidRPr="00154E08" w14:paraId="24327CF1" w14:textId="77777777" w:rsidTr="3E65ED00">
              <w:trPr>
                <w:trHeight w:val="288"/>
              </w:trPr>
              <w:tc>
                <w:tcPr>
                  <w:tcW w:w="9699" w:type="dxa"/>
                  <w:shd w:val="clear" w:color="auto" w:fill="auto"/>
                  <w:vAlign w:val="bottom"/>
                </w:tcPr>
                <w:p w14:paraId="43AF173B" w14:textId="3DD9A84A" w:rsidR="006331D3" w:rsidRPr="00154E08" w:rsidRDefault="006331D3" w:rsidP="00B279FD">
                  <w:pPr>
                    <w:pStyle w:val="Akapitzlist"/>
                    <w:numPr>
                      <w:ilvl w:val="0"/>
                      <w:numId w:val="21"/>
                    </w:numPr>
                    <w:spacing w:line="240" w:lineRule="auto"/>
                    <w:contextualSpacing w:val="0"/>
                    <w:rPr>
                      <w:rFonts w:ascii="Times New Roman" w:hAnsi="Times New Roman"/>
                      <w:sz w:val="22"/>
                      <w:szCs w:val="22"/>
                      <w:lang w:val="en-GB"/>
                    </w:rPr>
                  </w:pPr>
                  <w:r w:rsidRPr="00154E08">
                    <w:rPr>
                      <w:rFonts w:ascii="Times New Roman" w:hAnsi="Times New Roman"/>
                      <w:sz w:val="22"/>
                      <w:szCs w:val="22"/>
                      <w:lang w:val="en-GB"/>
                    </w:rPr>
                    <w:t>PERN S.A.</w:t>
                  </w:r>
                  <w:r w:rsidR="007D0AD5" w:rsidRPr="00154E08">
                    <w:rPr>
                      <w:rFonts w:ascii="Times New Roman" w:hAnsi="Times New Roman"/>
                      <w:sz w:val="22"/>
                      <w:szCs w:val="22"/>
                      <w:lang w:val="en-GB"/>
                    </w:rPr>
                    <w:t>;</w:t>
                  </w:r>
                </w:p>
                <w:p w14:paraId="20A65BFD" w14:textId="621A0528" w:rsidR="006331D3" w:rsidRPr="00154E08" w:rsidRDefault="1BC74033" w:rsidP="00B279FD">
                  <w:pPr>
                    <w:pStyle w:val="Akapitzlist"/>
                    <w:numPr>
                      <w:ilvl w:val="0"/>
                      <w:numId w:val="21"/>
                    </w:numPr>
                    <w:spacing w:line="240" w:lineRule="auto"/>
                    <w:contextualSpacing w:val="0"/>
                    <w:rPr>
                      <w:rFonts w:ascii="Times New Roman" w:hAnsi="Times New Roman"/>
                      <w:sz w:val="22"/>
                      <w:szCs w:val="22"/>
                      <w:lang w:val="en-GB"/>
                    </w:rPr>
                  </w:pPr>
                  <w:r w:rsidRPr="00154E08">
                    <w:rPr>
                      <w:rFonts w:ascii="Times New Roman" w:hAnsi="Times New Roman"/>
                      <w:sz w:val="22"/>
                      <w:szCs w:val="22"/>
                      <w:lang w:val="en-GB"/>
                    </w:rPr>
                    <w:t xml:space="preserve">Polska Izba </w:t>
                  </w:r>
                  <w:proofErr w:type="spellStart"/>
                  <w:r w:rsidRPr="00154E08">
                    <w:rPr>
                      <w:rFonts w:ascii="Times New Roman" w:hAnsi="Times New Roman"/>
                      <w:sz w:val="22"/>
                      <w:szCs w:val="22"/>
                      <w:lang w:val="en-GB"/>
                    </w:rPr>
                    <w:t>Biomasy</w:t>
                  </w:r>
                  <w:proofErr w:type="spellEnd"/>
                  <w:r w:rsidR="007D0AD5" w:rsidRPr="00154E08">
                    <w:rPr>
                      <w:rFonts w:ascii="Times New Roman" w:hAnsi="Times New Roman"/>
                      <w:sz w:val="22"/>
                      <w:szCs w:val="22"/>
                      <w:lang w:val="en-GB"/>
                    </w:rPr>
                    <w:t>;</w:t>
                  </w:r>
                </w:p>
                <w:p w14:paraId="123F5F2A" w14:textId="1B44CD6A" w:rsidR="006331D3" w:rsidRPr="00154E08" w:rsidRDefault="1BC7403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Polska Izba Gospodarcza Energii Odnawialnej i Rozproszonej</w:t>
                  </w:r>
                  <w:r w:rsidR="007D0AD5" w:rsidRPr="00154E08">
                    <w:rPr>
                      <w:rFonts w:ascii="Times New Roman" w:hAnsi="Times New Roman"/>
                      <w:sz w:val="22"/>
                      <w:szCs w:val="22"/>
                    </w:rPr>
                    <w:t>;</w:t>
                  </w:r>
                </w:p>
              </w:tc>
            </w:tr>
            <w:tr w:rsidR="006331D3" w:rsidRPr="00154E08" w14:paraId="70EDBC7A" w14:textId="77777777" w:rsidTr="3E65ED00">
              <w:trPr>
                <w:trHeight w:val="288"/>
              </w:trPr>
              <w:tc>
                <w:tcPr>
                  <w:tcW w:w="9699" w:type="dxa"/>
                  <w:shd w:val="clear" w:color="auto" w:fill="auto"/>
                  <w:vAlign w:val="bottom"/>
                </w:tcPr>
                <w:p w14:paraId="3FEFE33F" w14:textId="398914FB"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Polska Izba Motoryzacji</w:t>
                  </w:r>
                  <w:r w:rsidR="007D0AD5" w:rsidRPr="00154E08">
                    <w:rPr>
                      <w:rFonts w:ascii="Times New Roman" w:hAnsi="Times New Roman"/>
                      <w:sz w:val="22"/>
                      <w:szCs w:val="22"/>
                    </w:rPr>
                    <w:t>;</w:t>
                  </w:r>
                </w:p>
              </w:tc>
            </w:tr>
            <w:tr w:rsidR="006331D3" w:rsidRPr="00154E08" w14:paraId="0D0D0592" w14:textId="77777777" w:rsidTr="3E65ED00">
              <w:trPr>
                <w:trHeight w:val="288"/>
              </w:trPr>
              <w:tc>
                <w:tcPr>
                  <w:tcW w:w="9699" w:type="dxa"/>
                  <w:shd w:val="clear" w:color="auto" w:fill="auto"/>
                  <w:vAlign w:val="bottom"/>
                </w:tcPr>
                <w:p w14:paraId="6B64974B" w14:textId="5AF6A0DF"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Polska Izba Gazu Płynnego</w:t>
                  </w:r>
                  <w:r w:rsidR="007D0AD5" w:rsidRPr="00154E08">
                    <w:rPr>
                      <w:rFonts w:ascii="Times New Roman" w:hAnsi="Times New Roman"/>
                      <w:sz w:val="22"/>
                      <w:szCs w:val="22"/>
                    </w:rPr>
                    <w:t>;</w:t>
                  </w:r>
                </w:p>
              </w:tc>
            </w:tr>
            <w:tr w:rsidR="006331D3" w:rsidRPr="00154E08" w14:paraId="2FA94997" w14:textId="77777777" w:rsidTr="3E65ED00">
              <w:trPr>
                <w:trHeight w:val="288"/>
              </w:trPr>
              <w:tc>
                <w:tcPr>
                  <w:tcW w:w="9699" w:type="dxa"/>
                  <w:shd w:val="clear" w:color="auto" w:fill="auto"/>
                  <w:vAlign w:val="bottom"/>
                </w:tcPr>
                <w:p w14:paraId="479B661D" w14:textId="428673FD"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Polska Izba Paliw Płynnych</w:t>
                  </w:r>
                  <w:r w:rsidR="007D0AD5" w:rsidRPr="00154E08">
                    <w:rPr>
                      <w:rFonts w:ascii="Times New Roman" w:hAnsi="Times New Roman"/>
                      <w:sz w:val="22"/>
                      <w:szCs w:val="22"/>
                    </w:rPr>
                    <w:t>;</w:t>
                  </w:r>
                </w:p>
              </w:tc>
            </w:tr>
            <w:tr w:rsidR="006331D3" w:rsidRPr="00154E08" w14:paraId="19B3D8CE" w14:textId="77777777" w:rsidTr="3E65ED00">
              <w:trPr>
                <w:trHeight w:val="288"/>
              </w:trPr>
              <w:tc>
                <w:tcPr>
                  <w:tcW w:w="9699" w:type="dxa"/>
                  <w:shd w:val="clear" w:color="auto" w:fill="auto"/>
                  <w:vAlign w:val="bottom"/>
                </w:tcPr>
                <w:p w14:paraId="7ADDB495" w14:textId="3B1C76BE"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Polska Organizacja Przemysłu i Handlu Naftowego</w:t>
                  </w:r>
                  <w:r w:rsidR="007D0AD5" w:rsidRPr="00154E08">
                    <w:rPr>
                      <w:rFonts w:ascii="Times New Roman" w:hAnsi="Times New Roman"/>
                      <w:sz w:val="22"/>
                      <w:szCs w:val="22"/>
                    </w:rPr>
                    <w:t>;</w:t>
                  </w:r>
                </w:p>
                <w:p w14:paraId="0C7904A5" w14:textId="4E043BF4"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Polska Organizacja Gazu Płynnego</w:t>
                  </w:r>
                  <w:r w:rsidR="007D0AD5" w:rsidRPr="00154E08">
                    <w:rPr>
                      <w:rFonts w:ascii="Times New Roman" w:hAnsi="Times New Roman"/>
                      <w:sz w:val="22"/>
                      <w:szCs w:val="22"/>
                    </w:rPr>
                    <w:t>;</w:t>
                  </w:r>
                </w:p>
              </w:tc>
            </w:tr>
            <w:tr w:rsidR="006331D3" w:rsidRPr="00154E08" w14:paraId="0DAFF776" w14:textId="77777777" w:rsidTr="3E65ED00">
              <w:trPr>
                <w:trHeight w:val="288"/>
              </w:trPr>
              <w:tc>
                <w:tcPr>
                  <w:tcW w:w="9699" w:type="dxa"/>
                  <w:shd w:val="clear" w:color="auto" w:fill="auto"/>
                  <w:vAlign w:val="bottom"/>
                </w:tcPr>
                <w:p w14:paraId="09A9CD09" w14:textId="137CCCD2"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lastRenderedPageBreak/>
                    <w:t>Polski Związek Przemysłu Motoryzacyjnego</w:t>
                  </w:r>
                  <w:r w:rsidR="007D0AD5" w:rsidRPr="00154E08">
                    <w:rPr>
                      <w:rFonts w:ascii="Times New Roman" w:hAnsi="Times New Roman"/>
                      <w:sz w:val="22"/>
                      <w:szCs w:val="22"/>
                    </w:rPr>
                    <w:t>;</w:t>
                  </w:r>
                </w:p>
                <w:p w14:paraId="7D7B2B66" w14:textId="35CA4B36" w:rsidR="5868ACC0" w:rsidRPr="00154E08" w:rsidRDefault="5868ACC0"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Polskie Stowarzyszenie Biogazu</w:t>
                  </w:r>
                  <w:r w:rsidR="007D0AD5" w:rsidRPr="00154E08">
                    <w:rPr>
                      <w:rFonts w:ascii="Times New Roman" w:hAnsi="Times New Roman"/>
                      <w:sz w:val="22"/>
                      <w:szCs w:val="22"/>
                    </w:rPr>
                    <w:t>;</w:t>
                  </w:r>
                </w:p>
                <w:p w14:paraId="65E3C9BC" w14:textId="2CB435ED" w:rsidR="006331D3" w:rsidRPr="00154E08" w:rsidRDefault="006331D3" w:rsidP="00B279FD">
                  <w:pPr>
                    <w:pStyle w:val="Default"/>
                    <w:numPr>
                      <w:ilvl w:val="0"/>
                      <w:numId w:val="21"/>
                    </w:numPr>
                    <w:rPr>
                      <w:sz w:val="22"/>
                      <w:szCs w:val="22"/>
                    </w:rPr>
                  </w:pPr>
                  <w:r w:rsidRPr="00154E08">
                    <w:rPr>
                      <w:sz w:val="22"/>
                      <w:szCs w:val="22"/>
                    </w:rPr>
                    <w:t xml:space="preserve">Polskie Stowarzyszenie </w:t>
                  </w:r>
                  <w:proofErr w:type="spellStart"/>
                  <w:r w:rsidRPr="00154E08">
                    <w:rPr>
                      <w:sz w:val="22"/>
                      <w:szCs w:val="22"/>
                    </w:rPr>
                    <w:t>Biometanu</w:t>
                  </w:r>
                  <w:proofErr w:type="spellEnd"/>
                  <w:r w:rsidR="007D0AD5" w:rsidRPr="00154E08">
                    <w:rPr>
                      <w:sz w:val="22"/>
                      <w:szCs w:val="22"/>
                    </w:rPr>
                    <w:t>;</w:t>
                  </w:r>
                </w:p>
                <w:p w14:paraId="2391066B" w14:textId="1885A0BD" w:rsidR="006331D3" w:rsidRPr="00154E08" w:rsidRDefault="5FDD2832" w:rsidP="00B279FD">
                  <w:pPr>
                    <w:pStyle w:val="Default"/>
                    <w:numPr>
                      <w:ilvl w:val="0"/>
                      <w:numId w:val="21"/>
                    </w:numPr>
                    <w:rPr>
                      <w:color w:val="000000" w:themeColor="text1"/>
                      <w:sz w:val="22"/>
                      <w:szCs w:val="22"/>
                    </w:rPr>
                  </w:pPr>
                  <w:r w:rsidRPr="00154E08">
                    <w:rPr>
                      <w:color w:val="000000" w:themeColor="text1"/>
                      <w:sz w:val="22"/>
                      <w:szCs w:val="22"/>
                    </w:rPr>
                    <w:t>Polskie Stowarzyszenie Producentów Biogazu Rolniczego</w:t>
                  </w:r>
                  <w:r w:rsidR="007D0AD5" w:rsidRPr="00154E08">
                    <w:rPr>
                      <w:color w:val="000000" w:themeColor="text1"/>
                      <w:sz w:val="22"/>
                      <w:szCs w:val="22"/>
                    </w:rPr>
                    <w:t>;</w:t>
                  </w:r>
                </w:p>
              </w:tc>
            </w:tr>
            <w:tr w:rsidR="006331D3" w:rsidRPr="00154E08" w14:paraId="6C80A49E" w14:textId="77777777" w:rsidTr="3E65ED00">
              <w:trPr>
                <w:trHeight w:val="288"/>
              </w:trPr>
              <w:tc>
                <w:tcPr>
                  <w:tcW w:w="9699" w:type="dxa"/>
                  <w:shd w:val="clear" w:color="auto" w:fill="auto"/>
                  <w:vAlign w:val="bottom"/>
                </w:tcPr>
                <w:p w14:paraId="32B5335F" w14:textId="59742BC1"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Polskie Stowarzyszenie Producentów Oleju</w:t>
                  </w:r>
                  <w:r w:rsidR="007D0AD5" w:rsidRPr="00154E08">
                    <w:rPr>
                      <w:rFonts w:ascii="Times New Roman" w:hAnsi="Times New Roman"/>
                      <w:sz w:val="22"/>
                      <w:szCs w:val="22"/>
                    </w:rPr>
                    <w:t>;</w:t>
                  </w:r>
                </w:p>
              </w:tc>
            </w:tr>
            <w:tr w:rsidR="006331D3" w:rsidRPr="00154E08" w14:paraId="6BCFAA01" w14:textId="77777777" w:rsidTr="3E65ED00">
              <w:trPr>
                <w:trHeight w:val="288"/>
              </w:trPr>
              <w:tc>
                <w:tcPr>
                  <w:tcW w:w="9699" w:type="dxa"/>
                  <w:shd w:val="clear" w:color="auto" w:fill="auto"/>
                  <w:vAlign w:val="bottom"/>
                </w:tcPr>
                <w:p w14:paraId="1E382AD3" w14:textId="58BF74B0"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Przemysłowy Instytut Motoryzacji</w:t>
                  </w:r>
                  <w:r w:rsidR="007D0AD5" w:rsidRPr="00154E08">
                    <w:rPr>
                      <w:rFonts w:ascii="Times New Roman" w:hAnsi="Times New Roman"/>
                      <w:sz w:val="22"/>
                      <w:szCs w:val="22"/>
                    </w:rPr>
                    <w:t>;</w:t>
                  </w:r>
                </w:p>
              </w:tc>
            </w:tr>
            <w:tr w:rsidR="006331D3" w:rsidRPr="00154E08" w14:paraId="2E1C0002" w14:textId="77777777" w:rsidTr="3E65ED00">
              <w:trPr>
                <w:trHeight w:val="288"/>
              </w:trPr>
              <w:tc>
                <w:tcPr>
                  <w:tcW w:w="9699" w:type="dxa"/>
                  <w:shd w:val="clear" w:color="auto" w:fill="auto"/>
                  <w:vAlign w:val="bottom"/>
                </w:tcPr>
                <w:p w14:paraId="5D4DE391" w14:textId="43EC5B27"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Rafineria Gdańska S.A.</w:t>
                  </w:r>
                  <w:r w:rsidR="007D0AD5" w:rsidRPr="00154E08">
                    <w:rPr>
                      <w:rFonts w:ascii="Times New Roman" w:hAnsi="Times New Roman"/>
                      <w:sz w:val="22"/>
                      <w:szCs w:val="22"/>
                    </w:rPr>
                    <w:t>;</w:t>
                  </w:r>
                </w:p>
                <w:p w14:paraId="18B9E1E6" w14:textId="5D71D17D" w:rsidR="006331D3" w:rsidRPr="00154E08" w:rsidRDefault="006331D3" w:rsidP="00B279FD">
                  <w:pPr>
                    <w:pStyle w:val="Akapitzlist"/>
                    <w:numPr>
                      <w:ilvl w:val="0"/>
                      <w:numId w:val="21"/>
                    </w:numPr>
                    <w:spacing w:line="240" w:lineRule="auto"/>
                    <w:contextualSpacing w:val="0"/>
                    <w:rPr>
                      <w:rFonts w:ascii="Times New Roman" w:hAnsi="Times New Roman"/>
                      <w:sz w:val="22"/>
                      <w:szCs w:val="22"/>
                    </w:rPr>
                  </w:pPr>
                  <w:r w:rsidRPr="00154E08">
                    <w:rPr>
                      <w:rFonts w:ascii="Times New Roman" w:hAnsi="Times New Roman"/>
                      <w:sz w:val="22"/>
                      <w:szCs w:val="22"/>
                    </w:rPr>
                    <w:t>Unia Producentów i Pracodawców Przemysłu Biogazoweg</w:t>
                  </w:r>
                  <w:r w:rsidR="007D0AD5" w:rsidRPr="00154E08">
                    <w:rPr>
                      <w:rFonts w:ascii="Times New Roman" w:hAnsi="Times New Roman"/>
                      <w:sz w:val="22"/>
                      <w:szCs w:val="22"/>
                    </w:rPr>
                    <w:t>o;</w:t>
                  </w:r>
                </w:p>
              </w:tc>
            </w:tr>
            <w:tr w:rsidR="006331D3" w:rsidRPr="00154E08" w14:paraId="4208002B" w14:textId="77777777" w:rsidTr="3E65ED00">
              <w:trPr>
                <w:trHeight w:val="288"/>
              </w:trPr>
              <w:tc>
                <w:tcPr>
                  <w:tcW w:w="9699" w:type="dxa"/>
                  <w:shd w:val="clear" w:color="auto" w:fill="auto"/>
                  <w:vAlign w:val="bottom"/>
                </w:tcPr>
                <w:p w14:paraId="03392333" w14:textId="7EA49163" w:rsidR="006331D3" w:rsidRPr="00154E08" w:rsidRDefault="006331D3" w:rsidP="00B279FD">
                  <w:pPr>
                    <w:pStyle w:val="Akapitzlist"/>
                    <w:numPr>
                      <w:ilvl w:val="0"/>
                      <w:numId w:val="21"/>
                    </w:numPr>
                    <w:spacing w:after="120" w:line="240" w:lineRule="auto"/>
                    <w:rPr>
                      <w:rFonts w:ascii="Times New Roman" w:hAnsi="Times New Roman"/>
                      <w:sz w:val="22"/>
                      <w:szCs w:val="22"/>
                    </w:rPr>
                  </w:pPr>
                  <w:r w:rsidRPr="00154E08">
                    <w:rPr>
                      <w:rFonts w:ascii="Times New Roman" w:hAnsi="Times New Roman"/>
                      <w:sz w:val="22"/>
                      <w:szCs w:val="22"/>
                    </w:rPr>
                    <w:t>Związek Gorzelni Polskich</w:t>
                  </w:r>
                  <w:r w:rsidR="007D0AD5" w:rsidRPr="00154E08">
                    <w:rPr>
                      <w:rFonts w:ascii="Times New Roman" w:hAnsi="Times New Roman"/>
                      <w:sz w:val="22"/>
                      <w:szCs w:val="22"/>
                    </w:rPr>
                    <w:t>.</w:t>
                  </w:r>
                </w:p>
              </w:tc>
            </w:tr>
          </w:tbl>
          <w:p w14:paraId="1DB687BB" w14:textId="7A2AB3E8" w:rsidR="006331D3" w:rsidRPr="00154E08" w:rsidRDefault="007D0AD5" w:rsidP="00B279FD">
            <w:pPr>
              <w:spacing w:after="120" w:line="240" w:lineRule="auto"/>
              <w:rPr>
                <w:rFonts w:cs="Times New Roman"/>
                <w:sz w:val="22"/>
                <w:szCs w:val="22"/>
              </w:rPr>
            </w:pPr>
            <w:r w:rsidRPr="00154E08">
              <w:rPr>
                <w:rFonts w:cs="Times New Roman"/>
                <w:sz w:val="22"/>
                <w:szCs w:val="22"/>
              </w:rPr>
              <w:t xml:space="preserve">Projekt zostanie </w:t>
            </w:r>
            <w:r w:rsidR="006331D3" w:rsidRPr="00154E08">
              <w:rPr>
                <w:rFonts w:cs="Times New Roman"/>
                <w:sz w:val="22"/>
                <w:szCs w:val="22"/>
              </w:rPr>
              <w:t xml:space="preserve">przekazany do zaopiniowania </w:t>
            </w:r>
            <w:r w:rsidR="00B775D6" w:rsidRPr="00154E08">
              <w:rPr>
                <w:rFonts w:cs="Times New Roman"/>
                <w:sz w:val="22"/>
                <w:szCs w:val="22"/>
              </w:rPr>
              <w:t xml:space="preserve">na </w:t>
            </w:r>
            <w:r w:rsidR="006331D3" w:rsidRPr="00154E08">
              <w:rPr>
                <w:rFonts w:cs="Times New Roman"/>
                <w:sz w:val="22"/>
                <w:szCs w:val="22"/>
              </w:rPr>
              <w:t>21 dni następującym podmiotom:</w:t>
            </w:r>
          </w:p>
          <w:p w14:paraId="48470E3C" w14:textId="650E7622" w:rsidR="006331D3" w:rsidRPr="00154E08" w:rsidRDefault="006331D3" w:rsidP="00B279FD">
            <w:pPr>
              <w:pStyle w:val="Akapitzlist"/>
              <w:numPr>
                <w:ilvl w:val="0"/>
                <w:numId w:val="16"/>
              </w:numPr>
              <w:spacing w:after="120" w:line="240" w:lineRule="auto"/>
              <w:ind w:hanging="268"/>
              <w:rPr>
                <w:rFonts w:ascii="Times New Roman" w:eastAsiaTheme="minorEastAsia" w:hAnsi="Times New Roman"/>
                <w:sz w:val="22"/>
                <w:szCs w:val="22"/>
              </w:rPr>
            </w:pPr>
            <w:r w:rsidRPr="00154E08">
              <w:rPr>
                <w:rFonts w:ascii="Times New Roman" w:eastAsiaTheme="minorEastAsia" w:hAnsi="Times New Roman"/>
                <w:sz w:val="22"/>
                <w:szCs w:val="22"/>
              </w:rPr>
              <w:t>Krajowy Ośrodek Wsparcia Rolnictwa</w:t>
            </w:r>
            <w:r w:rsidR="007D0AD5" w:rsidRPr="00154E08">
              <w:rPr>
                <w:rFonts w:ascii="Times New Roman" w:eastAsiaTheme="minorEastAsia" w:hAnsi="Times New Roman"/>
                <w:sz w:val="22"/>
                <w:szCs w:val="22"/>
              </w:rPr>
              <w:t>;</w:t>
            </w:r>
          </w:p>
          <w:p w14:paraId="5CBA1145" w14:textId="48BED209" w:rsidR="4B7CFA4D" w:rsidRPr="00154E08" w:rsidRDefault="4B7CFA4D" w:rsidP="00B279FD">
            <w:pPr>
              <w:pStyle w:val="Akapitzlist"/>
              <w:numPr>
                <w:ilvl w:val="0"/>
                <w:numId w:val="16"/>
              </w:numPr>
              <w:spacing w:after="120" w:line="240" w:lineRule="auto"/>
              <w:ind w:hanging="268"/>
              <w:rPr>
                <w:rFonts w:ascii="Times New Roman" w:eastAsiaTheme="minorEastAsia" w:hAnsi="Times New Roman"/>
                <w:sz w:val="22"/>
                <w:szCs w:val="22"/>
              </w:rPr>
            </w:pPr>
            <w:r w:rsidRPr="00154E08">
              <w:rPr>
                <w:rFonts w:ascii="Times New Roman" w:eastAsiaTheme="minorEastAsia" w:hAnsi="Times New Roman"/>
                <w:sz w:val="22"/>
                <w:szCs w:val="22"/>
              </w:rPr>
              <w:t>Polskie Centrum Akredytacji</w:t>
            </w:r>
            <w:r w:rsidR="007D0AD5" w:rsidRPr="00154E08">
              <w:rPr>
                <w:rFonts w:ascii="Times New Roman" w:eastAsiaTheme="minorEastAsia" w:hAnsi="Times New Roman"/>
                <w:sz w:val="22"/>
                <w:szCs w:val="22"/>
              </w:rPr>
              <w:t>;</w:t>
            </w:r>
          </w:p>
          <w:p w14:paraId="680CA8A0" w14:textId="3B8EC8B3" w:rsidR="006331D3" w:rsidRPr="00154E08" w:rsidRDefault="006331D3" w:rsidP="00B279FD">
            <w:pPr>
              <w:pStyle w:val="Akapitzlist"/>
              <w:numPr>
                <w:ilvl w:val="0"/>
                <w:numId w:val="16"/>
              </w:numPr>
              <w:spacing w:after="120" w:line="240" w:lineRule="auto"/>
              <w:ind w:hanging="268"/>
              <w:rPr>
                <w:rFonts w:ascii="Times New Roman" w:hAnsi="Times New Roman"/>
                <w:sz w:val="22"/>
                <w:szCs w:val="22"/>
              </w:rPr>
            </w:pPr>
            <w:r w:rsidRPr="00154E08">
              <w:rPr>
                <w:rFonts w:ascii="Times New Roman" w:eastAsiaTheme="minorEastAsia" w:hAnsi="Times New Roman"/>
                <w:sz w:val="22"/>
                <w:szCs w:val="22"/>
              </w:rPr>
              <w:t>Rzecznik Małych i Średnich Przedsiębiorców</w:t>
            </w:r>
            <w:r w:rsidR="007D0AD5" w:rsidRPr="00154E08">
              <w:rPr>
                <w:rFonts w:ascii="Times New Roman" w:eastAsiaTheme="minorEastAsia" w:hAnsi="Times New Roman"/>
                <w:sz w:val="22"/>
                <w:szCs w:val="22"/>
              </w:rPr>
              <w:t>;</w:t>
            </w:r>
          </w:p>
          <w:p w14:paraId="7EBC59EF" w14:textId="4664A510" w:rsidR="006331D3" w:rsidRPr="00154E08" w:rsidRDefault="006331D3" w:rsidP="00B279FD">
            <w:pPr>
              <w:pStyle w:val="Akapitzlist"/>
              <w:numPr>
                <w:ilvl w:val="0"/>
                <w:numId w:val="16"/>
              </w:numPr>
              <w:spacing w:after="120" w:line="240" w:lineRule="auto"/>
              <w:ind w:hanging="268"/>
              <w:rPr>
                <w:rFonts w:ascii="Times New Roman" w:hAnsi="Times New Roman"/>
                <w:sz w:val="22"/>
                <w:szCs w:val="22"/>
              </w:rPr>
            </w:pPr>
            <w:r w:rsidRPr="00154E08">
              <w:rPr>
                <w:rFonts w:ascii="Times New Roman" w:eastAsiaTheme="minorEastAsia" w:hAnsi="Times New Roman"/>
                <w:sz w:val="22"/>
                <w:szCs w:val="22"/>
              </w:rPr>
              <w:t>Urząd Ochrony Konkurencji i Konsumentów</w:t>
            </w:r>
            <w:r w:rsidR="007D0AD5" w:rsidRPr="00154E08">
              <w:rPr>
                <w:rFonts w:ascii="Times New Roman" w:eastAsiaTheme="minorEastAsia" w:hAnsi="Times New Roman"/>
                <w:sz w:val="22"/>
                <w:szCs w:val="22"/>
              </w:rPr>
              <w:t>;</w:t>
            </w:r>
          </w:p>
          <w:p w14:paraId="7AC19C3E" w14:textId="56B17B04" w:rsidR="006331D3" w:rsidRPr="00154E08" w:rsidRDefault="006331D3" w:rsidP="00B279FD">
            <w:pPr>
              <w:pStyle w:val="Akapitzlist"/>
              <w:numPr>
                <w:ilvl w:val="0"/>
                <w:numId w:val="16"/>
              </w:numPr>
              <w:spacing w:after="120" w:line="240" w:lineRule="auto"/>
              <w:ind w:hanging="268"/>
              <w:rPr>
                <w:rFonts w:ascii="Times New Roman" w:hAnsi="Times New Roman"/>
                <w:sz w:val="22"/>
                <w:szCs w:val="22"/>
              </w:rPr>
            </w:pPr>
            <w:r w:rsidRPr="00154E08">
              <w:rPr>
                <w:rFonts w:ascii="Times New Roman" w:eastAsiaTheme="minorEastAsia" w:hAnsi="Times New Roman"/>
                <w:sz w:val="22"/>
                <w:szCs w:val="22"/>
              </w:rPr>
              <w:t>Urząd Regulacji Energetyki</w:t>
            </w:r>
            <w:r w:rsidR="007D0AD5" w:rsidRPr="00154E08">
              <w:rPr>
                <w:rFonts w:ascii="Times New Roman" w:eastAsiaTheme="minorEastAsia" w:hAnsi="Times New Roman"/>
                <w:sz w:val="22"/>
                <w:szCs w:val="22"/>
              </w:rPr>
              <w:t>.</w:t>
            </w:r>
          </w:p>
          <w:p w14:paraId="4C4DBEC5" w14:textId="50598122" w:rsidR="006331D3" w:rsidRPr="00154E08" w:rsidRDefault="006331D3" w:rsidP="00B279FD">
            <w:pPr>
              <w:spacing w:after="120" w:line="240" w:lineRule="auto"/>
              <w:jc w:val="both"/>
              <w:rPr>
                <w:rFonts w:cs="Times New Roman"/>
                <w:color w:val="000000" w:themeColor="text1"/>
                <w:sz w:val="22"/>
                <w:szCs w:val="22"/>
              </w:rPr>
            </w:pPr>
            <w:r w:rsidRPr="00154E08">
              <w:rPr>
                <w:rFonts w:cs="Times New Roman"/>
                <w:sz w:val="22"/>
                <w:szCs w:val="22"/>
              </w:rPr>
              <w:t>Z uwagi na zakres projektu ustawy</w:t>
            </w:r>
            <w:r w:rsidRPr="00154E08">
              <w:rPr>
                <w:rFonts w:cs="Times New Roman"/>
                <w:iCs/>
                <w:sz w:val="22"/>
                <w:szCs w:val="22"/>
              </w:rPr>
              <w:t>,</w:t>
            </w:r>
            <w:r w:rsidRPr="00154E08">
              <w:rPr>
                <w:rFonts w:cs="Times New Roman"/>
                <w:sz w:val="22"/>
                <w:szCs w:val="22"/>
              </w:rPr>
              <w:t xml:space="preserve"> który zasadniczo jest inicjatywą wynikającą z konieczności wdrożenia dyrektywy 2018/2001, lecz może </w:t>
            </w:r>
            <w:r w:rsidRPr="00154E08">
              <w:rPr>
                <w:rFonts w:cs="Times New Roman"/>
                <w:color w:val="000000" w:themeColor="text1"/>
                <w:sz w:val="22"/>
                <w:szCs w:val="22"/>
              </w:rPr>
              <w:t xml:space="preserve">dotyczyć praw i interesów związków pracodawców, </w:t>
            </w:r>
            <w:r w:rsidRPr="00154E08">
              <w:rPr>
                <w:rFonts w:cs="Times New Roman"/>
                <w:sz w:val="22"/>
                <w:szCs w:val="22"/>
              </w:rPr>
              <w:t>zostanie przekazany do</w:t>
            </w:r>
            <w:r w:rsidRPr="00154E08">
              <w:rPr>
                <w:rFonts w:cs="Times New Roman"/>
                <w:color w:val="000000" w:themeColor="text1"/>
                <w:sz w:val="22"/>
                <w:szCs w:val="22"/>
              </w:rPr>
              <w:t xml:space="preserve"> opiniowania </w:t>
            </w:r>
            <w:r w:rsidR="001D3DC0" w:rsidRPr="00154E08">
              <w:rPr>
                <w:rFonts w:cs="Times New Roman"/>
                <w:color w:val="000000" w:themeColor="text1"/>
                <w:sz w:val="22"/>
                <w:szCs w:val="22"/>
              </w:rPr>
              <w:t>(z terminem 21 dni)</w:t>
            </w:r>
            <w:r w:rsidRPr="00154E08">
              <w:rPr>
                <w:rFonts w:cs="Times New Roman"/>
                <w:color w:val="000000" w:themeColor="text1"/>
                <w:sz w:val="22"/>
                <w:szCs w:val="22"/>
              </w:rPr>
              <w:t xml:space="preserve"> przez reprezentatywne organizacje pracodawców</w:t>
            </w:r>
            <w:r w:rsidR="009C2F1C" w:rsidRPr="00154E08">
              <w:rPr>
                <w:rFonts w:cs="Times New Roman"/>
                <w:color w:val="000000" w:themeColor="text1"/>
                <w:sz w:val="22"/>
                <w:szCs w:val="22"/>
              </w:rPr>
              <w:t xml:space="preserve">, termin uległ skróceniu ze względu na ważny interes publiczny – ustawa stanowi implementację </w:t>
            </w:r>
            <w:r w:rsidR="00050B51">
              <w:rPr>
                <w:rFonts w:cs="Times New Roman"/>
                <w:color w:val="000000" w:themeColor="text1"/>
                <w:sz w:val="22"/>
                <w:szCs w:val="22"/>
              </w:rPr>
              <w:t>d</w:t>
            </w:r>
            <w:r w:rsidR="009C2F1C" w:rsidRPr="00154E08">
              <w:rPr>
                <w:rFonts w:cs="Times New Roman"/>
                <w:color w:val="000000" w:themeColor="text1"/>
                <w:sz w:val="22"/>
                <w:szCs w:val="22"/>
              </w:rPr>
              <w:t>yrektywy RED II</w:t>
            </w:r>
            <w:r w:rsidR="00050B51">
              <w:rPr>
                <w:rFonts w:cs="Times New Roman"/>
                <w:color w:val="000000" w:themeColor="text1"/>
                <w:sz w:val="22"/>
                <w:szCs w:val="22"/>
              </w:rPr>
              <w:t>,</w:t>
            </w:r>
            <w:r w:rsidR="009C2F1C" w:rsidRPr="00154E08">
              <w:rPr>
                <w:rFonts w:cs="Times New Roman"/>
                <w:color w:val="000000" w:themeColor="text1"/>
                <w:sz w:val="22"/>
                <w:szCs w:val="22"/>
              </w:rPr>
              <w:t xml:space="preserve"> której termin </w:t>
            </w:r>
            <w:r w:rsidR="00050B51">
              <w:rPr>
                <w:rFonts w:cs="Times New Roman"/>
                <w:color w:val="000000" w:themeColor="text1"/>
                <w:sz w:val="22"/>
                <w:szCs w:val="22"/>
              </w:rPr>
              <w:t xml:space="preserve">transpozycji </w:t>
            </w:r>
            <w:r w:rsidR="009C2F1C" w:rsidRPr="00154E08">
              <w:rPr>
                <w:rFonts w:cs="Times New Roman"/>
                <w:color w:val="000000" w:themeColor="text1"/>
                <w:sz w:val="22"/>
                <w:szCs w:val="22"/>
              </w:rPr>
              <w:t xml:space="preserve">upłynął </w:t>
            </w:r>
            <w:r w:rsidR="00B73770">
              <w:rPr>
                <w:rFonts w:cs="Times New Roman"/>
                <w:color w:val="000000" w:themeColor="text1"/>
                <w:sz w:val="22"/>
                <w:szCs w:val="22"/>
              </w:rPr>
              <w:t>30 czerwca</w:t>
            </w:r>
            <w:r w:rsidR="009C2F1C" w:rsidRPr="00154E08">
              <w:rPr>
                <w:rFonts w:cs="Times New Roman"/>
                <w:color w:val="000000" w:themeColor="text1"/>
                <w:sz w:val="22"/>
                <w:szCs w:val="22"/>
              </w:rPr>
              <w:t xml:space="preserve"> 2021 r.</w:t>
            </w:r>
            <w:r w:rsidRPr="00154E08">
              <w:rPr>
                <w:rFonts w:cs="Times New Roman"/>
                <w:color w:val="000000" w:themeColor="text1"/>
                <w:sz w:val="22"/>
                <w:szCs w:val="22"/>
              </w:rPr>
              <w:t>:</w:t>
            </w:r>
          </w:p>
          <w:p w14:paraId="7ED94A12" w14:textId="77777777" w:rsidR="006331D3" w:rsidRPr="00154E08" w:rsidRDefault="006331D3" w:rsidP="00B279FD">
            <w:pPr>
              <w:pStyle w:val="Akapitzlist"/>
              <w:numPr>
                <w:ilvl w:val="0"/>
                <w:numId w:val="22"/>
              </w:numPr>
              <w:spacing w:after="120" w:line="240" w:lineRule="auto"/>
              <w:jc w:val="both"/>
              <w:rPr>
                <w:rFonts w:ascii="Times New Roman" w:hAnsi="Times New Roman"/>
                <w:sz w:val="22"/>
                <w:szCs w:val="22"/>
              </w:rPr>
            </w:pPr>
            <w:r w:rsidRPr="00154E08">
              <w:rPr>
                <w:rFonts w:ascii="Times New Roman" w:hAnsi="Times New Roman"/>
                <w:sz w:val="22"/>
                <w:szCs w:val="22"/>
              </w:rPr>
              <w:t>Konfederacja Lewiatan,</w:t>
            </w:r>
          </w:p>
          <w:p w14:paraId="0C36EF25" w14:textId="0F4D6FB2" w:rsidR="006331D3" w:rsidRPr="00154E08" w:rsidRDefault="006331D3" w:rsidP="00B279FD">
            <w:pPr>
              <w:pStyle w:val="Akapitzlist"/>
              <w:numPr>
                <w:ilvl w:val="0"/>
                <w:numId w:val="22"/>
              </w:numPr>
              <w:spacing w:after="120" w:line="240" w:lineRule="auto"/>
              <w:jc w:val="both"/>
              <w:rPr>
                <w:rFonts w:ascii="Times New Roman" w:hAnsi="Times New Roman"/>
                <w:sz w:val="22"/>
                <w:szCs w:val="22"/>
              </w:rPr>
            </w:pPr>
            <w:r w:rsidRPr="00154E08">
              <w:rPr>
                <w:rFonts w:ascii="Times New Roman" w:hAnsi="Times New Roman"/>
                <w:sz w:val="22"/>
                <w:szCs w:val="22"/>
              </w:rPr>
              <w:t xml:space="preserve">Pracodawcy RP, </w:t>
            </w:r>
          </w:p>
          <w:p w14:paraId="1F51080A" w14:textId="3CF8297C" w:rsidR="006331D3" w:rsidRPr="00154E08" w:rsidRDefault="006331D3" w:rsidP="00B279FD">
            <w:pPr>
              <w:pStyle w:val="Akapitzlist"/>
              <w:numPr>
                <w:ilvl w:val="0"/>
                <w:numId w:val="22"/>
              </w:numPr>
              <w:spacing w:after="120" w:line="240" w:lineRule="auto"/>
              <w:jc w:val="both"/>
              <w:rPr>
                <w:rFonts w:ascii="Times New Roman" w:hAnsi="Times New Roman"/>
                <w:sz w:val="22"/>
                <w:szCs w:val="22"/>
              </w:rPr>
            </w:pPr>
            <w:r w:rsidRPr="00154E08">
              <w:rPr>
                <w:rFonts w:ascii="Times New Roman" w:hAnsi="Times New Roman"/>
                <w:sz w:val="22"/>
                <w:szCs w:val="22"/>
              </w:rPr>
              <w:t xml:space="preserve">Związek Rzemiosła Polskiego (ZRP), </w:t>
            </w:r>
          </w:p>
          <w:p w14:paraId="236C6386" w14:textId="63025804" w:rsidR="006331D3" w:rsidRPr="00154E08" w:rsidRDefault="006331D3" w:rsidP="00B279FD">
            <w:pPr>
              <w:pStyle w:val="Akapitzlist"/>
              <w:numPr>
                <w:ilvl w:val="0"/>
                <w:numId w:val="22"/>
              </w:numPr>
              <w:spacing w:after="120" w:line="240" w:lineRule="auto"/>
              <w:jc w:val="both"/>
              <w:rPr>
                <w:rFonts w:ascii="Times New Roman" w:hAnsi="Times New Roman"/>
                <w:sz w:val="22"/>
                <w:szCs w:val="22"/>
              </w:rPr>
            </w:pPr>
            <w:r w:rsidRPr="00154E08">
              <w:rPr>
                <w:rFonts w:ascii="Times New Roman" w:hAnsi="Times New Roman"/>
                <w:sz w:val="22"/>
                <w:szCs w:val="22"/>
              </w:rPr>
              <w:t>Związek Pracodawców Business Centre Club (BCC –</w:t>
            </w:r>
            <w:r w:rsidR="008B5329">
              <w:rPr>
                <w:rFonts w:ascii="Times New Roman" w:hAnsi="Times New Roman"/>
                <w:sz w:val="22"/>
                <w:szCs w:val="22"/>
              </w:rPr>
              <w:t xml:space="preserve"> </w:t>
            </w:r>
            <w:r w:rsidRPr="00154E08">
              <w:rPr>
                <w:rFonts w:ascii="Times New Roman" w:hAnsi="Times New Roman"/>
                <w:sz w:val="22"/>
                <w:szCs w:val="22"/>
              </w:rPr>
              <w:t xml:space="preserve">ZP), </w:t>
            </w:r>
          </w:p>
          <w:p w14:paraId="245E9D6F" w14:textId="0178C4FE" w:rsidR="006331D3" w:rsidRPr="00154E08" w:rsidRDefault="006331D3" w:rsidP="00B279FD">
            <w:pPr>
              <w:pStyle w:val="Akapitzlist"/>
              <w:numPr>
                <w:ilvl w:val="0"/>
                <w:numId w:val="22"/>
              </w:numPr>
              <w:spacing w:after="120" w:line="240" w:lineRule="auto"/>
              <w:jc w:val="both"/>
              <w:rPr>
                <w:rFonts w:ascii="Times New Roman" w:hAnsi="Times New Roman"/>
                <w:sz w:val="22"/>
                <w:szCs w:val="22"/>
              </w:rPr>
            </w:pPr>
            <w:r w:rsidRPr="00154E08">
              <w:rPr>
                <w:rFonts w:ascii="Times New Roman" w:hAnsi="Times New Roman"/>
                <w:sz w:val="22"/>
                <w:szCs w:val="22"/>
              </w:rPr>
              <w:t xml:space="preserve">Związek Przedsiębiorców i Pracodawców (ZPP), </w:t>
            </w:r>
          </w:p>
          <w:p w14:paraId="6E3E7746" w14:textId="77777777" w:rsidR="008B5329" w:rsidRDefault="006331D3" w:rsidP="00B279FD">
            <w:pPr>
              <w:pStyle w:val="Akapitzlist"/>
              <w:numPr>
                <w:ilvl w:val="0"/>
                <w:numId w:val="22"/>
              </w:numPr>
              <w:spacing w:after="120" w:line="240" w:lineRule="auto"/>
              <w:jc w:val="both"/>
              <w:rPr>
                <w:rFonts w:ascii="Times New Roman" w:hAnsi="Times New Roman"/>
                <w:sz w:val="22"/>
                <w:szCs w:val="22"/>
              </w:rPr>
            </w:pPr>
            <w:r w:rsidRPr="00154E08">
              <w:rPr>
                <w:rFonts w:ascii="Times New Roman" w:hAnsi="Times New Roman"/>
                <w:sz w:val="22"/>
                <w:szCs w:val="22"/>
              </w:rPr>
              <w:t>Federacja Przedsiębiorców Polskich (FPP)</w:t>
            </w:r>
          </w:p>
          <w:p w14:paraId="4A82829B" w14:textId="44148A16" w:rsidR="006331D3" w:rsidRPr="00154E08" w:rsidRDefault="008B5329" w:rsidP="00B279FD">
            <w:pPr>
              <w:pStyle w:val="Akapitzlist"/>
              <w:numPr>
                <w:ilvl w:val="0"/>
                <w:numId w:val="22"/>
              </w:numPr>
              <w:spacing w:after="120" w:line="240" w:lineRule="auto"/>
              <w:jc w:val="both"/>
              <w:rPr>
                <w:rFonts w:ascii="Times New Roman" w:hAnsi="Times New Roman"/>
                <w:sz w:val="22"/>
                <w:szCs w:val="22"/>
              </w:rPr>
            </w:pPr>
            <w:r w:rsidRPr="008B5329">
              <w:rPr>
                <w:rFonts w:ascii="Times New Roman" w:hAnsi="Times New Roman"/>
                <w:sz w:val="22"/>
                <w:szCs w:val="22"/>
              </w:rPr>
              <w:t>Polskie Towarzystwo Gospodarcze</w:t>
            </w:r>
            <w:r>
              <w:rPr>
                <w:rFonts w:ascii="Times New Roman" w:hAnsi="Times New Roman"/>
                <w:sz w:val="22"/>
                <w:szCs w:val="22"/>
              </w:rPr>
              <w:t xml:space="preserve"> (PTG)</w:t>
            </w:r>
            <w:r w:rsidR="006331D3" w:rsidRPr="00154E08">
              <w:rPr>
                <w:rFonts w:ascii="Times New Roman" w:hAnsi="Times New Roman"/>
                <w:sz w:val="22"/>
                <w:szCs w:val="22"/>
              </w:rPr>
              <w:t>.</w:t>
            </w:r>
          </w:p>
          <w:p w14:paraId="582E3D86" w14:textId="3DE44DCA" w:rsidR="009C2F1C" w:rsidRPr="00154E08" w:rsidRDefault="006331D3" w:rsidP="00B279FD">
            <w:pPr>
              <w:spacing w:after="120" w:line="240" w:lineRule="auto"/>
              <w:jc w:val="both"/>
              <w:rPr>
                <w:rFonts w:cs="Times New Roman"/>
                <w:sz w:val="22"/>
                <w:szCs w:val="22"/>
              </w:rPr>
            </w:pPr>
            <w:r w:rsidRPr="00154E08">
              <w:rPr>
                <w:rFonts w:cs="Times New Roman"/>
                <w:sz w:val="22"/>
                <w:szCs w:val="22"/>
              </w:rPr>
              <w:t xml:space="preserve">Projekt ustawy nie będzie podlegał opiniowaniu przez Komisję Wspólną Rządu i Samorządu Terytorialnego, gdyż nie dotyczy spraw związanych z samorządem terytorialnym, o których mowa w ustawie z dnia 6 maja 2005 r. o Komisji Wspólnej Rządu i Samorządu Terytorialnego oraz o przedstawicielach Rzeczypospolitej Polskiej w Komitecie Regionów Unii Europejskiej. </w:t>
            </w:r>
          </w:p>
          <w:p w14:paraId="0D6CC5E5" w14:textId="4CBD7814" w:rsidR="009C2F1C" w:rsidRPr="00154E08" w:rsidRDefault="006331D3" w:rsidP="00B279FD">
            <w:pPr>
              <w:spacing w:after="120" w:line="240" w:lineRule="auto"/>
              <w:jc w:val="both"/>
              <w:rPr>
                <w:rFonts w:cs="Times New Roman"/>
                <w:sz w:val="22"/>
                <w:szCs w:val="22"/>
              </w:rPr>
            </w:pPr>
            <w:r w:rsidRPr="00154E08">
              <w:rPr>
                <w:rFonts w:cs="Times New Roman"/>
                <w:sz w:val="22"/>
                <w:szCs w:val="22"/>
              </w:rPr>
              <w:t>Projekt ustawy nie dotyczy spraw, o których mowa w art. 1 ustawy z dnia 24 lipca 2015 r. o Radzie Dialogu Społecznego i innych instytucji dialogu społecznego, wobec czego nie wymaga opiniowania przez Radę Dialogu Społecznego.</w:t>
            </w:r>
          </w:p>
          <w:p w14:paraId="504B6528" w14:textId="54643370" w:rsidR="009C2F1C" w:rsidRPr="00154E08" w:rsidRDefault="009C2F1C" w:rsidP="00B279FD">
            <w:pPr>
              <w:spacing w:after="120" w:line="240" w:lineRule="auto"/>
              <w:jc w:val="both"/>
              <w:rPr>
                <w:rFonts w:cs="Times New Roman"/>
                <w:sz w:val="22"/>
                <w:szCs w:val="22"/>
              </w:rPr>
            </w:pPr>
            <w:r w:rsidRPr="00154E08">
              <w:rPr>
                <w:rFonts w:cs="Times New Roman"/>
                <w:sz w:val="22"/>
                <w:szCs w:val="22"/>
              </w:rPr>
              <w:t>Z uwagi na zakres projektu, który nie dotyczy zadań związków zawodowych, projekt nie podlega opiniowaniu przez reprezentatywne związki zawodowe</w:t>
            </w:r>
          </w:p>
          <w:p w14:paraId="491060AB" w14:textId="7B3BB6D2" w:rsidR="006331D3" w:rsidRPr="00154E08" w:rsidRDefault="007D0AD5" w:rsidP="00B279FD">
            <w:pPr>
              <w:spacing w:after="120" w:line="240" w:lineRule="auto"/>
              <w:jc w:val="both"/>
              <w:rPr>
                <w:rFonts w:cs="Times New Roman"/>
                <w:color w:val="000000"/>
                <w:spacing w:val="-2"/>
                <w:sz w:val="22"/>
                <w:szCs w:val="22"/>
              </w:rPr>
            </w:pPr>
            <w:r w:rsidRPr="00154E08">
              <w:rPr>
                <w:rFonts w:cs="Times New Roman"/>
                <w:color w:val="000000"/>
                <w:spacing w:val="-2"/>
                <w:sz w:val="22"/>
                <w:szCs w:val="22"/>
              </w:rPr>
              <w:t xml:space="preserve">Wyniki opiniowania i konsultacji publicznych zostaną omówione w raporcie z konsultacji, zawierającym zestawienie przedstawionych stanowisk lub opinii i odniesienie się do nich przez organ wnioskujący, udostępnionym na stronie Rządowego Centrum Legislacji, w zakładce Rządowy Proces Legislacyjny, najpóźniej z dniem przekazania projektu na kolejny etap prac legislacyjnych. </w:t>
            </w:r>
          </w:p>
        </w:tc>
        <w:tc>
          <w:tcPr>
            <w:tcW w:w="1256" w:type="dxa"/>
          </w:tcPr>
          <w:p w14:paraId="14596162" w14:textId="77777777" w:rsidR="006331D3" w:rsidRPr="00154E08" w:rsidRDefault="006331D3" w:rsidP="006331D3">
            <w:pPr>
              <w:rPr>
                <w:rFonts w:cs="Times New Roman"/>
                <w:sz w:val="22"/>
                <w:szCs w:val="22"/>
              </w:rPr>
            </w:pPr>
          </w:p>
        </w:tc>
      </w:tr>
      <w:tr w:rsidR="006331D3" w:rsidRPr="00154E08" w14:paraId="0A6C0411" w14:textId="77777777" w:rsidTr="3E65ED00">
        <w:trPr>
          <w:trHeight w:val="363"/>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center"/>
          </w:tcPr>
          <w:p w14:paraId="592BC032" w14:textId="1E7835CC" w:rsidR="006331D3" w:rsidRPr="00154E08" w:rsidRDefault="006331D3" w:rsidP="006331D3">
            <w:pPr>
              <w:spacing w:before="60" w:after="60" w:line="240" w:lineRule="auto"/>
              <w:jc w:val="both"/>
              <w:rPr>
                <w:rFonts w:eastAsia="Calibri" w:cs="Times New Roman"/>
                <w:b/>
                <w:color w:val="000000"/>
                <w:sz w:val="22"/>
                <w:szCs w:val="22"/>
              </w:rPr>
            </w:pPr>
            <w:r w:rsidRPr="00154E08">
              <w:rPr>
                <w:rFonts w:eastAsia="Calibri" w:cs="Times New Roman"/>
                <w:b/>
                <w:color w:val="000000"/>
                <w:sz w:val="22"/>
                <w:szCs w:val="22"/>
              </w:rPr>
              <w:t>6. Wpływ na sektor finansów publicznych</w:t>
            </w:r>
          </w:p>
        </w:tc>
        <w:tc>
          <w:tcPr>
            <w:tcW w:w="1256" w:type="dxa"/>
          </w:tcPr>
          <w:p w14:paraId="7E79317A" w14:textId="77777777" w:rsidR="006331D3" w:rsidRPr="00154E08" w:rsidRDefault="006331D3" w:rsidP="006331D3">
            <w:pPr>
              <w:rPr>
                <w:rFonts w:cs="Times New Roman"/>
                <w:sz w:val="22"/>
                <w:szCs w:val="22"/>
              </w:rPr>
            </w:pPr>
          </w:p>
        </w:tc>
      </w:tr>
      <w:tr w:rsidR="000B3EF6" w:rsidRPr="00154E08" w14:paraId="21352645" w14:textId="77777777" w:rsidTr="3E65ED00">
        <w:trPr>
          <w:trHeight w:val="142"/>
        </w:trPr>
        <w:tc>
          <w:tcPr>
            <w:tcW w:w="10795" w:type="dxa"/>
            <w:gridSpan w:val="14"/>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1F7EC04E" w14:textId="7D90BE18" w:rsidR="000B3EF6" w:rsidRPr="00154E08" w:rsidRDefault="000B3EF6" w:rsidP="00055746">
            <w:pPr>
              <w:spacing w:before="40" w:after="40" w:line="240" w:lineRule="auto"/>
              <w:rPr>
                <w:rFonts w:eastAsia="Calibri" w:cs="Times New Roman"/>
                <w:i/>
                <w:color w:val="000000"/>
                <w:spacing w:val="-2"/>
                <w:sz w:val="22"/>
                <w:szCs w:val="22"/>
              </w:rPr>
            </w:pPr>
          </w:p>
        </w:tc>
        <w:tc>
          <w:tcPr>
            <w:tcW w:w="1256" w:type="dxa"/>
          </w:tcPr>
          <w:p w14:paraId="5CA42BE7" w14:textId="77777777" w:rsidR="000B3EF6" w:rsidRPr="00154E08" w:rsidRDefault="000B3EF6" w:rsidP="006331D3">
            <w:pPr>
              <w:rPr>
                <w:rFonts w:cs="Times New Roman"/>
                <w:sz w:val="22"/>
                <w:szCs w:val="22"/>
              </w:rPr>
            </w:pPr>
          </w:p>
        </w:tc>
      </w:tr>
      <w:tr w:rsidR="00055746" w:rsidRPr="00154E08" w14:paraId="6583682F" w14:textId="77777777" w:rsidTr="3E65ED00">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142"/>
          <w:jc w:val="right"/>
        </w:trPr>
        <w:tc>
          <w:tcPr>
            <w:tcW w:w="202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D814C8A" w14:textId="77777777" w:rsidR="00055746" w:rsidRPr="00154E08" w:rsidRDefault="00055746" w:rsidP="00F069F7">
            <w:pPr>
              <w:spacing w:before="40" w:after="40"/>
              <w:rPr>
                <w:rFonts w:cs="Times New Roman"/>
                <w:i/>
                <w:color w:val="000000"/>
                <w:sz w:val="21"/>
                <w:szCs w:val="21"/>
              </w:rPr>
            </w:pPr>
          </w:p>
        </w:tc>
        <w:tc>
          <w:tcPr>
            <w:tcW w:w="8771"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24622DCA" w14:textId="77777777" w:rsidR="00055746" w:rsidRPr="00154E08" w:rsidRDefault="00055746" w:rsidP="00F069F7">
            <w:pPr>
              <w:spacing w:before="40" w:after="40" w:line="240" w:lineRule="auto"/>
              <w:jc w:val="center"/>
              <w:rPr>
                <w:rFonts w:cs="Times New Roman"/>
                <w:i/>
                <w:color w:val="000000"/>
                <w:spacing w:val="-2"/>
                <w:sz w:val="21"/>
                <w:szCs w:val="21"/>
              </w:rPr>
            </w:pPr>
            <w:r w:rsidRPr="00154E08">
              <w:rPr>
                <w:rFonts w:cs="Times New Roman"/>
                <w:color w:val="000000"/>
                <w:sz w:val="21"/>
                <w:szCs w:val="21"/>
              </w:rPr>
              <w:t>Skutki w okresie 10 lat od wejścia w życie zmian [mln zł]</w:t>
            </w:r>
          </w:p>
        </w:tc>
      </w:tr>
      <w:tr w:rsidR="004C796F" w:rsidRPr="00154E08" w14:paraId="49DB69D2" w14:textId="77777777" w:rsidTr="3E65ED00">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142"/>
          <w:jc w:val="right"/>
        </w:trPr>
        <w:tc>
          <w:tcPr>
            <w:tcW w:w="2024" w:type="dxa"/>
            <w:gridSpan w:val="2"/>
            <w:vMerge/>
          </w:tcPr>
          <w:p w14:paraId="7D40D00D" w14:textId="77777777" w:rsidR="00055746" w:rsidRPr="00154E08" w:rsidRDefault="00055746" w:rsidP="00F069F7">
            <w:pPr>
              <w:spacing w:before="40" w:after="40" w:line="240" w:lineRule="auto"/>
              <w:rPr>
                <w:rFonts w:cs="Times New Roman"/>
                <w:i/>
                <w:color w:val="000000"/>
                <w:sz w:val="21"/>
                <w:szCs w:val="21"/>
              </w:rPr>
            </w:pP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3A7A8207" w14:textId="77777777" w:rsidR="00055746" w:rsidRPr="00154E08" w:rsidRDefault="00055746" w:rsidP="00F069F7">
            <w:pPr>
              <w:spacing w:line="240" w:lineRule="auto"/>
              <w:jc w:val="center"/>
              <w:rPr>
                <w:rFonts w:cs="Times New Roman"/>
                <w:color w:val="000000"/>
                <w:sz w:val="21"/>
                <w:szCs w:val="21"/>
              </w:rPr>
            </w:pPr>
            <w:r w:rsidRPr="00154E08">
              <w:rPr>
                <w:rFonts w:cs="Times New Roman"/>
                <w:color w:val="000000"/>
                <w:sz w:val="21"/>
                <w:szCs w:val="21"/>
              </w:rPr>
              <w:t>2024</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DB1166" w14:textId="77777777" w:rsidR="00055746" w:rsidRPr="00154E08" w:rsidRDefault="00055746" w:rsidP="00F069F7">
            <w:pPr>
              <w:spacing w:line="240" w:lineRule="auto"/>
              <w:jc w:val="center"/>
              <w:rPr>
                <w:rFonts w:cs="Times New Roman"/>
                <w:color w:val="000000"/>
                <w:sz w:val="21"/>
                <w:szCs w:val="21"/>
              </w:rPr>
            </w:pPr>
            <w:r w:rsidRPr="00154E08">
              <w:rPr>
                <w:rFonts w:cs="Times New Roman"/>
                <w:color w:val="000000"/>
                <w:sz w:val="21"/>
                <w:szCs w:val="21"/>
              </w:rPr>
              <w:t>2025</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7373B23" w14:textId="77777777" w:rsidR="00055746" w:rsidRPr="00154E08" w:rsidRDefault="00055746" w:rsidP="00F069F7">
            <w:pPr>
              <w:spacing w:line="240" w:lineRule="auto"/>
              <w:jc w:val="center"/>
              <w:rPr>
                <w:rFonts w:cs="Times New Roman"/>
                <w:color w:val="000000"/>
                <w:sz w:val="21"/>
                <w:szCs w:val="21"/>
              </w:rPr>
            </w:pPr>
            <w:r w:rsidRPr="00154E08">
              <w:rPr>
                <w:rFonts w:cs="Times New Roman"/>
                <w:color w:val="000000"/>
                <w:sz w:val="21"/>
                <w:szCs w:val="21"/>
              </w:rPr>
              <w:t>2026</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CE499AF" w14:textId="77777777" w:rsidR="00055746" w:rsidRPr="00154E08" w:rsidRDefault="00055746" w:rsidP="00F069F7">
            <w:pPr>
              <w:spacing w:line="240" w:lineRule="auto"/>
              <w:jc w:val="center"/>
              <w:rPr>
                <w:rFonts w:cs="Times New Roman"/>
                <w:color w:val="000000"/>
                <w:sz w:val="21"/>
                <w:szCs w:val="21"/>
              </w:rPr>
            </w:pPr>
            <w:r w:rsidRPr="00154E08">
              <w:rPr>
                <w:rFonts w:cs="Times New Roman"/>
                <w:color w:val="000000"/>
                <w:sz w:val="21"/>
                <w:szCs w:val="21"/>
              </w:rPr>
              <w:t>2027</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8E8C4F5" w14:textId="77777777" w:rsidR="00055746" w:rsidRPr="00154E08" w:rsidRDefault="00055746" w:rsidP="00F069F7">
            <w:pPr>
              <w:spacing w:line="240" w:lineRule="auto"/>
              <w:jc w:val="center"/>
              <w:rPr>
                <w:rFonts w:cs="Times New Roman"/>
                <w:color w:val="000000"/>
                <w:sz w:val="21"/>
                <w:szCs w:val="21"/>
              </w:rPr>
            </w:pPr>
            <w:r w:rsidRPr="00154E08">
              <w:rPr>
                <w:rFonts w:cs="Times New Roman"/>
                <w:color w:val="000000"/>
                <w:sz w:val="21"/>
                <w:szCs w:val="21"/>
              </w:rPr>
              <w:t>2028</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4D8EAE8" w14:textId="77777777" w:rsidR="00055746" w:rsidRPr="00154E08" w:rsidRDefault="00055746" w:rsidP="00F069F7">
            <w:pPr>
              <w:spacing w:line="240" w:lineRule="auto"/>
              <w:jc w:val="center"/>
              <w:rPr>
                <w:rFonts w:cs="Times New Roman"/>
                <w:color w:val="000000"/>
                <w:sz w:val="21"/>
                <w:szCs w:val="21"/>
              </w:rPr>
            </w:pPr>
            <w:r w:rsidRPr="00154E08">
              <w:rPr>
                <w:rFonts w:cs="Times New Roman"/>
                <w:color w:val="000000"/>
                <w:sz w:val="21"/>
                <w:szCs w:val="21"/>
              </w:rPr>
              <w:t>2029</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0B8A271" w14:textId="77777777" w:rsidR="00055746" w:rsidRPr="00154E08" w:rsidRDefault="00055746" w:rsidP="00F069F7">
            <w:pPr>
              <w:spacing w:line="240" w:lineRule="auto"/>
              <w:jc w:val="center"/>
              <w:rPr>
                <w:rFonts w:cs="Times New Roman"/>
                <w:color w:val="000000"/>
                <w:sz w:val="21"/>
                <w:szCs w:val="21"/>
              </w:rPr>
            </w:pPr>
            <w:r w:rsidRPr="00154E08">
              <w:rPr>
                <w:rFonts w:cs="Times New Roman"/>
                <w:color w:val="000000"/>
                <w:sz w:val="21"/>
                <w:szCs w:val="21"/>
              </w:rPr>
              <w:t>2030</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63CB2EC" w14:textId="77777777" w:rsidR="00055746" w:rsidRPr="00154E08" w:rsidRDefault="00055746" w:rsidP="00F069F7">
            <w:pPr>
              <w:spacing w:line="240" w:lineRule="auto"/>
              <w:jc w:val="center"/>
              <w:rPr>
                <w:rFonts w:cs="Times New Roman"/>
                <w:color w:val="000000"/>
                <w:sz w:val="21"/>
                <w:szCs w:val="21"/>
              </w:rPr>
            </w:pPr>
            <w:r w:rsidRPr="00154E08">
              <w:rPr>
                <w:rFonts w:cs="Times New Roman"/>
                <w:color w:val="000000"/>
                <w:sz w:val="21"/>
                <w:szCs w:val="21"/>
              </w:rPr>
              <w:t>2031</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1A8FAD2" w14:textId="77777777" w:rsidR="00055746" w:rsidRPr="00154E08" w:rsidRDefault="00055746" w:rsidP="00F069F7">
            <w:pPr>
              <w:spacing w:line="240" w:lineRule="auto"/>
              <w:jc w:val="center"/>
              <w:rPr>
                <w:rFonts w:cs="Times New Roman"/>
                <w:color w:val="000000"/>
                <w:sz w:val="21"/>
                <w:szCs w:val="21"/>
              </w:rPr>
            </w:pPr>
            <w:r w:rsidRPr="00154E08">
              <w:rPr>
                <w:rFonts w:cs="Times New Roman"/>
                <w:color w:val="000000"/>
                <w:sz w:val="21"/>
                <w:szCs w:val="21"/>
              </w:rPr>
              <w:t>2032</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AAB4A7D" w14:textId="77777777" w:rsidR="00055746" w:rsidRPr="00154E08" w:rsidRDefault="00055746" w:rsidP="00F069F7">
            <w:pPr>
              <w:spacing w:line="240" w:lineRule="auto"/>
              <w:jc w:val="center"/>
              <w:rPr>
                <w:rFonts w:cs="Times New Roman"/>
                <w:color w:val="000000"/>
                <w:sz w:val="21"/>
                <w:szCs w:val="21"/>
              </w:rPr>
            </w:pPr>
            <w:r w:rsidRPr="00154E08">
              <w:rPr>
                <w:rFonts w:cs="Times New Roman"/>
                <w:color w:val="000000"/>
                <w:sz w:val="21"/>
                <w:szCs w:val="21"/>
              </w:rPr>
              <w:t>2033</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8559586" w14:textId="77777777" w:rsidR="00055746" w:rsidRPr="00154E08" w:rsidRDefault="00055746" w:rsidP="00F069F7">
            <w:pPr>
              <w:spacing w:line="240" w:lineRule="auto"/>
              <w:jc w:val="center"/>
              <w:rPr>
                <w:rFonts w:cs="Times New Roman"/>
                <w:color w:val="000000"/>
                <w:sz w:val="21"/>
                <w:szCs w:val="21"/>
              </w:rPr>
            </w:pPr>
            <w:r w:rsidRPr="00154E08">
              <w:rPr>
                <w:rFonts w:cs="Times New Roman"/>
                <w:color w:val="000000"/>
                <w:sz w:val="21"/>
                <w:szCs w:val="21"/>
              </w:rPr>
              <w:t>2034</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2655EFC0" w14:textId="77777777" w:rsidR="00055746" w:rsidRPr="00154E08" w:rsidRDefault="00055746" w:rsidP="00F069F7">
            <w:pPr>
              <w:spacing w:before="40" w:after="40" w:line="240" w:lineRule="auto"/>
              <w:jc w:val="center"/>
              <w:rPr>
                <w:rFonts w:cs="Times New Roman"/>
                <w:i/>
                <w:color w:val="000000"/>
                <w:spacing w:val="-2"/>
                <w:sz w:val="16"/>
                <w:szCs w:val="16"/>
              </w:rPr>
            </w:pPr>
            <w:r w:rsidRPr="00154E08">
              <w:rPr>
                <w:rFonts w:cs="Times New Roman"/>
                <w:i/>
                <w:color w:val="000000"/>
                <w:spacing w:val="-2"/>
                <w:sz w:val="16"/>
                <w:szCs w:val="16"/>
              </w:rPr>
              <w:t>Łącznie (0-10)</w:t>
            </w:r>
          </w:p>
        </w:tc>
      </w:tr>
      <w:tr w:rsidR="00824437" w:rsidRPr="00154E08" w14:paraId="5E5AEE6E" w14:textId="77777777" w:rsidTr="00D95D2F">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21"/>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78BAA" w14:textId="77777777" w:rsidR="00824437" w:rsidRPr="00154E08" w:rsidRDefault="00824437" w:rsidP="00824437">
            <w:pPr>
              <w:spacing w:line="240" w:lineRule="auto"/>
              <w:rPr>
                <w:rFonts w:cs="Times New Roman"/>
                <w:color w:val="000000"/>
                <w:sz w:val="21"/>
                <w:szCs w:val="21"/>
              </w:rPr>
            </w:pPr>
            <w:r w:rsidRPr="00154E08">
              <w:rPr>
                <w:rFonts w:cs="Times New Roman"/>
                <w:b/>
                <w:color w:val="000000"/>
                <w:sz w:val="21"/>
                <w:szCs w:val="21"/>
              </w:rPr>
              <w:t>Dochody ogółem</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62359B39" w14:textId="77777777" w:rsidR="00824437" w:rsidRPr="00154E08" w:rsidRDefault="00824437" w:rsidP="00824437">
            <w:pPr>
              <w:spacing w:line="240" w:lineRule="auto"/>
              <w:jc w:val="right"/>
              <w:rPr>
                <w:rFonts w:cs="Times New Roman"/>
                <w:color w:val="000000"/>
                <w:sz w:val="16"/>
                <w:szCs w:val="16"/>
              </w:rPr>
            </w:pPr>
            <w:r w:rsidRPr="00154E08">
              <w:rPr>
                <w:rFonts w:cs="Times New Roman"/>
                <w:sz w:val="16"/>
                <w:szCs w:val="16"/>
              </w:rPr>
              <w:t>0</w:t>
            </w:r>
          </w:p>
        </w:tc>
        <w:tc>
          <w:tcPr>
            <w:tcW w:w="729" w:type="dxa"/>
            <w:tcBorders>
              <w:top w:val="single" w:sz="4" w:space="0" w:color="auto"/>
              <w:left w:val="nil"/>
              <w:bottom w:val="single" w:sz="4" w:space="0" w:color="auto"/>
              <w:right w:val="single" w:sz="4" w:space="0" w:color="auto"/>
            </w:tcBorders>
            <w:shd w:val="clear" w:color="auto" w:fill="auto"/>
          </w:tcPr>
          <w:p w14:paraId="3D90C8D4" w14:textId="003FF35E" w:rsidR="00824437" w:rsidRPr="00154E08" w:rsidRDefault="00824437" w:rsidP="00824437">
            <w:pPr>
              <w:spacing w:line="240" w:lineRule="auto"/>
              <w:jc w:val="right"/>
              <w:rPr>
                <w:rFonts w:cs="Times New Roman"/>
                <w:color w:val="000000"/>
                <w:sz w:val="16"/>
                <w:szCs w:val="16"/>
              </w:rPr>
            </w:pPr>
            <w:r w:rsidRPr="00154E08">
              <w:rPr>
                <w:rFonts w:cs="Times New Roman"/>
                <w:color w:val="000000"/>
                <w:sz w:val="16"/>
                <w:szCs w:val="16"/>
              </w:rPr>
              <w:t>-31,15</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76753A44" w14:textId="30680D67" w:rsidR="00824437" w:rsidRPr="00154E08" w:rsidRDefault="00824437" w:rsidP="00824437">
            <w:pPr>
              <w:spacing w:line="240" w:lineRule="auto"/>
              <w:jc w:val="right"/>
              <w:rPr>
                <w:rFonts w:cs="Times New Roman"/>
                <w:color w:val="000000"/>
                <w:sz w:val="16"/>
                <w:szCs w:val="16"/>
              </w:rPr>
            </w:pPr>
            <w:r w:rsidRPr="00154E08">
              <w:rPr>
                <w:rFonts w:cs="Times New Roman"/>
                <w:color w:val="000000"/>
                <w:sz w:val="16"/>
                <w:szCs w:val="16"/>
              </w:rPr>
              <w:t>-70,77</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A4926F6" w14:textId="22D7015D" w:rsidR="00824437" w:rsidRPr="00154E08" w:rsidRDefault="00824437" w:rsidP="00824437">
            <w:pPr>
              <w:spacing w:line="240" w:lineRule="auto"/>
              <w:jc w:val="right"/>
              <w:rPr>
                <w:rFonts w:cs="Times New Roman"/>
                <w:color w:val="000000"/>
                <w:sz w:val="16"/>
                <w:szCs w:val="16"/>
              </w:rPr>
            </w:pPr>
            <w:r w:rsidRPr="00154E08">
              <w:rPr>
                <w:rFonts w:cs="Times New Roman"/>
                <w:color w:val="000000"/>
                <w:sz w:val="16"/>
                <w:szCs w:val="16"/>
              </w:rPr>
              <w:t>-100,78</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3686058" w14:textId="2D5BFF97" w:rsidR="00824437" w:rsidRPr="00154E08" w:rsidRDefault="00824437" w:rsidP="00824437">
            <w:pPr>
              <w:spacing w:line="240" w:lineRule="auto"/>
              <w:jc w:val="right"/>
              <w:rPr>
                <w:rFonts w:cs="Times New Roman"/>
                <w:color w:val="000000"/>
                <w:sz w:val="16"/>
                <w:szCs w:val="16"/>
              </w:rPr>
            </w:pPr>
            <w:r w:rsidRPr="00154E08">
              <w:rPr>
                <w:rFonts w:cs="Times New Roman"/>
                <w:color w:val="000000"/>
                <w:sz w:val="16"/>
                <w:szCs w:val="16"/>
              </w:rPr>
              <w:t>-117,97</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644D38E" w14:textId="3D68FD2D" w:rsidR="00824437" w:rsidRPr="00154E08" w:rsidRDefault="00824437" w:rsidP="00824437">
            <w:pPr>
              <w:spacing w:line="240" w:lineRule="auto"/>
              <w:jc w:val="right"/>
              <w:rPr>
                <w:rFonts w:cs="Times New Roman"/>
                <w:color w:val="000000"/>
                <w:sz w:val="16"/>
                <w:szCs w:val="16"/>
              </w:rPr>
            </w:pPr>
            <w:r w:rsidRPr="00154E08">
              <w:rPr>
                <w:rFonts w:cs="Times New Roman"/>
                <w:color w:val="000000"/>
                <w:sz w:val="16"/>
                <w:szCs w:val="16"/>
              </w:rPr>
              <w:t>-126,54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974C248" w14:textId="7FC57F76" w:rsidR="00824437" w:rsidRPr="00154E08" w:rsidRDefault="00824437" w:rsidP="00824437">
            <w:pPr>
              <w:spacing w:line="240" w:lineRule="auto"/>
              <w:jc w:val="right"/>
              <w:rPr>
                <w:rFonts w:cs="Times New Roman"/>
                <w:color w:val="000000"/>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6F4E19DF" w14:textId="56B7C315" w:rsidR="00824437" w:rsidRPr="00154E08" w:rsidRDefault="00824437" w:rsidP="00824437">
            <w:pPr>
              <w:spacing w:line="240" w:lineRule="auto"/>
              <w:jc w:val="right"/>
              <w:rPr>
                <w:rFonts w:cs="Times New Roman"/>
                <w:color w:val="000000"/>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2243786C" w14:textId="62C3E826" w:rsidR="00824437" w:rsidRPr="00154E08" w:rsidRDefault="00824437" w:rsidP="00824437">
            <w:pPr>
              <w:spacing w:line="240" w:lineRule="auto"/>
              <w:jc w:val="right"/>
              <w:rPr>
                <w:rFonts w:cs="Times New Roman"/>
                <w:color w:val="000000"/>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116F9D2E" w14:textId="10ADECBF" w:rsidR="00824437" w:rsidRPr="00154E08" w:rsidRDefault="00824437" w:rsidP="00824437">
            <w:pPr>
              <w:spacing w:line="240" w:lineRule="auto"/>
              <w:jc w:val="right"/>
              <w:rPr>
                <w:rFonts w:cs="Times New Roman"/>
                <w:color w:val="000000"/>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1EDAE4E" w14:textId="7B602749" w:rsidR="00824437" w:rsidRPr="00154E08" w:rsidRDefault="00824437" w:rsidP="00824437">
            <w:pPr>
              <w:spacing w:line="240" w:lineRule="auto"/>
              <w:jc w:val="right"/>
              <w:rPr>
                <w:rFonts w:cs="Times New Roman"/>
                <w:color w:val="000000"/>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644897B" w14:textId="285AD192" w:rsidR="00824437" w:rsidRPr="00154E08" w:rsidRDefault="00824437" w:rsidP="00824437">
            <w:pPr>
              <w:spacing w:line="240" w:lineRule="auto"/>
              <w:jc w:val="right"/>
              <w:rPr>
                <w:rFonts w:cs="Times New Roman"/>
                <w:color w:val="000000"/>
                <w:spacing w:val="-2"/>
                <w:sz w:val="16"/>
                <w:szCs w:val="16"/>
              </w:rPr>
            </w:pPr>
            <w:r w:rsidRPr="00154E08">
              <w:rPr>
                <w:rFonts w:cs="Times New Roman"/>
                <w:sz w:val="16"/>
                <w:szCs w:val="16"/>
              </w:rPr>
              <w:t>-</w:t>
            </w:r>
            <w:r w:rsidR="00CD6775" w:rsidRPr="00154E08">
              <w:rPr>
                <w:rFonts w:cs="Times New Roman"/>
                <w:sz w:val="16"/>
                <w:szCs w:val="16"/>
              </w:rPr>
              <w:t xml:space="preserve">1 093,82 </w:t>
            </w:r>
          </w:p>
        </w:tc>
      </w:tr>
      <w:tr w:rsidR="004C796F" w:rsidRPr="00154E08" w14:paraId="669F2530" w14:textId="77777777" w:rsidTr="3E65ED00">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21"/>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9CC06" w14:textId="77777777" w:rsidR="00055746" w:rsidRPr="00154E08" w:rsidRDefault="00055746" w:rsidP="00F069F7">
            <w:pPr>
              <w:spacing w:line="240" w:lineRule="auto"/>
              <w:rPr>
                <w:rFonts w:cs="Times New Roman"/>
                <w:color w:val="000000"/>
                <w:sz w:val="21"/>
                <w:szCs w:val="21"/>
              </w:rPr>
            </w:pPr>
            <w:r w:rsidRPr="00154E08">
              <w:rPr>
                <w:rFonts w:cs="Times New Roman"/>
                <w:color w:val="000000"/>
                <w:sz w:val="21"/>
                <w:szCs w:val="21"/>
              </w:rPr>
              <w:t>budżet państwa,</w:t>
            </w:r>
          </w:p>
          <w:p w14:paraId="1894E8C2" w14:textId="77777777" w:rsidR="00055746" w:rsidRPr="00154E08" w:rsidRDefault="00055746" w:rsidP="00F069F7">
            <w:pPr>
              <w:spacing w:line="240" w:lineRule="auto"/>
              <w:rPr>
                <w:rFonts w:cs="Times New Roman"/>
                <w:color w:val="000000"/>
                <w:sz w:val="21"/>
                <w:szCs w:val="21"/>
              </w:rPr>
            </w:pPr>
            <w:r w:rsidRPr="00154E08">
              <w:rPr>
                <w:rFonts w:cs="Times New Roman"/>
                <w:color w:val="000000"/>
                <w:sz w:val="21"/>
                <w:szCs w:val="21"/>
              </w:rPr>
              <w:t>w tym:</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23B22781"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4A24F37"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1C5B22B"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850F682"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50DBFBA"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12EFF"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5F499BE"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3BAF533"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65D8402"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C9E42CC"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E7598E6"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0779515" w14:textId="77777777" w:rsidR="00055746" w:rsidRPr="00154E08" w:rsidRDefault="00055746" w:rsidP="00F069F7">
            <w:pPr>
              <w:spacing w:line="240" w:lineRule="auto"/>
              <w:jc w:val="right"/>
              <w:rPr>
                <w:rFonts w:cs="Times New Roman"/>
                <w:color w:val="000000"/>
                <w:spacing w:val="-2"/>
                <w:sz w:val="16"/>
                <w:szCs w:val="16"/>
              </w:rPr>
            </w:pPr>
            <w:r w:rsidRPr="00154E08">
              <w:rPr>
                <w:rFonts w:cs="Times New Roman"/>
                <w:color w:val="000000"/>
                <w:sz w:val="16"/>
                <w:szCs w:val="16"/>
              </w:rPr>
              <w:t>-</w:t>
            </w:r>
          </w:p>
        </w:tc>
      </w:tr>
      <w:tr w:rsidR="004C796F" w:rsidRPr="00154E08" w14:paraId="5C3808AC" w14:textId="77777777" w:rsidTr="3E65ED00">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44"/>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2851F" w14:textId="77777777" w:rsidR="00055746" w:rsidRPr="00154E08" w:rsidRDefault="00055746" w:rsidP="00F069F7">
            <w:pPr>
              <w:spacing w:line="240" w:lineRule="auto"/>
              <w:rPr>
                <w:rFonts w:cs="Times New Roman"/>
                <w:color w:val="000000"/>
                <w:sz w:val="21"/>
                <w:szCs w:val="21"/>
              </w:rPr>
            </w:pPr>
            <w:r w:rsidRPr="00154E08">
              <w:rPr>
                <w:rFonts w:cs="Times New Roman"/>
                <w:color w:val="000000"/>
                <w:sz w:val="21"/>
                <w:szCs w:val="21"/>
              </w:rPr>
              <w:t>- URE</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1899B235"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B565AB8"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AE32FEB"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8B21381"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2A2FA22"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1629BA8"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EFA4370"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1FA1480"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1F1533B"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3212EB61"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ADCC620"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22A983F5" w14:textId="77777777" w:rsidR="00055746" w:rsidRPr="00154E08" w:rsidRDefault="00055746" w:rsidP="00F069F7">
            <w:pPr>
              <w:jc w:val="right"/>
              <w:rPr>
                <w:rFonts w:cs="Times New Roman"/>
                <w:sz w:val="16"/>
                <w:szCs w:val="16"/>
              </w:rPr>
            </w:pPr>
            <w:r w:rsidRPr="00154E08">
              <w:rPr>
                <w:rFonts w:cs="Times New Roman"/>
                <w:color w:val="000000"/>
                <w:sz w:val="16"/>
                <w:szCs w:val="16"/>
              </w:rPr>
              <w:t>-</w:t>
            </w:r>
          </w:p>
        </w:tc>
      </w:tr>
      <w:tr w:rsidR="00CD6775" w:rsidRPr="00154E08" w14:paraId="435C061F" w14:textId="77777777" w:rsidTr="00D95D2F">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44"/>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190F0" w14:textId="77777777" w:rsidR="00CD6775" w:rsidRPr="00154E08" w:rsidRDefault="00CD6775" w:rsidP="00CD6775">
            <w:pPr>
              <w:spacing w:line="240" w:lineRule="auto"/>
              <w:rPr>
                <w:rFonts w:cs="Times New Roman"/>
                <w:color w:val="000000"/>
                <w:sz w:val="21"/>
                <w:szCs w:val="21"/>
              </w:rPr>
            </w:pPr>
            <w:r w:rsidRPr="00154E08">
              <w:rPr>
                <w:rFonts w:cs="Times New Roman"/>
                <w:color w:val="000000"/>
                <w:sz w:val="21"/>
                <w:szCs w:val="21"/>
              </w:rPr>
              <w:t>pozostałe jednostki, w tym:</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73123AF3" w14:textId="74C739BF" w:rsidR="00CD6775" w:rsidRPr="00154E08" w:rsidRDefault="00CD6775" w:rsidP="00CD6775">
            <w:pPr>
              <w:spacing w:line="240" w:lineRule="auto"/>
              <w:jc w:val="right"/>
              <w:rPr>
                <w:rFonts w:cs="Times New Roman"/>
                <w:sz w:val="16"/>
                <w:szCs w:val="16"/>
              </w:rPr>
            </w:pPr>
            <w:r w:rsidRPr="00154E08">
              <w:rPr>
                <w:rFonts w:cs="Times New Roman"/>
                <w:sz w:val="16"/>
                <w:szCs w:val="16"/>
              </w:rPr>
              <w:t>0</w:t>
            </w:r>
          </w:p>
        </w:tc>
        <w:tc>
          <w:tcPr>
            <w:tcW w:w="729" w:type="dxa"/>
            <w:tcBorders>
              <w:top w:val="single" w:sz="4" w:space="0" w:color="auto"/>
              <w:left w:val="nil"/>
              <w:bottom w:val="single" w:sz="4" w:space="0" w:color="auto"/>
              <w:right w:val="single" w:sz="4" w:space="0" w:color="auto"/>
            </w:tcBorders>
            <w:shd w:val="clear" w:color="auto" w:fill="auto"/>
          </w:tcPr>
          <w:p w14:paraId="1D6C6E8C" w14:textId="19FF5005"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-31,15</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63D9A47C" w14:textId="72AD9E90"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-70,77</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2F8808A8" w14:textId="09A8F6D9"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-100,78</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10C0E62F" w14:textId="3212921D"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-117,97</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34B41AF" w14:textId="0D7C2D9E"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-126,54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923C1A7" w14:textId="6FEEBA05"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BC8C66F" w14:textId="346357CA"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207174F5" w14:textId="622BB187"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BA08C4F" w14:textId="41467D62"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19337A1C" w14:textId="4844DD50"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6E03B9E" w14:textId="3F26A4F5" w:rsidR="00CD6775" w:rsidRPr="00154E08" w:rsidRDefault="00CD6775" w:rsidP="00CD6775">
            <w:pPr>
              <w:spacing w:line="240" w:lineRule="auto"/>
              <w:jc w:val="right"/>
              <w:rPr>
                <w:rFonts w:cs="Times New Roman"/>
                <w:sz w:val="16"/>
                <w:szCs w:val="16"/>
              </w:rPr>
            </w:pPr>
            <w:r w:rsidRPr="00154E08">
              <w:rPr>
                <w:rFonts w:cs="Times New Roman"/>
                <w:sz w:val="16"/>
                <w:szCs w:val="16"/>
              </w:rPr>
              <w:t xml:space="preserve">-1 093,82 </w:t>
            </w:r>
          </w:p>
        </w:tc>
      </w:tr>
      <w:tr w:rsidR="00CD6775" w:rsidRPr="00154E08" w14:paraId="2F13F453" w14:textId="77777777" w:rsidTr="00D95D2F">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44"/>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3B86A" w14:textId="77777777" w:rsidR="00CD6775" w:rsidRPr="00154E08" w:rsidRDefault="00CD6775" w:rsidP="00CD6775">
            <w:pPr>
              <w:spacing w:line="240" w:lineRule="auto"/>
              <w:rPr>
                <w:rFonts w:cs="Times New Roman"/>
                <w:color w:val="000000"/>
                <w:sz w:val="21"/>
                <w:szCs w:val="21"/>
              </w:rPr>
            </w:pPr>
            <w:r w:rsidRPr="00154E08">
              <w:rPr>
                <w:rFonts w:cs="Times New Roman"/>
                <w:color w:val="000000"/>
                <w:sz w:val="21"/>
                <w:szCs w:val="21"/>
              </w:rPr>
              <w:lastRenderedPageBreak/>
              <w:t>- NFOŚiGW</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58A69C96" w14:textId="18B2AF6F" w:rsidR="00CD6775" w:rsidRPr="00154E08" w:rsidRDefault="00CD6775" w:rsidP="00CD6775">
            <w:pPr>
              <w:spacing w:line="240" w:lineRule="auto"/>
              <w:jc w:val="right"/>
              <w:rPr>
                <w:rFonts w:cs="Times New Roman"/>
                <w:sz w:val="16"/>
                <w:szCs w:val="16"/>
              </w:rPr>
            </w:pPr>
            <w:r w:rsidRPr="00154E08">
              <w:rPr>
                <w:rFonts w:cs="Times New Roman"/>
                <w:sz w:val="16"/>
                <w:szCs w:val="16"/>
              </w:rPr>
              <w:t>0</w:t>
            </w:r>
          </w:p>
        </w:tc>
        <w:tc>
          <w:tcPr>
            <w:tcW w:w="729" w:type="dxa"/>
            <w:tcBorders>
              <w:top w:val="single" w:sz="4" w:space="0" w:color="auto"/>
              <w:left w:val="nil"/>
              <w:bottom w:val="single" w:sz="4" w:space="0" w:color="auto"/>
              <w:right w:val="single" w:sz="4" w:space="0" w:color="auto"/>
            </w:tcBorders>
            <w:shd w:val="clear" w:color="auto" w:fill="auto"/>
          </w:tcPr>
          <w:p w14:paraId="0AD21DC8" w14:textId="1A00E6A1"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-31,15</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9CD3BBA" w14:textId="2F9C75E5"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-70,77</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11791FA5" w14:textId="2063B001"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-100,78</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6EBFC4F2" w14:textId="2B63D9BA"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-117,97</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DF3671B" w14:textId="30A4735D"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-126,54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DC765EE" w14:textId="2FEA7281"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59E1D40" w14:textId="50378FC9"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DD4E629" w14:textId="7E93F273"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B8E786E" w14:textId="0CC91D37"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63AEDD04" w14:textId="1A728F24" w:rsidR="00CD6775" w:rsidRPr="00154E08" w:rsidRDefault="00CD6775" w:rsidP="00CD6775">
            <w:pPr>
              <w:spacing w:line="240" w:lineRule="auto"/>
              <w:jc w:val="right"/>
              <w:rPr>
                <w:rFonts w:cs="Times New Roman"/>
                <w:sz w:val="16"/>
                <w:szCs w:val="16"/>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661C01D" w14:textId="48931974" w:rsidR="00CD6775" w:rsidRPr="00154E08" w:rsidRDefault="00CD6775" w:rsidP="00CD6775">
            <w:pPr>
              <w:spacing w:line="240" w:lineRule="auto"/>
              <w:jc w:val="right"/>
              <w:rPr>
                <w:rFonts w:cs="Times New Roman"/>
                <w:sz w:val="16"/>
                <w:szCs w:val="16"/>
              </w:rPr>
            </w:pPr>
            <w:r w:rsidRPr="00154E08">
              <w:rPr>
                <w:rFonts w:cs="Times New Roman"/>
                <w:sz w:val="16"/>
                <w:szCs w:val="16"/>
              </w:rPr>
              <w:t xml:space="preserve">-1 093,82 </w:t>
            </w:r>
          </w:p>
        </w:tc>
      </w:tr>
      <w:tr w:rsidR="00A4250A" w:rsidRPr="00154E08" w14:paraId="54A7A0A0" w14:textId="77777777" w:rsidTr="00D95D2F">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30"/>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0DB30" w14:textId="77777777" w:rsidR="00A4250A" w:rsidRPr="00154E08" w:rsidRDefault="00A4250A" w:rsidP="00A4250A">
            <w:pPr>
              <w:spacing w:line="240" w:lineRule="auto"/>
              <w:rPr>
                <w:rFonts w:cs="Times New Roman"/>
                <w:color w:val="000000"/>
                <w:sz w:val="21"/>
                <w:szCs w:val="21"/>
              </w:rPr>
            </w:pPr>
            <w:r w:rsidRPr="00154E08">
              <w:rPr>
                <w:rFonts w:cs="Times New Roman"/>
                <w:b/>
                <w:color w:val="000000"/>
                <w:sz w:val="21"/>
                <w:szCs w:val="21"/>
              </w:rPr>
              <w:t>Wydatki ogółem</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6F357B67" w14:textId="28543D90" w:rsidR="00A4250A" w:rsidRPr="00154E08" w:rsidRDefault="00A4250A" w:rsidP="00A4250A">
            <w:pPr>
              <w:spacing w:line="240" w:lineRule="auto"/>
              <w:jc w:val="right"/>
              <w:rPr>
                <w:rFonts w:cs="Times New Roman"/>
                <w:sz w:val="16"/>
                <w:szCs w:val="16"/>
              </w:rPr>
            </w:pPr>
            <w:r w:rsidRPr="00154E08">
              <w:rPr>
                <w:rFonts w:cs="Times New Roman"/>
                <w:sz w:val="18"/>
                <w:szCs w:val="18"/>
              </w:rPr>
              <w:t>0</w:t>
            </w:r>
          </w:p>
        </w:tc>
        <w:tc>
          <w:tcPr>
            <w:tcW w:w="729" w:type="dxa"/>
            <w:tcBorders>
              <w:top w:val="single" w:sz="4" w:space="0" w:color="auto"/>
              <w:left w:val="nil"/>
              <w:bottom w:val="single" w:sz="4" w:space="0" w:color="auto"/>
              <w:right w:val="single" w:sz="4" w:space="0" w:color="auto"/>
            </w:tcBorders>
            <w:shd w:val="clear" w:color="auto" w:fill="auto"/>
          </w:tcPr>
          <w:p w14:paraId="71CC1CBF" w14:textId="42CA7FD9" w:rsidR="00A4250A" w:rsidRPr="00154E08" w:rsidRDefault="00A4250A" w:rsidP="00A4250A">
            <w:pPr>
              <w:spacing w:line="240" w:lineRule="auto"/>
              <w:jc w:val="right"/>
              <w:rPr>
                <w:rFonts w:cs="Times New Roman"/>
                <w:sz w:val="16"/>
                <w:szCs w:val="16"/>
              </w:rPr>
            </w:pPr>
            <w:r w:rsidRPr="00154E08">
              <w:rPr>
                <w:rFonts w:cs="Times New Roman"/>
                <w:color w:val="000000"/>
                <w:sz w:val="16"/>
                <w:szCs w:val="16"/>
              </w:rPr>
              <w:t>0,750</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E77AED1" w14:textId="6A0B617F" w:rsidR="00A4250A" w:rsidRPr="00154E08" w:rsidRDefault="00A4250A" w:rsidP="00A4250A">
            <w:pPr>
              <w:spacing w:line="240" w:lineRule="auto"/>
              <w:jc w:val="right"/>
              <w:rPr>
                <w:rFonts w:cs="Times New Roman"/>
                <w:sz w:val="16"/>
                <w:szCs w:val="16"/>
              </w:rPr>
            </w:pPr>
            <w:r w:rsidRPr="00154E08">
              <w:rPr>
                <w:rFonts w:cs="Times New Roman"/>
                <w:color w:val="000000"/>
                <w:sz w:val="16"/>
                <w:szCs w:val="16"/>
              </w:rPr>
              <w:t>0,765</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107A6344" w14:textId="3D8A8286" w:rsidR="00A4250A" w:rsidRPr="00154E08" w:rsidRDefault="00A4250A" w:rsidP="00A4250A">
            <w:pPr>
              <w:spacing w:line="240" w:lineRule="auto"/>
              <w:jc w:val="right"/>
              <w:rPr>
                <w:rFonts w:cs="Times New Roman"/>
                <w:sz w:val="16"/>
                <w:szCs w:val="16"/>
              </w:rPr>
            </w:pPr>
            <w:r w:rsidRPr="00154E08">
              <w:rPr>
                <w:rFonts w:cs="Times New Roman"/>
                <w:color w:val="000000"/>
                <w:sz w:val="16"/>
                <w:szCs w:val="16"/>
              </w:rPr>
              <w:t>0,788</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23EEB4A" w14:textId="6811AB6C" w:rsidR="00A4250A" w:rsidRPr="00154E08" w:rsidRDefault="00A4250A" w:rsidP="00A4250A">
            <w:pPr>
              <w:spacing w:line="240" w:lineRule="auto"/>
              <w:jc w:val="right"/>
              <w:rPr>
                <w:rFonts w:cs="Times New Roman"/>
                <w:sz w:val="16"/>
                <w:szCs w:val="16"/>
              </w:rPr>
            </w:pPr>
            <w:r w:rsidRPr="00154E08">
              <w:rPr>
                <w:rFonts w:cs="Times New Roman"/>
                <w:color w:val="000000"/>
                <w:sz w:val="16"/>
                <w:szCs w:val="16"/>
              </w:rPr>
              <w:t>0,794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2D54995" w14:textId="1C7D16A4" w:rsidR="00A4250A" w:rsidRPr="00154E08" w:rsidRDefault="00A4250A" w:rsidP="00A4250A">
            <w:pPr>
              <w:spacing w:line="240" w:lineRule="auto"/>
              <w:jc w:val="right"/>
              <w:rPr>
                <w:rFonts w:cs="Times New Roman"/>
                <w:sz w:val="16"/>
                <w:szCs w:val="16"/>
              </w:rPr>
            </w:pPr>
            <w:r w:rsidRPr="00154E08">
              <w:rPr>
                <w:rFonts w:cs="Times New Roman"/>
                <w:color w:val="000000"/>
                <w:sz w:val="16"/>
                <w:szCs w:val="16"/>
              </w:rPr>
              <w:t>0,800</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B74887C" w14:textId="261B87C5" w:rsidR="00A4250A" w:rsidRPr="00154E08" w:rsidRDefault="00A4250A" w:rsidP="00A4250A">
            <w:pPr>
              <w:spacing w:line="240" w:lineRule="auto"/>
              <w:jc w:val="right"/>
              <w:rPr>
                <w:rFonts w:cs="Times New Roman"/>
                <w:sz w:val="16"/>
                <w:szCs w:val="16"/>
              </w:rPr>
            </w:pPr>
            <w:r w:rsidRPr="00154E08">
              <w:rPr>
                <w:rFonts w:cs="Times New Roman"/>
                <w:color w:val="000000"/>
                <w:sz w:val="16"/>
                <w:szCs w:val="16"/>
              </w:rPr>
              <w:t>0,806</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0A4CF18" w14:textId="39C37663" w:rsidR="00A4250A" w:rsidRPr="00154E08" w:rsidRDefault="00A4250A" w:rsidP="00A4250A">
            <w:pPr>
              <w:spacing w:line="240" w:lineRule="auto"/>
              <w:jc w:val="right"/>
              <w:rPr>
                <w:rFonts w:cs="Times New Roman"/>
                <w:sz w:val="16"/>
                <w:szCs w:val="16"/>
              </w:rPr>
            </w:pPr>
            <w:r w:rsidRPr="00154E08">
              <w:rPr>
                <w:rFonts w:cs="Times New Roman"/>
                <w:color w:val="000000"/>
                <w:sz w:val="16"/>
                <w:szCs w:val="16"/>
              </w:rPr>
              <w:t>0,812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DA9B897" w14:textId="413D3B5B" w:rsidR="00A4250A" w:rsidRPr="00154E08" w:rsidRDefault="00A4250A" w:rsidP="00A4250A">
            <w:pPr>
              <w:spacing w:line="240" w:lineRule="auto"/>
              <w:jc w:val="right"/>
              <w:rPr>
                <w:rFonts w:cs="Times New Roman"/>
                <w:sz w:val="16"/>
                <w:szCs w:val="16"/>
              </w:rPr>
            </w:pPr>
            <w:r w:rsidRPr="00154E08">
              <w:rPr>
                <w:rFonts w:cs="Times New Roman"/>
                <w:color w:val="000000"/>
                <w:sz w:val="16"/>
                <w:szCs w:val="16"/>
              </w:rPr>
              <w:t>0,818</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31B4FC5" w14:textId="53C4B4A4" w:rsidR="00A4250A" w:rsidRPr="00154E08" w:rsidRDefault="00A4250A" w:rsidP="00A4250A">
            <w:pPr>
              <w:spacing w:line="240" w:lineRule="auto"/>
              <w:jc w:val="right"/>
              <w:rPr>
                <w:rFonts w:cs="Times New Roman"/>
                <w:sz w:val="16"/>
                <w:szCs w:val="16"/>
              </w:rPr>
            </w:pPr>
            <w:r w:rsidRPr="00154E08">
              <w:rPr>
                <w:rFonts w:cs="Times New Roman"/>
                <w:color w:val="000000"/>
                <w:sz w:val="16"/>
                <w:szCs w:val="16"/>
              </w:rPr>
              <w:t>0,824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9D02D61" w14:textId="51F373A0" w:rsidR="00A4250A" w:rsidRPr="00154E08" w:rsidRDefault="00A4250A" w:rsidP="00A4250A">
            <w:pPr>
              <w:spacing w:line="240" w:lineRule="auto"/>
              <w:jc w:val="right"/>
              <w:rPr>
                <w:rFonts w:cs="Times New Roman"/>
                <w:sz w:val="16"/>
                <w:szCs w:val="16"/>
              </w:rPr>
            </w:pPr>
            <w:r w:rsidRPr="00154E08">
              <w:rPr>
                <w:rFonts w:cs="Times New Roman"/>
                <w:color w:val="000000"/>
                <w:sz w:val="16"/>
                <w:szCs w:val="16"/>
              </w:rPr>
              <w:t>0,830</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DC034D6" w14:textId="77777777" w:rsidR="00A4250A" w:rsidRPr="00154E08" w:rsidRDefault="00A4250A" w:rsidP="00A4250A">
            <w:pPr>
              <w:spacing w:line="240" w:lineRule="auto"/>
              <w:jc w:val="center"/>
              <w:rPr>
                <w:rFonts w:cs="Times New Roman"/>
                <w:color w:val="000000"/>
                <w:sz w:val="16"/>
                <w:szCs w:val="16"/>
              </w:rPr>
            </w:pPr>
            <w:r w:rsidRPr="00154E08">
              <w:rPr>
                <w:rFonts w:cs="Times New Roman"/>
                <w:color w:val="000000"/>
                <w:sz w:val="16"/>
                <w:szCs w:val="16"/>
              </w:rPr>
              <w:t>7,99</w:t>
            </w:r>
          </w:p>
          <w:p w14:paraId="4E66B12B" w14:textId="77777777" w:rsidR="00A4250A" w:rsidRPr="00154E08" w:rsidRDefault="00A4250A" w:rsidP="00A4250A">
            <w:pPr>
              <w:spacing w:line="240" w:lineRule="auto"/>
              <w:jc w:val="right"/>
              <w:rPr>
                <w:rFonts w:cs="Times New Roman"/>
                <w:sz w:val="16"/>
                <w:szCs w:val="16"/>
              </w:rPr>
            </w:pPr>
          </w:p>
        </w:tc>
      </w:tr>
      <w:tr w:rsidR="004C796F" w:rsidRPr="00154E08" w14:paraId="314E2873" w14:textId="77777777" w:rsidTr="3E65ED00">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21"/>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A0A71" w14:textId="77777777" w:rsidR="00055746" w:rsidRPr="00154E08" w:rsidRDefault="00055746" w:rsidP="00F069F7">
            <w:pPr>
              <w:spacing w:line="240" w:lineRule="auto"/>
              <w:rPr>
                <w:rFonts w:cs="Times New Roman"/>
                <w:color w:val="000000"/>
                <w:sz w:val="21"/>
                <w:szCs w:val="21"/>
              </w:rPr>
            </w:pPr>
            <w:r w:rsidRPr="00154E08">
              <w:rPr>
                <w:rFonts w:cs="Times New Roman"/>
                <w:color w:val="000000"/>
                <w:sz w:val="21"/>
                <w:szCs w:val="21"/>
              </w:rPr>
              <w:t>budżet państwa,</w:t>
            </w:r>
          </w:p>
          <w:p w14:paraId="0AFF759C" w14:textId="77777777" w:rsidR="00055746" w:rsidRPr="00154E08" w:rsidRDefault="00055746" w:rsidP="00F069F7">
            <w:pPr>
              <w:spacing w:line="240" w:lineRule="auto"/>
              <w:rPr>
                <w:rFonts w:cs="Times New Roman"/>
                <w:color w:val="000000"/>
                <w:sz w:val="21"/>
                <w:szCs w:val="21"/>
              </w:rPr>
            </w:pPr>
            <w:r w:rsidRPr="00154E08">
              <w:rPr>
                <w:rFonts w:cs="Times New Roman"/>
                <w:color w:val="000000"/>
                <w:sz w:val="21"/>
                <w:szCs w:val="21"/>
              </w:rPr>
              <w:t>w tym:</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054F8C03"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7BAF441"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3A393F0D"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1349C9B"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A68B9B5"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3EA90E99"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6A1E61C"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3C05BAE8"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2E01E23"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2AF105F9"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7EF274"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028338A" w14:textId="77777777" w:rsidR="00055746" w:rsidRPr="00154E08" w:rsidRDefault="00055746" w:rsidP="00F069F7">
            <w:pPr>
              <w:spacing w:line="240" w:lineRule="auto"/>
              <w:jc w:val="right"/>
              <w:rPr>
                <w:rFonts w:cs="Times New Roman"/>
                <w:sz w:val="16"/>
                <w:szCs w:val="16"/>
              </w:rPr>
            </w:pPr>
            <w:r w:rsidRPr="00154E08">
              <w:rPr>
                <w:rFonts w:cs="Times New Roman"/>
                <w:sz w:val="16"/>
                <w:szCs w:val="16"/>
              </w:rPr>
              <w:t>-</w:t>
            </w:r>
          </w:p>
        </w:tc>
      </w:tr>
      <w:tr w:rsidR="00FF1B1E" w:rsidRPr="00154E08" w14:paraId="589C194F" w14:textId="77777777" w:rsidTr="00D95D2F">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44"/>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28C29" w14:textId="77777777" w:rsidR="00FF1B1E" w:rsidRPr="00154E08" w:rsidRDefault="00FF1B1E" w:rsidP="00FF1B1E">
            <w:pPr>
              <w:spacing w:line="240" w:lineRule="auto"/>
              <w:rPr>
                <w:rFonts w:cs="Times New Roman"/>
                <w:color w:val="000000"/>
                <w:sz w:val="21"/>
                <w:szCs w:val="21"/>
              </w:rPr>
            </w:pPr>
            <w:r w:rsidRPr="00154E08">
              <w:rPr>
                <w:rFonts w:cs="Times New Roman"/>
                <w:color w:val="000000"/>
                <w:sz w:val="21"/>
                <w:szCs w:val="21"/>
              </w:rPr>
              <w:t>- URE</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2B77C634" w14:textId="528029EA" w:rsidR="00FF1B1E" w:rsidRPr="00154E08" w:rsidRDefault="00FF1B1E" w:rsidP="00FF1B1E">
            <w:pPr>
              <w:spacing w:line="240" w:lineRule="auto"/>
              <w:jc w:val="right"/>
              <w:rPr>
                <w:rFonts w:cs="Times New Roman"/>
                <w:sz w:val="16"/>
                <w:szCs w:val="16"/>
              </w:rPr>
            </w:pPr>
            <w:r w:rsidRPr="00154E08">
              <w:rPr>
                <w:rFonts w:cs="Times New Roman"/>
                <w:sz w:val="18"/>
                <w:szCs w:val="18"/>
              </w:rPr>
              <w:t>0</w:t>
            </w:r>
          </w:p>
        </w:tc>
        <w:tc>
          <w:tcPr>
            <w:tcW w:w="729" w:type="dxa"/>
            <w:tcBorders>
              <w:top w:val="single" w:sz="4" w:space="0" w:color="auto"/>
              <w:left w:val="nil"/>
              <w:bottom w:val="single" w:sz="4" w:space="0" w:color="auto"/>
              <w:right w:val="single" w:sz="4" w:space="0" w:color="auto"/>
            </w:tcBorders>
            <w:shd w:val="clear" w:color="auto" w:fill="auto"/>
          </w:tcPr>
          <w:p w14:paraId="2CFB9368" w14:textId="19D4E2E2" w:rsidR="00FF1B1E" w:rsidRPr="00154E08" w:rsidRDefault="00FF1B1E" w:rsidP="00FF1B1E">
            <w:pPr>
              <w:spacing w:line="240" w:lineRule="auto"/>
              <w:jc w:val="right"/>
              <w:rPr>
                <w:rFonts w:cs="Times New Roman"/>
                <w:sz w:val="16"/>
                <w:szCs w:val="16"/>
              </w:rPr>
            </w:pPr>
            <w:r w:rsidRPr="00154E08">
              <w:rPr>
                <w:rFonts w:cs="Times New Roman"/>
                <w:color w:val="000000"/>
                <w:sz w:val="16"/>
                <w:szCs w:val="16"/>
              </w:rPr>
              <w:t>0,750</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A52C071" w14:textId="1710A8A8" w:rsidR="00FF1B1E" w:rsidRPr="00154E08" w:rsidRDefault="00FF1B1E" w:rsidP="00FF1B1E">
            <w:pPr>
              <w:spacing w:line="240" w:lineRule="auto"/>
              <w:jc w:val="right"/>
              <w:rPr>
                <w:rFonts w:cs="Times New Roman"/>
                <w:sz w:val="16"/>
                <w:szCs w:val="16"/>
              </w:rPr>
            </w:pPr>
            <w:r w:rsidRPr="00154E08">
              <w:rPr>
                <w:rFonts w:cs="Times New Roman"/>
                <w:color w:val="000000"/>
                <w:sz w:val="16"/>
                <w:szCs w:val="16"/>
              </w:rPr>
              <w:t>0,765</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63AD89B6" w14:textId="7523037A" w:rsidR="00FF1B1E" w:rsidRPr="00154E08" w:rsidRDefault="00FF1B1E" w:rsidP="00FF1B1E">
            <w:pPr>
              <w:spacing w:line="240" w:lineRule="auto"/>
              <w:jc w:val="right"/>
              <w:rPr>
                <w:rFonts w:cs="Times New Roman"/>
                <w:sz w:val="16"/>
                <w:szCs w:val="16"/>
              </w:rPr>
            </w:pPr>
            <w:r w:rsidRPr="00154E08">
              <w:rPr>
                <w:rFonts w:cs="Times New Roman"/>
                <w:color w:val="000000"/>
                <w:sz w:val="16"/>
                <w:szCs w:val="16"/>
              </w:rPr>
              <w:t>0,788</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13890315" w14:textId="5B496657" w:rsidR="00FF1B1E" w:rsidRPr="00154E08" w:rsidRDefault="00FF1B1E" w:rsidP="00FF1B1E">
            <w:pPr>
              <w:spacing w:line="240" w:lineRule="auto"/>
              <w:jc w:val="right"/>
              <w:rPr>
                <w:rFonts w:cs="Times New Roman"/>
                <w:sz w:val="16"/>
                <w:szCs w:val="16"/>
              </w:rPr>
            </w:pPr>
            <w:r w:rsidRPr="00154E08">
              <w:rPr>
                <w:rFonts w:cs="Times New Roman"/>
                <w:color w:val="000000"/>
                <w:sz w:val="16"/>
                <w:szCs w:val="16"/>
              </w:rPr>
              <w:t>0,794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A47E8B1" w14:textId="29E7FDBC" w:rsidR="00FF1B1E" w:rsidRPr="00154E08" w:rsidRDefault="00FF1B1E" w:rsidP="00FF1B1E">
            <w:pPr>
              <w:spacing w:line="240" w:lineRule="auto"/>
              <w:jc w:val="right"/>
              <w:rPr>
                <w:rFonts w:cs="Times New Roman"/>
                <w:sz w:val="16"/>
                <w:szCs w:val="16"/>
              </w:rPr>
            </w:pPr>
            <w:r w:rsidRPr="00154E08">
              <w:rPr>
                <w:rFonts w:cs="Times New Roman"/>
                <w:color w:val="000000"/>
                <w:sz w:val="16"/>
                <w:szCs w:val="16"/>
              </w:rPr>
              <w:t>0,800</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3B67A4A" w14:textId="43FDDEE0" w:rsidR="00FF1B1E" w:rsidRPr="00154E08" w:rsidRDefault="00FF1B1E" w:rsidP="00FF1B1E">
            <w:pPr>
              <w:spacing w:line="240" w:lineRule="auto"/>
              <w:jc w:val="right"/>
              <w:rPr>
                <w:rFonts w:cs="Times New Roman"/>
                <w:sz w:val="16"/>
                <w:szCs w:val="16"/>
              </w:rPr>
            </w:pPr>
            <w:r w:rsidRPr="00154E08">
              <w:rPr>
                <w:rFonts w:cs="Times New Roman"/>
                <w:color w:val="000000"/>
                <w:sz w:val="16"/>
                <w:szCs w:val="16"/>
              </w:rPr>
              <w:t>0,806</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A7E0DE7" w14:textId="7D5C1F72" w:rsidR="00FF1B1E" w:rsidRPr="00154E08" w:rsidRDefault="00FF1B1E" w:rsidP="00FF1B1E">
            <w:pPr>
              <w:spacing w:line="240" w:lineRule="auto"/>
              <w:jc w:val="right"/>
              <w:rPr>
                <w:rFonts w:cs="Times New Roman"/>
                <w:sz w:val="16"/>
                <w:szCs w:val="16"/>
              </w:rPr>
            </w:pPr>
            <w:r w:rsidRPr="00154E08">
              <w:rPr>
                <w:rFonts w:cs="Times New Roman"/>
                <w:color w:val="000000"/>
                <w:sz w:val="16"/>
                <w:szCs w:val="16"/>
              </w:rPr>
              <w:t>0,812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20E8000E" w14:textId="522F6414" w:rsidR="00FF1B1E" w:rsidRPr="00154E08" w:rsidRDefault="00FF1B1E" w:rsidP="00FF1B1E">
            <w:pPr>
              <w:spacing w:line="240" w:lineRule="auto"/>
              <w:jc w:val="right"/>
              <w:rPr>
                <w:rFonts w:cs="Times New Roman"/>
                <w:sz w:val="16"/>
                <w:szCs w:val="16"/>
              </w:rPr>
            </w:pPr>
            <w:r w:rsidRPr="00154E08">
              <w:rPr>
                <w:rFonts w:cs="Times New Roman"/>
                <w:color w:val="000000"/>
                <w:sz w:val="16"/>
                <w:szCs w:val="16"/>
              </w:rPr>
              <w:t>0,818</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7F56E835" w14:textId="7F1F4348" w:rsidR="00FF1B1E" w:rsidRPr="00154E08" w:rsidRDefault="00FF1B1E" w:rsidP="00FF1B1E">
            <w:pPr>
              <w:spacing w:line="240" w:lineRule="auto"/>
              <w:jc w:val="right"/>
              <w:rPr>
                <w:rFonts w:cs="Times New Roman"/>
                <w:sz w:val="16"/>
                <w:szCs w:val="16"/>
              </w:rPr>
            </w:pPr>
            <w:r w:rsidRPr="00154E08">
              <w:rPr>
                <w:rFonts w:cs="Times New Roman"/>
                <w:color w:val="000000"/>
                <w:sz w:val="16"/>
                <w:szCs w:val="16"/>
              </w:rPr>
              <w:t>0,824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4173243" w14:textId="6D651033" w:rsidR="00FF1B1E" w:rsidRPr="00154E08" w:rsidRDefault="00FF1B1E" w:rsidP="00FF1B1E">
            <w:pPr>
              <w:spacing w:line="240" w:lineRule="auto"/>
              <w:jc w:val="right"/>
              <w:rPr>
                <w:rFonts w:cs="Times New Roman"/>
                <w:sz w:val="16"/>
                <w:szCs w:val="16"/>
              </w:rPr>
            </w:pPr>
            <w:r w:rsidRPr="00154E08">
              <w:rPr>
                <w:rFonts w:cs="Times New Roman"/>
                <w:color w:val="000000"/>
                <w:sz w:val="16"/>
                <w:szCs w:val="16"/>
              </w:rPr>
              <w:t>0,830</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FC170AE" w14:textId="3F781A07" w:rsidR="00FF1B1E" w:rsidRPr="00154E08" w:rsidRDefault="004922B9" w:rsidP="00FF1B1E">
            <w:pPr>
              <w:spacing w:line="240" w:lineRule="auto"/>
              <w:jc w:val="center"/>
              <w:rPr>
                <w:rFonts w:cs="Times New Roman"/>
                <w:color w:val="000000"/>
                <w:sz w:val="16"/>
                <w:szCs w:val="16"/>
              </w:rPr>
            </w:pPr>
            <w:r w:rsidRPr="00154E08">
              <w:rPr>
                <w:rFonts w:cs="Times New Roman"/>
                <w:color w:val="000000"/>
                <w:sz w:val="16"/>
                <w:szCs w:val="16"/>
              </w:rPr>
              <w:t>7,99</w:t>
            </w:r>
          </w:p>
          <w:p w14:paraId="3E62351B" w14:textId="77777777" w:rsidR="00FF1B1E" w:rsidRPr="00154E08" w:rsidRDefault="00FF1B1E" w:rsidP="00FF1B1E">
            <w:pPr>
              <w:spacing w:line="240" w:lineRule="auto"/>
              <w:jc w:val="right"/>
              <w:rPr>
                <w:rFonts w:cs="Times New Roman"/>
                <w:sz w:val="16"/>
                <w:szCs w:val="16"/>
              </w:rPr>
            </w:pPr>
          </w:p>
        </w:tc>
      </w:tr>
      <w:tr w:rsidR="004C796F" w:rsidRPr="00154E08" w14:paraId="2E114C45" w14:textId="77777777" w:rsidTr="3E65ED00">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44"/>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3D6FE" w14:textId="77777777" w:rsidR="00055746" w:rsidRPr="00154E08" w:rsidRDefault="00055746" w:rsidP="00F069F7">
            <w:pPr>
              <w:spacing w:line="240" w:lineRule="auto"/>
              <w:rPr>
                <w:rFonts w:cs="Times New Roman"/>
                <w:color w:val="000000"/>
                <w:sz w:val="21"/>
                <w:szCs w:val="21"/>
              </w:rPr>
            </w:pPr>
            <w:r w:rsidRPr="00154E08">
              <w:rPr>
                <w:rFonts w:cs="Times New Roman"/>
                <w:color w:val="000000"/>
                <w:sz w:val="21"/>
                <w:szCs w:val="21"/>
              </w:rPr>
              <w:t>pozostałe jednostki</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17DBD2AD" w14:textId="77777777" w:rsidR="00055746" w:rsidRPr="00154E08" w:rsidRDefault="00055746" w:rsidP="00F069F7">
            <w:pPr>
              <w:jc w:val="right"/>
              <w:rPr>
                <w:rFonts w:cs="Times New Roman"/>
                <w:sz w:val="18"/>
                <w:szCs w:val="18"/>
              </w:rPr>
            </w:pPr>
            <w:r w:rsidRPr="00154E08">
              <w:rPr>
                <w:rFonts w:cs="Times New Roman"/>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72DE8D3" w14:textId="77777777" w:rsidR="00055746" w:rsidRPr="00154E08" w:rsidRDefault="00055746" w:rsidP="00F069F7">
            <w:pPr>
              <w:jc w:val="right"/>
              <w:rPr>
                <w:rFonts w:cs="Times New Roman"/>
                <w:sz w:val="18"/>
                <w:szCs w:val="18"/>
              </w:rPr>
            </w:pPr>
            <w:r w:rsidRPr="00154E08">
              <w:rPr>
                <w:rFonts w:cs="Times New Roman"/>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749C669" w14:textId="77777777" w:rsidR="00055746" w:rsidRPr="00154E08" w:rsidRDefault="00055746" w:rsidP="00F069F7">
            <w:pPr>
              <w:jc w:val="right"/>
              <w:rPr>
                <w:rFonts w:cs="Times New Roman"/>
                <w:sz w:val="18"/>
                <w:szCs w:val="18"/>
              </w:rPr>
            </w:pPr>
            <w:r w:rsidRPr="00154E08">
              <w:rPr>
                <w:rFonts w:cs="Times New Roman"/>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44D893B" w14:textId="77777777" w:rsidR="00055746" w:rsidRPr="00154E08" w:rsidRDefault="00055746" w:rsidP="00F069F7">
            <w:pPr>
              <w:jc w:val="right"/>
              <w:rPr>
                <w:rFonts w:cs="Times New Roman"/>
                <w:sz w:val="18"/>
                <w:szCs w:val="18"/>
              </w:rPr>
            </w:pPr>
            <w:r w:rsidRPr="00154E08">
              <w:rPr>
                <w:rFonts w:cs="Times New Roman"/>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D96632A" w14:textId="77777777" w:rsidR="00055746" w:rsidRPr="00154E08" w:rsidRDefault="00055746" w:rsidP="00F069F7">
            <w:pPr>
              <w:jc w:val="right"/>
              <w:rPr>
                <w:rFonts w:cs="Times New Roman"/>
                <w:sz w:val="18"/>
                <w:szCs w:val="18"/>
              </w:rPr>
            </w:pPr>
            <w:r w:rsidRPr="00154E08">
              <w:rPr>
                <w:rFonts w:cs="Times New Roman"/>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D672E15" w14:textId="77777777" w:rsidR="00055746" w:rsidRPr="00154E08" w:rsidRDefault="00055746" w:rsidP="00F069F7">
            <w:pPr>
              <w:jc w:val="right"/>
              <w:rPr>
                <w:rFonts w:cs="Times New Roman"/>
                <w:sz w:val="18"/>
                <w:szCs w:val="18"/>
              </w:rPr>
            </w:pPr>
            <w:r w:rsidRPr="00154E08">
              <w:rPr>
                <w:rFonts w:cs="Times New Roman"/>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A5F9DCA" w14:textId="77777777" w:rsidR="00055746" w:rsidRPr="00154E08" w:rsidRDefault="00055746" w:rsidP="00F069F7">
            <w:pPr>
              <w:jc w:val="right"/>
              <w:rPr>
                <w:rFonts w:cs="Times New Roman"/>
                <w:sz w:val="18"/>
                <w:szCs w:val="18"/>
              </w:rPr>
            </w:pPr>
            <w:r w:rsidRPr="00154E08">
              <w:rPr>
                <w:rFonts w:cs="Times New Roman"/>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1353722" w14:textId="77777777" w:rsidR="00055746" w:rsidRPr="00154E08" w:rsidRDefault="00055746" w:rsidP="00F069F7">
            <w:pPr>
              <w:jc w:val="right"/>
              <w:rPr>
                <w:rFonts w:cs="Times New Roman"/>
                <w:sz w:val="18"/>
                <w:szCs w:val="18"/>
              </w:rPr>
            </w:pPr>
            <w:r w:rsidRPr="00154E08">
              <w:rPr>
                <w:rFonts w:cs="Times New Roman"/>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190EAA6" w14:textId="77777777" w:rsidR="00055746" w:rsidRPr="00154E08" w:rsidRDefault="00055746" w:rsidP="00F069F7">
            <w:pPr>
              <w:jc w:val="right"/>
              <w:rPr>
                <w:rFonts w:cs="Times New Roman"/>
                <w:sz w:val="18"/>
                <w:szCs w:val="18"/>
              </w:rPr>
            </w:pPr>
            <w:r w:rsidRPr="00154E08">
              <w:rPr>
                <w:rFonts w:cs="Times New Roman"/>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2F8686DF" w14:textId="77777777" w:rsidR="00055746" w:rsidRPr="00154E08" w:rsidRDefault="00055746" w:rsidP="00F069F7">
            <w:pPr>
              <w:jc w:val="right"/>
              <w:rPr>
                <w:rFonts w:cs="Times New Roman"/>
                <w:sz w:val="18"/>
                <w:szCs w:val="18"/>
              </w:rPr>
            </w:pPr>
            <w:r w:rsidRPr="00154E08">
              <w:rPr>
                <w:rFonts w:cs="Times New Roman"/>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6F0E510" w14:textId="77777777" w:rsidR="00055746" w:rsidRPr="00154E08" w:rsidRDefault="00055746" w:rsidP="00F069F7">
            <w:pPr>
              <w:jc w:val="right"/>
              <w:rPr>
                <w:rFonts w:cs="Times New Roman"/>
                <w:sz w:val="18"/>
                <w:szCs w:val="18"/>
              </w:rPr>
            </w:pPr>
            <w:r w:rsidRPr="00154E08">
              <w:rPr>
                <w:rFonts w:cs="Times New Roman"/>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2908A29" w14:textId="77777777" w:rsidR="00055746" w:rsidRPr="00154E08" w:rsidRDefault="00055746" w:rsidP="00F069F7">
            <w:pPr>
              <w:jc w:val="right"/>
              <w:rPr>
                <w:rFonts w:cs="Times New Roman"/>
                <w:sz w:val="16"/>
                <w:szCs w:val="16"/>
              </w:rPr>
            </w:pPr>
            <w:r w:rsidRPr="00154E08">
              <w:rPr>
                <w:rFonts w:cs="Times New Roman"/>
                <w:sz w:val="16"/>
                <w:szCs w:val="16"/>
              </w:rPr>
              <w:t>-</w:t>
            </w:r>
          </w:p>
        </w:tc>
      </w:tr>
      <w:tr w:rsidR="001413E8" w:rsidRPr="00154E08" w14:paraId="72E2A2D9" w14:textId="77777777" w:rsidTr="00D95D2F">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269"/>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7B2D4" w14:textId="77777777" w:rsidR="001413E8" w:rsidRPr="00154E08" w:rsidRDefault="001413E8" w:rsidP="001413E8">
            <w:pPr>
              <w:spacing w:line="240" w:lineRule="auto"/>
              <w:rPr>
                <w:rFonts w:cs="Times New Roman"/>
                <w:color w:val="000000"/>
                <w:sz w:val="21"/>
                <w:szCs w:val="21"/>
              </w:rPr>
            </w:pPr>
            <w:r w:rsidRPr="00154E08">
              <w:rPr>
                <w:rFonts w:cs="Times New Roman"/>
                <w:b/>
                <w:color w:val="000000"/>
                <w:sz w:val="21"/>
                <w:szCs w:val="21"/>
              </w:rPr>
              <w:t>Saldo ogółem</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04845EF6" w14:textId="77777777" w:rsidR="001413E8" w:rsidRPr="00154E08" w:rsidRDefault="001413E8" w:rsidP="001413E8">
            <w:pPr>
              <w:jc w:val="right"/>
              <w:rPr>
                <w:rFonts w:cs="Times New Roman"/>
                <w:sz w:val="18"/>
                <w:szCs w:val="18"/>
              </w:rPr>
            </w:pPr>
          </w:p>
        </w:tc>
        <w:tc>
          <w:tcPr>
            <w:tcW w:w="729" w:type="dxa"/>
            <w:tcBorders>
              <w:top w:val="single" w:sz="4" w:space="0" w:color="auto"/>
              <w:left w:val="nil"/>
              <w:bottom w:val="single" w:sz="4" w:space="0" w:color="auto"/>
              <w:right w:val="single" w:sz="4" w:space="0" w:color="auto"/>
            </w:tcBorders>
            <w:shd w:val="clear" w:color="auto" w:fill="auto"/>
          </w:tcPr>
          <w:p w14:paraId="653BC514" w14:textId="6E89B0F6" w:rsidR="001413E8" w:rsidRPr="00154E08" w:rsidRDefault="001413E8" w:rsidP="001413E8">
            <w:pPr>
              <w:jc w:val="right"/>
              <w:rPr>
                <w:rFonts w:cs="Times New Roman"/>
                <w:sz w:val="16"/>
                <w:szCs w:val="16"/>
              </w:rPr>
            </w:pPr>
            <w:r w:rsidRPr="00154E08">
              <w:rPr>
                <w:rFonts w:cs="Times New Roman"/>
                <w:color w:val="000000"/>
                <w:sz w:val="16"/>
                <w:szCs w:val="16"/>
              </w:rPr>
              <w:t>-31,90</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1047592" w14:textId="3356B79E" w:rsidR="001413E8" w:rsidRPr="00154E08" w:rsidRDefault="001413E8" w:rsidP="001413E8">
            <w:pPr>
              <w:jc w:val="right"/>
              <w:rPr>
                <w:rFonts w:cs="Times New Roman"/>
                <w:sz w:val="16"/>
                <w:szCs w:val="16"/>
              </w:rPr>
            </w:pPr>
            <w:r w:rsidRPr="00154E08">
              <w:rPr>
                <w:rFonts w:cs="Times New Roman"/>
                <w:color w:val="000000"/>
                <w:sz w:val="16"/>
                <w:szCs w:val="16"/>
              </w:rPr>
              <w:t>-71,54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631F2BB1" w14:textId="20CEF1C1" w:rsidR="001413E8" w:rsidRPr="00154E08" w:rsidRDefault="001413E8" w:rsidP="001413E8">
            <w:pPr>
              <w:jc w:val="right"/>
              <w:rPr>
                <w:rFonts w:cs="Times New Roman"/>
                <w:sz w:val="16"/>
                <w:szCs w:val="16"/>
              </w:rPr>
            </w:pPr>
            <w:r w:rsidRPr="00154E08">
              <w:rPr>
                <w:rFonts w:cs="Times New Roman"/>
                <w:color w:val="000000"/>
                <w:sz w:val="16"/>
                <w:szCs w:val="16"/>
              </w:rPr>
              <w:t>-101,56</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DDC1458" w14:textId="3E1D4C49" w:rsidR="001413E8" w:rsidRPr="00154E08" w:rsidRDefault="001413E8" w:rsidP="001413E8">
            <w:pPr>
              <w:jc w:val="right"/>
              <w:rPr>
                <w:rFonts w:cs="Times New Roman"/>
                <w:sz w:val="16"/>
                <w:szCs w:val="16"/>
              </w:rPr>
            </w:pPr>
            <w:r w:rsidRPr="00154E08">
              <w:rPr>
                <w:rFonts w:cs="Times New Roman"/>
                <w:color w:val="000000"/>
                <w:sz w:val="16"/>
                <w:szCs w:val="16"/>
              </w:rPr>
              <w:t>-118,77</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F055527" w14:textId="050457D4" w:rsidR="001413E8" w:rsidRPr="00154E08" w:rsidRDefault="001413E8" w:rsidP="001413E8">
            <w:pPr>
              <w:jc w:val="right"/>
              <w:rPr>
                <w:rFonts w:cs="Times New Roman"/>
                <w:sz w:val="16"/>
                <w:szCs w:val="16"/>
              </w:rPr>
            </w:pPr>
            <w:r w:rsidRPr="00154E08">
              <w:rPr>
                <w:rFonts w:cs="Times New Roman"/>
                <w:color w:val="000000"/>
                <w:sz w:val="16"/>
                <w:szCs w:val="16"/>
              </w:rPr>
              <w:t>-127,34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AA08332" w14:textId="12AA0230" w:rsidR="001413E8" w:rsidRPr="00154E08" w:rsidRDefault="001413E8" w:rsidP="001413E8">
            <w:pPr>
              <w:jc w:val="right"/>
              <w:rPr>
                <w:rFonts w:cs="Times New Roman"/>
                <w:sz w:val="16"/>
                <w:szCs w:val="16"/>
              </w:rPr>
            </w:pPr>
            <w:r w:rsidRPr="00154E08">
              <w:rPr>
                <w:rFonts w:cs="Times New Roman"/>
                <w:color w:val="000000"/>
                <w:sz w:val="16"/>
                <w:szCs w:val="16"/>
              </w:rPr>
              <w:t>-130,13</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AD600B1" w14:textId="1F229852" w:rsidR="001413E8" w:rsidRPr="00154E08" w:rsidRDefault="001413E8" w:rsidP="001413E8">
            <w:pPr>
              <w:jc w:val="right"/>
              <w:rPr>
                <w:rFonts w:cs="Times New Roman"/>
                <w:sz w:val="16"/>
                <w:szCs w:val="16"/>
              </w:rPr>
            </w:pPr>
            <w:r w:rsidRPr="00154E08">
              <w:rPr>
                <w:rFonts w:cs="Times New Roman"/>
                <w:color w:val="000000"/>
                <w:sz w:val="16"/>
                <w:szCs w:val="16"/>
              </w:rPr>
              <w:t>-130,13</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EE52C83" w14:textId="0D3A5410" w:rsidR="001413E8" w:rsidRPr="00154E08" w:rsidRDefault="001413E8" w:rsidP="001413E8">
            <w:pPr>
              <w:jc w:val="right"/>
              <w:rPr>
                <w:rFonts w:cs="Times New Roman"/>
                <w:sz w:val="16"/>
                <w:szCs w:val="16"/>
              </w:rPr>
            </w:pPr>
            <w:r w:rsidRPr="00154E08">
              <w:rPr>
                <w:rFonts w:cs="Times New Roman"/>
                <w:color w:val="000000"/>
                <w:sz w:val="16"/>
                <w:szCs w:val="16"/>
              </w:rPr>
              <w:t>-130,14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8E98FDB" w14:textId="11B7AE3A" w:rsidR="001413E8" w:rsidRPr="00154E08" w:rsidRDefault="001413E8" w:rsidP="001413E8">
            <w:pPr>
              <w:jc w:val="right"/>
              <w:rPr>
                <w:rFonts w:cs="Times New Roman"/>
                <w:sz w:val="16"/>
                <w:szCs w:val="16"/>
              </w:rPr>
            </w:pPr>
            <w:r w:rsidRPr="00154E08">
              <w:rPr>
                <w:rFonts w:cs="Times New Roman"/>
                <w:color w:val="000000"/>
                <w:sz w:val="16"/>
                <w:szCs w:val="16"/>
              </w:rPr>
              <w:t>-130,15</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3409E79" w14:textId="4EA39454" w:rsidR="001413E8" w:rsidRPr="00154E08" w:rsidRDefault="001413E8" w:rsidP="001413E8">
            <w:pPr>
              <w:jc w:val="right"/>
              <w:rPr>
                <w:rFonts w:cs="Times New Roman"/>
                <w:sz w:val="16"/>
                <w:szCs w:val="16"/>
              </w:rPr>
            </w:pPr>
            <w:r w:rsidRPr="00154E08">
              <w:rPr>
                <w:rFonts w:cs="Times New Roman"/>
                <w:color w:val="000000"/>
                <w:sz w:val="16"/>
                <w:szCs w:val="16"/>
              </w:rPr>
              <w:t>-130,15</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210C6099" w14:textId="747E2943" w:rsidR="001413E8" w:rsidRPr="00154E08" w:rsidRDefault="001413E8" w:rsidP="001413E8">
            <w:pPr>
              <w:jc w:val="right"/>
              <w:rPr>
                <w:rFonts w:cs="Times New Roman"/>
                <w:sz w:val="16"/>
                <w:szCs w:val="16"/>
              </w:rPr>
            </w:pPr>
            <w:r w:rsidRPr="00154E08">
              <w:rPr>
                <w:rFonts w:cs="Times New Roman"/>
                <w:color w:val="000000"/>
                <w:sz w:val="16"/>
                <w:szCs w:val="16"/>
              </w:rPr>
              <w:t>-1101,81</w:t>
            </w:r>
          </w:p>
        </w:tc>
      </w:tr>
      <w:tr w:rsidR="004C796F" w:rsidRPr="00154E08" w14:paraId="3492A976" w14:textId="77777777" w:rsidTr="3E65ED00">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21"/>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E53CB" w14:textId="5D0CA68E" w:rsidR="00055746" w:rsidRPr="00154E08" w:rsidRDefault="00055746" w:rsidP="00F069F7">
            <w:pPr>
              <w:spacing w:line="240" w:lineRule="auto"/>
              <w:rPr>
                <w:rFonts w:cs="Times New Roman"/>
                <w:color w:val="000000"/>
                <w:sz w:val="21"/>
                <w:szCs w:val="21"/>
              </w:rPr>
            </w:pPr>
            <w:r w:rsidRPr="00154E08">
              <w:rPr>
                <w:rFonts w:cs="Times New Roman"/>
                <w:color w:val="000000"/>
                <w:sz w:val="21"/>
                <w:szCs w:val="21"/>
              </w:rPr>
              <w:t>budżet państwa,</w:t>
            </w:r>
          </w:p>
          <w:p w14:paraId="1E31816B" w14:textId="77777777" w:rsidR="00055746" w:rsidRPr="00154E08" w:rsidRDefault="00055746" w:rsidP="00F069F7">
            <w:pPr>
              <w:spacing w:line="240" w:lineRule="auto"/>
              <w:rPr>
                <w:rFonts w:cs="Times New Roman"/>
                <w:color w:val="000000"/>
                <w:sz w:val="21"/>
                <w:szCs w:val="21"/>
              </w:rPr>
            </w:pPr>
            <w:r w:rsidRPr="00154E08">
              <w:rPr>
                <w:rFonts w:cs="Times New Roman"/>
                <w:color w:val="000000"/>
                <w:sz w:val="21"/>
                <w:szCs w:val="21"/>
              </w:rPr>
              <w:t>w tym:</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6C3EA449"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3A316A1F"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4C10CCB"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D147FF1"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267D233C"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BD70BE"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39AE87C"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8D5D77B"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EB85BE1"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1A9AA8C"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35006E3D" w14:textId="77777777" w:rsidR="00055746" w:rsidRPr="00154E08" w:rsidRDefault="00055746" w:rsidP="00F069F7">
            <w:pPr>
              <w:spacing w:line="240" w:lineRule="auto"/>
              <w:jc w:val="right"/>
              <w:rPr>
                <w:rFonts w:cs="Times New Roman"/>
                <w:color w:val="000000"/>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C91E888" w14:textId="77777777" w:rsidR="00055746" w:rsidRPr="00154E08" w:rsidRDefault="00055746" w:rsidP="00F069F7">
            <w:pPr>
              <w:spacing w:line="240" w:lineRule="auto"/>
              <w:jc w:val="right"/>
              <w:rPr>
                <w:rFonts w:cs="Times New Roman"/>
                <w:color w:val="000000"/>
                <w:spacing w:val="-2"/>
                <w:sz w:val="16"/>
                <w:szCs w:val="16"/>
              </w:rPr>
            </w:pPr>
            <w:r w:rsidRPr="00154E08">
              <w:rPr>
                <w:rFonts w:cs="Times New Roman"/>
                <w:color w:val="000000"/>
                <w:sz w:val="16"/>
                <w:szCs w:val="16"/>
              </w:rPr>
              <w:t>-</w:t>
            </w:r>
          </w:p>
        </w:tc>
      </w:tr>
      <w:tr w:rsidR="00A4250A" w:rsidRPr="00154E08" w14:paraId="26E9F936" w14:textId="77777777" w:rsidTr="00D95D2F">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229"/>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BD7AD" w14:textId="77777777" w:rsidR="00A4250A" w:rsidRPr="00154E08" w:rsidRDefault="00A4250A" w:rsidP="00A4250A">
            <w:pPr>
              <w:spacing w:line="240" w:lineRule="auto"/>
              <w:rPr>
                <w:rFonts w:cs="Times New Roman"/>
                <w:color w:val="000000"/>
                <w:sz w:val="21"/>
                <w:szCs w:val="21"/>
              </w:rPr>
            </w:pPr>
            <w:r w:rsidRPr="00154E08">
              <w:rPr>
                <w:rFonts w:cs="Times New Roman"/>
                <w:color w:val="000000"/>
                <w:sz w:val="21"/>
                <w:szCs w:val="21"/>
              </w:rPr>
              <w:t>- URE</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1F0DF073" w14:textId="77777777" w:rsidR="00A4250A" w:rsidRPr="00154E08" w:rsidRDefault="00A4250A" w:rsidP="00A4250A">
            <w:pPr>
              <w:jc w:val="right"/>
              <w:rPr>
                <w:rFonts w:cs="Times New Roman"/>
                <w:sz w:val="18"/>
                <w:szCs w:val="18"/>
              </w:rPr>
            </w:pPr>
            <w:r w:rsidRPr="00154E08">
              <w:rPr>
                <w:rFonts w:cs="Times New Roman"/>
                <w:sz w:val="18"/>
                <w:szCs w:val="18"/>
              </w:rPr>
              <w:t>0</w:t>
            </w:r>
          </w:p>
        </w:tc>
        <w:tc>
          <w:tcPr>
            <w:tcW w:w="729" w:type="dxa"/>
            <w:tcBorders>
              <w:top w:val="single" w:sz="4" w:space="0" w:color="auto"/>
              <w:left w:val="nil"/>
              <w:bottom w:val="single" w:sz="4" w:space="0" w:color="auto"/>
              <w:right w:val="single" w:sz="4" w:space="0" w:color="auto"/>
            </w:tcBorders>
            <w:shd w:val="clear" w:color="auto" w:fill="auto"/>
          </w:tcPr>
          <w:p w14:paraId="74CE3521" w14:textId="2701EBDF" w:rsidR="00A4250A" w:rsidRPr="00154E08" w:rsidRDefault="00A4250A" w:rsidP="00A4250A">
            <w:pPr>
              <w:jc w:val="right"/>
              <w:rPr>
                <w:rFonts w:cs="Times New Roman"/>
                <w:sz w:val="18"/>
                <w:szCs w:val="18"/>
              </w:rPr>
            </w:pPr>
            <w:r w:rsidRPr="00154E08">
              <w:rPr>
                <w:rFonts w:cs="Times New Roman"/>
                <w:color w:val="000000"/>
                <w:sz w:val="16"/>
                <w:szCs w:val="16"/>
              </w:rPr>
              <w:t>0,750</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25D92C86" w14:textId="4ADDFB29" w:rsidR="00A4250A" w:rsidRPr="00154E08" w:rsidRDefault="00A4250A" w:rsidP="00A4250A">
            <w:pPr>
              <w:jc w:val="right"/>
              <w:rPr>
                <w:rFonts w:cs="Times New Roman"/>
                <w:sz w:val="18"/>
                <w:szCs w:val="18"/>
              </w:rPr>
            </w:pPr>
            <w:r w:rsidRPr="00154E08">
              <w:rPr>
                <w:rFonts w:cs="Times New Roman"/>
                <w:color w:val="000000"/>
                <w:sz w:val="16"/>
                <w:szCs w:val="16"/>
              </w:rPr>
              <w:t>0,765</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178DDC23" w14:textId="46AF1B10" w:rsidR="00A4250A" w:rsidRPr="00154E08" w:rsidRDefault="00A4250A" w:rsidP="00A4250A">
            <w:pPr>
              <w:jc w:val="right"/>
              <w:rPr>
                <w:rFonts w:cs="Times New Roman"/>
                <w:sz w:val="18"/>
                <w:szCs w:val="18"/>
              </w:rPr>
            </w:pPr>
            <w:r w:rsidRPr="00154E08">
              <w:rPr>
                <w:rFonts w:cs="Times New Roman"/>
                <w:color w:val="000000"/>
                <w:sz w:val="16"/>
                <w:szCs w:val="16"/>
              </w:rPr>
              <w:t>0,788</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842DAD2" w14:textId="1A2B7BDA" w:rsidR="00A4250A" w:rsidRPr="00154E08" w:rsidRDefault="00A4250A" w:rsidP="00A4250A">
            <w:pPr>
              <w:jc w:val="right"/>
              <w:rPr>
                <w:rFonts w:cs="Times New Roman"/>
                <w:sz w:val="18"/>
                <w:szCs w:val="18"/>
              </w:rPr>
            </w:pPr>
            <w:r w:rsidRPr="00154E08">
              <w:rPr>
                <w:rFonts w:cs="Times New Roman"/>
                <w:color w:val="000000"/>
                <w:sz w:val="16"/>
                <w:szCs w:val="16"/>
              </w:rPr>
              <w:t>0,794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77D1754A" w14:textId="07A44618" w:rsidR="00A4250A" w:rsidRPr="00154E08" w:rsidRDefault="00A4250A" w:rsidP="00A4250A">
            <w:pPr>
              <w:jc w:val="right"/>
              <w:rPr>
                <w:rFonts w:cs="Times New Roman"/>
                <w:sz w:val="18"/>
                <w:szCs w:val="18"/>
              </w:rPr>
            </w:pPr>
            <w:r w:rsidRPr="00154E08">
              <w:rPr>
                <w:rFonts w:cs="Times New Roman"/>
                <w:color w:val="000000"/>
                <w:sz w:val="16"/>
                <w:szCs w:val="16"/>
              </w:rPr>
              <w:t>0,800</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98D9144" w14:textId="726458F3" w:rsidR="00A4250A" w:rsidRPr="00154E08" w:rsidRDefault="00A4250A" w:rsidP="00A4250A">
            <w:pPr>
              <w:jc w:val="right"/>
              <w:rPr>
                <w:rFonts w:cs="Times New Roman"/>
                <w:sz w:val="18"/>
                <w:szCs w:val="18"/>
              </w:rPr>
            </w:pPr>
            <w:r w:rsidRPr="00154E08">
              <w:rPr>
                <w:rFonts w:cs="Times New Roman"/>
                <w:color w:val="000000"/>
                <w:sz w:val="16"/>
                <w:szCs w:val="16"/>
              </w:rPr>
              <w:t>0,806</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70AC170" w14:textId="69FD7575" w:rsidR="00A4250A" w:rsidRPr="00154E08" w:rsidRDefault="00A4250A" w:rsidP="00A4250A">
            <w:pPr>
              <w:jc w:val="right"/>
              <w:rPr>
                <w:rFonts w:cs="Times New Roman"/>
                <w:sz w:val="18"/>
                <w:szCs w:val="18"/>
              </w:rPr>
            </w:pPr>
            <w:r w:rsidRPr="00154E08">
              <w:rPr>
                <w:rFonts w:cs="Times New Roman"/>
                <w:color w:val="000000"/>
                <w:sz w:val="16"/>
                <w:szCs w:val="16"/>
              </w:rPr>
              <w:t>0,812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2AB9019" w14:textId="32AB5B03" w:rsidR="00A4250A" w:rsidRPr="00154E08" w:rsidRDefault="00A4250A" w:rsidP="00A4250A">
            <w:pPr>
              <w:jc w:val="right"/>
              <w:rPr>
                <w:rFonts w:cs="Times New Roman"/>
                <w:sz w:val="18"/>
                <w:szCs w:val="18"/>
              </w:rPr>
            </w:pPr>
            <w:r w:rsidRPr="00154E08">
              <w:rPr>
                <w:rFonts w:cs="Times New Roman"/>
                <w:color w:val="000000"/>
                <w:sz w:val="16"/>
                <w:szCs w:val="16"/>
              </w:rPr>
              <w:t>0,818</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AC3E194" w14:textId="07C9A9EB" w:rsidR="00A4250A" w:rsidRPr="00154E08" w:rsidRDefault="00A4250A" w:rsidP="00A4250A">
            <w:pPr>
              <w:jc w:val="right"/>
              <w:rPr>
                <w:rFonts w:cs="Times New Roman"/>
                <w:sz w:val="18"/>
                <w:szCs w:val="18"/>
              </w:rPr>
            </w:pPr>
            <w:r w:rsidRPr="00154E08">
              <w:rPr>
                <w:rFonts w:cs="Times New Roman"/>
                <w:color w:val="000000"/>
                <w:sz w:val="16"/>
                <w:szCs w:val="16"/>
              </w:rPr>
              <w:t>0,824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7B1C414" w14:textId="13AD4394" w:rsidR="00A4250A" w:rsidRPr="00154E08" w:rsidRDefault="00A4250A" w:rsidP="00A4250A">
            <w:pPr>
              <w:jc w:val="right"/>
              <w:rPr>
                <w:rFonts w:cs="Times New Roman"/>
                <w:sz w:val="18"/>
                <w:szCs w:val="18"/>
              </w:rPr>
            </w:pPr>
            <w:r w:rsidRPr="00154E08">
              <w:rPr>
                <w:rFonts w:cs="Times New Roman"/>
                <w:color w:val="000000"/>
                <w:sz w:val="16"/>
                <w:szCs w:val="16"/>
              </w:rPr>
              <w:t>0,830</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225607FB" w14:textId="77777777" w:rsidR="00A4250A" w:rsidRPr="00154E08" w:rsidRDefault="00A4250A" w:rsidP="00A4250A">
            <w:pPr>
              <w:spacing w:line="240" w:lineRule="auto"/>
              <w:jc w:val="center"/>
              <w:rPr>
                <w:rFonts w:cs="Times New Roman"/>
                <w:color w:val="000000"/>
                <w:sz w:val="16"/>
                <w:szCs w:val="16"/>
              </w:rPr>
            </w:pPr>
            <w:r w:rsidRPr="00154E08">
              <w:rPr>
                <w:rFonts w:cs="Times New Roman"/>
                <w:color w:val="000000"/>
                <w:sz w:val="16"/>
                <w:szCs w:val="16"/>
              </w:rPr>
              <w:t>7,99</w:t>
            </w:r>
          </w:p>
          <w:p w14:paraId="21467457" w14:textId="77777777" w:rsidR="00A4250A" w:rsidRPr="00154E08" w:rsidRDefault="00A4250A" w:rsidP="00A4250A">
            <w:pPr>
              <w:jc w:val="right"/>
              <w:rPr>
                <w:rFonts w:cs="Times New Roman"/>
                <w:sz w:val="16"/>
                <w:szCs w:val="16"/>
              </w:rPr>
            </w:pPr>
          </w:p>
        </w:tc>
      </w:tr>
      <w:tr w:rsidR="004C796F" w:rsidRPr="00154E08" w14:paraId="59C41698" w14:textId="77777777" w:rsidTr="3E65ED00">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44"/>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A4AA8" w14:textId="77777777" w:rsidR="00055746" w:rsidRPr="00154E08" w:rsidRDefault="00055746" w:rsidP="00F069F7">
            <w:pPr>
              <w:spacing w:line="240" w:lineRule="auto"/>
              <w:rPr>
                <w:rFonts w:cs="Times New Roman"/>
                <w:color w:val="000000"/>
                <w:sz w:val="21"/>
                <w:szCs w:val="21"/>
              </w:rPr>
            </w:pPr>
            <w:r w:rsidRPr="00154E08">
              <w:rPr>
                <w:rFonts w:cs="Times New Roman"/>
                <w:color w:val="000000"/>
                <w:sz w:val="21"/>
                <w:szCs w:val="21"/>
              </w:rPr>
              <w:t>pozostałe jednostki,</w:t>
            </w:r>
          </w:p>
          <w:p w14:paraId="1ADEF829" w14:textId="77777777" w:rsidR="00055746" w:rsidRPr="00154E08" w:rsidRDefault="00055746" w:rsidP="00F069F7">
            <w:pPr>
              <w:spacing w:line="240" w:lineRule="auto"/>
              <w:rPr>
                <w:rFonts w:cs="Times New Roman"/>
                <w:color w:val="000000"/>
                <w:sz w:val="21"/>
                <w:szCs w:val="21"/>
              </w:rPr>
            </w:pPr>
            <w:r w:rsidRPr="00154E08">
              <w:rPr>
                <w:rFonts w:cs="Times New Roman"/>
                <w:color w:val="000000"/>
                <w:sz w:val="21"/>
                <w:szCs w:val="21"/>
              </w:rPr>
              <w:t>w tym:</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76E2EA5F"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A464887"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559535C"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EDFD50C"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BFD2B76"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A7942AE"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8FFEDF1"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D582380"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9569D05"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6AD2B982"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31239143"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3C887382" w14:textId="77777777" w:rsidR="00055746" w:rsidRPr="00154E08" w:rsidRDefault="00055746" w:rsidP="00F069F7">
            <w:pPr>
              <w:jc w:val="right"/>
              <w:rPr>
                <w:rFonts w:cs="Times New Roman"/>
                <w:sz w:val="18"/>
                <w:szCs w:val="18"/>
              </w:rPr>
            </w:pPr>
            <w:r w:rsidRPr="00154E08">
              <w:rPr>
                <w:rFonts w:cs="Times New Roman"/>
                <w:color w:val="000000"/>
                <w:sz w:val="18"/>
                <w:szCs w:val="18"/>
              </w:rPr>
              <w:t>-</w:t>
            </w:r>
          </w:p>
        </w:tc>
      </w:tr>
      <w:tr w:rsidR="00CD6775" w:rsidRPr="00154E08" w14:paraId="1C2F0300" w14:textId="77777777" w:rsidTr="00D95D2F">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6" w:type="dxa"/>
          <w:trHeight w:val="344"/>
          <w:jc w:val="right"/>
        </w:trPr>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3B34A" w14:textId="77777777" w:rsidR="00CD6775" w:rsidRPr="00154E08" w:rsidRDefault="00CD6775" w:rsidP="00CD6775">
            <w:pPr>
              <w:spacing w:line="240" w:lineRule="auto"/>
              <w:rPr>
                <w:rFonts w:cs="Times New Roman"/>
                <w:color w:val="000000"/>
                <w:sz w:val="21"/>
                <w:szCs w:val="21"/>
              </w:rPr>
            </w:pPr>
            <w:r w:rsidRPr="00154E08">
              <w:rPr>
                <w:rFonts w:cs="Times New Roman"/>
                <w:color w:val="000000"/>
                <w:sz w:val="21"/>
                <w:szCs w:val="21"/>
              </w:rPr>
              <w:t>- NFOŚiGW</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14:paraId="6D21F133" w14:textId="010F9886" w:rsidR="00CD6775" w:rsidRPr="00154E08" w:rsidRDefault="00CD6775" w:rsidP="00CD6775">
            <w:pPr>
              <w:spacing w:line="240" w:lineRule="auto"/>
              <w:jc w:val="right"/>
              <w:rPr>
                <w:rFonts w:cs="Times New Roman"/>
                <w:color w:val="000000"/>
                <w:sz w:val="18"/>
                <w:szCs w:val="18"/>
              </w:rPr>
            </w:pPr>
            <w:r w:rsidRPr="00154E08">
              <w:rPr>
                <w:rFonts w:cs="Times New Roman"/>
                <w:sz w:val="16"/>
                <w:szCs w:val="16"/>
              </w:rPr>
              <w:t>0</w:t>
            </w:r>
          </w:p>
        </w:tc>
        <w:tc>
          <w:tcPr>
            <w:tcW w:w="729" w:type="dxa"/>
            <w:tcBorders>
              <w:top w:val="single" w:sz="4" w:space="0" w:color="auto"/>
              <w:left w:val="nil"/>
              <w:bottom w:val="single" w:sz="4" w:space="0" w:color="auto"/>
              <w:right w:val="single" w:sz="4" w:space="0" w:color="auto"/>
            </w:tcBorders>
            <w:shd w:val="clear" w:color="auto" w:fill="auto"/>
          </w:tcPr>
          <w:p w14:paraId="4A2F3121" w14:textId="4E5B0028" w:rsidR="00CD6775" w:rsidRPr="00154E08" w:rsidRDefault="00CD6775" w:rsidP="00CD6775">
            <w:pPr>
              <w:spacing w:line="240" w:lineRule="auto"/>
              <w:jc w:val="right"/>
              <w:rPr>
                <w:rFonts w:cs="Times New Roman"/>
                <w:color w:val="000000"/>
                <w:sz w:val="18"/>
                <w:szCs w:val="18"/>
              </w:rPr>
            </w:pPr>
            <w:r w:rsidRPr="00154E08">
              <w:rPr>
                <w:rFonts w:cs="Times New Roman"/>
                <w:color w:val="000000"/>
                <w:sz w:val="16"/>
                <w:szCs w:val="16"/>
              </w:rPr>
              <w:t>-31,15</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F7CA5B8" w14:textId="1421D035" w:rsidR="00CD6775" w:rsidRPr="00154E08" w:rsidRDefault="00CD6775" w:rsidP="00CD6775">
            <w:pPr>
              <w:spacing w:line="240" w:lineRule="auto"/>
              <w:jc w:val="right"/>
              <w:rPr>
                <w:rFonts w:cs="Times New Roman"/>
                <w:color w:val="000000"/>
                <w:sz w:val="18"/>
                <w:szCs w:val="18"/>
              </w:rPr>
            </w:pPr>
            <w:r w:rsidRPr="00154E08">
              <w:rPr>
                <w:rFonts w:cs="Times New Roman"/>
                <w:color w:val="000000"/>
                <w:sz w:val="16"/>
                <w:szCs w:val="16"/>
              </w:rPr>
              <w:t>-70,77</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BEE3872" w14:textId="703D3FBE" w:rsidR="00CD6775" w:rsidRPr="00154E08" w:rsidRDefault="00CD6775" w:rsidP="00CD6775">
            <w:pPr>
              <w:spacing w:line="240" w:lineRule="auto"/>
              <w:jc w:val="right"/>
              <w:rPr>
                <w:rFonts w:cs="Times New Roman"/>
                <w:color w:val="000000"/>
                <w:sz w:val="18"/>
                <w:szCs w:val="18"/>
              </w:rPr>
            </w:pPr>
            <w:r w:rsidRPr="00154E08">
              <w:rPr>
                <w:rFonts w:cs="Times New Roman"/>
                <w:color w:val="000000"/>
                <w:sz w:val="16"/>
                <w:szCs w:val="16"/>
              </w:rPr>
              <w:t>-100,78</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CF83486" w14:textId="78C34897" w:rsidR="00CD6775" w:rsidRPr="00154E08" w:rsidRDefault="00CD6775" w:rsidP="00CD6775">
            <w:pPr>
              <w:spacing w:line="240" w:lineRule="auto"/>
              <w:jc w:val="right"/>
              <w:rPr>
                <w:rFonts w:cs="Times New Roman"/>
                <w:color w:val="000000"/>
                <w:sz w:val="18"/>
                <w:szCs w:val="18"/>
              </w:rPr>
            </w:pPr>
            <w:r w:rsidRPr="00154E08">
              <w:rPr>
                <w:rFonts w:cs="Times New Roman"/>
                <w:color w:val="000000"/>
                <w:sz w:val="16"/>
                <w:szCs w:val="16"/>
              </w:rPr>
              <w:t>-117,97</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1903BA9F" w14:textId="76C4D0B3" w:rsidR="00CD6775" w:rsidRPr="00154E08" w:rsidRDefault="00CD6775" w:rsidP="00CD6775">
            <w:pPr>
              <w:spacing w:line="240" w:lineRule="auto"/>
              <w:jc w:val="right"/>
              <w:rPr>
                <w:rFonts w:cs="Times New Roman"/>
                <w:color w:val="000000"/>
                <w:sz w:val="18"/>
                <w:szCs w:val="18"/>
              </w:rPr>
            </w:pPr>
            <w:r w:rsidRPr="00154E08">
              <w:rPr>
                <w:rFonts w:cs="Times New Roman"/>
                <w:color w:val="000000"/>
                <w:sz w:val="16"/>
                <w:szCs w:val="16"/>
              </w:rPr>
              <w:t>-126,54</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F1B133E" w14:textId="77874900" w:rsidR="00CD6775" w:rsidRPr="00154E08" w:rsidRDefault="00CD6775" w:rsidP="00CD6775">
            <w:pPr>
              <w:spacing w:line="240" w:lineRule="auto"/>
              <w:jc w:val="right"/>
              <w:rPr>
                <w:rFonts w:cs="Times New Roman"/>
                <w:color w:val="000000"/>
                <w:sz w:val="18"/>
                <w:szCs w:val="18"/>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CBE152E" w14:textId="1C088D72" w:rsidR="00CD6775" w:rsidRPr="00154E08" w:rsidRDefault="00CD6775" w:rsidP="00CD6775">
            <w:pPr>
              <w:spacing w:line="240" w:lineRule="auto"/>
              <w:jc w:val="right"/>
              <w:rPr>
                <w:rFonts w:cs="Times New Roman"/>
                <w:color w:val="000000"/>
                <w:sz w:val="18"/>
                <w:szCs w:val="18"/>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733F4F83" w14:textId="0F271F6A" w:rsidR="00CD6775" w:rsidRPr="00154E08" w:rsidRDefault="00CD6775" w:rsidP="00CD6775">
            <w:pPr>
              <w:spacing w:line="240" w:lineRule="auto"/>
              <w:jc w:val="right"/>
              <w:rPr>
                <w:rFonts w:cs="Times New Roman"/>
                <w:color w:val="000000"/>
                <w:sz w:val="18"/>
                <w:szCs w:val="18"/>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EDA5192" w14:textId="6AECE68B" w:rsidR="00CD6775" w:rsidRPr="00154E08" w:rsidRDefault="00CD6775" w:rsidP="00CD6775">
            <w:pPr>
              <w:spacing w:line="240" w:lineRule="auto"/>
              <w:jc w:val="right"/>
              <w:rPr>
                <w:rFonts w:cs="Times New Roman"/>
                <w:color w:val="000000"/>
                <w:sz w:val="18"/>
                <w:szCs w:val="18"/>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787826FA" w14:textId="1D5555D0" w:rsidR="00CD6775" w:rsidRPr="00154E08" w:rsidRDefault="00CD6775" w:rsidP="00CD6775">
            <w:pPr>
              <w:spacing w:line="240" w:lineRule="auto"/>
              <w:jc w:val="right"/>
              <w:rPr>
                <w:rFonts w:cs="Times New Roman"/>
                <w:color w:val="000000"/>
                <w:sz w:val="18"/>
                <w:szCs w:val="18"/>
              </w:rPr>
            </w:pPr>
            <w:r w:rsidRPr="00154E08">
              <w:rPr>
                <w:rFonts w:cs="Times New Roman"/>
                <w:color w:val="000000"/>
                <w:sz w:val="16"/>
                <w:szCs w:val="16"/>
              </w:rPr>
              <w:t>-129,32</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14:paraId="347C35F7" w14:textId="298D3D7A" w:rsidR="00CD6775" w:rsidRPr="00154E08" w:rsidRDefault="00CD6775" w:rsidP="00CD6775">
            <w:pPr>
              <w:spacing w:line="240" w:lineRule="auto"/>
              <w:jc w:val="right"/>
              <w:rPr>
                <w:rFonts w:cs="Times New Roman"/>
                <w:color w:val="000000"/>
                <w:sz w:val="18"/>
                <w:szCs w:val="18"/>
              </w:rPr>
            </w:pPr>
            <w:r w:rsidRPr="00154E08">
              <w:rPr>
                <w:rFonts w:cs="Times New Roman"/>
                <w:sz w:val="16"/>
                <w:szCs w:val="16"/>
              </w:rPr>
              <w:t xml:space="preserve">-1 093,82 </w:t>
            </w:r>
          </w:p>
        </w:tc>
      </w:tr>
      <w:tr w:rsidR="00C6293E" w:rsidRPr="00154E08" w14:paraId="20A1E2DD" w14:textId="77777777" w:rsidTr="3E65ED00">
        <w:trPr>
          <w:trHeight w:val="210"/>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88BCC7D" w14:textId="7D1C87B8" w:rsidR="00C6293E" w:rsidRPr="00154E08" w:rsidRDefault="00C6293E" w:rsidP="00AB1D40">
            <w:pPr>
              <w:spacing w:line="240" w:lineRule="auto"/>
              <w:jc w:val="both"/>
              <w:rPr>
                <w:rFonts w:eastAsia="Calibri" w:cs="Times New Roman"/>
                <w:color w:val="000000"/>
                <w:sz w:val="22"/>
                <w:szCs w:val="22"/>
              </w:rPr>
            </w:pPr>
            <w:r w:rsidRPr="00154E08">
              <w:rPr>
                <w:rFonts w:cs="Times New Roman"/>
                <w:color w:val="000000"/>
                <w:sz w:val="22"/>
                <w:szCs w:val="22"/>
              </w:rPr>
              <w:t>Źródła finansowania</w:t>
            </w:r>
          </w:p>
        </w:tc>
        <w:tc>
          <w:tcPr>
            <w:tcW w:w="877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3059038" w14:textId="77777777" w:rsidR="00332794" w:rsidRPr="00154E08" w:rsidRDefault="00C6293E" w:rsidP="00B279FD">
            <w:pPr>
              <w:spacing w:after="120" w:line="240" w:lineRule="auto"/>
              <w:jc w:val="both"/>
              <w:rPr>
                <w:rFonts w:cs="Times New Roman"/>
                <w:color w:val="000000"/>
                <w:sz w:val="22"/>
                <w:szCs w:val="22"/>
              </w:rPr>
            </w:pPr>
            <w:r w:rsidRPr="00154E08">
              <w:rPr>
                <w:rFonts w:cs="Times New Roman"/>
                <w:color w:val="000000"/>
                <w:sz w:val="22"/>
                <w:szCs w:val="22"/>
              </w:rPr>
              <w:t xml:space="preserve">Po stronie URE szacowany wzrost wydatków od 2025 r. wynika z poszerzenia zakresu zadań nadzoru nad realizacją NCW z wykorzystaniem w transporcie energii elektrycznej, </w:t>
            </w:r>
            <w:proofErr w:type="spellStart"/>
            <w:r w:rsidRPr="00154E08">
              <w:rPr>
                <w:rFonts w:cs="Times New Roman"/>
                <w:color w:val="000000"/>
                <w:sz w:val="22"/>
                <w:szCs w:val="22"/>
              </w:rPr>
              <w:t>biometanu</w:t>
            </w:r>
            <w:proofErr w:type="spellEnd"/>
            <w:r w:rsidRPr="00154E08">
              <w:rPr>
                <w:rFonts w:cs="Times New Roman"/>
                <w:color w:val="000000"/>
                <w:sz w:val="22"/>
                <w:szCs w:val="22"/>
              </w:rPr>
              <w:t xml:space="preserve"> oraz RCF. </w:t>
            </w:r>
          </w:p>
          <w:p w14:paraId="1D33C9EE" w14:textId="7CE2DED7" w:rsidR="00C6293E" w:rsidRPr="00154E08" w:rsidRDefault="00F35DC0" w:rsidP="00B279FD">
            <w:pPr>
              <w:spacing w:after="120" w:line="240" w:lineRule="auto"/>
              <w:jc w:val="both"/>
              <w:rPr>
                <w:rFonts w:cs="Times New Roman"/>
                <w:color w:val="000000"/>
                <w:sz w:val="22"/>
                <w:szCs w:val="22"/>
              </w:rPr>
            </w:pPr>
            <w:r w:rsidRPr="00154E08">
              <w:rPr>
                <w:rFonts w:cs="Times New Roman"/>
                <w:color w:val="000000"/>
                <w:sz w:val="22"/>
                <w:szCs w:val="22"/>
              </w:rPr>
              <w:t>Dotychczas</w:t>
            </w:r>
            <w:r w:rsidR="006B1085" w:rsidRPr="00154E08">
              <w:rPr>
                <w:rFonts w:cs="Times New Roman"/>
                <w:color w:val="000000"/>
                <w:sz w:val="22"/>
                <w:szCs w:val="22"/>
              </w:rPr>
              <w:t xml:space="preserve"> nadzór</w:t>
            </w:r>
            <w:r w:rsidR="001F5F9F" w:rsidRPr="00154E08">
              <w:rPr>
                <w:rFonts w:cs="Times New Roman"/>
                <w:color w:val="000000"/>
                <w:sz w:val="22"/>
                <w:szCs w:val="22"/>
              </w:rPr>
              <w:t xml:space="preserve"> U</w:t>
            </w:r>
            <w:r w:rsidR="00426992" w:rsidRPr="00154E08">
              <w:rPr>
                <w:rFonts w:cs="Times New Roman"/>
                <w:color w:val="000000"/>
                <w:sz w:val="22"/>
                <w:szCs w:val="22"/>
              </w:rPr>
              <w:t>RE</w:t>
            </w:r>
            <w:r w:rsidRPr="00154E08">
              <w:rPr>
                <w:rFonts w:cs="Times New Roman"/>
                <w:color w:val="000000"/>
                <w:sz w:val="22"/>
                <w:szCs w:val="22"/>
              </w:rPr>
              <w:t xml:space="preserve"> nad realizacj</w:t>
            </w:r>
            <w:r w:rsidR="00AD65D8" w:rsidRPr="00154E08">
              <w:rPr>
                <w:rFonts w:cs="Times New Roman"/>
                <w:color w:val="000000"/>
                <w:sz w:val="22"/>
                <w:szCs w:val="22"/>
              </w:rPr>
              <w:t>ą</w:t>
            </w:r>
            <w:r w:rsidR="00FD036D" w:rsidRPr="00154E08">
              <w:rPr>
                <w:rFonts w:cs="Times New Roman"/>
                <w:color w:val="000000"/>
                <w:sz w:val="22"/>
                <w:szCs w:val="22"/>
              </w:rPr>
              <w:t xml:space="preserve"> </w:t>
            </w:r>
            <w:r w:rsidR="00134501" w:rsidRPr="00154E08">
              <w:rPr>
                <w:rFonts w:cs="Times New Roman"/>
                <w:color w:val="000000"/>
                <w:sz w:val="22"/>
                <w:szCs w:val="22"/>
              </w:rPr>
              <w:t>NCW</w:t>
            </w:r>
            <w:r w:rsidR="00426992" w:rsidRPr="00154E08">
              <w:rPr>
                <w:rFonts w:cs="Times New Roman"/>
                <w:color w:val="000000"/>
                <w:sz w:val="22"/>
                <w:szCs w:val="22"/>
              </w:rPr>
              <w:t xml:space="preserve"> odbywał</w:t>
            </w:r>
            <w:r w:rsidR="00670354" w:rsidRPr="00154E08">
              <w:rPr>
                <w:rFonts w:cs="Times New Roman"/>
                <w:color w:val="000000"/>
                <w:sz w:val="22"/>
                <w:szCs w:val="22"/>
              </w:rPr>
              <w:t xml:space="preserve"> się jedynie w zakresie</w:t>
            </w:r>
            <w:r w:rsidR="00F81D7A" w:rsidRPr="00154E08">
              <w:rPr>
                <w:rFonts w:cs="Times New Roman"/>
                <w:color w:val="000000"/>
                <w:sz w:val="22"/>
                <w:szCs w:val="22"/>
              </w:rPr>
              <w:t xml:space="preserve"> </w:t>
            </w:r>
            <w:r w:rsidR="00925D8E" w:rsidRPr="00154E08">
              <w:rPr>
                <w:rFonts w:cs="Times New Roman"/>
                <w:color w:val="000000"/>
                <w:sz w:val="22"/>
                <w:szCs w:val="22"/>
              </w:rPr>
              <w:t xml:space="preserve">biopaliw i </w:t>
            </w:r>
            <w:r w:rsidR="00DA5AAB" w:rsidRPr="00154E08">
              <w:rPr>
                <w:rFonts w:cs="Times New Roman"/>
                <w:color w:val="000000"/>
                <w:sz w:val="22"/>
                <w:szCs w:val="22"/>
              </w:rPr>
              <w:t>biokomponentów</w:t>
            </w:r>
            <w:r w:rsidR="00D366EC" w:rsidRPr="00154E08">
              <w:rPr>
                <w:rFonts w:cs="Times New Roman"/>
                <w:color w:val="000000"/>
                <w:sz w:val="22"/>
                <w:szCs w:val="22"/>
              </w:rPr>
              <w:t>. Na zasadzie analogii</w:t>
            </w:r>
            <w:r w:rsidR="0052661D" w:rsidRPr="00154E08">
              <w:rPr>
                <w:rFonts w:cs="Times New Roman"/>
                <w:color w:val="000000"/>
                <w:sz w:val="22"/>
                <w:szCs w:val="22"/>
              </w:rPr>
              <w:t xml:space="preserve"> p</w:t>
            </w:r>
            <w:r w:rsidR="00C6293E" w:rsidRPr="00154E08">
              <w:rPr>
                <w:rFonts w:cs="Times New Roman"/>
                <w:color w:val="000000"/>
                <w:sz w:val="22"/>
                <w:szCs w:val="22"/>
              </w:rPr>
              <w:t>rzyjęto, że w celu prawidłowej realizacji</w:t>
            </w:r>
            <w:r w:rsidR="0045565C" w:rsidRPr="00154E08">
              <w:rPr>
                <w:rFonts w:cs="Times New Roman"/>
                <w:color w:val="000000"/>
                <w:sz w:val="22"/>
                <w:szCs w:val="22"/>
              </w:rPr>
              <w:t xml:space="preserve"> 3</w:t>
            </w:r>
            <w:r w:rsidR="00C6293E" w:rsidRPr="00154E08">
              <w:rPr>
                <w:rFonts w:cs="Times New Roman"/>
                <w:color w:val="000000"/>
                <w:sz w:val="22"/>
                <w:szCs w:val="22"/>
              </w:rPr>
              <w:t xml:space="preserve"> </w:t>
            </w:r>
            <w:r w:rsidR="0052661D" w:rsidRPr="00154E08">
              <w:rPr>
                <w:rFonts w:cs="Times New Roman"/>
                <w:color w:val="000000"/>
                <w:sz w:val="22"/>
                <w:szCs w:val="22"/>
              </w:rPr>
              <w:t>nowych</w:t>
            </w:r>
            <w:r w:rsidR="0045565C" w:rsidRPr="00154E08">
              <w:rPr>
                <w:rFonts w:cs="Times New Roman"/>
                <w:color w:val="000000"/>
                <w:sz w:val="22"/>
                <w:szCs w:val="22"/>
              </w:rPr>
              <w:t xml:space="preserve"> </w:t>
            </w:r>
            <w:r w:rsidR="00C6293E" w:rsidRPr="00154E08">
              <w:rPr>
                <w:rFonts w:cs="Times New Roman"/>
                <w:color w:val="000000"/>
                <w:sz w:val="22"/>
                <w:szCs w:val="22"/>
              </w:rPr>
              <w:t>zadań</w:t>
            </w:r>
            <w:r w:rsidR="002E736C" w:rsidRPr="00154E08">
              <w:rPr>
                <w:rFonts w:cs="Times New Roman"/>
                <w:color w:val="000000"/>
                <w:sz w:val="22"/>
                <w:szCs w:val="22"/>
              </w:rPr>
              <w:t>, dodatkowo obejmując</w:t>
            </w:r>
            <w:r w:rsidR="0045565C" w:rsidRPr="00154E08">
              <w:rPr>
                <w:rFonts w:cs="Times New Roman"/>
                <w:color w:val="000000"/>
                <w:sz w:val="22"/>
                <w:szCs w:val="22"/>
              </w:rPr>
              <w:t>ych</w:t>
            </w:r>
            <w:r w:rsidR="002E736C" w:rsidRPr="00154E08">
              <w:rPr>
                <w:rFonts w:cs="Times New Roman"/>
                <w:color w:val="000000"/>
                <w:sz w:val="22"/>
                <w:szCs w:val="22"/>
              </w:rPr>
              <w:t xml:space="preserve"> nowe sektory – żeglugę oraz awiację,</w:t>
            </w:r>
            <w:r w:rsidR="00C6293E" w:rsidRPr="00154E08">
              <w:rPr>
                <w:rFonts w:cs="Times New Roman"/>
                <w:color w:val="000000"/>
                <w:sz w:val="22"/>
                <w:szCs w:val="22"/>
              </w:rPr>
              <w:t xml:space="preserve"> należy utworzyć 3 nowe etaty.</w:t>
            </w:r>
            <w:r w:rsidR="00D50DD9" w:rsidRPr="00154E08">
              <w:rPr>
                <w:rFonts w:cs="Times New Roman"/>
                <w:color w:val="000000"/>
                <w:sz w:val="22"/>
                <w:szCs w:val="22"/>
              </w:rPr>
              <w:t xml:space="preserve"> N</w:t>
            </w:r>
            <w:r w:rsidR="002E70B9" w:rsidRPr="00154E08">
              <w:rPr>
                <w:rFonts w:cs="Times New Roman"/>
                <w:color w:val="000000"/>
                <w:sz w:val="22"/>
                <w:szCs w:val="22"/>
              </w:rPr>
              <w:t>ałożone n</w:t>
            </w:r>
            <w:r w:rsidR="00D50DD9" w:rsidRPr="00154E08">
              <w:rPr>
                <w:rFonts w:cs="Times New Roman"/>
                <w:color w:val="000000"/>
                <w:sz w:val="22"/>
                <w:szCs w:val="22"/>
              </w:rPr>
              <w:t>owe obowiązki powinny</w:t>
            </w:r>
            <w:r w:rsidR="00836C9B" w:rsidRPr="00154E08">
              <w:rPr>
                <w:rFonts w:cs="Times New Roman"/>
                <w:color w:val="000000"/>
                <w:sz w:val="22"/>
                <w:szCs w:val="22"/>
              </w:rPr>
              <w:t xml:space="preserve"> średnio</w:t>
            </w:r>
            <w:r w:rsidR="00D50DD9" w:rsidRPr="00154E08">
              <w:rPr>
                <w:rFonts w:cs="Times New Roman"/>
                <w:color w:val="000000"/>
                <w:sz w:val="22"/>
                <w:szCs w:val="22"/>
              </w:rPr>
              <w:t xml:space="preserve"> </w:t>
            </w:r>
            <w:r w:rsidR="00AC2283" w:rsidRPr="00154E08">
              <w:rPr>
                <w:rFonts w:cs="Times New Roman"/>
                <w:color w:val="000000"/>
                <w:sz w:val="22"/>
                <w:szCs w:val="22"/>
              </w:rPr>
              <w:t xml:space="preserve">zająć </w:t>
            </w:r>
            <w:r w:rsidR="00EC4294" w:rsidRPr="00154E08">
              <w:rPr>
                <w:rFonts w:cs="Times New Roman"/>
                <w:color w:val="000000"/>
                <w:sz w:val="22"/>
                <w:szCs w:val="22"/>
              </w:rPr>
              <w:t xml:space="preserve">ok. </w:t>
            </w:r>
            <w:r w:rsidR="00F411B0" w:rsidRPr="00154E08">
              <w:rPr>
                <w:rFonts w:cs="Times New Roman"/>
                <w:color w:val="000000"/>
                <w:sz w:val="22"/>
                <w:szCs w:val="22"/>
              </w:rPr>
              <w:t>120</w:t>
            </w:r>
            <w:r w:rsidR="001F20B1" w:rsidRPr="00154E08">
              <w:rPr>
                <w:rFonts w:cs="Times New Roman"/>
                <w:color w:val="000000"/>
                <w:sz w:val="22"/>
                <w:szCs w:val="22"/>
              </w:rPr>
              <w:t>h/tydzień.</w:t>
            </w:r>
            <w:r w:rsidR="00C6293E" w:rsidRPr="00154E08">
              <w:rPr>
                <w:rFonts w:cs="Times New Roman"/>
                <w:color w:val="000000"/>
                <w:sz w:val="22"/>
                <w:szCs w:val="22"/>
              </w:rPr>
              <w:t xml:space="preserve"> </w:t>
            </w:r>
            <w:r w:rsidR="00C6293E" w:rsidRPr="00154E08">
              <w:rPr>
                <w:rFonts w:cs="Times New Roman"/>
                <w:sz w:val="22"/>
                <w:szCs w:val="22"/>
              </w:rPr>
              <w:t xml:space="preserve">Wydatki będą pokryte z części budżetowej 50. </w:t>
            </w:r>
          </w:p>
          <w:p w14:paraId="2AA1A53D" w14:textId="18D881AD" w:rsidR="00C6293E" w:rsidRPr="00154E08" w:rsidRDefault="00C6293E" w:rsidP="00B279FD">
            <w:pPr>
              <w:spacing w:after="120" w:line="240" w:lineRule="auto"/>
              <w:jc w:val="both"/>
              <w:rPr>
                <w:rFonts w:eastAsia="Calibri" w:cs="Times New Roman"/>
                <w:color w:val="000000"/>
                <w:sz w:val="22"/>
                <w:szCs w:val="22"/>
              </w:rPr>
            </w:pPr>
            <w:r w:rsidRPr="00154E08">
              <w:rPr>
                <w:rFonts w:cs="Times New Roman"/>
                <w:color w:val="000000"/>
                <w:sz w:val="22"/>
                <w:szCs w:val="22"/>
              </w:rPr>
              <w:t>Działania KOWR będą finansowane w ramach corocznego limitu środków przekazywanych przez Zasób Własności Rolnej Skarbu Państwa (ZWRSP) na funkcjonowanie KOWR, bez potrzeby ich zwiększania – bez potrzeby dodatkowego obciążania budżetu państwa.</w:t>
            </w:r>
          </w:p>
        </w:tc>
        <w:tc>
          <w:tcPr>
            <w:tcW w:w="1256" w:type="dxa"/>
          </w:tcPr>
          <w:p w14:paraId="164CF00D" w14:textId="77777777" w:rsidR="00C6293E" w:rsidRPr="00154E08" w:rsidRDefault="00C6293E" w:rsidP="00AB1D40">
            <w:pPr>
              <w:rPr>
                <w:rFonts w:cs="Times New Roman"/>
                <w:sz w:val="22"/>
                <w:szCs w:val="22"/>
              </w:rPr>
            </w:pPr>
          </w:p>
        </w:tc>
      </w:tr>
      <w:tr w:rsidR="00AB1D40" w:rsidRPr="00154E08" w14:paraId="0D74DDBD" w14:textId="77777777" w:rsidTr="3E65ED00">
        <w:trPr>
          <w:trHeight w:val="996"/>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8FE57" w14:textId="067170C1" w:rsidR="00AB1D40" w:rsidRPr="00154E08" w:rsidRDefault="00AB1D40" w:rsidP="00AB1D40">
            <w:pPr>
              <w:spacing w:line="240" w:lineRule="auto"/>
              <w:rPr>
                <w:rFonts w:eastAsia="Calibri" w:cs="Times New Roman"/>
                <w:color w:val="000000"/>
                <w:szCs w:val="24"/>
              </w:rPr>
            </w:pPr>
            <w:r w:rsidRPr="00154E08">
              <w:rPr>
                <w:rFonts w:eastAsia="Calibri" w:cs="Times New Roman"/>
                <w:color w:val="000000"/>
                <w:sz w:val="22"/>
                <w:szCs w:val="22"/>
              </w:rPr>
              <w:t>Dodatkowe informacje, w tym wskazanie źródeł danych i przyjętych do obliczeń założeń</w:t>
            </w:r>
          </w:p>
        </w:tc>
        <w:tc>
          <w:tcPr>
            <w:tcW w:w="877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80E04F" w14:textId="6DED311A" w:rsidR="00C6293E" w:rsidRPr="00154E08" w:rsidRDefault="00C6293E" w:rsidP="00B279FD">
            <w:pPr>
              <w:spacing w:after="120" w:line="240" w:lineRule="auto"/>
              <w:jc w:val="both"/>
              <w:rPr>
                <w:rFonts w:eastAsia="Calibri" w:cs="Times New Roman"/>
                <w:color w:val="000000"/>
                <w:sz w:val="22"/>
                <w:szCs w:val="22"/>
              </w:rPr>
            </w:pPr>
            <w:r w:rsidRPr="00154E08">
              <w:rPr>
                <w:rFonts w:eastAsia="Calibri" w:cs="Times New Roman"/>
                <w:color w:val="000000"/>
                <w:sz w:val="22"/>
                <w:szCs w:val="22"/>
              </w:rPr>
              <w:t>Do obliczeń kosztów etatu przyjęto wartości:</w:t>
            </w:r>
          </w:p>
          <w:p w14:paraId="5EF2E63D" w14:textId="122041B6" w:rsidR="00BD6ACC" w:rsidRPr="00154E08" w:rsidRDefault="003F19A5" w:rsidP="00B279FD">
            <w:pPr>
              <w:spacing w:after="120" w:line="240" w:lineRule="auto"/>
              <w:jc w:val="both"/>
              <w:rPr>
                <w:rFonts w:eastAsia="Calibri" w:cs="Times New Roman"/>
                <w:color w:val="000000"/>
                <w:sz w:val="22"/>
                <w:szCs w:val="22"/>
              </w:rPr>
            </w:pPr>
            <w:r w:rsidRPr="00154E08">
              <w:rPr>
                <w:rFonts w:eastAsia="Calibri" w:cs="Times New Roman"/>
                <w:color w:val="000000"/>
                <w:sz w:val="22"/>
                <w:szCs w:val="22"/>
              </w:rPr>
              <w:t>–</w:t>
            </w:r>
            <w:r w:rsidR="00C6293E" w:rsidRPr="00154E08">
              <w:rPr>
                <w:rFonts w:eastAsia="Calibri" w:cs="Times New Roman"/>
                <w:color w:val="000000"/>
                <w:sz w:val="22"/>
                <w:szCs w:val="22"/>
              </w:rPr>
              <w:t xml:space="preserve"> dotyczące średnich kosztów</w:t>
            </w:r>
            <w:r w:rsidR="00B7269C" w:rsidRPr="00154E08">
              <w:rPr>
                <w:rFonts w:eastAsia="Calibri" w:cs="Times New Roman"/>
                <w:color w:val="000000"/>
                <w:sz w:val="22"/>
                <w:szCs w:val="22"/>
              </w:rPr>
              <w:t xml:space="preserve"> 1</w:t>
            </w:r>
            <w:r w:rsidR="00C6293E" w:rsidRPr="00154E08">
              <w:rPr>
                <w:rFonts w:eastAsia="Calibri" w:cs="Times New Roman"/>
                <w:color w:val="000000"/>
                <w:sz w:val="22"/>
                <w:szCs w:val="22"/>
              </w:rPr>
              <w:t xml:space="preserve"> nowych etat</w:t>
            </w:r>
            <w:r w:rsidR="000A19CC" w:rsidRPr="00154E08">
              <w:rPr>
                <w:rFonts w:eastAsia="Calibri" w:cs="Times New Roman"/>
                <w:color w:val="000000"/>
                <w:sz w:val="22"/>
                <w:szCs w:val="22"/>
              </w:rPr>
              <w:t>u</w:t>
            </w:r>
            <w:r w:rsidR="00C6293E" w:rsidRPr="00154E08">
              <w:rPr>
                <w:rFonts w:eastAsia="Calibri" w:cs="Times New Roman"/>
                <w:color w:val="000000"/>
                <w:sz w:val="22"/>
                <w:szCs w:val="22"/>
              </w:rPr>
              <w:t>, dostarczone przez URE:</w:t>
            </w:r>
          </w:p>
          <w:p w14:paraId="045F4B9D" w14:textId="7A8590BF" w:rsidR="00C6293E" w:rsidRPr="00154E08" w:rsidRDefault="00BD6ACC" w:rsidP="00BD6ACC">
            <w:pPr>
              <w:spacing w:after="120" w:line="240" w:lineRule="auto"/>
              <w:jc w:val="both"/>
              <w:rPr>
                <w:rFonts w:cs="Times New Roman"/>
                <w:color w:val="000000"/>
                <w:sz w:val="18"/>
                <w:szCs w:val="14"/>
              </w:rPr>
            </w:pPr>
            <w:r w:rsidRPr="00154E08">
              <w:rPr>
                <w:rFonts w:cs="Times New Roman"/>
                <w:color w:val="000000"/>
                <w:sz w:val="18"/>
                <w:szCs w:val="14"/>
              </w:rPr>
              <w:t>Tabela 7 – koszt</w:t>
            </w:r>
            <w:r w:rsidR="00070112" w:rsidRPr="00154E08">
              <w:rPr>
                <w:rFonts w:cs="Times New Roman"/>
                <w:color w:val="000000"/>
                <w:sz w:val="18"/>
                <w:szCs w:val="14"/>
              </w:rPr>
              <w:t xml:space="preserve"> 1</w:t>
            </w:r>
            <w:r w:rsidRPr="00154E08">
              <w:rPr>
                <w:rFonts w:cs="Times New Roman"/>
                <w:color w:val="000000"/>
                <w:sz w:val="18"/>
                <w:szCs w:val="14"/>
              </w:rPr>
              <w:t xml:space="preserve"> </w:t>
            </w:r>
            <w:r w:rsidR="00070112" w:rsidRPr="00154E08">
              <w:rPr>
                <w:rFonts w:cs="Times New Roman"/>
                <w:color w:val="000000"/>
                <w:sz w:val="18"/>
                <w:szCs w:val="14"/>
              </w:rPr>
              <w:t xml:space="preserve">nowego </w:t>
            </w:r>
            <w:r w:rsidRPr="00154E08">
              <w:rPr>
                <w:rFonts w:cs="Times New Roman"/>
                <w:color w:val="000000"/>
                <w:sz w:val="18"/>
                <w:szCs w:val="14"/>
              </w:rPr>
              <w:t>stanowisk</w:t>
            </w:r>
            <w:r w:rsidR="00070112" w:rsidRPr="00154E08">
              <w:rPr>
                <w:rFonts w:cs="Times New Roman"/>
                <w:color w:val="000000"/>
                <w:sz w:val="18"/>
                <w:szCs w:val="14"/>
              </w:rPr>
              <w:t>a</w:t>
            </w:r>
            <w:r w:rsidRPr="00154E08">
              <w:rPr>
                <w:rFonts w:cs="Times New Roman"/>
                <w:color w:val="000000"/>
                <w:sz w:val="18"/>
                <w:szCs w:val="14"/>
              </w:rPr>
              <w:t xml:space="preserve"> (URE, 2024)</w:t>
            </w:r>
          </w:p>
          <w:tbl>
            <w:tblPr>
              <w:tblW w:w="8540" w:type="dxa"/>
              <w:tblLayout w:type="fixed"/>
              <w:tblCellMar>
                <w:left w:w="70" w:type="dxa"/>
                <w:right w:w="70" w:type="dxa"/>
              </w:tblCellMar>
              <w:tblLook w:val="04A0" w:firstRow="1" w:lastRow="0" w:firstColumn="1" w:lastColumn="0" w:noHBand="0" w:noVBand="1"/>
            </w:tblPr>
            <w:tblGrid>
              <w:gridCol w:w="1343"/>
              <w:gridCol w:w="708"/>
              <w:gridCol w:w="709"/>
              <w:gridCol w:w="709"/>
              <w:gridCol w:w="709"/>
              <w:gridCol w:w="708"/>
              <w:gridCol w:w="709"/>
              <w:gridCol w:w="709"/>
              <w:gridCol w:w="800"/>
              <w:gridCol w:w="710"/>
              <w:gridCol w:w="710"/>
              <w:gridCol w:w="16"/>
            </w:tblGrid>
            <w:tr w:rsidR="004C796F" w:rsidRPr="00154E08" w14:paraId="4F4A01D9" w14:textId="77777777" w:rsidTr="00FA2D86">
              <w:trPr>
                <w:gridAfter w:val="1"/>
                <w:wAfter w:w="16" w:type="dxa"/>
                <w:trHeight w:val="525"/>
              </w:trPr>
              <w:tc>
                <w:tcPr>
                  <w:tcW w:w="13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47CBB" w14:textId="77777777" w:rsidR="00C6293E" w:rsidRPr="00154E08" w:rsidRDefault="00C6293E" w:rsidP="004C796F">
                  <w:pPr>
                    <w:spacing w:before="60" w:line="240" w:lineRule="auto"/>
                    <w:ind w:left="5"/>
                    <w:jc w:val="both"/>
                    <w:rPr>
                      <w:rFonts w:eastAsia="Calibri" w:cs="Times New Roman"/>
                      <w:b/>
                      <w:bCs/>
                      <w:color w:val="000000"/>
                      <w:sz w:val="16"/>
                      <w:szCs w:val="16"/>
                    </w:rPr>
                  </w:pPr>
                  <w:r w:rsidRPr="00154E08">
                    <w:rPr>
                      <w:rFonts w:eastAsia="Calibri" w:cs="Times New Roman"/>
                      <w:b/>
                      <w:bCs/>
                      <w:color w:val="000000"/>
                      <w:sz w:val="16"/>
                      <w:szCs w:val="16"/>
                    </w:rPr>
                    <w:t>rok</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14:paraId="169202B4"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2025</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7A7E7506"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2026</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605C6BE0"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2027</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54A36496"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2028</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14:paraId="1B56C422"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2029</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6AAF0692"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2030</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579BEE0C"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2031</w:t>
                  </w:r>
                </w:p>
              </w:tc>
              <w:tc>
                <w:tcPr>
                  <w:tcW w:w="800" w:type="dxa"/>
                  <w:tcBorders>
                    <w:top w:val="single" w:sz="8" w:space="0" w:color="auto"/>
                    <w:left w:val="nil"/>
                    <w:bottom w:val="single" w:sz="8" w:space="0" w:color="auto"/>
                    <w:right w:val="single" w:sz="8" w:space="0" w:color="auto"/>
                  </w:tcBorders>
                  <w:shd w:val="clear" w:color="auto" w:fill="auto"/>
                  <w:noWrap/>
                  <w:vAlign w:val="bottom"/>
                  <w:hideMark/>
                </w:tcPr>
                <w:p w14:paraId="1408287D"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2032</w:t>
                  </w:r>
                </w:p>
              </w:tc>
              <w:tc>
                <w:tcPr>
                  <w:tcW w:w="710" w:type="dxa"/>
                  <w:tcBorders>
                    <w:top w:val="single" w:sz="8" w:space="0" w:color="auto"/>
                    <w:left w:val="nil"/>
                    <w:bottom w:val="single" w:sz="8" w:space="0" w:color="auto"/>
                    <w:right w:val="single" w:sz="8" w:space="0" w:color="auto"/>
                  </w:tcBorders>
                  <w:shd w:val="clear" w:color="auto" w:fill="auto"/>
                  <w:noWrap/>
                  <w:vAlign w:val="bottom"/>
                  <w:hideMark/>
                </w:tcPr>
                <w:p w14:paraId="18060CFE"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2033</w:t>
                  </w:r>
                </w:p>
              </w:tc>
              <w:tc>
                <w:tcPr>
                  <w:tcW w:w="710" w:type="dxa"/>
                  <w:tcBorders>
                    <w:top w:val="single" w:sz="8" w:space="0" w:color="auto"/>
                    <w:left w:val="nil"/>
                    <w:bottom w:val="single" w:sz="8" w:space="0" w:color="auto"/>
                    <w:right w:val="single" w:sz="8" w:space="0" w:color="auto"/>
                  </w:tcBorders>
                  <w:shd w:val="clear" w:color="auto" w:fill="auto"/>
                  <w:noWrap/>
                  <w:vAlign w:val="bottom"/>
                  <w:hideMark/>
                </w:tcPr>
                <w:p w14:paraId="3B2D2DFC"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2034</w:t>
                  </w:r>
                </w:p>
              </w:tc>
            </w:tr>
            <w:tr w:rsidR="00C6293E" w:rsidRPr="00154E08" w14:paraId="5B51528E" w14:textId="77777777" w:rsidTr="00FA2D86">
              <w:trPr>
                <w:trHeight w:val="216"/>
              </w:trPr>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6535D1D9" w14:textId="77777777" w:rsidR="00C6293E" w:rsidRPr="00154E08" w:rsidRDefault="00C6293E" w:rsidP="00C6293E">
                  <w:pPr>
                    <w:spacing w:before="60" w:line="240" w:lineRule="auto"/>
                    <w:jc w:val="both"/>
                    <w:rPr>
                      <w:rFonts w:eastAsia="Calibri" w:cs="Times New Roman"/>
                      <w:b/>
                      <w:bCs/>
                      <w:color w:val="000000"/>
                      <w:sz w:val="16"/>
                      <w:szCs w:val="16"/>
                    </w:rPr>
                  </w:pPr>
                  <w:r w:rsidRPr="00154E08">
                    <w:rPr>
                      <w:rFonts w:eastAsia="Calibri" w:cs="Times New Roman"/>
                      <w:b/>
                      <w:bCs/>
                      <w:color w:val="000000"/>
                      <w:sz w:val="16"/>
                      <w:szCs w:val="16"/>
                    </w:rPr>
                    <w:t>pozycja</w:t>
                  </w:r>
                </w:p>
              </w:tc>
              <w:tc>
                <w:tcPr>
                  <w:tcW w:w="7197" w:type="dxa"/>
                  <w:gridSpan w:val="11"/>
                  <w:tcBorders>
                    <w:top w:val="single" w:sz="8" w:space="0" w:color="auto"/>
                    <w:left w:val="nil"/>
                    <w:bottom w:val="single" w:sz="8" w:space="0" w:color="auto"/>
                    <w:right w:val="single" w:sz="8" w:space="0" w:color="auto"/>
                  </w:tcBorders>
                  <w:shd w:val="clear" w:color="auto" w:fill="auto"/>
                  <w:noWrap/>
                  <w:vAlign w:val="bottom"/>
                  <w:hideMark/>
                </w:tcPr>
                <w:p w14:paraId="5CC060E0"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koszty w zł</w:t>
                  </w:r>
                </w:p>
              </w:tc>
            </w:tr>
            <w:tr w:rsidR="004C796F" w:rsidRPr="00154E08" w14:paraId="52AE761F" w14:textId="77777777" w:rsidTr="00FA2D86">
              <w:trPr>
                <w:gridAfter w:val="1"/>
                <w:wAfter w:w="16" w:type="dxa"/>
                <w:trHeight w:val="557"/>
              </w:trPr>
              <w:tc>
                <w:tcPr>
                  <w:tcW w:w="1343" w:type="dxa"/>
                  <w:tcBorders>
                    <w:top w:val="nil"/>
                    <w:left w:val="single" w:sz="8" w:space="0" w:color="auto"/>
                    <w:bottom w:val="single" w:sz="8" w:space="0" w:color="auto"/>
                    <w:right w:val="single" w:sz="8" w:space="0" w:color="auto"/>
                  </w:tcBorders>
                  <w:shd w:val="clear" w:color="auto" w:fill="auto"/>
                  <w:vAlign w:val="bottom"/>
                  <w:hideMark/>
                </w:tcPr>
                <w:p w14:paraId="59D901FA" w14:textId="19EA81F1" w:rsidR="00C6293E" w:rsidRPr="00154E08" w:rsidRDefault="00C6293E" w:rsidP="00C6293E">
                  <w:pPr>
                    <w:spacing w:before="60" w:line="240" w:lineRule="auto"/>
                    <w:jc w:val="both"/>
                    <w:rPr>
                      <w:rFonts w:eastAsia="Calibri" w:cs="Times New Roman"/>
                      <w:color w:val="000000"/>
                      <w:sz w:val="16"/>
                      <w:szCs w:val="16"/>
                    </w:rPr>
                  </w:pPr>
                  <w:r w:rsidRPr="00154E08">
                    <w:rPr>
                      <w:rFonts w:eastAsia="Calibri" w:cs="Times New Roman"/>
                      <w:color w:val="000000"/>
                      <w:sz w:val="16"/>
                      <w:szCs w:val="16"/>
                    </w:rPr>
                    <w:t>wyposażenie</w:t>
                  </w:r>
                  <w:r w:rsidR="00C54F94" w:rsidRPr="00154E08">
                    <w:rPr>
                      <w:rFonts w:eastAsia="Calibri" w:cs="Times New Roman"/>
                      <w:color w:val="000000"/>
                      <w:sz w:val="16"/>
                      <w:szCs w:val="16"/>
                    </w:rPr>
                    <w:t> </w:t>
                  </w:r>
                  <w:r w:rsidRPr="00154E08">
                    <w:rPr>
                      <w:rFonts w:eastAsia="Calibri" w:cs="Times New Roman"/>
                      <w:color w:val="000000"/>
                      <w:sz w:val="16"/>
                      <w:szCs w:val="16"/>
                    </w:rPr>
                    <w:t>i utrzymanie stanowiska pracy</w:t>
                  </w:r>
                </w:p>
              </w:tc>
              <w:tc>
                <w:tcPr>
                  <w:tcW w:w="708" w:type="dxa"/>
                  <w:tcBorders>
                    <w:top w:val="nil"/>
                    <w:left w:val="nil"/>
                    <w:bottom w:val="single" w:sz="8" w:space="0" w:color="auto"/>
                    <w:right w:val="single" w:sz="8" w:space="0" w:color="auto"/>
                  </w:tcBorders>
                  <w:shd w:val="clear" w:color="auto" w:fill="auto"/>
                  <w:noWrap/>
                  <w:vAlign w:val="center"/>
                  <w:hideMark/>
                </w:tcPr>
                <w:p w14:paraId="752DBF57"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75 000</w:t>
                  </w:r>
                </w:p>
              </w:tc>
              <w:tc>
                <w:tcPr>
                  <w:tcW w:w="709" w:type="dxa"/>
                  <w:tcBorders>
                    <w:top w:val="nil"/>
                    <w:left w:val="nil"/>
                    <w:bottom w:val="single" w:sz="8" w:space="0" w:color="auto"/>
                    <w:right w:val="single" w:sz="8" w:space="0" w:color="auto"/>
                  </w:tcBorders>
                  <w:shd w:val="clear" w:color="auto" w:fill="auto"/>
                  <w:noWrap/>
                  <w:vAlign w:val="center"/>
                  <w:hideMark/>
                </w:tcPr>
                <w:p w14:paraId="77125F8B"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65 000</w:t>
                  </w:r>
                </w:p>
              </w:tc>
              <w:tc>
                <w:tcPr>
                  <w:tcW w:w="709" w:type="dxa"/>
                  <w:tcBorders>
                    <w:top w:val="nil"/>
                    <w:left w:val="nil"/>
                    <w:bottom w:val="single" w:sz="8" w:space="0" w:color="auto"/>
                    <w:right w:val="single" w:sz="8" w:space="0" w:color="auto"/>
                  </w:tcBorders>
                  <w:shd w:val="clear" w:color="auto" w:fill="auto"/>
                  <w:noWrap/>
                  <w:vAlign w:val="center"/>
                  <w:hideMark/>
                </w:tcPr>
                <w:p w14:paraId="16E849EA"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67 000</w:t>
                  </w:r>
                </w:p>
              </w:tc>
              <w:tc>
                <w:tcPr>
                  <w:tcW w:w="709" w:type="dxa"/>
                  <w:tcBorders>
                    <w:top w:val="nil"/>
                    <w:left w:val="nil"/>
                    <w:bottom w:val="single" w:sz="8" w:space="0" w:color="auto"/>
                    <w:right w:val="single" w:sz="8" w:space="0" w:color="auto"/>
                  </w:tcBorders>
                  <w:shd w:val="clear" w:color="auto" w:fill="auto"/>
                  <w:noWrap/>
                  <w:vAlign w:val="center"/>
                  <w:hideMark/>
                </w:tcPr>
                <w:p w14:paraId="68685791"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69 000</w:t>
                  </w:r>
                </w:p>
              </w:tc>
              <w:tc>
                <w:tcPr>
                  <w:tcW w:w="708" w:type="dxa"/>
                  <w:tcBorders>
                    <w:top w:val="nil"/>
                    <w:left w:val="nil"/>
                    <w:bottom w:val="single" w:sz="8" w:space="0" w:color="auto"/>
                    <w:right w:val="single" w:sz="8" w:space="0" w:color="auto"/>
                  </w:tcBorders>
                  <w:shd w:val="clear" w:color="auto" w:fill="auto"/>
                  <w:noWrap/>
                  <w:vAlign w:val="center"/>
                  <w:hideMark/>
                </w:tcPr>
                <w:p w14:paraId="05F45369"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71 000</w:t>
                  </w:r>
                </w:p>
              </w:tc>
              <w:tc>
                <w:tcPr>
                  <w:tcW w:w="709" w:type="dxa"/>
                  <w:tcBorders>
                    <w:top w:val="nil"/>
                    <w:left w:val="nil"/>
                    <w:bottom w:val="single" w:sz="8" w:space="0" w:color="auto"/>
                    <w:right w:val="single" w:sz="8" w:space="0" w:color="auto"/>
                  </w:tcBorders>
                  <w:shd w:val="clear" w:color="auto" w:fill="auto"/>
                  <w:noWrap/>
                  <w:vAlign w:val="center"/>
                  <w:hideMark/>
                </w:tcPr>
                <w:p w14:paraId="09308EAE"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73 000</w:t>
                  </w:r>
                </w:p>
              </w:tc>
              <w:tc>
                <w:tcPr>
                  <w:tcW w:w="709" w:type="dxa"/>
                  <w:tcBorders>
                    <w:top w:val="nil"/>
                    <w:left w:val="nil"/>
                    <w:bottom w:val="single" w:sz="8" w:space="0" w:color="auto"/>
                    <w:right w:val="single" w:sz="8" w:space="0" w:color="auto"/>
                  </w:tcBorders>
                  <w:shd w:val="clear" w:color="auto" w:fill="auto"/>
                  <w:noWrap/>
                  <w:vAlign w:val="center"/>
                  <w:hideMark/>
                </w:tcPr>
                <w:p w14:paraId="26DE7125"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75 000</w:t>
                  </w:r>
                </w:p>
              </w:tc>
              <w:tc>
                <w:tcPr>
                  <w:tcW w:w="800" w:type="dxa"/>
                  <w:tcBorders>
                    <w:top w:val="nil"/>
                    <w:left w:val="nil"/>
                    <w:bottom w:val="single" w:sz="8" w:space="0" w:color="auto"/>
                    <w:right w:val="single" w:sz="8" w:space="0" w:color="auto"/>
                  </w:tcBorders>
                  <w:shd w:val="clear" w:color="auto" w:fill="auto"/>
                  <w:noWrap/>
                  <w:vAlign w:val="center"/>
                  <w:hideMark/>
                </w:tcPr>
                <w:p w14:paraId="3EA75A4E"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77 000</w:t>
                  </w:r>
                </w:p>
              </w:tc>
              <w:tc>
                <w:tcPr>
                  <w:tcW w:w="710" w:type="dxa"/>
                  <w:tcBorders>
                    <w:top w:val="nil"/>
                    <w:left w:val="nil"/>
                    <w:bottom w:val="single" w:sz="8" w:space="0" w:color="auto"/>
                    <w:right w:val="single" w:sz="8" w:space="0" w:color="auto"/>
                  </w:tcBorders>
                  <w:shd w:val="clear" w:color="auto" w:fill="auto"/>
                  <w:noWrap/>
                  <w:vAlign w:val="center"/>
                  <w:hideMark/>
                </w:tcPr>
                <w:p w14:paraId="35402F37"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79 000</w:t>
                  </w:r>
                </w:p>
              </w:tc>
              <w:tc>
                <w:tcPr>
                  <w:tcW w:w="710" w:type="dxa"/>
                  <w:tcBorders>
                    <w:top w:val="nil"/>
                    <w:left w:val="nil"/>
                    <w:bottom w:val="single" w:sz="8" w:space="0" w:color="auto"/>
                    <w:right w:val="single" w:sz="8" w:space="0" w:color="auto"/>
                  </w:tcBorders>
                  <w:shd w:val="clear" w:color="auto" w:fill="auto"/>
                  <w:noWrap/>
                  <w:vAlign w:val="center"/>
                  <w:hideMark/>
                </w:tcPr>
                <w:p w14:paraId="7A601264"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81 000</w:t>
                  </w:r>
                </w:p>
              </w:tc>
            </w:tr>
            <w:tr w:rsidR="004C796F" w:rsidRPr="00154E08" w14:paraId="315A17A8" w14:textId="77777777" w:rsidTr="00FA2D86">
              <w:trPr>
                <w:gridAfter w:val="1"/>
                <w:wAfter w:w="16" w:type="dxa"/>
                <w:trHeight w:val="525"/>
              </w:trPr>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09F65D67" w14:textId="77777777" w:rsidR="00C6293E" w:rsidRPr="00154E08" w:rsidRDefault="00C6293E" w:rsidP="00C6293E">
                  <w:pPr>
                    <w:spacing w:before="60" w:line="240" w:lineRule="auto"/>
                    <w:jc w:val="both"/>
                    <w:rPr>
                      <w:rFonts w:eastAsia="Calibri" w:cs="Times New Roman"/>
                      <w:color w:val="000000"/>
                      <w:sz w:val="16"/>
                      <w:szCs w:val="16"/>
                    </w:rPr>
                  </w:pPr>
                  <w:r w:rsidRPr="00154E08">
                    <w:rPr>
                      <w:rFonts w:eastAsia="Calibri" w:cs="Times New Roman"/>
                      <w:color w:val="000000"/>
                      <w:sz w:val="16"/>
                      <w:szCs w:val="16"/>
                    </w:rPr>
                    <w:t>wynagrodzenia</w:t>
                  </w:r>
                </w:p>
              </w:tc>
              <w:tc>
                <w:tcPr>
                  <w:tcW w:w="708" w:type="dxa"/>
                  <w:tcBorders>
                    <w:top w:val="nil"/>
                    <w:left w:val="nil"/>
                    <w:bottom w:val="single" w:sz="8" w:space="0" w:color="auto"/>
                    <w:right w:val="single" w:sz="8" w:space="0" w:color="auto"/>
                  </w:tcBorders>
                  <w:shd w:val="clear" w:color="auto" w:fill="auto"/>
                  <w:noWrap/>
                  <w:vAlign w:val="center"/>
                  <w:hideMark/>
                </w:tcPr>
                <w:p w14:paraId="4B69FF99"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175 000</w:t>
                  </w:r>
                </w:p>
              </w:tc>
              <w:tc>
                <w:tcPr>
                  <w:tcW w:w="709" w:type="dxa"/>
                  <w:tcBorders>
                    <w:top w:val="nil"/>
                    <w:left w:val="nil"/>
                    <w:bottom w:val="single" w:sz="8" w:space="0" w:color="auto"/>
                    <w:right w:val="single" w:sz="8" w:space="0" w:color="auto"/>
                  </w:tcBorders>
                  <w:shd w:val="clear" w:color="auto" w:fill="auto"/>
                  <w:noWrap/>
                  <w:vAlign w:val="center"/>
                  <w:hideMark/>
                </w:tcPr>
                <w:p w14:paraId="3C7F7FDA"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189 875</w:t>
                  </w:r>
                </w:p>
              </w:tc>
              <w:tc>
                <w:tcPr>
                  <w:tcW w:w="709" w:type="dxa"/>
                  <w:tcBorders>
                    <w:top w:val="nil"/>
                    <w:left w:val="nil"/>
                    <w:bottom w:val="single" w:sz="8" w:space="0" w:color="auto"/>
                    <w:right w:val="single" w:sz="8" w:space="0" w:color="auto"/>
                  </w:tcBorders>
                  <w:shd w:val="clear" w:color="auto" w:fill="auto"/>
                  <w:noWrap/>
                  <w:vAlign w:val="center"/>
                  <w:hideMark/>
                </w:tcPr>
                <w:p w14:paraId="02589DEC"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195 761</w:t>
                  </w:r>
                </w:p>
              </w:tc>
              <w:tc>
                <w:tcPr>
                  <w:tcW w:w="709" w:type="dxa"/>
                  <w:tcBorders>
                    <w:top w:val="nil"/>
                    <w:left w:val="nil"/>
                    <w:bottom w:val="single" w:sz="8" w:space="0" w:color="auto"/>
                    <w:right w:val="single" w:sz="8" w:space="0" w:color="auto"/>
                  </w:tcBorders>
                  <w:shd w:val="clear" w:color="auto" w:fill="auto"/>
                  <w:noWrap/>
                  <w:vAlign w:val="center"/>
                  <w:hideMark/>
                </w:tcPr>
                <w:p w14:paraId="1CAF2467"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195 761</w:t>
                  </w:r>
                </w:p>
              </w:tc>
              <w:tc>
                <w:tcPr>
                  <w:tcW w:w="708" w:type="dxa"/>
                  <w:tcBorders>
                    <w:top w:val="nil"/>
                    <w:left w:val="nil"/>
                    <w:bottom w:val="single" w:sz="8" w:space="0" w:color="auto"/>
                    <w:right w:val="single" w:sz="8" w:space="0" w:color="auto"/>
                  </w:tcBorders>
                  <w:shd w:val="clear" w:color="auto" w:fill="auto"/>
                  <w:noWrap/>
                  <w:vAlign w:val="center"/>
                  <w:hideMark/>
                </w:tcPr>
                <w:p w14:paraId="061449B5"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195 761</w:t>
                  </w:r>
                </w:p>
              </w:tc>
              <w:tc>
                <w:tcPr>
                  <w:tcW w:w="709" w:type="dxa"/>
                  <w:tcBorders>
                    <w:top w:val="nil"/>
                    <w:left w:val="nil"/>
                    <w:bottom w:val="single" w:sz="8" w:space="0" w:color="auto"/>
                    <w:right w:val="single" w:sz="8" w:space="0" w:color="auto"/>
                  </w:tcBorders>
                  <w:shd w:val="clear" w:color="auto" w:fill="auto"/>
                  <w:noWrap/>
                  <w:vAlign w:val="center"/>
                  <w:hideMark/>
                </w:tcPr>
                <w:p w14:paraId="535C5768"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195 761</w:t>
                  </w:r>
                </w:p>
              </w:tc>
              <w:tc>
                <w:tcPr>
                  <w:tcW w:w="709" w:type="dxa"/>
                  <w:tcBorders>
                    <w:top w:val="nil"/>
                    <w:left w:val="nil"/>
                    <w:bottom w:val="single" w:sz="8" w:space="0" w:color="auto"/>
                    <w:right w:val="single" w:sz="8" w:space="0" w:color="auto"/>
                  </w:tcBorders>
                  <w:shd w:val="clear" w:color="auto" w:fill="auto"/>
                  <w:noWrap/>
                  <w:vAlign w:val="center"/>
                  <w:hideMark/>
                </w:tcPr>
                <w:p w14:paraId="18920288"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195 761</w:t>
                  </w:r>
                </w:p>
              </w:tc>
              <w:tc>
                <w:tcPr>
                  <w:tcW w:w="800" w:type="dxa"/>
                  <w:tcBorders>
                    <w:top w:val="nil"/>
                    <w:left w:val="nil"/>
                    <w:bottom w:val="single" w:sz="8" w:space="0" w:color="auto"/>
                    <w:right w:val="single" w:sz="8" w:space="0" w:color="auto"/>
                  </w:tcBorders>
                  <w:shd w:val="clear" w:color="auto" w:fill="auto"/>
                  <w:noWrap/>
                  <w:vAlign w:val="center"/>
                  <w:hideMark/>
                </w:tcPr>
                <w:p w14:paraId="3477D567"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195 761</w:t>
                  </w:r>
                </w:p>
              </w:tc>
              <w:tc>
                <w:tcPr>
                  <w:tcW w:w="710" w:type="dxa"/>
                  <w:tcBorders>
                    <w:top w:val="nil"/>
                    <w:left w:val="nil"/>
                    <w:bottom w:val="single" w:sz="8" w:space="0" w:color="auto"/>
                    <w:right w:val="single" w:sz="8" w:space="0" w:color="auto"/>
                  </w:tcBorders>
                  <w:shd w:val="clear" w:color="auto" w:fill="auto"/>
                  <w:noWrap/>
                  <w:vAlign w:val="center"/>
                  <w:hideMark/>
                </w:tcPr>
                <w:p w14:paraId="74429A85"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195 761</w:t>
                  </w:r>
                </w:p>
              </w:tc>
              <w:tc>
                <w:tcPr>
                  <w:tcW w:w="710" w:type="dxa"/>
                  <w:tcBorders>
                    <w:top w:val="nil"/>
                    <w:left w:val="nil"/>
                    <w:bottom w:val="single" w:sz="8" w:space="0" w:color="auto"/>
                    <w:right w:val="single" w:sz="8" w:space="0" w:color="auto"/>
                  </w:tcBorders>
                  <w:shd w:val="clear" w:color="auto" w:fill="auto"/>
                  <w:noWrap/>
                  <w:vAlign w:val="center"/>
                  <w:hideMark/>
                </w:tcPr>
                <w:p w14:paraId="3A2ED2CF"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195 761</w:t>
                  </w:r>
                </w:p>
              </w:tc>
            </w:tr>
            <w:tr w:rsidR="004C796F" w:rsidRPr="00154E08" w14:paraId="0C53AAF1" w14:textId="77777777" w:rsidTr="00FA2D86">
              <w:trPr>
                <w:gridAfter w:val="1"/>
                <w:wAfter w:w="16" w:type="dxa"/>
                <w:trHeight w:val="525"/>
              </w:trPr>
              <w:tc>
                <w:tcPr>
                  <w:tcW w:w="1343" w:type="dxa"/>
                  <w:tcBorders>
                    <w:top w:val="nil"/>
                    <w:left w:val="single" w:sz="8" w:space="0" w:color="auto"/>
                    <w:bottom w:val="single" w:sz="8" w:space="0" w:color="auto"/>
                    <w:right w:val="single" w:sz="8" w:space="0" w:color="auto"/>
                  </w:tcBorders>
                  <w:shd w:val="clear" w:color="auto" w:fill="auto"/>
                  <w:noWrap/>
                  <w:vAlign w:val="bottom"/>
                  <w:hideMark/>
                </w:tcPr>
                <w:p w14:paraId="684A544E" w14:textId="77777777" w:rsidR="00C6293E" w:rsidRPr="00154E08" w:rsidRDefault="00C6293E" w:rsidP="00C6293E">
                  <w:pPr>
                    <w:spacing w:before="60" w:line="240" w:lineRule="auto"/>
                    <w:jc w:val="both"/>
                    <w:rPr>
                      <w:rFonts w:eastAsia="Calibri" w:cs="Times New Roman"/>
                      <w:b/>
                      <w:bCs/>
                      <w:color w:val="000000"/>
                      <w:sz w:val="16"/>
                      <w:szCs w:val="16"/>
                    </w:rPr>
                  </w:pPr>
                  <w:r w:rsidRPr="00154E08">
                    <w:rPr>
                      <w:rFonts w:eastAsia="Calibri" w:cs="Times New Roman"/>
                      <w:b/>
                      <w:bCs/>
                      <w:color w:val="000000"/>
                      <w:sz w:val="16"/>
                      <w:szCs w:val="16"/>
                    </w:rPr>
                    <w:t>Suma</w:t>
                  </w:r>
                </w:p>
              </w:tc>
              <w:tc>
                <w:tcPr>
                  <w:tcW w:w="708" w:type="dxa"/>
                  <w:tcBorders>
                    <w:top w:val="nil"/>
                    <w:left w:val="nil"/>
                    <w:bottom w:val="single" w:sz="8" w:space="0" w:color="auto"/>
                    <w:right w:val="single" w:sz="8" w:space="0" w:color="auto"/>
                  </w:tcBorders>
                  <w:shd w:val="clear" w:color="auto" w:fill="auto"/>
                  <w:noWrap/>
                  <w:vAlign w:val="bottom"/>
                  <w:hideMark/>
                </w:tcPr>
                <w:p w14:paraId="06913118" w14:textId="1D8AB810"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250 000</w:t>
                  </w:r>
                </w:p>
              </w:tc>
              <w:tc>
                <w:tcPr>
                  <w:tcW w:w="709" w:type="dxa"/>
                  <w:tcBorders>
                    <w:top w:val="nil"/>
                    <w:left w:val="nil"/>
                    <w:bottom w:val="single" w:sz="8" w:space="0" w:color="auto"/>
                    <w:right w:val="single" w:sz="8" w:space="0" w:color="auto"/>
                  </w:tcBorders>
                  <w:shd w:val="clear" w:color="auto" w:fill="auto"/>
                  <w:noWrap/>
                  <w:vAlign w:val="bottom"/>
                  <w:hideMark/>
                </w:tcPr>
                <w:p w14:paraId="0B1529C2" w14:textId="136DDA24"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254 875</w:t>
                  </w:r>
                </w:p>
              </w:tc>
              <w:tc>
                <w:tcPr>
                  <w:tcW w:w="709" w:type="dxa"/>
                  <w:tcBorders>
                    <w:top w:val="nil"/>
                    <w:left w:val="nil"/>
                    <w:bottom w:val="single" w:sz="8" w:space="0" w:color="auto"/>
                    <w:right w:val="single" w:sz="8" w:space="0" w:color="auto"/>
                  </w:tcBorders>
                  <w:shd w:val="clear" w:color="auto" w:fill="auto"/>
                  <w:noWrap/>
                  <w:vAlign w:val="bottom"/>
                  <w:hideMark/>
                </w:tcPr>
                <w:p w14:paraId="45EFA841" w14:textId="22B8ECC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262 761</w:t>
                  </w:r>
                </w:p>
              </w:tc>
              <w:tc>
                <w:tcPr>
                  <w:tcW w:w="709" w:type="dxa"/>
                  <w:tcBorders>
                    <w:top w:val="nil"/>
                    <w:left w:val="nil"/>
                    <w:bottom w:val="single" w:sz="8" w:space="0" w:color="auto"/>
                    <w:right w:val="single" w:sz="8" w:space="0" w:color="auto"/>
                  </w:tcBorders>
                  <w:shd w:val="clear" w:color="auto" w:fill="auto"/>
                  <w:noWrap/>
                  <w:vAlign w:val="bottom"/>
                  <w:hideMark/>
                </w:tcPr>
                <w:p w14:paraId="1616A8F9" w14:textId="268E76D4"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264 761</w:t>
                  </w:r>
                </w:p>
              </w:tc>
              <w:tc>
                <w:tcPr>
                  <w:tcW w:w="708" w:type="dxa"/>
                  <w:tcBorders>
                    <w:top w:val="nil"/>
                    <w:left w:val="nil"/>
                    <w:bottom w:val="single" w:sz="8" w:space="0" w:color="auto"/>
                    <w:right w:val="single" w:sz="8" w:space="0" w:color="auto"/>
                  </w:tcBorders>
                  <w:shd w:val="clear" w:color="auto" w:fill="auto"/>
                  <w:noWrap/>
                  <w:vAlign w:val="bottom"/>
                  <w:hideMark/>
                </w:tcPr>
                <w:p w14:paraId="7E5D0662" w14:textId="11D92865"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266 761</w:t>
                  </w:r>
                </w:p>
              </w:tc>
              <w:tc>
                <w:tcPr>
                  <w:tcW w:w="709" w:type="dxa"/>
                  <w:tcBorders>
                    <w:top w:val="nil"/>
                    <w:left w:val="nil"/>
                    <w:bottom w:val="single" w:sz="8" w:space="0" w:color="auto"/>
                    <w:right w:val="single" w:sz="8" w:space="0" w:color="auto"/>
                  </w:tcBorders>
                  <w:shd w:val="clear" w:color="auto" w:fill="auto"/>
                  <w:noWrap/>
                  <w:vAlign w:val="bottom"/>
                  <w:hideMark/>
                </w:tcPr>
                <w:p w14:paraId="51CAEB11" w14:textId="46AE4A41"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268 761</w:t>
                  </w:r>
                </w:p>
              </w:tc>
              <w:tc>
                <w:tcPr>
                  <w:tcW w:w="709" w:type="dxa"/>
                  <w:tcBorders>
                    <w:top w:val="nil"/>
                    <w:left w:val="nil"/>
                    <w:bottom w:val="single" w:sz="8" w:space="0" w:color="auto"/>
                    <w:right w:val="single" w:sz="8" w:space="0" w:color="auto"/>
                  </w:tcBorders>
                  <w:shd w:val="clear" w:color="auto" w:fill="auto"/>
                  <w:noWrap/>
                  <w:vAlign w:val="bottom"/>
                  <w:hideMark/>
                </w:tcPr>
                <w:p w14:paraId="70A8C29D" w14:textId="2F67DB1B"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270 761</w:t>
                  </w:r>
                </w:p>
              </w:tc>
              <w:tc>
                <w:tcPr>
                  <w:tcW w:w="800" w:type="dxa"/>
                  <w:tcBorders>
                    <w:top w:val="nil"/>
                    <w:left w:val="nil"/>
                    <w:bottom w:val="single" w:sz="8" w:space="0" w:color="auto"/>
                    <w:right w:val="single" w:sz="8" w:space="0" w:color="auto"/>
                  </w:tcBorders>
                  <w:shd w:val="clear" w:color="auto" w:fill="auto"/>
                  <w:noWrap/>
                  <w:vAlign w:val="bottom"/>
                  <w:hideMark/>
                </w:tcPr>
                <w:p w14:paraId="153F0044" w14:textId="3A36705C"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272 761</w:t>
                  </w:r>
                </w:p>
              </w:tc>
              <w:tc>
                <w:tcPr>
                  <w:tcW w:w="710" w:type="dxa"/>
                  <w:tcBorders>
                    <w:top w:val="nil"/>
                    <w:left w:val="nil"/>
                    <w:bottom w:val="single" w:sz="8" w:space="0" w:color="auto"/>
                    <w:right w:val="single" w:sz="8" w:space="0" w:color="auto"/>
                  </w:tcBorders>
                  <w:shd w:val="clear" w:color="auto" w:fill="auto"/>
                  <w:noWrap/>
                  <w:vAlign w:val="bottom"/>
                  <w:hideMark/>
                </w:tcPr>
                <w:p w14:paraId="2CF9F4AA" w14:textId="5CD4497A"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274 761</w:t>
                  </w:r>
                </w:p>
              </w:tc>
              <w:tc>
                <w:tcPr>
                  <w:tcW w:w="710" w:type="dxa"/>
                  <w:tcBorders>
                    <w:top w:val="nil"/>
                    <w:left w:val="nil"/>
                    <w:bottom w:val="single" w:sz="8" w:space="0" w:color="auto"/>
                    <w:right w:val="single" w:sz="8" w:space="0" w:color="auto"/>
                  </w:tcBorders>
                  <w:shd w:val="clear" w:color="auto" w:fill="auto"/>
                  <w:noWrap/>
                  <w:vAlign w:val="bottom"/>
                  <w:hideMark/>
                </w:tcPr>
                <w:p w14:paraId="0C2BEDEF" w14:textId="2A1189C6"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276 761</w:t>
                  </w:r>
                </w:p>
              </w:tc>
            </w:tr>
          </w:tbl>
          <w:p w14:paraId="021F2F70" w14:textId="77777777" w:rsidR="00C6293E"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Na potrzeby tabeli liczby zaokrąglono.</w:t>
            </w:r>
          </w:p>
          <w:p w14:paraId="016B7B03" w14:textId="77777777" w:rsidR="00C6293E" w:rsidRPr="00154E08" w:rsidRDefault="00C6293E" w:rsidP="00C6293E">
            <w:pPr>
              <w:spacing w:before="60" w:line="240" w:lineRule="auto"/>
              <w:jc w:val="both"/>
              <w:rPr>
                <w:rFonts w:eastAsia="Calibri" w:cs="Times New Roman"/>
                <w:color w:val="000000"/>
                <w:szCs w:val="24"/>
              </w:rPr>
            </w:pPr>
          </w:p>
          <w:p w14:paraId="135ADE38" w14:textId="5487C0AF" w:rsidR="00C6293E" w:rsidRPr="00154E08" w:rsidRDefault="00C6293E" w:rsidP="00B279FD">
            <w:pPr>
              <w:spacing w:after="120" w:line="240" w:lineRule="auto"/>
              <w:jc w:val="both"/>
              <w:rPr>
                <w:rFonts w:eastAsia="Calibri" w:cs="Times New Roman"/>
                <w:color w:val="000000"/>
                <w:sz w:val="22"/>
                <w:szCs w:val="22"/>
              </w:rPr>
            </w:pPr>
            <w:r w:rsidRPr="00154E08">
              <w:rPr>
                <w:rFonts w:eastAsia="Calibri" w:cs="Times New Roman"/>
                <w:color w:val="000000"/>
                <w:sz w:val="22"/>
                <w:szCs w:val="22"/>
              </w:rPr>
              <w:t>Modyfikacja obowiązków wynikających z przyjętych zwiększonych obligatoryjnych celów, może przyczynić się do zmian wpływów do NFOŚiGW (wpływy z tytułu opłaty zastępczej do NFOŚiGW) w perspektywie dziesięcioletniej oraz do budżetu, w</w:t>
            </w:r>
            <w:r w:rsidR="005B1356" w:rsidRPr="00154E08">
              <w:rPr>
                <w:rFonts w:eastAsia="Calibri" w:cs="Times New Roman"/>
                <w:color w:val="000000"/>
                <w:sz w:val="22"/>
                <w:szCs w:val="22"/>
              </w:rPr>
              <w:t> </w:t>
            </w:r>
            <w:r w:rsidRPr="00154E08">
              <w:rPr>
                <w:rFonts w:eastAsia="Calibri" w:cs="Times New Roman"/>
                <w:color w:val="000000"/>
                <w:sz w:val="22"/>
                <w:szCs w:val="22"/>
              </w:rPr>
              <w:t>przypadku gdyby podmioty nie wywiązywały się w pełni z realizacji nałożonych obowiązków (wpływy z kar do BP).</w:t>
            </w:r>
          </w:p>
          <w:p w14:paraId="200BD76B" w14:textId="77777777" w:rsidR="00C6293E" w:rsidRPr="00154E08" w:rsidRDefault="00C6293E" w:rsidP="00B279FD">
            <w:pPr>
              <w:spacing w:after="120" w:line="240" w:lineRule="auto"/>
              <w:jc w:val="both"/>
              <w:rPr>
                <w:rFonts w:eastAsia="Calibri" w:cs="Times New Roman"/>
                <w:color w:val="000000"/>
                <w:sz w:val="22"/>
                <w:szCs w:val="22"/>
              </w:rPr>
            </w:pPr>
            <w:r w:rsidRPr="00154E08">
              <w:rPr>
                <w:rFonts w:eastAsia="Calibri" w:cs="Times New Roman"/>
                <w:color w:val="000000"/>
                <w:sz w:val="22"/>
                <w:szCs w:val="22"/>
              </w:rPr>
              <w:t xml:space="preserve">Pozyskiwane środki z tytułu opłat zastępczej od 15 podmiotów realizujących NCW kształtowały się na poziomie 204 mln zł za 2022 r., w tym 45% wpływów dla Narodowego Funduszu Ochrony Środowiska i Gospodarki Wodnej oraz 55% wpływów dla Funduszu rozwoju przewozów </w:t>
            </w:r>
            <w:r w:rsidRPr="00154E08">
              <w:rPr>
                <w:rFonts w:eastAsia="Calibri" w:cs="Times New Roman"/>
                <w:color w:val="000000"/>
                <w:sz w:val="22"/>
                <w:szCs w:val="22"/>
              </w:rPr>
              <w:lastRenderedPageBreak/>
              <w:t xml:space="preserve">autobusowych o charakterze użyteczności publicznej (NFOŚiGW). </w:t>
            </w:r>
          </w:p>
          <w:p w14:paraId="01D5D67C" w14:textId="77777777" w:rsidR="005B1356" w:rsidRPr="00154E08" w:rsidRDefault="00C6293E" w:rsidP="00B279FD">
            <w:pPr>
              <w:spacing w:after="120" w:line="240" w:lineRule="auto"/>
              <w:jc w:val="both"/>
              <w:rPr>
                <w:rFonts w:eastAsia="Calibri" w:cs="Times New Roman"/>
                <w:color w:val="000000"/>
                <w:sz w:val="22"/>
                <w:szCs w:val="22"/>
              </w:rPr>
            </w:pPr>
            <w:r w:rsidRPr="00154E08">
              <w:rPr>
                <w:rFonts w:eastAsia="Calibri" w:cs="Times New Roman"/>
                <w:color w:val="000000"/>
                <w:sz w:val="22"/>
                <w:szCs w:val="22"/>
              </w:rPr>
              <w:t xml:space="preserve">Przewiduje się spadek wpływów z opłaty zastępczej w najbliższych latach. Jednocześnie przyjęto, że większa elastyczność w zakresie możliwości wykonania celu, dopuszczenie nowych paliw: RCF, RFNBO, możliwość współrealizacji NCW z wykorzystaniem energii elektrycznej z OZE powinna skutkować istotnie wyższym poziomem rzeczywistej realizacji celu NCW. Konsekwencją będą pomniejszone wpływy do celowego NFOŚiGW w latach kolejnych, aż do ich wygaszenia po 2030 r. </w:t>
            </w:r>
          </w:p>
          <w:p w14:paraId="7BDA0B51" w14:textId="76F7D402" w:rsidR="00BD6ACC" w:rsidRPr="00154E08" w:rsidRDefault="00C6293E" w:rsidP="00B279FD">
            <w:pPr>
              <w:spacing w:after="120" w:line="240" w:lineRule="auto"/>
              <w:jc w:val="both"/>
              <w:rPr>
                <w:rFonts w:eastAsia="Calibri" w:cs="Times New Roman"/>
                <w:color w:val="000000"/>
                <w:sz w:val="22"/>
                <w:szCs w:val="22"/>
              </w:rPr>
            </w:pPr>
            <w:r w:rsidRPr="00154E08">
              <w:rPr>
                <w:rFonts w:eastAsia="Calibri" w:cs="Times New Roman"/>
                <w:color w:val="000000"/>
                <w:sz w:val="22"/>
                <w:szCs w:val="22"/>
              </w:rPr>
              <w:t xml:space="preserve">Na potrzeby obliczenia zmiany poziomu wpływów z tytułu opłaty zastępczej wykorzystano następujące zmienne: </w:t>
            </w:r>
          </w:p>
          <w:p w14:paraId="54118EF6" w14:textId="1BAB7E8E" w:rsidR="00C6293E" w:rsidRPr="00154E08" w:rsidRDefault="00C6293E" w:rsidP="00B279FD">
            <w:pPr>
              <w:spacing w:after="120" w:line="240" w:lineRule="auto"/>
              <w:jc w:val="both"/>
              <w:rPr>
                <w:rFonts w:eastAsia="Calibri" w:cs="Times New Roman"/>
                <w:color w:val="000000"/>
                <w:sz w:val="22"/>
                <w:szCs w:val="22"/>
              </w:rPr>
            </w:pPr>
            <w:r w:rsidRPr="00154E08">
              <w:rPr>
                <w:rFonts w:eastAsia="Calibri" w:cs="Times New Roman"/>
                <w:color w:val="000000"/>
                <w:sz w:val="22"/>
                <w:szCs w:val="22"/>
              </w:rPr>
              <w:t xml:space="preserve"> – prognozę wykorzystania energii w sektorze transportu w latach 2024–2030 przygotowaną przez Agencję Rynku Energii na potrzeby </w:t>
            </w:r>
            <w:proofErr w:type="spellStart"/>
            <w:r w:rsidRPr="00154E08">
              <w:rPr>
                <w:rFonts w:eastAsia="Calibri" w:cs="Times New Roman"/>
                <w:color w:val="000000"/>
                <w:sz w:val="22"/>
                <w:szCs w:val="22"/>
              </w:rPr>
              <w:t>KPEiK</w:t>
            </w:r>
            <w:proofErr w:type="spellEnd"/>
            <w:r w:rsidR="005B1356" w:rsidRPr="00154E08">
              <w:rPr>
                <w:rFonts w:eastAsia="Calibri" w:cs="Times New Roman"/>
                <w:color w:val="000000"/>
                <w:sz w:val="22"/>
                <w:szCs w:val="22"/>
              </w:rPr>
              <w:t>.</w:t>
            </w:r>
          </w:p>
          <w:p w14:paraId="40A64574" w14:textId="6CAFECFB" w:rsidR="00C6293E"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 xml:space="preserve">Tabela </w:t>
            </w:r>
            <w:r w:rsidR="00BD6ACC" w:rsidRPr="00154E08">
              <w:rPr>
                <w:rFonts w:eastAsia="Calibri" w:cs="Times New Roman"/>
                <w:color w:val="000000"/>
                <w:sz w:val="18"/>
                <w:szCs w:val="18"/>
              </w:rPr>
              <w:t>8</w:t>
            </w:r>
            <w:r w:rsidRPr="00154E08">
              <w:rPr>
                <w:rFonts w:eastAsia="Calibri" w:cs="Times New Roman"/>
                <w:color w:val="000000"/>
                <w:sz w:val="18"/>
                <w:szCs w:val="18"/>
              </w:rPr>
              <w:t xml:space="preserve"> – Prognoza zużycia energii paliw do roku 2030</w:t>
            </w:r>
          </w:p>
          <w:tbl>
            <w:tblPr>
              <w:tblW w:w="8461" w:type="dxa"/>
              <w:tblLayout w:type="fixed"/>
              <w:tblCellMar>
                <w:left w:w="70" w:type="dxa"/>
                <w:right w:w="70" w:type="dxa"/>
              </w:tblCellMar>
              <w:tblLook w:val="04A0" w:firstRow="1" w:lastRow="0" w:firstColumn="1" w:lastColumn="0" w:noHBand="0" w:noVBand="1"/>
            </w:tblPr>
            <w:tblGrid>
              <w:gridCol w:w="1918"/>
              <w:gridCol w:w="1267"/>
              <w:gridCol w:w="711"/>
              <w:gridCol w:w="711"/>
              <w:gridCol w:w="716"/>
              <w:gridCol w:w="711"/>
              <w:gridCol w:w="711"/>
              <w:gridCol w:w="711"/>
              <w:gridCol w:w="1005"/>
            </w:tblGrid>
            <w:tr w:rsidR="004C796F" w:rsidRPr="00154E08" w14:paraId="54DABF41" w14:textId="77777777" w:rsidTr="004C796F">
              <w:trPr>
                <w:trHeight w:val="274"/>
              </w:trPr>
              <w:tc>
                <w:tcPr>
                  <w:tcW w:w="1133" w:type="pct"/>
                  <w:tcBorders>
                    <w:top w:val="single" w:sz="4" w:space="0" w:color="auto"/>
                    <w:left w:val="single" w:sz="4" w:space="0" w:color="auto"/>
                    <w:bottom w:val="single" w:sz="4" w:space="0" w:color="auto"/>
                    <w:right w:val="single" w:sz="4" w:space="0" w:color="auto"/>
                  </w:tcBorders>
                  <w:shd w:val="clear" w:color="auto" w:fill="auto"/>
                  <w:noWrap/>
                  <w:hideMark/>
                </w:tcPr>
                <w:p w14:paraId="45C33946" w14:textId="77777777" w:rsidR="00C6293E" w:rsidRPr="00154E08" w:rsidRDefault="00C6293E" w:rsidP="00BD6ACC">
                  <w:pPr>
                    <w:spacing w:before="60" w:line="240" w:lineRule="auto"/>
                    <w:rPr>
                      <w:rFonts w:eastAsia="Calibri" w:cs="Times New Roman"/>
                      <w:b/>
                      <w:bCs/>
                      <w:color w:val="000000"/>
                      <w:sz w:val="16"/>
                      <w:szCs w:val="16"/>
                    </w:rPr>
                  </w:pPr>
                  <w:r w:rsidRPr="00154E08">
                    <w:rPr>
                      <w:rFonts w:eastAsia="Calibri" w:cs="Times New Roman"/>
                      <w:b/>
                      <w:bCs/>
                      <w:color w:val="000000"/>
                      <w:sz w:val="16"/>
                      <w:szCs w:val="16"/>
                    </w:rPr>
                    <w:t xml:space="preserve">Dane w </w:t>
                  </w:r>
                  <w:proofErr w:type="spellStart"/>
                  <w:r w:rsidRPr="00154E08">
                    <w:rPr>
                      <w:rFonts w:eastAsia="Calibri" w:cs="Times New Roman"/>
                      <w:b/>
                      <w:bCs/>
                      <w:color w:val="000000"/>
                      <w:sz w:val="16"/>
                      <w:szCs w:val="16"/>
                    </w:rPr>
                    <w:t>ktoe</w:t>
                  </w:r>
                  <w:proofErr w:type="spellEnd"/>
                </w:p>
              </w:tc>
              <w:tc>
                <w:tcPr>
                  <w:tcW w:w="749" w:type="pct"/>
                  <w:tcBorders>
                    <w:top w:val="single" w:sz="4" w:space="0" w:color="auto"/>
                    <w:left w:val="nil"/>
                    <w:bottom w:val="single" w:sz="4" w:space="0" w:color="auto"/>
                    <w:right w:val="single" w:sz="4" w:space="0" w:color="auto"/>
                  </w:tcBorders>
                  <w:shd w:val="clear" w:color="auto" w:fill="auto"/>
                  <w:noWrap/>
                  <w:hideMark/>
                </w:tcPr>
                <w:p w14:paraId="6D790CDE" w14:textId="18F56E09" w:rsidR="00C6293E" w:rsidRPr="00154E08" w:rsidRDefault="00554588" w:rsidP="00BD6ACC">
                  <w:pPr>
                    <w:spacing w:before="60" w:line="240" w:lineRule="auto"/>
                    <w:jc w:val="center"/>
                    <w:rPr>
                      <w:rFonts w:eastAsia="Calibri" w:cs="Times New Roman"/>
                      <w:b/>
                      <w:color w:val="000000"/>
                      <w:sz w:val="16"/>
                      <w:szCs w:val="16"/>
                    </w:rPr>
                  </w:pPr>
                  <w:r w:rsidRPr="00154E08">
                    <w:rPr>
                      <w:rFonts w:eastAsia="Calibri" w:cs="Times New Roman"/>
                      <w:b/>
                      <w:color w:val="000000"/>
                      <w:sz w:val="16"/>
                      <w:szCs w:val="16"/>
                    </w:rPr>
                    <w:t>2023</w:t>
                  </w:r>
                </w:p>
                <w:p w14:paraId="57EF83B4"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bCs/>
                      <w:color w:val="000000"/>
                      <w:sz w:val="16"/>
                      <w:szCs w:val="16"/>
                    </w:rPr>
                    <w:t>(rok referencyjny)</w:t>
                  </w:r>
                </w:p>
              </w:tc>
              <w:tc>
                <w:tcPr>
                  <w:tcW w:w="420" w:type="pct"/>
                  <w:tcBorders>
                    <w:top w:val="single" w:sz="4" w:space="0" w:color="auto"/>
                    <w:left w:val="nil"/>
                    <w:bottom w:val="single" w:sz="4" w:space="0" w:color="auto"/>
                    <w:right w:val="single" w:sz="4" w:space="0" w:color="auto"/>
                  </w:tcBorders>
                  <w:shd w:val="clear" w:color="auto" w:fill="auto"/>
                  <w:noWrap/>
                  <w:hideMark/>
                </w:tcPr>
                <w:p w14:paraId="1A9C6F54"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2024</w:t>
                  </w:r>
                </w:p>
              </w:tc>
              <w:tc>
                <w:tcPr>
                  <w:tcW w:w="420" w:type="pct"/>
                  <w:tcBorders>
                    <w:top w:val="single" w:sz="4" w:space="0" w:color="auto"/>
                    <w:left w:val="nil"/>
                    <w:bottom w:val="single" w:sz="4" w:space="0" w:color="auto"/>
                    <w:right w:val="single" w:sz="4" w:space="0" w:color="auto"/>
                  </w:tcBorders>
                  <w:shd w:val="clear" w:color="auto" w:fill="auto"/>
                  <w:noWrap/>
                  <w:hideMark/>
                </w:tcPr>
                <w:p w14:paraId="7E67A24F"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2025</w:t>
                  </w:r>
                </w:p>
              </w:tc>
              <w:tc>
                <w:tcPr>
                  <w:tcW w:w="423" w:type="pct"/>
                  <w:tcBorders>
                    <w:top w:val="single" w:sz="4" w:space="0" w:color="auto"/>
                    <w:left w:val="nil"/>
                    <w:bottom w:val="single" w:sz="4" w:space="0" w:color="auto"/>
                    <w:right w:val="single" w:sz="4" w:space="0" w:color="auto"/>
                  </w:tcBorders>
                  <w:shd w:val="clear" w:color="auto" w:fill="auto"/>
                  <w:noWrap/>
                  <w:hideMark/>
                </w:tcPr>
                <w:p w14:paraId="68CAA4C3"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2026</w:t>
                  </w:r>
                </w:p>
              </w:tc>
              <w:tc>
                <w:tcPr>
                  <w:tcW w:w="420" w:type="pct"/>
                  <w:tcBorders>
                    <w:top w:val="single" w:sz="4" w:space="0" w:color="auto"/>
                    <w:left w:val="nil"/>
                    <w:bottom w:val="single" w:sz="4" w:space="0" w:color="auto"/>
                    <w:right w:val="single" w:sz="4" w:space="0" w:color="auto"/>
                  </w:tcBorders>
                  <w:shd w:val="clear" w:color="auto" w:fill="auto"/>
                  <w:noWrap/>
                  <w:hideMark/>
                </w:tcPr>
                <w:p w14:paraId="411FB49E"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2027</w:t>
                  </w:r>
                </w:p>
              </w:tc>
              <w:tc>
                <w:tcPr>
                  <w:tcW w:w="420" w:type="pct"/>
                  <w:tcBorders>
                    <w:top w:val="single" w:sz="4" w:space="0" w:color="auto"/>
                    <w:left w:val="nil"/>
                    <w:bottom w:val="single" w:sz="4" w:space="0" w:color="auto"/>
                    <w:right w:val="single" w:sz="4" w:space="0" w:color="auto"/>
                  </w:tcBorders>
                  <w:shd w:val="clear" w:color="auto" w:fill="auto"/>
                  <w:noWrap/>
                  <w:hideMark/>
                </w:tcPr>
                <w:p w14:paraId="7860DAD3"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2028</w:t>
                  </w:r>
                </w:p>
              </w:tc>
              <w:tc>
                <w:tcPr>
                  <w:tcW w:w="420" w:type="pct"/>
                  <w:tcBorders>
                    <w:top w:val="single" w:sz="4" w:space="0" w:color="auto"/>
                    <w:left w:val="nil"/>
                    <w:bottom w:val="single" w:sz="4" w:space="0" w:color="auto"/>
                    <w:right w:val="single" w:sz="4" w:space="0" w:color="auto"/>
                  </w:tcBorders>
                  <w:shd w:val="clear" w:color="auto" w:fill="auto"/>
                  <w:noWrap/>
                  <w:hideMark/>
                </w:tcPr>
                <w:p w14:paraId="36B7D128"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2029</w:t>
                  </w:r>
                </w:p>
              </w:tc>
              <w:tc>
                <w:tcPr>
                  <w:tcW w:w="594" w:type="pct"/>
                  <w:tcBorders>
                    <w:top w:val="single" w:sz="4" w:space="0" w:color="auto"/>
                    <w:left w:val="nil"/>
                    <w:bottom w:val="single" w:sz="4" w:space="0" w:color="auto"/>
                    <w:right w:val="single" w:sz="4" w:space="0" w:color="auto"/>
                  </w:tcBorders>
                  <w:shd w:val="clear" w:color="auto" w:fill="auto"/>
                  <w:noWrap/>
                  <w:hideMark/>
                </w:tcPr>
                <w:p w14:paraId="44DFB2CA" w14:textId="77777777" w:rsidR="00C6293E" w:rsidRPr="00154E08" w:rsidRDefault="00C6293E" w:rsidP="00BD6ACC">
                  <w:pPr>
                    <w:spacing w:before="60" w:line="240" w:lineRule="auto"/>
                    <w:jc w:val="center"/>
                    <w:rPr>
                      <w:rFonts w:eastAsia="Calibri" w:cs="Times New Roman"/>
                      <w:b/>
                      <w:bCs/>
                      <w:color w:val="000000"/>
                      <w:sz w:val="16"/>
                      <w:szCs w:val="16"/>
                    </w:rPr>
                  </w:pPr>
                  <w:r w:rsidRPr="00154E08">
                    <w:rPr>
                      <w:rFonts w:eastAsia="Calibri" w:cs="Times New Roman"/>
                      <w:b/>
                      <w:bCs/>
                      <w:color w:val="000000"/>
                      <w:sz w:val="16"/>
                      <w:szCs w:val="16"/>
                    </w:rPr>
                    <w:t>2030</w:t>
                  </w:r>
                </w:p>
              </w:tc>
            </w:tr>
            <w:tr w:rsidR="004C796F" w:rsidRPr="00154E08" w14:paraId="2DA0708E" w14:textId="77777777" w:rsidTr="004C796F">
              <w:trPr>
                <w:trHeight w:val="464"/>
              </w:trPr>
              <w:tc>
                <w:tcPr>
                  <w:tcW w:w="1133" w:type="pct"/>
                  <w:tcBorders>
                    <w:top w:val="nil"/>
                    <w:left w:val="single" w:sz="4" w:space="0" w:color="auto"/>
                    <w:bottom w:val="single" w:sz="4" w:space="0" w:color="auto"/>
                    <w:right w:val="single" w:sz="4" w:space="0" w:color="auto"/>
                  </w:tcBorders>
                  <w:shd w:val="clear" w:color="auto" w:fill="auto"/>
                  <w:noWrap/>
                  <w:hideMark/>
                </w:tcPr>
                <w:p w14:paraId="66E81294" w14:textId="77777777" w:rsidR="00C6293E" w:rsidRPr="00154E08" w:rsidRDefault="00C6293E" w:rsidP="00BD6ACC">
                  <w:pPr>
                    <w:spacing w:before="60" w:line="240" w:lineRule="auto"/>
                    <w:rPr>
                      <w:rFonts w:eastAsia="Calibri" w:cs="Times New Roman"/>
                      <w:color w:val="000000"/>
                      <w:sz w:val="16"/>
                      <w:szCs w:val="16"/>
                    </w:rPr>
                  </w:pPr>
                  <w:r w:rsidRPr="00154E08">
                    <w:rPr>
                      <w:rFonts w:eastAsia="Calibri" w:cs="Times New Roman"/>
                      <w:color w:val="000000"/>
                      <w:sz w:val="16"/>
                      <w:szCs w:val="16"/>
                    </w:rPr>
                    <w:t>Sektor transportu PL</w:t>
                  </w:r>
                </w:p>
              </w:tc>
              <w:tc>
                <w:tcPr>
                  <w:tcW w:w="749" w:type="pct"/>
                  <w:tcBorders>
                    <w:top w:val="nil"/>
                    <w:left w:val="nil"/>
                    <w:bottom w:val="single" w:sz="4" w:space="0" w:color="auto"/>
                    <w:right w:val="single" w:sz="4" w:space="0" w:color="auto"/>
                  </w:tcBorders>
                  <w:shd w:val="clear" w:color="auto" w:fill="auto"/>
                  <w:noWrap/>
                  <w:vAlign w:val="center"/>
                  <w:hideMark/>
                </w:tcPr>
                <w:p w14:paraId="701D9C2B" w14:textId="1A8B1D1F"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 xml:space="preserve">23 </w:t>
                  </w:r>
                  <w:r w:rsidR="00554588" w:rsidRPr="00154E08">
                    <w:rPr>
                      <w:rFonts w:eastAsia="Calibri" w:cs="Times New Roman"/>
                      <w:color w:val="000000"/>
                      <w:sz w:val="16"/>
                      <w:szCs w:val="16"/>
                    </w:rPr>
                    <w:t>327</w:t>
                  </w:r>
                </w:p>
              </w:tc>
              <w:tc>
                <w:tcPr>
                  <w:tcW w:w="420" w:type="pct"/>
                  <w:tcBorders>
                    <w:top w:val="nil"/>
                    <w:left w:val="nil"/>
                    <w:bottom w:val="single" w:sz="4" w:space="0" w:color="auto"/>
                    <w:right w:val="single" w:sz="4" w:space="0" w:color="auto"/>
                  </w:tcBorders>
                  <w:shd w:val="clear" w:color="auto" w:fill="auto"/>
                  <w:noWrap/>
                  <w:vAlign w:val="center"/>
                  <w:hideMark/>
                </w:tcPr>
                <w:p w14:paraId="3AFD06BF"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23 211</w:t>
                  </w:r>
                </w:p>
              </w:tc>
              <w:tc>
                <w:tcPr>
                  <w:tcW w:w="420" w:type="pct"/>
                  <w:tcBorders>
                    <w:top w:val="nil"/>
                    <w:left w:val="nil"/>
                    <w:bottom w:val="single" w:sz="4" w:space="0" w:color="auto"/>
                    <w:right w:val="single" w:sz="4" w:space="0" w:color="auto"/>
                  </w:tcBorders>
                  <w:shd w:val="clear" w:color="auto" w:fill="auto"/>
                  <w:noWrap/>
                  <w:vAlign w:val="center"/>
                  <w:hideMark/>
                </w:tcPr>
                <w:p w14:paraId="17F8A13C"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23 494</w:t>
                  </w:r>
                </w:p>
              </w:tc>
              <w:tc>
                <w:tcPr>
                  <w:tcW w:w="423" w:type="pct"/>
                  <w:tcBorders>
                    <w:top w:val="nil"/>
                    <w:left w:val="nil"/>
                    <w:bottom w:val="single" w:sz="4" w:space="0" w:color="auto"/>
                    <w:right w:val="single" w:sz="4" w:space="0" w:color="auto"/>
                  </w:tcBorders>
                  <w:shd w:val="clear" w:color="auto" w:fill="auto"/>
                  <w:noWrap/>
                  <w:vAlign w:val="center"/>
                  <w:hideMark/>
                </w:tcPr>
                <w:p w14:paraId="384E3817"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23 351</w:t>
                  </w:r>
                </w:p>
              </w:tc>
              <w:tc>
                <w:tcPr>
                  <w:tcW w:w="420" w:type="pct"/>
                  <w:tcBorders>
                    <w:top w:val="nil"/>
                    <w:left w:val="nil"/>
                    <w:bottom w:val="single" w:sz="4" w:space="0" w:color="auto"/>
                    <w:right w:val="single" w:sz="4" w:space="0" w:color="auto"/>
                  </w:tcBorders>
                  <w:shd w:val="clear" w:color="auto" w:fill="auto"/>
                  <w:noWrap/>
                  <w:vAlign w:val="center"/>
                  <w:hideMark/>
                </w:tcPr>
                <w:p w14:paraId="2BCA9429"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23 029</w:t>
                  </w:r>
                </w:p>
              </w:tc>
              <w:tc>
                <w:tcPr>
                  <w:tcW w:w="420" w:type="pct"/>
                  <w:tcBorders>
                    <w:top w:val="nil"/>
                    <w:left w:val="nil"/>
                    <w:bottom w:val="single" w:sz="4" w:space="0" w:color="auto"/>
                    <w:right w:val="single" w:sz="4" w:space="0" w:color="auto"/>
                  </w:tcBorders>
                  <w:shd w:val="clear" w:color="auto" w:fill="auto"/>
                  <w:noWrap/>
                  <w:vAlign w:val="center"/>
                  <w:hideMark/>
                </w:tcPr>
                <w:p w14:paraId="15A2BF84"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22 656</w:t>
                  </w:r>
                </w:p>
              </w:tc>
              <w:tc>
                <w:tcPr>
                  <w:tcW w:w="420" w:type="pct"/>
                  <w:tcBorders>
                    <w:top w:val="nil"/>
                    <w:left w:val="nil"/>
                    <w:bottom w:val="single" w:sz="4" w:space="0" w:color="auto"/>
                    <w:right w:val="single" w:sz="4" w:space="0" w:color="auto"/>
                  </w:tcBorders>
                  <w:shd w:val="clear" w:color="auto" w:fill="auto"/>
                  <w:noWrap/>
                  <w:vAlign w:val="center"/>
                  <w:hideMark/>
                </w:tcPr>
                <w:p w14:paraId="1F99DD88"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22 234</w:t>
                  </w:r>
                </w:p>
              </w:tc>
              <w:tc>
                <w:tcPr>
                  <w:tcW w:w="594" w:type="pct"/>
                  <w:tcBorders>
                    <w:top w:val="nil"/>
                    <w:left w:val="nil"/>
                    <w:bottom w:val="single" w:sz="4" w:space="0" w:color="auto"/>
                    <w:right w:val="single" w:sz="4" w:space="0" w:color="auto"/>
                  </w:tcBorders>
                  <w:shd w:val="clear" w:color="000000" w:fill="D9E1F2"/>
                  <w:noWrap/>
                  <w:vAlign w:val="center"/>
                  <w:hideMark/>
                </w:tcPr>
                <w:p w14:paraId="6CD4752F" w14:textId="77777777" w:rsidR="00C6293E" w:rsidRPr="00154E08" w:rsidRDefault="00C6293E" w:rsidP="00BD6ACC">
                  <w:pPr>
                    <w:spacing w:before="60" w:line="240" w:lineRule="auto"/>
                    <w:jc w:val="center"/>
                    <w:rPr>
                      <w:rFonts w:eastAsia="Calibri" w:cs="Times New Roman"/>
                      <w:color w:val="000000"/>
                      <w:sz w:val="16"/>
                      <w:szCs w:val="16"/>
                    </w:rPr>
                  </w:pPr>
                  <w:r w:rsidRPr="00154E08">
                    <w:rPr>
                      <w:rFonts w:eastAsia="Calibri" w:cs="Times New Roman"/>
                      <w:color w:val="000000"/>
                      <w:sz w:val="16"/>
                      <w:szCs w:val="16"/>
                    </w:rPr>
                    <w:t>21 830</w:t>
                  </w:r>
                </w:p>
              </w:tc>
            </w:tr>
            <w:tr w:rsidR="004C796F" w:rsidRPr="00154E08" w14:paraId="6DB7CB0C" w14:textId="77777777" w:rsidTr="004C796F">
              <w:trPr>
                <w:trHeight w:val="464"/>
              </w:trPr>
              <w:tc>
                <w:tcPr>
                  <w:tcW w:w="1133" w:type="pct"/>
                  <w:tcBorders>
                    <w:top w:val="nil"/>
                    <w:left w:val="single" w:sz="4" w:space="0" w:color="auto"/>
                    <w:bottom w:val="single" w:sz="4" w:space="0" w:color="auto"/>
                    <w:right w:val="single" w:sz="4" w:space="0" w:color="auto"/>
                  </w:tcBorders>
                  <w:shd w:val="clear" w:color="auto" w:fill="auto"/>
                  <w:noWrap/>
                  <w:hideMark/>
                </w:tcPr>
                <w:p w14:paraId="7F0AC163" w14:textId="65E8FD89" w:rsidR="00C6293E" w:rsidRPr="00154E08" w:rsidRDefault="00C6293E" w:rsidP="00BD6ACC">
                  <w:pPr>
                    <w:spacing w:before="60" w:line="240" w:lineRule="auto"/>
                    <w:ind w:left="-42"/>
                    <w:rPr>
                      <w:rFonts w:eastAsia="Calibri" w:cs="Times New Roman"/>
                      <w:i/>
                      <w:iCs/>
                      <w:color w:val="000000"/>
                      <w:sz w:val="16"/>
                      <w:szCs w:val="16"/>
                    </w:rPr>
                  </w:pPr>
                  <w:r w:rsidRPr="00154E08">
                    <w:rPr>
                      <w:rFonts w:eastAsia="Calibri" w:cs="Times New Roman"/>
                      <w:i/>
                      <w:iCs/>
                      <w:color w:val="000000"/>
                      <w:sz w:val="16"/>
                      <w:szCs w:val="16"/>
                    </w:rPr>
                    <w:t>Zmiana % względem 202</w:t>
                  </w:r>
                  <w:r w:rsidR="00554588" w:rsidRPr="00154E08">
                    <w:rPr>
                      <w:rFonts w:eastAsia="Calibri" w:cs="Times New Roman"/>
                      <w:i/>
                      <w:iCs/>
                      <w:color w:val="000000"/>
                      <w:sz w:val="16"/>
                      <w:szCs w:val="16"/>
                    </w:rPr>
                    <w:t>3</w:t>
                  </w:r>
                  <w:r w:rsidRPr="00154E08">
                    <w:rPr>
                      <w:rFonts w:eastAsia="Calibri" w:cs="Times New Roman"/>
                      <w:i/>
                      <w:iCs/>
                      <w:color w:val="000000"/>
                      <w:sz w:val="16"/>
                      <w:szCs w:val="16"/>
                    </w:rPr>
                    <w:t xml:space="preserve"> </w:t>
                  </w:r>
                </w:p>
              </w:tc>
              <w:tc>
                <w:tcPr>
                  <w:tcW w:w="749" w:type="pct"/>
                  <w:tcBorders>
                    <w:top w:val="nil"/>
                    <w:left w:val="nil"/>
                    <w:bottom w:val="single" w:sz="4" w:space="0" w:color="auto"/>
                    <w:right w:val="single" w:sz="4" w:space="0" w:color="auto"/>
                  </w:tcBorders>
                  <w:shd w:val="clear" w:color="auto" w:fill="auto"/>
                  <w:noWrap/>
                  <w:vAlign w:val="center"/>
                  <w:hideMark/>
                </w:tcPr>
                <w:p w14:paraId="5AA9EFF2" w14:textId="3653515A" w:rsidR="00C6293E" w:rsidRPr="00154E08" w:rsidRDefault="00554588" w:rsidP="00BD6ACC">
                  <w:pPr>
                    <w:spacing w:before="60" w:line="240" w:lineRule="auto"/>
                    <w:jc w:val="center"/>
                    <w:rPr>
                      <w:rFonts w:eastAsia="Calibri" w:cs="Times New Roman"/>
                      <w:i/>
                      <w:iCs/>
                      <w:color w:val="000000"/>
                      <w:sz w:val="16"/>
                      <w:szCs w:val="16"/>
                    </w:rPr>
                  </w:pPr>
                  <w:r w:rsidRPr="00154E08">
                    <w:rPr>
                      <w:rFonts w:eastAsia="Calibri" w:cs="Times New Roman"/>
                      <w:i/>
                      <w:iCs/>
                      <w:color w:val="000000"/>
                      <w:sz w:val="16"/>
                      <w:szCs w:val="16"/>
                    </w:rPr>
                    <w:t>-</w:t>
                  </w:r>
                </w:p>
              </w:tc>
              <w:tc>
                <w:tcPr>
                  <w:tcW w:w="420" w:type="pct"/>
                  <w:tcBorders>
                    <w:top w:val="nil"/>
                    <w:left w:val="nil"/>
                    <w:bottom w:val="single" w:sz="4" w:space="0" w:color="auto"/>
                    <w:right w:val="single" w:sz="4" w:space="0" w:color="auto"/>
                  </w:tcBorders>
                  <w:shd w:val="clear" w:color="auto" w:fill="auto"/>
                  <w:noWrap/>
                  <w:vAlign w:val="center"/>
                  <w:hideMark/>
                </w:tcPr>
                <w:p w14:paraId="4466EFDB" w14:textId="3564C8B5" w:rsidR="00C6293E" w:rsidRPr="00154E08" w:rsidRDefault="00C6293E" w:rsidP="00BD6ACC">
                  <w:pPr>
                    <w:spacing w:before="60" w:line="240" w:lineRule="auto"/>
                    <w:jc w:val="center"/>
                    <w:rPr>
                      <w:rFonts w:eastAsia="Calibri" w:cs="Times New Roman"/>
                      <w:i/>
                      <w:iCs/>
                      <w:color w:val="000000"/>
                      <w:sz w:val="16"/>
                      <w:szCs w:val="16"/>
                    </w:rPr>
                  </w:pPr>
                  <w:r w:rsidRPr="00154E08">
                    <w:rPr>
                      <w:rFonts w:eastAsia="Calibri" w:cs="Times New Roman"/>
                      <w:color w:val="000000"/>
                      <w:sz w:val="16"/>
                      <w:szCs w:val="16"/>
                    </w:rPr>
                    <w:t>-</w:t>
                  </w:r>
                  <w:r w:rsidR="00554588" w:rsidRPr="00154E08">
                    <w:rPr>
                      <w:rFonts w:eastAsia="Calibri" w:cs="Times New Roman"/>
                      <w:color w:val="000000"/>
                      <w:sz w:val="16"/>
                      <w:szCs w:val="16"/>
                    </w:rPr>
                    <w:t>0,50</w:t>
                  </w:r>
                  <w:r w:rsidR="0073782D" w:rsidRPr="00154E08">
                    <w:rPr>
                      <w:rFonts w:eastAsia="Calibri" w:cs="Times New Roman"/>
                      <w:color w:val="000000"/>
                      <w:sz w:val="16"/>
                      <w:szCs w:val="16"/>
                    </w:rPr>
                    <w:t>%</w:t>
                  </w:r>
                </w:p>
              </w:tc>
              <w:tc>
                <w:tcPr>
                  <w:tcW w:w="420" w:type="pct"/>
                  <w:tcBorders>
                    <w:top w:val="nil"/>
                    <w:left w:val="nil"/>
                    <w:bottom w:val="single" w:sz="4" w:space="0" w:color="auto"/>
                    <w:right w:val="single" w:sz="4" w:space="0" w:color="auto"/>
                  </w:tcBorders>
                  <w:shd w:val="clear" w:color="auto" w:fill="auto"/>
                  <w:noWrap/>
                  <w:vAlign w:val="center"/>
                  <w:hideMark/>
                </w:tcPr>
                <w:p w14:paraId="3C0C6F56" w14:textId="76748784" w:rsidR="00C6293E" w:rsidRPr="00154E08" w:rsidRDefault="0073782D" w:rsidP="00BD6ACC">
                  <w:pPr>
                    <w:spacing w:before="60" w:line="240" w:lineRule="auto"/>
                    <w:jc w:val="center"/>
                    <w:rPr>
                      <w:rFonts w:eastAsia="Calibri" w:cs="Times New Roman"/>
                      <w:i/>
                      <w:iCs/>
                      <w:color w:val="000000"/>
                      <w:sz w:val="16"/>
                      <w:szCs w:val="16"/>
                    </w:rPr>
                  </w:pPr>
                  <w:r w:rsidRPr="00154E08">
                    <w:rPr>
                      <w:rFonts w:eastAsia="Calibri" w:cs="Times New Roman"/>
                      <w:color w:val="000000"/>
                      <w:sz w:val="16"/>
                      <w:szCs w:val="16"/>
                    </w:rPr>
                    <w:t>0,71</w:t>
                  </w:r>
                  <w:r w:rsidR="00C6293E" w:rsidRPr="00154E08">
                    <w:rPr>
                      <w:rFonts w:eastAsia="Calibri" w:cs="Times New Roman"/>
                      <w:color w:val="000000"/>
                      <w:sz w:val="16"/>
                      <w:szCs w:val="16"/>
                    </w:rPr>
                    <w:t>%</w:t>
                  </w:r>
                </w:p>
              </w:tc>
              <w:tc>
                <w:tcPr>
                  <w:tcW w:w="423" w:type="pct"/>
                  <w:tcBorders>
                    <w:top w:val="nil"/>
                    <w:left w:val="nil"/>
                    <w:bottom w:val="single" w:sz="4" w:space="0" w:color="auto"/>
                    <w:right w:val="single" w:sz="4" w:space="0" w:color="auto"/>
                  </w:tcBorders>
                  <w:shd w:val="clear" w:color="auto" w:fill="auto"/>
                  <w:noWrap/>
                  <w:vAlign w:val="center"/>
                  <w:hideMark/>
                </w:tcPr>
                <w:p w14:paraId="44181AB9" w14:textId="1364B36B" w:rsidR="00C6293E" w:rsidRPr="00154E08" w:rsidRDefault="00C6293E" w:rsidP="00BD6ACC">
                  <w:pPr>
                    <w:spacing w:before="60" w:line="240" w:lineRule="auto"/>
                    <w:jc w:val="center"/>
                    <w:rPr>
                      <w:rFonts w:eastAsia="Calibri" w:cs="Times New Roman"/>
                      <w:i/>
                      <w:iCs/>
                      <w:color w:val="000000"/>
                      <w:sz w:val="16"/>
                      <w:szCs w:val="16"/>
                    </w:rPr>
                  </w:pPr>
                  <w:r w:rsidRPr="00154E08">
                    <w:rPr>
                      <w:rFonts w:eastAsia="Calibri" w:cs="Times New Roman"/>
                      <w:color w:val="000000"/>
                      <w:sz w:val="16"/>
                      <w:szCs w:val="16"/>
                    </w:rPr>
                    <w:t>0</w:t>
                  </w:r>
                  <w:r w:rsidR="0097572A" w:rsidRPr="00154E08">
                    <w:rPr>
                      <w:rFonts w:eastAsia="Calibri" w:cs="Times New Roman"/>
                      <w:color w:val="000000"/>
                      <w:sz w:val="16"/>
                      <w:szCs w:val="16"/>
                    </w:rPr>
                    <w:t>,1</w:t>
                  </w:r>
                  <w:r w:rsidRPr="00154E08">
                    <w:rPr>
                      <w:rFonts w:eastAsia="Calibri" w:cs="Times New Roman"/>
                      <w:color w:val="000000"/>
                      <w:sz w:val="16"/>
                      <w:szCs w:val="16"/>
                    </w:rPr>
                    <w:t>%</w:t>
                  </w:r>
                </w:p>
              </w:tc>
              <w:tc>
                <w:tcPr>
                  <w:tcW w:w="420" w:type="pct"/>
                  <w:tcBorders>
                    <w:top w:val="nil"/>
                    <w:left w:val="nil"/>
                    <w:bottom w:val="single" w:sz="4" w:space="0" w:color="auto"/>
                    <w:right w:val="single" w:sz="4" w:space="0" w:color="auto"/>
                  </w:tcBorders>
                  <w:shd w:val="clear" w:color="auto" w:fill="auto"/>
                  <w:noWrap/>
                  <w:vAlign w:val="center"/>
                  <w:hideMark/>
                </w:tcPr>
                <w:p w14:paraId="6BC5F4EF" w14:textId="77777777" w:rsidR="00C6293E" w:rsidRPr="00154E08" w:rsidRDefault="00C6293E" w:rsidP="00BD6ACC">
                  <w:pPr>
                    <w:spacing w:before="60" w:line="240" w:lineRule="auto"/>
                    <w:jc w:val="center"/>
                    <w:rPr>
                      <w:rFonts w:eastAsia="Calibri" w:cs="Times New Roman"/>
                      <w:i/>
                      <w:iCs/>
                      <w:color w:val="000000"/>
                      <w:sz w:val="16"/>
                      <w:szCs w:val="16"/>
                    </w:rPr>
                  </w:pPr>
                  <w:r w:rsidRPr="00154E08">
                    <w:rPr>
                      <w:rFonts w:eastAsia="Calibri" w:cs="Times New Roman"/>
                      <w:color w:val="000000"/>
                      <w:sz w:val="16"/>
                      <w:szCs w:val="16"/>
                    </w:rPr>
                    <w:t>-2,38%</w:t>
                  </w:r>
                </w:p>
              </w:tc>
              <w:tc>
                <w:tcPr>
                  <w:tcW w:w="420" w:type="pct"/>
                  <w:tcBorders>
                    <w:top w:val="nil"/>
                    <w:left w:val="nil"/>
                    <w:bottom w:val="single" w:sz="4" w:space="0" w:color="auto"/>
                    <w:right w:val="single" w:sz="4" w:space="0" w:color="auto"/>
                  </w:tcBorders>
                  <w:shd w:val="clear" w:color="auto" w:fill="auto"/>
                  <w:noWrap/>
                  <w:vAlign w:val="center"/>
                  <w:hideMark/>
                </w:tcPr>
                <w:p w14:paraId="24526AD7" w14:textId="1943DCD3" w:rsidR="00C6293E" w:rsidRPr="00154E08" w:rsidRDefault="00C6293E" w:rsidP="00BD6ACC">
                  <w:pPr>
                    <w:spacing w:before="60" w:line="240" w:lineRule="auto"/>
                    <w:jc w:val="center"/>
                    <w:rPr>
                      <w:rFonts w:eastAsia="Calibri" w:cs="Times New Roman"/>
                      <w:i/>
                      <w:iCs/>
                      <w:color w:val="000000"/>
                      <w:sz w:val="16"/>
                      <w:szCs w:val="16"/>
                    </w:rPr>
                  </w:pPr>
                  <w:r w:rsidRPr="00154E08">
                    <w:rPr>
                      <w:rFonts w:eastAsia="Calibri" w:cs="Times New Roman"/>
                      <w:color w:val="000000"/>
                      <w:sz w:val="16"/>
                      <w:szCs w:val="16"/>
                    </w:rPr>
                    <w:t>-</w:t>
                  </w:r>
                  <w:r w:rsidR="00B94EC3" w:rsidRPr="00154E08">
                    <w:rPr>
                      <w:rFonts w:eastAsia="Calibri" w:cs="Times New Roman"/>
                      <w:color w:val="000000"/>
                      <w:sz w:val="16"/>
                      <w:szCs w:val="16"/>
                    </w:rPr>
                    <w:t>2,96</w:t>
                  </w:r>
                  <w:r w:rsidRPr="00154E08">
                    <w:rPr>
                      <w:rFonts w:eastAsia="Calibri" w:cs="Times New Roman"/>
                      <w:color w:val="000000"/>
                      <w:sz w:val="16"/>
                      <w:szCs w:val="16"/>
                    </w:rPr>
                    <w:t>%</w:t>
                  </w:r>
                </w:p>
              </w:tc>
              <w:tc>
                <w:tcPr>
                  <w:tcW w:w="420" w:type="pct"/>
                  <w:tcBorders>
                    <w:top w:val="nil"/>
                    <w:left w:val="nil"/>
                    <w:bottom w:val="single" w:sz="4" w:space="0" w:color="auto"/>
                    <w:right w:val="single" w:sz="4" w:space="0" w:color="auto"/>
                  </w:tcBorders>
                  <w:shd w:val="clear" w:color="auto" w:fill="auto"/>
                  <w:noWrap/>
                  <w:vAlign w:val="center"/>
                  <w:hideMark/>
                </w:tcPr>
                <w:p w14:paraId="08D970E2" w14:textId="5B7B5308" w:rsidR="00C6293E" w:rsidRPr="00154E08" w:rsidRDefault="00C6293E" w:rsidP="00BD6ACC">
                  <w:pPr>
                    <w:spacing w:before="60" w:line="240" w:lineRule="auto"/>
                    <w:jc w:val="center"/>
                    <w:rPr>
                      <w:rFonts w:eastAsia="Calibri" w:cs="Times New Roman"/>
                      <w:i/>
                      <w:iCs/>
                      <w:color w:val="000000"/>
                      <w:sz w:val="16"/>
                      <w:szCs w:val="16"/>
                    </w:rPr>
                  </w:pPr>
                  <w:r w:rsidRPr="00154E08">
                    <w:rPr>
                      <w:rFonts w:eastAsia="Calibri" w:cs="Times New Roman"/>
                      <w:color w:val="000000"/>
                      <w:sz w:val="16"/>
                      <w:szCs w:val="16"/>
                    </w:rPr>
                    <w:t>-</w:t>
                  </w:r>
                  <w:r w:rsidR="00B94EC3" w:rsidRPr="00154E08">
                    <w:rPr>
                      <w:rFonts w:eastAsia="Calibri" w:cs="Times New Roman"/>
                      <w:color w:val="000000"/>
                      <w:sz w:val="16"/>
                      <w:szCs w:val="16"/>
                    </w:rPr>
                    <w:t>4,92</w:t>
                  </w:r>
                  <w:r w:rsidRPr="00154E08">
                    <w:rPr>
                      <w:rFonts w:eastAsia="Calibri" w:cs="Times New Roman"/>
                      <w:color w:val="000000"/>
                      <w:sz w:val="16"/>
                      <w:szCs w:val="16"/>
                    </w:rPr>
                    <w:t>%</w:t>
                  </w:r>
                </w:p>
              </w:tc>
              <w:tc>
                <w:tcPr>
                  <w:tcW w:w="594" w:type="pct"/>
                  <w:tcBorders>
                    <w:top w:val="nil"/>
                    <w:left w:val="nil"/>
                    <w:bottom w:val="single" w:sz="4" w:space="0" w:color="auto"/>
                    <w:right w:val="single" w:sz="4" w:space="0" w:color="auto"/>
                  </w:tcBorders>
                  <w:shd w:val="clear" w:color="000000" w:fill="D9E1F2"/>
                  <w:noWrap/>
                  <w:vAlign w:val="center"/>
                  <w:hideMark/>
                </w:tcPr>
                <w:p w14:paraId="18CC391D" w14:textId="252D4595" w:rsidR="00C6293E" w:rsidRPr="00154E08" w:rsidRDefault="00C6293E" w:rsidP="00BD6ACC">
                  <w:pPr>
                    <w:spacing w:before="60" w:line="240" w:lineRule="auto"/>
                    <w:jc w:val="center"/>
                    <w:rPr>
                      <w:rFonts w:eastAsia="Calibri" w:cs="Times New Roman"/>
                      <w:i/>
                      <w:iCs/>
                      <w:color w:val="000000"/>
                      <w:sz w:val="16"/>
                      <w:szCs w:val="16"/>
                    </w:rPr>
                  </w:pPr>
                  <w:r w:rsidRPr="00154E08">
                    <w:rPr>
                      <w:rFonts w:eastAsia="Calibri" w:cs="Times New Roman"/>
                      <w:color w:val="000000"/>
                      <w:sz w:val="16"/>
                      <w:szCs w:val="16"/>
                    </w:rPr>
                    <w:t>-</w:t>
                  </w:r>
                  <w:r w:rsidR="00B94EC3" w:rsidRPr="00154E08">
                    <w:rPr>
                      <w:rFonts w:eastAsia="Calibri" w:cs="Times New Roman"/>
                      <w:color w:val="000000"/>
                      <w:sz w:val="16"/>
                      <w:szCs w:val="16"/>
                    </w:rPr>
                    <w:t>6,86</w:t>
                  </w:r>
                  <w:r w:rsidRPr="00154E08">
                    <w:rPr>
                      <w:rFonts w:eastAsia="Calibri" w:cs="Times New Roman"/>
                      <w:color w:val="000000"/>
                      <w:sz w:val="16"/>
                      <w:szCs w:val="16"/>
                    </w:rPr>
                    <w:t>%</w:t>
                  </w:r>
                </w:p>
              </w:tc>
            </w:tr>
          </w:tbl>
          <w:p w14:paraId="35D3B5F9" w14:textId="16C0D39C" w:rsidR="003F19A5"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6"/>
                <w:szCs w:val="16"/>
              </w:rPr>
              <w:t>Źródło: Agencja Rynku Energii</w:t>
            </w:r>
            <w:r w:rsidRPr="00154E08">
              <w:rPr>
                <w:rFonts w:eastAsia="Calibri" w:cs="Times New Roman"/>
                <w:color w:val="000000"/>
                <w:sz w:val="22"/>
                <w:szCs w:val="22"/>
              </w:rPr>
              <w:t xml:space="preserve">. </w:t>
            </w:r>
          </w:p>
          <w:p w14:paraId="6DB2BC93" w14:textId="77777777" w:rsidR="00C6293E" w:rsidRPr="00154E08" w:rsidRDefault="00C6293E" w:rsidP="00C6293E">
            <w:pPr>
              <w:spacing w:before="60" w:line="240" w:lineRule="auto"/>
              <w:jc w:val="both"/>
              <w:rPr>
                <w:rFonts w:eastAsia="Calibri" w:cs="Times New Roman"/>
                <w:color w:val="000000"/>
                <w:sz w:val="18"/>
                <w:szCs w:val="18"/>
              </w:rPr>
            </w:pPr>
          </w:p>
          <w:p w14:paraId="7CF953D3" w14:textId="77777777" w:rsidR="00C6293E" w:rsidRPr="00154E08" w:rsidRDefault="00C6293E" w:rsidP="00C6293E">
            <w:pPr>
              <w:spacing w:before="60" w:line="240" w:lineRule="auto"/>
              <w:jc w:val="both"/>
              <w:rPr>
                <w:rFonts w:eastAsia="Calibri" w:cs="Times New Roman"/>
                <w:color w:val="000000"/>
                <w:szCs w:val="24"/>
              </w:rPr>
            </w:pPr>
            <w:r w:rsidRPr="00154E08">
              <w:rPr>
                <w:rFonts w:eastAsia="Calibri" w:cs="Times New Roman"/>
                <w:color w:val="000000"/>
                <w:szCs w:val="24"/>
              </w:rPr>
              <w:t xml:space="preserve"> </w:t>
            </w:r>
            <w:r w:rsidRPr="00154E08">
              <w:rPr>
                <w:rFonts w:eastAsia="Calibri" w:cs="Times New Roman"/>
                <w:color w:val="000000"/>
                <w:sz w:val="22"/>
                <w:szCs w:val="22"/>
              </w:rPr>
              <w:t>– poziom NCW możliwy do realizacji przez opłatę zastępczą w danym roku.</w:t>
            </w:r>
          </w:p>
          <w:p w14:paraId="3ACE9E10" w14:textId="2090BD2B" w:rsidR="00C6293E"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 xml:space="preserve">Tabela </w:t>
            </w:r>
            <w:r w:rsidR="004C796F" w:rsidRPr="00154E08">
              <w:rPr>
                <w:rFonts w:eastAsia="Calibri" w:cs="Times New Roman"/>
                <w:color w:val="000000"/>
                <w:sz w:val="18"/>
                <w:szCs w:val="18"/>
              </w:rPr>
              <w:t>9</w:t>
            </w:r>
            <w:r w:rsidRPr="00154E08">
              <w:rPr>
                <w:rFonts w:eastAsia="Calibri" w:cs="Times New Roman"/>
                <w:color w:val="000000"/>
                <w:sz w:val="18"/>
                <w:szCs w:val="18"/>
              </w:rPr>
              <w:t xml:space="preserve"> – Założenie dot. dopuszczalnej realizacji NCW w ramach opłaty zastępczej </w:t>
            </w:r>
          </w:p>
          <w:tbl>
            <w:tblPr>
              <w:tblW w:w="8411" w:type="dxa"/>
              <w:tblLayout w:type="fixed"/>
              <w:tblCellMar>
                <w:left w:w="70" w:type="dxa"/>
                <w:right w:w="70" w:type="dxa"/>
              </w:tblCellMar>
              <w:tblLook w:val="04A0" w:firstRow="1" w:lastRow="0" w:firstColumn="1" w:lastColumn="0" w:noHBand="0" w:noVBand="1"/>
            </w:tblPr>
            <w:tblGrid>
              <w:gridCol w:w="2412"/>
              <w:gridCol w:w="919"/>
              <w:gridCol w:w="695"/>
              <w:gridCol w:w="696"/>
              <w:gridCol w:w="701"/>
              <w:gridCol w:w="696"/>
              <w:gridCol w:w="696"/>
              <w:gridCol w:w="696"/>
              <w:gridCol w:w="900"/>
            </w:tblGrid>
            <w:tr w:rsidR="004C796F" w:rsidRPr="00154E08" w14:paraId="38F98744" w14:textId="77777777" w:rsidTr="004C796F">
              <w:trPr>
                <w:trHeight w:val="472"/>
              </w:trPr>
              <w:tc>
                <w:tcPr>
                  <w:tcW w:w="1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299E4" w14:textId="77777777" w:rsidR="00C6293E" w:rsidRPr="00154E08" w:rsidRDefault="00C6293E" w:rsidP="00C6293E">
                  <w:pPr>
                    <w:spacing w:before="60" w:line="240" w:lineRule="auto"/>
                    <w:jc w:val="both"/>
                    <w:rPr>
                      <w:rFonts w:eastAsia="Calibri" w:cs="Times New Roman"/>
                      <w:b/>
                      <w:bCs/>
                      <w:color w:val="000000"/>
                      <w:sz w:val="16"/>
                      <w:szCs w:val="16"/>
                    </w:rPr>
                  </w:pP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14:paraId="4A267DA5" w14:textId="77777777" w:rsidR="00C6293E" w:rsidRPr="00154E08" w:rsidRDefault="00C6293E" w:rsidP="00C6293E">
                  <w:pPr>
                    <w:spacing w:before="60" w:line="240" w:lineRule="auto"/>
                    <w:jc w:val="both"/>
                    <w:rPr>
                      <w:rFonts w:eastAsia="Calibri" w:cs="Times New Roman"/>
                      <w:b/>
                      <w:color w:val="000000"/>
                      <w:sz w:val="16"/>
                      <w:szCs w:val="16"/>
                    </w:rPr>
                  </w:pPr>
                  <w:r w:rsidRPr="00154E08">
                    <w:rPr>
                      <w:rFonts w:eastAsia="Calibri" w:cs="Times New Roman"/>
                      <w:b/>
                      <w:color w:val="000000"/>
                      <w:sz w:val="16"/>
                      <w:szCs w:val="16"/>
                    </w:rPr>
                    <w:t>2022</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41AEF729" w14:textId="77777777" w:rsidR="00C6293E" w:rsidRPr="00154E08" w:rsidRDefault="00C6293E" w:rsidP="00C6293E">
                  <w:pPr>
                    <w:spacing w:before="60" w:line="240" w:lineRule="auto"/>
                    <w:jc w:val="both"/>
                    <w:rPr>
                      <w:rFonts w:eastAsia="Calibri" w:cs="Times New Roman"/>
                      <w:b/>
                      <w:bCs/>
                      <w:color w:val="000000"/>
                      <w:sz w:val="16"/>
                      <w:szCs w:val="16"/>
                    </w:rPr>
                  </w:pPr>
                  <w:r w:rsidRPr="00154E08">
                    <w:rPr>
                      <w:rFonts w:eastAsia="Calibri" w:cs="Times New Roman"/>
                      <w:b/>
                      <w:bCs/>
                      <w:color w:val="000000"/>
                      <w:sz w:val="16"/>
                      <w:szCs w:val="16"/>
                    </w:rPr>
                    <w:t>2024</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704CC006" w14:textId="77777777" w:rsidR="00C6293E" w:rsidRPr="00154E08" w:rsidRDefault="00C6293E" w:rsidP="00C6293E">
                  <w:pPr>
                    <w:spacing w:before="60" w:line="240" w:lineRule="auto"/>
                    <w:jc w:val="both"/>
                    <w:rPr>
                      <w:rFonts w:eastAsia="Calibri" w:cs="Times New Roman"/>
                      <w:b/>
                      <w:bCs/>
                      <w:color w:val="000000"/>
                      <w:sz w:val="16"/>
                      <w:szCs w:val="16"/>
                    </w:rPr>
                  </w:pPr>
                  <w:r w:rsidRPr="00154E08">
                    <w:rPr>
                      <w:rFonts w:eastAsia="Calibri" w:cs="Times New Roman"/>
                      <w:b/>
                      <w:bCs/>
                      <w:color w:val="000000"/>
                      <w:sz w:val="16"/>
                      <w:szCs w:val="16"/>
                    </w:rPr>
                    <w:t>2025</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14:paraId="4B6FA81B" w14:textId="77777777" w:rsidR="00C6293E" w:rsidRPr="00154E08" w:rsidRDefault="00C6293E" w:rsidP="00C6293E">
                  <w:pPr>
                    <w:spacing w:before="60" w:line="240" w:lineRule="auto"/>
                    <w:jc w:val="both"/>
                    <w:rPr>
                      <w:rFonts w:eastAsia="Calibri" w:cs="Times New Roman"/>
                      <w:b/>
                      <w:bCs/>
                      <w:color w:val="000000"/>
                      <w:sz w:val="16"/>
                      <w:szCs w:val="16"/>
                    </w:rPr>
                  </w:pPr>
                  <w:r w:rsidRPr="00154E08">
                    <w:rPr>
                      <w:rFonts w:eastAsia="Calibri" w:cs="Times New Roman"/>
                      <w:b/>
                      <w:bCs/>
                      <w:color w:val="000000"/>
                      <w:sz w:val="16"/>
                      <w:szCs w:val="16"/>
                    </w:rPr>
                    <w:t>2026</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1590EC74" w14:textId="77777777" w:rsidR="00C6293E" w:rsidRPr="00154E08" w:rsidRDefault="00C6293E" w:rsidP="00C6293E">
                  <w:pPr>
                    <w:spacing w:before="60" w:line="240" w:lineRule="auto"/>
                    <w:jc w:val="both"/>
                    <w:rPr>
                      <w:rFonts w:eastAsia="Calibri" w:cs="Times New Roman"/>
                      <w:b/>
                      <w:bCs/>
                      <w:color w:val="000000"/>
                      <w:sz w:val="16"/>
                      <w:szCs w:val="16"/>
                    </w:rPr>
                  </w:pPr>
                  <w:r w:rsidRPr="00154E08">
                    <w:rPr>
                      <w:rFonts w:eastAsia="Calibri" w:cs="Times New Roman"/>
                      <w:b/>
                      <w:bCs/>
                      <w:color w:val="000000"/>
                      <w:sz w:val="16"/>
                      <w:szCs w:val="16"/>
                    </w:rPr>
                    <w:t>2027</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73CBCD0B" w14:textId="77777777" w:rsidR="00C6293E" w:rsidRPr="00154E08" w:rsidRDefault="00C6293E" w:rsidP="00C6293E">
                  <w:pPr>
                    <w:spacing w:before="60" w:line="240" w:lineRule="auto"/>
                    <w:jc w:val="both"/>
                    <w:rPr>
                      <w:rFonts w:eastAsia="Calibri" w:cs="Times New Roman"/>
                      <w:b/>
                      <w:bCs/>
                      <w:color w:val="000000"/>
                      <w:sz w:val="16"/>
                      <w:szCs w:val="16"/>
                    </w:rPr>
                  </w:pPr>
                  <w:r w:rsidRPr="00154E08">
                    <w:rPr>
                      <w:rFonts w:eastAsia="Calibri" w:cs="Times New Roman"/>
                      <w:b/>
                      <w:bCs/>
                      <w:color w:val="000000"/>
                      <w:sz w:val="16"/>
                      <w:szCs w:val="16"/>
                    </w:rPr>
                    <w:t>2028</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6C8613F5" w14:textId="77777777" w:rsidR="00C6293E" w:rsidRPr="00154E08" w:rsidRDefault="00C6293E" w:rsidP="00C6293E">
                  <w:pPr>
                    <w:spacing w:before="60" w:line="240" w:lineRule="auto"/>
                    <w:jc w:val="both"/>
                    <w:rPr>
                      <w:rFonts w:eastAsia="Calibri" w:cs="Times New Roman"/>
                      <w:b/>
                      <w:bCs/>
                      <w:color w:val="000000"/>
                      <w:sz w:val="16"/>
                      <w:szCs w:val="16"/>
                    </w:rPr>
                  </w:pPr>
                  <w:r w:rsidRPr="00154E08">
                    <w:rPr>
                      <w:rFonts w:eastAsia="Calibri" w:cs="Times New Roman"/>
                      <w:b/>
                      <w:bCs/>
                      <w:color w:val="000000"/>
                      <w:sz w:val="16"/>
                      <w:szCs w:val="16"/>
                    </w:rPr>
                    <w:t>2029</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14:paraId="6EB88CAC" w14:textId="77777777" w:rsidR="00C6293E" w:rsidRPr="00154E08" w:rsidRDefault="00C6293E" w:rsidP="00C6293E">
                  <w:pPr>
                    <w:spacing w:before="60" w:line="240" w:lineRule="auto"/>
                    <w:jc w:val="both"/>
                    <w:rPr>
                      <w:rFonts w:eastAsia="Calibri" w:cs="Times New Roman"/>
                      <w:b/>
                      <w:bCs/>
                      <w:color w:val="000000"/>
                      <w:sz w:val="16"/>
                      <w:szCs w:val="16"/>
                    </w:rPr>
                  </w:pPr>
                  <w:r w:rsidRPr="00154E08">
                    <w:rPr>
                      <w:rFonts w:eastAsia="Calibri" w:cs="Times New Roman"/>
                      <w:b/>
                      <w:bCs/>
                      <w:color w:val="000000"/>
                      <w:sz w:val="16"/>
                      <w:szCs w:val="16"/>
                    </w:rPr>
                    <w:t xml:space="preserve">&gt;2030 </w:t>
                  </w:r>
                </w:p>
              </w:tc>
            </w:tr>
            <w:tr w:rsidR="004C796F" w:rsidRPr="00154E08" w14:paraId="3166A141" w14:textId="77777777" w:rsidTr="004C796F">
              <w:trPr>
                <w:trHeight w:val="472"/>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14:paraId="57C6FB04" w14:textId="77777777" w:rsidR="00C6293E" w:rsidRPr="00154E08" w:rsidRDefault="00C6293E" w:rsidP="00C6293E">
                  <w:pPr>
                    <w:spacing w:before="60" w:line="240" w:lineRule="auto"/>
                    <w:jc w:val="both"/>
                    <w:rPr>
                      <w:rFonts w:eastAsia="Calibri" w:cs="Times New Roman"/>
                      <w:color w:val="000000"/>
                      <w:sz w:val="16"/>
                      <w:szCs w:val="16"/>
                    </w:rPr>
                  </w:pPr>
                  <w:r w:rsidRPr="00154E08">
                    <w:rPr>
                      <w:rFonts w:eastAsia="Calibri" w:cs="Times New Roman"/>
                      <w:color w:val="000000"/>
                      <w:sz w:val="16"/>
                      <w:szCs w:val="16"/>
                    </w:rPr>
                    <w:t>% NCW możliwy do realizacji za pomocą opłaty zastępczej</w:t>
                  </w:r>
                </w:p>
              </w:tc>
              <w:tc>
                <w:tcPr>
                  <w:tcW w:w="546" w:type="pct"/>
                  <w:tcBorders>
                    <w:top w:val="nil"/>
                    <w:left w:val="nil"/>
                    <w:bottom w:val="single" w:sz="4" w:space="0" w:color="auto"/>
                    <w:right w:val="single" w:sz="4" w:space="0" w:color="auto"/>
                  </w:tcBorders>
                  <w:shd w:val="clear" w:color="auto" w:fill="auto"/>
                  <w:noWrap/>
                  <w:vAlign w:val="center"/>
                  <w:hideMark/>
                </w:tcPr>
                <w:p w14:paraId="0798B4F4" w14:textId="77777777" w:rsidR="00C6293E" w:rsidRPr="00154E08" w:rsidRDefault="00C6293E" w:rsidP="00C6293E">
                  <w:pPr>
                    <w:spacing w:before="60" w:line="240" w:lineRule="auto"/>
                    <w:jc w:val="both"/>
                    <w:rPr>
                      <w:rFonts w:eastAsia="Calibri" w:cs="Times New Roman"/>
                      <w:color w:val="000000"/>
                      <w:sz w:val="16"/>
                      <w:szCs w:val="16"/>
                    </w:rPr>
                  </w:pPr>
                  <w:r w:rsidRPr="00154E08">
                    <w:rPr>
                      <w:rFonts w:eastAsia="Calibri" w:cs="Times New Roman"/>
                      <w:color w:val="000000"/>
                      <w:sz w:val="16"/>
                      <w:szCs w:val="16"/>
                    </w:rPr>
                    <w:t>20%</w:t>
                  </w:r>
                </w:p>
              </w:tc>
              <w:tc>
                <w:tcPr>
                  <w:tcW w:w="413" w:type="pct"/>
                  <w:tcBorders>
                    <w:top w:val="nil"/>
                    <w:left w:val="nil"/>
                    <w:bottom w:val="single" w:sz="4" w:space="0" w:color="auto"/>
                    <w:right w:val="single" w:sz="4" w:space="0" w:color="auto"/>
                  </w:tcBorders>
                  <w:shd w:val="clear" w:color="auto" w:fill="auto"/>
                  <w:noWrap/>
                  <w:vAlign w:val="center"/>
                  <w:hideMark/>
                </w:tcPr>
                <w:p w14:paraId="0862A8B8" w14:textId="77777777" w:rsidR="00C6293E" w:rsidRPr="00154E08" w:rsidRDefault="00C6293E" w:rsidP="00C6293E">
                  <w:pPr>
                    <w:spacing w:before="60" w:line="240" w:lineRule="auto"/>
                    <w:jc w:val="both"/>
                    <w:rPr>
                      <w:rFonts w:eastAsia="Calibri" w:cs="Times New Roman"/>
                      <w:color w:val="000000"/>
                      <w:sz w:val="16"/>
                      <w:szCs w:val="16"/>
                    </w:rPr>
                  </w:pPr>
                  <w:r w:rsidRPr="00154E08">
                    <w:rPr>
                      <w:rFonts w:eastAsia="Calibri" w:cs="Times New Roman"/>
                      <w:color w:val="000000"/>
                      <w:sz w:val="16"/>
                      <w:szCs w:val="16"/>
                    </w:rPr>
                    <w:t>15%</w:t>
                  </w:r>
                </w:p>
              </w:tc>
              <w:tc>
                <w:tcPr>
                  <w:tcW w:w="414" w:type="pct"/>
                  <w:tcBorders>
                    <w:top w:val="nil"/>
                    <w:left w:val="nil"/>
                    <w:bottom w:val="single" w:sz="4" w:space="0" w:color="auto"/>
                    <w:right w:val="single" w:sz="4" w:space="0" w:color="auto"/>
                  </w:tcBorders>
                  <w:shd w:val="clear" w:color="auto" w:fill="auto"/>
                  <w:noWrap/>
                  <w:vAlign w:val="center"/>
                  <w:hideMark/>
                </w:tcPr>
                <w:p w14:paraId="4BEF5789" w14:textId="77777777" w:rsidR="00C6293E" w:rsidRPr="00154E08" w:rsidRDefault="00C6293E" w:rsidP="00C6293E">
                  <w:pPr>
                    <w:spacing w:before="60" w:line="240" w:lineRule="auto"/>
                    <w:jc w:val="both"/>
                    <w:rPr>
                      <w:rFonts w:eastAsia="Calibri" w:cs="Times New Roman"/>
                      <w:color w:val="000000"/>
                      <w:sz w:val="16"/>
                      <w:szCs w:val="16"/>
                    </w:rPr>
                  </w:pPr>
                  <w:r w:rsidRPr="00154E08">
                    <w:rPr>
                      <w:rFonts w:eastAsia="Calibri" w:cs="Times New Roman"/>
                      <w:color w:val="000000"/>
                      <w:sz w:val="16"/>
                      <w:szCs w:val="16"/>
                    </w:rPr>
                    <w:t>15%</w:t>
                  </w:r>
                </w:p>
              </w:tc>
              <w:tc>
                <w:tcPr>
                  <w:tcW w:w="417" w:type="pct"/>
                  <w:tcBorders>
                    <w:top w:val="nil"/>
                    <w:left w:val="nil"/>
                    <w:bottom w:val="single" w:sz="4" w:space="0" w:color="auto"/>
                    <w:right w:val="single" w:sz="4" w:space="0" w:color="auto"/>
                  </w:tcBorders>
                  <w:shd w:val="clear" w:color="auto" w:fill="auto"/>
                  <w:noWrap/>
                  <w:vAlign w:val="center"/>
                  <w:hideMark/>
                </w:tcPr>
                <w:p w14:paraId="37FE018E" w14:textId="77777777" w:rsidR="00C6293E" w:rsidRPr="00154E08" w:rsidRDefault="00C6293E" w:rsidP="00C6293E">
                  <w:pPr>
                    <w:spacing w:before="60" w:line="240" w:lineRule="auto"/>
                    <w:jc w:val="both"/>
                    <w:rPr>
                      <w:rFonts w:eastAsia="Calibri" w:cs="Times New Roman"/>
                      <w:color w:val="000000"/>
                      <w:sz w:val="16"/>
                      <w:szCs w:val="16"/>
                    </w:rPr>
                  </w:pPr>
                  <w:r w:rsidRPr="00154E08">
                    <w:rPr>
                      <w:rFonts w:eastAsia="Calibri" w:cs="Times New Roman"/>
                      <w:color w:val="000000"/>
                      <w:sz w:val="16"/>
                      <w:szCs w:val="16"/>
                    </w:rPr>
                    <w:t>12%</w:t>
                  </w:r>
                </w:p>
              </w:tc>
              <w:tc>
                <w:tcPr>
                  <w:tcW w:w="414" w:type="pct"/>
                  <w:tcBorders>
                    <w:top w:val="nil"/>
                    <w:left w:val="nil"/>
                    <w:bottom w:val="single" w:sz="4" w:space="0" w:color="auto"/>
                    <w:right w:val="single" w:sz="4" w:space="0" w:color="auto"/>
                  </w:tcBorders>
                  <w:shd w:val="clear" w:color="auto" w:fill="auto"/>
                  <w:noWrap/>
                  <w:vAlign w:val="center"/>
                  <w:hideMark/>
                </w:tcPr>
                <w:p w14:paraId="268E75CF" w14:textId="77777777" w:rsidR="00C6293E" w:rsidRPr="00154E08" w:rsidRDefault="00C6293E" w:rsidP="00C6293E">
                  <w:pPr>
                    <w:spacing w:before="60" w:line="240" w:lineRule="auto"/>
                    <w:jc w:val="both"/>
                    <w:rPr>
                      <w:rFonts w:eastAsia="Calibri" w:cs="Times New Roman"/>
                      <w:color w:val="000000"/>
                      <w:sz w:val="16"/>
                      <w:szCs w:val="16"/>
                    </w:rPr>
                  </w:pPr>
                  <w:r w:rsidRPr="00154E08">
                    <w:rPr>
                      <w:rFonts w:eastAsia="Calibri" w:cs="Times New Roman"/>
                      <w:color w:val="000000"/>
                      <w:sz w:val="16"/>
                      <w:szCs w:val="16"/>
                    </w:rPr>
                    <w:t>10%</w:t>
                  </w:r>
                </w:p>
              </w:tc>
              <w:tc>
                <w:tcPr>
                  <w:tcW w:w="414" w:type="pct"/>
                  <w:tcBorders>
                    <w:top w:val="nil"/>
                    <w:left w:val="nil"/>
                    <w:bottom w:val="single" w:sz="4" w:space="0" w:color="auto"/>
                    <w:right w:val="single" w:sz="4" w:space="0" w:color="auto"/>
                  </w:tcBorders>
                  <w:shd w:val="clear" w:color="auto" w:fill="auto"/>
                  <w:noWrap/>
                  <w:vAlign w:val="center"/>
                  <w:hideMark/>
                </w:tcPr>
                <w:p w14:paraId="424A5C24" w14:textId="77777777" w:rsidR="00C6293E" w:rsidRPr="00154E08" w:rsidRDefault="00C6293E" w:rsidP="00C6293E">
                  <w:pPr>
                    <w:spacing w:before="60" w:line="240" w:lineRule="auto"/>
                    <w:jc w:val="both"/>
                    <w:rPr>
                      <w:rFonts w:eastAsia="Calibri" w:cs="Times New Roman"/>
                      <w:color w:val="000000"/>
                      <w:sz w:val="16"/>
                      <w:szCs w:val="16"/>
                    </w:rPr>
                  </w:pPr>
                  <w:r w:rsidRPr="00154E08">
                    <w:rPr>
                      <w:rFonts w:eastAsia="Calibri" w:cs="Times New Roman"/>
                      <w:color w:val="000000"/>
                      <w:sz w:val="16"/>
                      <w:szCs w:val="16"/>
                    </w:rPr>
                    <w:t>8%</w:t>
                  </w:r>
                </w:p>
              </w:tc>
              <w:tc>
                <w:tcPr>
                  <w:tcW w:w="414" w:type="pct"/>
                  <w:tcBorders>
                    <w:top w:val="nil"/>
                    <w:left w:val="nil"/>
                    <w:bottom w:val="single" w:sz="4" w:space="0" w:color="auto"/>
                    <w:right w:val="single" w:sz="4" w:space="0" w:color="auto"/>
                  </w:tcBorders>
                  <w:shd w:val="clear" w:color="auto" w:fill="auto"/>
                  <w:noWrap/>
                  <w:vAlign w:val="center"/>
                  <w:hideMark/>
                </w:tcPr>
                <w:p w14:paraId="39BDB808" w14:textId="77777777" w:rsidR="00C6293E" w:rsidRPr="00154E08" w:rsidRDefault="00C6293E" w:rsidP="00C6293E">
                  <w:pPr>
                    <w:spacing w:before="60" w:line="240" w:lineRule="auto"/>
                    <w:jc w:val="both"/>
                    <w:rPr>
                      <w:rFonts w:eastAsia="Calibri" w:cs="Times New Roman"/>
                      <w:color w:val="000000"/>
                      <w:sz w:val="16"/>
                      <w:szCs w:val="16"/>
                    </w:rPr>
                  </w:pPr>
                  <w:r w:rsidRPr="00154E08">
                    <w:rPr>
                      <w:rFonts w:eastAsia="Calibri" w:cs="Times New Roman"/>
                      <w:color w:val="000000"/>
                      <w:sz w:val="16"/>
                      <w:szCs w:val="16"/>
                    </w:rPr>
                    <w:t>5%</w:t>
                  </w:r>
                </w:p>
              </w:tc>
              <w:tc>
                <w:tcPr>
                  <w:tcW w:w="536" w:type="pct"/>
                  <w:tcBorders>
                    <w:top w:val="nil"/>
                    <w:left w:val="nil"/>
                    <w:bottom w:val="single" w:sz="4" w:space="0" w:color="auto"/>
                    <w:right w:val="single" w:sz="4" w:space="0" w:color="auto"/>
                  </w:tcBorders>
                  <w:shd w:val="clear" w:color="000000" w:fill="D9E1F2"/>
                  <w:noWrap/>
                  <w:vAlign w:val="center"/>
                  <w:hideMark/>
                </w:tcPr>
                <w:p w14:paraId="3E49D469" w14:textId="77777777" w:rsidR="00C6293E" w:rsidRPr="00154E08" w:rsidRDefault="00C6293E" w:rsidP="00C6293E">
                  <w:pPr>
                    <w:spacing w:before="60" w:line="240" w:lineRule="auto"/>
                    <w:jc w:val="both"/>
                    <w:rPr>
                      <w:rFonts w:eastAsia="Calibri" w:cs="Times New Roman"/>
                      <w:color w:val="000000"/>
                      <w:sz w:val="16"/>
                      <w:szCs w:val="16"/>
                    </w:rPr>
                  </w:pPr>
                  <w:r w:rsidRPr="00154E08">
                    <w:rPr>
                      <w:rFonts w:eastAsia="Calibri" w:cs="Times New Roman"/>
                      <w:color w:val="000000"/>
                      <w:sz w:val="16"/>
                      <w:szCs w:val="16"/>
                    </w:rPr>
                    <w:t>0%</w:t>
                  </w:r>
                </w:p>
              </w:tc>
            </w:tr>
          </w:tbl>
          <w:p w14:paraId="4944FDAD" w14:textId="6BB5EA92" w:rsidR="00C6293E" w:rsidRPr="00154E08" w:rsidRDefault="00C6293E" w:rsidP="00C6293E">
            <w:pPr>
              <w:spacing w:before="60" w:line="240" w:lineRule="auto"/>
              <w:jc w:val="both"/>
              <w:rPr>
                <w:rFonts w:eastAsia="Calibri" w:cs="Times New Roman"/>
                <w:color w:val="000000"/>
                <w:szCs w:val="24"/>
              </w:rPr>
            </w:pPr>
            <w:r w:rsidRPr="00154E08">
              <w:rPr>
                <w:rFonts w:eastAsia="Calibri" w:cs="Times New Roman"/>
                <w:color w:val="000000"/>
                <w:szCs w:val="24"/>
              </w:rPr>
              <w:t xml:space="preserve"> </w:t>
            </w:r>
            <w:r w:rsidRPr="00154E08">
              <w:rPr>
                <w:rFonts w:eastAsia="Calibri" w:cs="Times New Roman"/>
                <w:color w:val="000000"/>
                <w:sz w:val="18"/>
                <w:szCs w:val="18"/>
              </w:rPr>
              <w:t xml:space="preserve">Źródło: </w:t>
            </w:r>
            <w:r w:rsidR="00F64B5F" w:rsidRPr="00154E08">
              <w:rPr>
                <w:rFonts w:eastAsia="Calibri" w:cs="Times New Roman"/>
                <w:color w:val="000000"/>
                <w:sz w:val="18"/>
                <w:szCs w:val="18"/>
              </w:rPr>
              <w:t xml:space="preserve">opracowanie własne </w:t>
            </w:r>
            <w:proofErr w:type="spellStart"/>
            <w:r w:rsidR="00F64B5F" w:rsidRPr="00154E08">
              <w:rPr>
                <w:rFonts w:eastAsia="Calibri" w:cs="Times New Roman"/>
                <w:color w:val="000000"/>
                <w:sz w:val="18"/>
                <w:szCs w:val="18"/>
              </w:rPr>
              <w:t>MKiŚ</w:t>
            </w:r>
            <w:proofErr w:type="spellEnd"/>
            <w:r w:rsidRPr="00154E08">
              <w:rPr>
                <w:rFonts w:eastAsia="Calibri" w:cs="Times New Roman"/>
                <w:color w:val="000000"/>
                <w:sz w:val="18"/>
                <w:szCs w:val="18"/>
              </w:rPr>
              <w:t xml:space="preserve">. </w:t>
            </w:r>
          </w:p>
          <w:p w14:paraId="46495367" w14:textId="77777777" w:rsidR="004C796F" w:rsidRPr="00154E08" w:rsidRDefault="004C796F" w:rsidP="00C6293E">
            <w:pPr>
              <w:spacing w:before="60" w:line="240" w:lineRule="auto"/>
              <w:jc w:val="both"/>
              <w:rPr>
                <w:rFonts w:eastAsia="Calibri" w:cs="Times New Roman"/>
                <w:color w:val="000000"/>
                <w:szCs w:val="24"/>
              </w:rPr>
            </w:pPr>
          </w:p>
          <w:p w14:paraId="76C49F20" w14:textId="54D31947" w:rsidR="00C6293E" w:rsidRPr="00154E08" w:rsidRDefault="00C6293E" w:rsidP="00C6293E">
            <w:pPr>
              <w:spacing w:before="60" w:line="240" w:lineRule="auto"/>
              <w:jc w:val="both"/>
              <w:rPr>
                <w:rFonts w:eastAsia="Calibri" w:cs="Times New Roman"/>
                <w:color w:val="000000"/>
                <w:sz w:val="22"/>
                <w:szCs w:val="22"/>
              </w:rPr>
            </w:pPr>
            <w:r w:rsidRPr="00154E08">
              <w:rPr>
                <w:rFonts w:eastAsia="Calibri" w:cs="Times New Roman"/>
                <w:color w:val="000000"/>
                <w:sz w:val="22"/>
                <w:szCs w:val="22"/>
              </w:rPr>
              <w:t xml:space="preserve">– poziom referencyjny opłaty zastępczej przyjęto dla roku </w:t>
            </w:r>
            <w:r w:rsidR="00B94EC3" w:rsidRPr="00154E08">
              <w:rPr>
                <w:rFonts w:eastAsia="Calibri" w:cs="Times New Roman"/>
                <w:color w:val="000000"/>
                <w:sz w:val="22"/>
                <w:szCs w:val="22"/>
              </w:rPr>
              <w:t>2023</w:t>
            </w:r>
            <w:r w:rsidRPr="00154E08">
              <w:rPr>
                <w:rFonts w:eastAsia="Calibri" w:cs="Times New Roman"/>
                <w:color w:val="000000"/>
                <w:sz w:val="22"/>
                <w:szCs w:val="22"/>
              </w:rPr>
              <w:t xml:space="preserve">. </w:t>
            </w:r>
          </w:p>
          <w:p w14:paraId="3BEADACA" w14:textId="77777777" w:rsidR="004A585C" w:rsidRPr="00154E08" w:rsidRDefault="004A585C" w:rsidP="00B279FD">
            <w:pPr>
              <w:spacing w:after="120" w:line="240" w:lineRule="auto"/>
              <w:jc w:val="both"/>
              <w:rPr>
                <w:rFonts w:eastAsia="Calibri" w:cs="Times New Roman"/>
                <w:color w:val="000000"/>
                <w:sz w:val="22"/>
                <w:szCs w:val="22"/>
              </w:rPr>
            </w:pPr>
          </w:p>
          <w:p w14:paraId="1D7E044D" w14:textId="36F6FA3E" w:rsidR="00C6293E" w:rsidRPr="00154E08" w:rsidRDefault="00C6293E" w:rsidP="00B279FD">
            <w:pPr>
              <w:spacing w:after="120" w:line="240" w:lineRule="auto"/>
              <w:jc w:val="both"/>
              <w:rPr>
                <w:rFonts w:eastAsia="Calibri" w:cs="Times New Roman"/>
                <w:color w:val="000000"/>
                <w:sz w:val="22"/>
                <w:szCs w:val="22"/>
              </w:rPr>
            </w:pPr>
            <w:r w:rsidRPr="00154E08">
              <w:rPr>
                <w:rFonts w:eastAsia="Calibri" w:cs="Times New Roman"/>
                <w:color w:val="000000"/>
                <w:sz w:val="22"/>
                <w:szCs w:val="22"/>
              </w:rPr>
              <w:t xml:space="preserve">Wysokość prognozowaną wpływów z tytułu opłaty zastępczej obliczono na podstawie wzoru wyprowadzonego ze wzoru na obliczenie opłaty zastępczej zawartego w art. 23 ust. 6 ustawy z dnia 25 sierpnia 2006 r. o biokomponentach i biopaliwach ciekłych: </w:t>
            </w:r>
          </w:p>
          <w:p w14:paraId="3D06EA99" w14:textId="3CF4CC9D" w:rsidR="00C6293E" w:rsidRPr="00154E08" w:rsidRDefault="00C6293E" w:rsidP="00B279FD">
            <w:pPr>
              <w:spacing w:after="120" w:line="240" w:lineRule="auto"/>
              <w:jc w:val="both"/>
              <w:rPr>
                <w:rFonts w:eastAsia="Calibri" w:cs="Times New Roman"/>
                <w:color w:val="000000"/>
                <w:sz w:val="22"/>
                <w:szCs w:val="22"/>
              </w:rPr>
            </w:pPr>
            <w:r w:rsidRPr="00154E08">
              <w:rPr>
                <w:rFonts w:eastAsia="Calibri" w:cs="Times New Roman"/>
                <w:color w:val="000000"/>
                <w:sz w:val="22"/>
                <w:szCs w:val="22"/>
              </w:rPr>
              <w:t>Opłata zastępcza = jednostkowa opłata zastępcza 0,014 zł/MJ x wartość energetyczna zużytych paliw (benzyny silnikowe + olej napędowy) x NCW możliwy do realizacji za pomocą opłaty zastępczej.</w:t>
            </w:r>
          </w:p>
          <w:p w14:paraId="633A75DE" w14:textId="165A7A54" w:rsidR="00C6293E" w:rsidRPr="00154E08" w:rsidRDefault="00C6293E" w:rsidP="00B279FD">
            <w:pPr>
              <w:spacing w:after="120" w:line="240" w:lineRule="auto"/>
              <w:jc w:val="both"/>
              <w:rPr>
                <w:rFonts w:eastAsia="Calibri" w:cs="Times New Roman"/>
                <w:color w:val="000000"/>
                <w:szCs w:val="24"/>
              </w:rPr>
            </w:pPr>
            <w:r w:rsidRPr="00154E08">
              <w:rPr>
                <w:rFonts w:eastAsia="Calibri" w:cs="Times New Roman"/>
                <w:color w:val="000000"/>
                <w:sz w:val="22"/>
                <w:szCs w:val="22"/>
              </w:rPr>
              <w:t xml:space="preserve">Jako punkt odniesienia w obliczeniu zmian wynikających z projektu ustawy wybrano wpływy NFOŚiGW z tytułu opłaty zastępczej w </w:t>
            </w:r>
            <w:r w:rsidR="00B94EC3" w:rsidRPr="00154E08">
              <w:rPr>
                <w:rFonts w:eastAsia="Calibri" w:cs="Times New Roman"/>
                <w:color w:val="000000"/>
                <w:sz w:val="22"/>
                <w:szCs w:val="22"/>
              </w:rPr>
              <w:t xml:space="preserve">2023 </w:t>
            </w:r>
            <w:r w:rsidRPr="00154E08">
              <w:rPr>
                <w:rFonts w:eastAsia="Calibri" w:cs="Times New Roman"/>
                <w:color w:val="000000"/>
                <w:sz w:val="22"/>
                <w:szCs w:val="22"/>
              </w:rPr>
              <w:t xml:space="preserve">r. tj. </w:t>
            </w:r>
            <w:r w:rsidR="00B94EC3" w:rsidRPr="00154E08">
              <w:rPr>
                <w:rFonts w:eastAsia="Calibri" w:cs="Times New Roman"/>
                <w:color w:val="000000"/>
                <w:sz w:val="22"/>
                <w:szCs w:val="22"/>
              </w:rPr>
              <w:t>173,30</w:t>
            </w:r>
            <w:r w:rsidRPr="00154E08">
              <w:rPr>
                <w:rFonts w:eastAsia="Calibri" w:cs="Times New Roman"/>
                <w:color w:val="000000"/>
                <w:sz w:val="22"/>
                <w:szCs w:val="22"/>
              </w:rPr>
              <w:t xml:space="preserve"> mln zł. Przedstawiona w pkt 6 OSR zmiana poziomu wpływów z tytułu opłaty zastępczej jest różnicą między wysokością wpływów w </w:t>
            </w:r>
            <w:r w:rsidR="00B94EC3" w:rsidRPr="00154E08">
              <w:rPr>
                <w:rFonts w:eastAsia="Calibri" w:cs="Times New Roman"/>
                <w:color w:val="000000"/>
                <w:sz w:val="22"/>
                <w:szCs w:val="22"/>
              </w:rPr>
              <w:t xml:space="preserve">2023 </w:t>
            </w:r>
            <w:r w:rsidRPr="00154E08">
              <w:rPr>
                <w:rFonts w:eastAsia="Calibri" w:cs="Times New Roman"/>
                <w:color w:val="000000"/>
                <w:sz w:val="22"/>
                <w:szCs w:val="22"/>
              </w:rPr>
              <w:t xml:space="preserve">r. i prognozowaną wysokością wpływów w kolejnych latach, wyliczoną na podstawie ww. zmiennych. </w:t>
            </w:r>
            <w:r w:rsidRPr="00154E08">
              <w:rPr>
                <w:rFonts w:eastAsia="Calibri" w:cs="Times New Roman"/>
                <w:color w:val="000000"/>
                <w:szCs w:val="24"/>
              </w:rPr>
              <w:tab/>
            </w:r>
          </w:p>
          <w:p w14:paraId="54C8B91D" w14:textId="2813B372" w:rsidR="00C6293E"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 xml:space="preserve">Tabela </w:t>
            </w:r>
            <w:r w:rsidR="00D44C12" w:rsidRPr="00154E08">
              <w:rPr>
                <w:rFonts w:eastAsia="Calibri" w:cs="Times New Roman"/>
                <w:color w:val="000000"/>
                <w:sz w:val="18"/>
                <w:szCs w:val="18"/>
              </w:rPr>
              <w:t xml:space="preserve">10 </w:t>
            </w:r>
            <w:r w:rsidRPr="00154E08">
              <w:rPr>
                <w:rFonts w:eastAsia="Calibri" w:cs="Times New Roman"/>
                <w:color w:val="000000"/>
                <w:sz w:val="18"/>
                <w:szCs w:val="18"/>
              </w:rPr>
              <w:t>– Prognoza wpływów z opłaty zastępczej</w:t>
            </w:r>
          </w:p>
          <w:tbl>
            <w:tblPr>
              <w:tblW w:w="8494" w:type="dxa"/>
              <w:tblLayout w:type="fixed"/>
              <w:tblCellMar>
                <w:left w:w="70" w:type="dxa"/>
                <w:right w:w="70" w:type="dxa"/>
              </w:tblCellMar>
              <w:tblLook w:val="04A0" w:firstRow="1" w:lastRow="0" w:firstColumn="1" w:lastColumn="0" w:noHBand="0" w:noVBand="1"/>
            </w:tblPr>
            <w:tblGrid>
              <w:gridCol w:w="827"/>
              <w:gridCol w:w="1165"/>
              <w:gridCol w:w="1035"/>
              <w:gridCol w:w="1553"/>
              <w:gridCol w:w="1683"/>
              <w:gridCol w:w="2071"/>
              <w:gridCol w:w="160"/>
            </w:tblGrid>
            <w:tr w:rsidR="00C6293E" w:rsidRPr="00154E08" w14:paraId="2BA4D919" w14:textId="77777777" w:rsidTr="00563272">
              <w:trPr>
                <w:gridAfter w:val="1"/>
                <w:wAfter w:w="160" w:type="dxa"/>
                <w:trHeight w:val="536"/>
              </w:trPr>
              <w:tc>
                <w:tcPr>
                  <w:tcW w:w="827"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37263DB" w14:textId="77777777" w:rsidR="00C6293E"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Rok</w:t>
                  </w:r>
                </w:p>
              </w:tc>
              <w:tc>
                <w:tcPr>
                  <w:tcW w:w="1165"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66D85A0" w14:textId="0ACDEAAA" w:rsidR="00C6293E"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NCW za</w:t>
                  </w:r>
                  <w:r w:rsidR="005B1356" w:rsidRPr="00154E08">
                    <w:rPr>
                      <w:rFonts w:eastAsia="Calibri" w:cs="Times New Roman"/>
                      <w:color w:val="000000"/>
                      <w:sz w:val="18"/>
                      <w:szCs w:val="18"/>
                    </w:rPr>
                    <w:t> </w:t>
                  </w:r>
                  <w:r w:rsidRPr="00154E08">
                    <w:rPr>
                      <w:rFonts w:eastAsia="Calibri" w:cs="Times New Roman"/>
                      <w:color w:val="000000"/>
                      <w:sz w:val="18"/>
                      <w:szCs w:val="18"/>
                    </w:rPr>
                    <w:t>pomocą opłaty zastępczej</w:t>
                  </w:r>
                </w:p>
              </w:tc>
              <w:tc>
                <w:tcPr>
                  <w:tcW w:w="1035"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AC2663" w14:textId="25308055" w:rsidR="00C6293E" w:rsidRPr="00154E08" w:rsidRDefault="00C6293E" w:rsidP="00C6293E">
                  <w:pPr>
                    <w:spacing w:before="60" w:line="240" w:lineRule="auto"/>
                    <w:jc w:val="both"/>
                    <w:rPr>
                      <w:rFonts w:eastAsia="Calibri" w:cs="Times New Roman"/>
                      <w:color w:val="000000"/>
                      <w:sz w:val="18"/>
                      <w:szCs w:val="18"/>
                    </w:rPr>
                  </w:pPr>
                  <w:proofErr w:type="spellStart"/>
                  <w:r w:rsidRPr="00154E08">
                    <w:rPr>
                      <w:rFonts w:eastAsia="Calibri" w:cs="Times New Roman"/>
                      <w:color w:val="000000"/>
                      <w:sz w:val="18"/>
                      <w:szCs w:val="18"/>
                    </w:rPr>
                    <w:t>Opł</w:t>
                  </w:r>
                  <w:proofErr w:type="spellEnd"/>
                  <w:r w:rsidRPr="00154E08">
                    <w:rPr>
                      <w:rFonts w:eastAsia="Calibri" w:cs="Times New Roman"/>
                      <w:color w:val="000000"/>
                      <w:sz w:val="18"/>
                      <w:szCs w:val="18"/>
                    </w:rPr>
                    <w:t xml:space="preserve">. </w:t>
                  </w:r>
                  <w:proofErr w:type="spellStart"/>
                  <w:r w:rsidR="005B1356" w:rsidRPr="00154E08">
                    <w:rPr>
                      <w:rFonts w:eastAsia="Calibri" w:cs="Times New Roman"/>
                      <w:color w:val="000000"/>
                      <w:sz w:val="18"/>
                      <w:szCs w:val="18"/>
                    </w:rPr>
                    <w:t>Z</w:t>
                  </w:r>
                  <w:r w:rsidRPr="00154E08">
                    <w:rPr>
                      <w:rFonts w:eastAsia="Calibri" w:cs="Times New Roman"/>
                      <w:color w:val="000000"/>
                      <w:sz w:val="18"/>
                      <w:szCs w:val="18"/>
                    </w:rPr>
                    <w:t>ast</w:t>
                  </w:r>
                  <w:proofErr w:type="spellEnd"/>
                  <w:r w:rsidRPr="00154E08">
                    <w:rPr>
                      <w:rFonts w:eastAsia="Calibri" w:cs="Times New Roman"/>
                      <w:color w:val="000000"/>
                      <w:sz w:val="18"/>
                      <w:szCs w:val="18"/>
                    </w:rPr>
                    <w:t>.</w:t>
                  </w:r>
                </w:p>
                <w:p w14:paraId="514986F2" w14:textId="77777777" w:rsidR="00C6293E"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[mln zł]</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CCAC9CF" w14:textId="18B020DA" w:rsidR="00C6293E"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 xml:space="preserve">Dynamika zużycia energii względem </w:t>
                  </w:r>
                  <w:r w:rsidR="00EE34FA" w:rsidRPr="00154E08">
                    <w:rPr>
                      <w:rFonts w:eastAsia="Calibri" w:cs="Times New Roman"/>
                      <w:color w:val="000000"/>
                      <w:sz w:val="18"/>
                      <w:szCs w:val="18"/>
                    </w:rPr>
                    <w:t>2023</w:t>
                  </w:r>
                  <w:r w:rsidRPr="00154E08">
                    <w:rPr>
                      <w:rFonts w:eastAsia="Calibri" w:cs="Times New Roman"/>
                      <w:color w:val="000000"/>
                      <w:sz w:val="18"/>
                      <w:szCs w:val="18"/>
                    </w:rPr>
                    <w:t xml:space="preserve">r. </w:t>
                  </w:r>
                </w:p>
              </w:tc>
              <w:tc>
                <w:tcPr>
                  <w:tcW w:w="1683"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5AACC025" w14:textId="16D7E878" w:rsidR="00C6293E"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Opłata zastępcza z</w:t>
                  </w:r>
                  <w:r w:rsidR="005B1356" w:rsidRPr="00154E08">
                    <w:rPr>
                      <w:rFonts w:eastAsia="Calibri" w:cs="Times New Roman"/>
                      <w:color w:val="000000"/>
                      <w:sz w:val="18"/>
                      <w:szCs w:val="18"/>
                    </w:rPr>
                    <w:t> </w:t>
                  </w:r>
                  <w:r w:rsidRPr="00154E08">
                    <w:rPr>
                      <w:rFonts w:eastAsia="Calibri" w:cs="Times New Roman"/>
                      <w:color w:val="000000"/>
                      <w:sz w:val="18"/>
                      <w:szCs w:val="18"/>
                    </w:rPr>
                    <w:t>uwzględnioną dynamiką wykorzystania energii w sektorze transportu</w:t>
                  </w:r>
                </w:p>
              </w:tc>
              <w:tc>
                <w:tcPr>
                  <w:tcW w:w="20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344BAB8F" w14:textId="77777777" w:rsidR="005B1356"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 xml:space="preserve">RÓŻNICA </w:t>
                  </w:r>
                </w:p>
                <w:p w14:paraId="30544341" w14:textId="5EF9E825" w:rsidR="00C6293E"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(utracone dochody)</w:t>
                  </w:r>
                </w:p>
              </w:tc>
            </w:tr>
            <w:tr w:rsidR="00C6293E" w:rsidRPr="00154E08" w14:paraId="5CDEC6FF" w14:textId="77777777" w:rsidTr="00563272">
              <w:trPr>
                <w:trHeight w:val="536"/>
              </w:trPr>
              <w:tc>
                <w:tcPr>
                  <w:tcW w:w="827" w:type="dxa"/>
                  <w:vMerge/>
                  <w:tcBorders>
                    <w:top w:val="single" w:sz="4" w:space="0" w:color="auto"/>
                    <w:left w:val="single" w:sz="4" w:space="0" w:color="auto"/>
                    <w:bottom w:val="single" w:sz="4" w:space="0" w:color="auto"/>
                    <w:right w:val="single" w:sz="4" w:space="0" w:color="auto"/>
                  </w:tcBorders>
                  <w:vAlign w:val="center"/>
                  <w:hideMark/>
                </w:tcPr>
                <w:p w14:paraId="6E296EAB" w14:textId="77777777" w:rsidR="00C6293E" w:rsidRPr="00154E08" w:rsidRDefault="00C6293E" w:rsidP="00C6293E">
                  <w:pPr>
                    <w:spacing w:before="60" w:line="240" w:lineRule="auto"/>
                    <w:jc w:val="both"/>
                    <w:rPr>
                      <w:rFonts w:eastAsia="Calibri" w:cs="Times New Roman"/>
                      <w:color w:val="000000"/>
                      <w:sz w:val="18"/>
                      <w:szCs w:val="18"/>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4687871D" w14:textId="77777777" w:rsidR="00C6293E" w:rsidRPr="00154E08" w:rsidRDefault="00C6293E" w:rsidP="00C6293E">
                  <w:pPr>
                    <w:spacing w:before="60" w:line="240" w:lineRule="auto"/>
                    <w:jc w:val="both"/>
                    <w:rPr>
                      <w:rFonts w:eastAsia="Calibri" w:cs="Times New Roman"/>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58573A14" w14:textId="77777777" w:rsidR="00C6293E" w:rsidRPr="00154E08" w:rsidRDefault="00C6293E" w:rsidP="00C6293E">
                  <w:pPr>
                    <w:spacing w:before="60" w:line="240" w:lineRule="auto"/>
                    <w:jc w:val="both"/>
                    <w:rPr>
                      <w:rFonts w:eastAsia="Calibri"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255BE33D" w14:textId="77777777" w:rsidR="00C6293E" w:rsidRPr="00154E08" w:rsidRDefault="00C6293E" w:rsidP="00C6293E">
                  <w:pPr>
                    <w:spacing w:before="60" w:line="240" w:lineRule="auto"/>
                    <w:jc w:val="both"/>
                    <w:rPr>
                      <w:rFonts w:eastAsia="Calibri" w:cs="Times New Roman"/>
                      <w:color w:val="000000"/>
                      <w:sz w:val="18"/>
                      <w:szCs w:val="18"/>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51296A0F" w14:textId="77777777" w:rsidR="00C6293E" w:rsidRPr="00154E08" w:rsidRDefault="00C6293E" w:rsidP="00C6293E">
                  <w:pPr>
                    <w:spacing w:before="60" w:line="240" w:lineRule="auto"/>
                    <w:jc w:val="both"/>
                    <w:rPr>
                      <w:rFonts w:eastAsia="Calibri" w:cs="Times New Roman"/>
                      <w:color w:val="000000"/>
                      <w:sz w:val="18"/>
                      <w:szCs w:val="18"/>
                    </w:rPr>
                  </w:pPr>
                </w:p>
              </w:tc>
              <w:tc>
                <w:tcPr>
                  <w:tcW w:w="2071" w:type="dxa"/>
                  <w:vMerge/>
                  <w:tcBorders>
                    <w:top w:val="single" w:sz="4" w:space="0" w:color="auto"/>
                    <w:left w:val="single" w:sz="4" w:space="0" w:color="auto"/>
                    <w:bottom w:val="single" w:sz="4" w:space="0" w:color="auto"/>
                    <w:right w:val="single" w:sz="4" w:space="0" w:color="auto"/>
                  </w:tcBorders>
                  <w:vAlign w:val="center"/>
                  <w:hideMark/>
                </w:tcPr>
                <w:p w14:paraId="3CD6A58E" w14:textId="77777777" w:rsidR="00C6293E" w:rsidRPr="00154E08" w:rsidRDefault="00C6293E" w:rsidP="00C6293E">
                  <w:pPr>
                    <w:spacing w:before="60" w:line="240" w:lineRule="auto"/>
                    <w:jc w:val="both"/>
                    <w:rPr>
                      <w:rFonts w:eastAsia="Calibri" w:cs="Times New Roman"/>
                      <w:color w:val="000000"/>
                      <w:sz w:val="18"/>
                      <w:szCs w:val="18"/>
                    </w:rPr>
                  </w:pPr>
                </w:p>
              </w:tc>
              <w:tc>
                <w:tcPr>
                  <w:tcW w:w="160" w:type="dxa"/>
                  <w:tcBorders>
                    <w:top w:val="nil"/>
                    <w:left w:val="nil"/>
                    <w:bottom w:val="nil"/>
                    <w:right w:val="nil"/>
                  </w:tcBorders>
                  <w:shd w:val="clear" w:color="auto" w:fill="auto"/>
                  <w:noWrap/>
                  <w:vAlign w:val="bottom"/>
                  <w:hideMark/>
                </w:tcPr>
                <w:p w14:paraId="119A05D7" w14:textId="77777777" w:rsidR="00C6293E" w:rsidRPr="00154E08" w:rsidRDefault="00C6293E" w:rsidP="00C6293E">
                  <w:pPr>
                    <w:spacing w:before="60" w:line="240" w:lineRule="auto"/>
                    <w:jc w:val="both"/>
                    <w:rPr>
                      <w:rFonts w:eastAsia="Calibri" w:cs="Times New Roman"/>
                      <w:color w:val="000000"/>
                      <w:szCs w:val="24"/>
                    </w:rPr>
                  </w:pPr>
                </w:p>
              </w:tc>
            </w:tr>
            <w:tr w:rsidR="00C6293E" w:rsidRPr="00154E08" w14:paraId="08C145ED" w14:textId="77777777" w:rsidTr="00563272">
              <w:trPr>
                <w:trHeight w:val="159"/>
              </w:trPr>
              <w:tc>
                <w:tcPr>
                  <w:tcW w:w="827" w:type="dxa"/>
                  <w:vMerge/>
                  <w:tcBorders>
                    <w:top w:val="single" w:sz="4" w:space="0" w:color="auto"/>
                    <w:left w:val="single" w:sz="4" w:space="0" w:color="auto"/>
                    <w:bottom w:val="single" w:sz="4" w:space="0" w:color="auto"/>
                    <w:right w:val="single" w:sz="4" w:space="0" w:color="auto"/>
                  </w:tcBorders>
                  <w:vAlign w:val="center"/>
                  <w:hideMark/>
                </w:tcPr>
                <w:p w14:paraId="6984FFD2" w14:textId="77777777" w:rsidR="00C6293E" w:rsidRPr="00154E08" w:rsidRDefault="00C6293E" w:rsidP="00C6293E">
                  <w:pPr>
                    <w:spacing w:before="60" w:line="240" w:lineRule="auto"/>
                    <w:jc w:val="both"/>
                    <w:rPr>
                      <w:rFonts w:eastAsia="Calibri" w:cs="Times New Roman"/>
                      <w:color w:val="000000"/>
                      <w:sz w:val="18"/>
                      <w:szCs w:val="18"/>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2E571DAA" w14:textId="77777777" w:rsidR="00C6293E" w:rsidRPr="00154E08" w:rsidRDefault="00C6293E" w:rsidP="00C6293E">
                  <w:pPr>
                    <w:spacing w:before="60" w:line="240" w:lineRule="auto"/>
                    <w:jc w:val="both"/>
                    <w:rPr>
                      <w:rFonts w:eastAsia="Calibri" w:cs="Times New Roman"/>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5F19DEB1" w14:textId="77777777" w:rsidR="00C6293E" w:rsidRPr="00154E08" w:rsidRDefault="00C6293E" w:rsidP="00C6293E">
                  <w:pPr>
                    <w:spacing w:before="60" w:line="240" w:lineRule="auto"/>
                    <w:jc w:val="both"/>
                    <w:rPr>
                      <w:rFonts w:eastAsia="Calibri" w:cs="Times New Roman"/>
                      <w:color w:val="000000"/>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7E8127A1" w14:textId="77777777" w:rsidR="00C6293E" w:rsidRPr="00154E08" w:rsidRDefault="00C6293E" w:rsidP="00C6293E">
                  <w:pPr>
                    <w:spacing w:before="60" w:line="240" w:lineRule="auto"/>
                    <w:jc w:val="both"/>
                    <w:rPr>
                      <w:rFonts w:eastAsia="Calibri" w:cs="Times New Roman"/>
                      <w:color w:val="000000"/>
                      <w:sz w:val="18"/>
                      <w:szCs w:val="18"/>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BDA4AF1" w14:textId="77777777" w:rsidR="00C6293E" w:rsidRPr="00154E08" w:rsidRDefault="00C6293E" w:rsidP="00C6293E">
                  <w:pPr>
                    <w:spacing w:before="60" w:line="240" w:lineRule="auto"/>
                    <w:jc w:val="both"/>
                    <w:rPr>
                      <w:rFonts w:eastAsia="Calibri" w:cs="Times New Roman"/>
                      <w:color w:val="000000"/>
                      <w:sz w:val="18"/>
                      <w:szCs w:val="18"/>
                    </w:rPr>
                  </w:pPr>
                </w:p>
              </w:tc>
              <w:tc>
                <w:tcPr>
                  <w:tcW w:w="2071" w:type="dxa"/>
                  <w:vMerge/>
                  <w:tcBorders>
                    <w:top w:val="single" w:sz="4" w:space="0" w:color="auto"/>
                    <w:left w:val="single" w:sz="4" w:space="0" w:color="auto"/>
                    <w:bottom w:val="single" w:sz="4" w:space="0" w:color="auto"/>
                    <w:right w:val="single" w:sz="4" w:space="0" w:color="auto"/>
                  </w:tcBorders>
                  <w:vAlign w:val="center"/>
                  <w:hideMark/>
                </w:tcPr>
                <w:p w14:paraId="4079D857" w14:textId="77777777" w:rsidR="00C6293E" w:rsidRPr="00154E08" w:rsidRDefault="00C6293E" w:rsidP="00C6293E">
                  <w:pPr>
                    <w:spacing w:before="60" w:line="240" w:lineRule="auto"/>
                    <w:jc w:val="both"/>
                    <w:rPr>
                      <w:rFonts w:eastAsia="Calibri" w:cs="Times New Roman"/>
                      <w:color w:val="000000"/>
                      <w:sz w:val="18"/>
                      <w:szCs w:val="18"/>
                    </w:rPr>
                  </w:pPr>
                </w:p>
              </w:tc>
              <w:tc>
                <w:tcPr>
                  <w:tcW w:w="160" w:type="dxa"/>
                  <w:tcBorders>
                    <w:top w:val="nil"/>
                    <w:left w:val="nil"/>
                    <w:bottom w:val="nil"/>
                    <w:right w:val="nil"/>
                  </w:tcBorders>
                  <w:shd w:val="clear" w:color="auto" w:fill="auto"/>
                  <w:noWrap/>
                  <w:vAlign w:val="bottom"/>
                  <w:hideMark/>
                </w:tcPr>
                <w:p w14:paraId="1D6D64D0" w14:textId="77777777" w:rsidR="00C6293E" w:rsidRPr="00154E08" w:rsidRDefault="00C6293E" w:rsidP="00C6293E">
                  <w:pPr>
                    <w:spacing w:before="60" w:line="240" w:lineRule="auto"/>
                    <w:jc w:val="both"/>
                    <w:rPr>
                      <w:rFonts w:eastAsia="Calibri" w:cs="Times New Roman"/>
                      <w:color w:val="000000"/>
                      <w:szCs w:val="24"/>
                    </w:rPr>
                  </w:pPr>
                </w:p>
              </w:tc>
            </w:tr>
            <w:tr w:rsidR="004165D5" w:rsidRPr="00154E08" w14:paraId="2AEEC5AD" w14:textId="77777777" w:rsidTr="00FA2D86">
              <w:trPr>
                <w:trHeight w:val="536"/>
              </w:trPr>
              <w:tc>
                <w:tcPr>
                  <w:tcW w:w="827" w:type="dxa"/>
                  <w:tcBorders>
                    <w:top w:val="nil"/>
                    <w:left w:val="single" w:sz="4" w:space="0" w:color="auto"/>
                    <w:bottom w:val="single" w:sz="4" w:space="0" w:color="auto"/>
                    <w:right w:val="single" w:sz="4" w:space="0" w:color="auto"/>
                  </w:tcBorders>
                  <w:shd w:val="clear" w:color="000000" w:fill="C6E0B4"/>
                  <w:noWrap/>
                  <w:vAlign w:val="center"/>
                  <w:hideMark/>
                </w:tcPr>
                <w:p w14:paraId="79A437B6" w14:textId="37E8FB4D"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2023</w:t>
                  </w:r>
                </w:p>
              </w:tc>
              <w:tc>
                <w:tcPr>
                  <w:tcW w:w="1165" w:type="dxa"/>
                  <w:tcBorders>
                    <w:top w:val="nil"/>
                    <w:left w:val="nil"/>
                    <w:bottom w:val="single" w:sz="4" w:space="0" w:color="auto"/>
                    <w:right w:val="single" w:sz="4" w:space="0" w:color="auto"/>
                  </w:tcBorders>
                  <w:shd w:val="clear" w:color="000000" w:fill="C6E0B4"/>
                  <w:noWrap/>
                  <w:vAlign w:val="center"/>
                  <w:hideMark/>
                </w:tcPr>
                <w:p w14:paraId="2BFA3E2D"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w:t>
                  </w:r>
                </w:p>
              </w:tc>
              <w:tc>
                <w:tcPr>
                  <w:tcW w:w="103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A2FFDF8" w14:textId="7FFD83F9"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173,30 zł</w:t>
                  </w:r>
                </w:p>
              </w:tc>
              <w:tc>
                <w:tcPr>
                  <w:tcW w:w="1553" w:type="dxa"/>
                  <w:tcBorders>
                    <w:top w:val="nil"/>
                    <w:left w:val="nil"/>
                    <w:bottom w:val="single" w:sz="4" w:space="0" w:color="auto"/>
                    <w:right w:val="single" w:sz="4" w:space="0" w:color="auto"/>
                  </w:tcBorders>
                  <w:shd w:val="clear" w:color="auto" w:fill="auto"/>
                  <w:noWrap/>
                  <w:vAlign w:val="center"/>
                  <w:hideMark/>
                </w:tcPr>
                <w:p w14:paraId="5E2EE0B8"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w:t>
                  </w:r>
                </w:p>
              </w:tc>
              <w:tc>
                <w:tcPr>
                  <w:tcW w:w="1683"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76FD393" w14:textId="3BBCE0D7"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173,30 zł</w:t>
                  </w:r>
                </w:p>
              </w:tc>
              <w:tc>
                <w:tcPr>
                  <w:tcW w:w="207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8149B5A" w14:textId="580A7BD5"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 </w:t>
                  </w:r>
                </w:p>
              </w:tc>
              <w:tc>
                <w:tcPr>
                  <w:tcW w:w="160" w:type="dxa"/>
                  <w:vAlign w:val="center"/>
                  <w:hideMark/>
                </w:tcPr>
                <w:p w14:paraId="39988338"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4BC8AB44" w14:textId="77777777" w:rsidTr="00FA2D86">
              <w:trPr>
                <w:trHeight w:val="536"/>
              </w:trPr>
              <w:tc>
                <w:tcPr>
                  <w:tcW w:w="827" w:type="dxa"/>
                  <w:tcBorders>
                    <w:top w:val="nil"/>
                    <w:left w:val="single" w:sz="4" w:space="0" w:color="auto"/>
                    <w:bottom w:val="single" w:sz="4" w:space="0" w:color="auto"/>
                    <w:right w:val="single" w:sz="4" w:space="0" w:color="auto"/>
                  </w:tcBorders>
                  <w:shd w:val="clear" w:color="000000" w:fill="FFC000"/>
                  <w:noWrap/>
                  <w:vAlign w:val="center"/>
                  <w:hideMark/>
                </w:tcPr>
                <w:p w14:paraId="25223885"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lastRenderedPageBreak/>
                    <w:t>2024</w:t>
                  </w:r>
                </w:p>
              </w:tc>
              <w:tc>
                <w:tcPr>
                  <w:tcW w:w="1165" w:type="dxa"/>
                  <w:tcBorders>
                    <w:top w:val="nil"/>
                    <w:left w:val="nil"/>
                    <w:bottom w:val="single" w:sz="4" w:space="0" w:color="auto"/>
                    <w:right w:val="single" w:sz="4" w:space="0" w:color="auto"/>
                  </w:tcBorders>
                  <w:shd w:val="clear" w:color="000000" w:fill="C6E0B4"/>
                  <w:noWrap/>
                  <w:vAlign w:val="center"/>
                  <w:hideMark/>
                </w:tcPr>
                <w:p w14:paraId="2CDF0269"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15%</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026C438D" w14:textId="253D9184"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129,98 zł</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81DB1" w14:textId="46044773"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-0,50%</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4B47BBE3" w14:textId="2D35E018"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129,32 zł</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19FFC0DE" w14:textId="06E2BFFB"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0,00 zł</w:t>
                  </w:r>
                </w:p>
              </w:tc>
              <w:tc>
                <w:tcPr>
                  <w:tcW w:w="160" w:type="dxa"/>
                  <w:vAlign w:val="center"/>
                  <w:hideMark/>
                </w:tcPr>
                <w:p w14:paraId="0396D07B"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5BDA15B7" w14:textId="77777777" w:rsidTr="00FA2D86">
              <w:trPr>
                <w:trHeight w:val="536"/>
              </w:trPr>
              <w:tc>
                <w:tcPr>
                  <w:tcW w:w="827" w:type="dxa"/>
                  <w:tcBorders>
                    <w:top w:val="nil"/>
                    <w:left w:val="single" w:sz="4" w:space="0" w:color="auto"/>
                    <w:bottom w:val="single" w:sz="4" w:space="0" w:color="auto"/>
                    <w:right w:val="single" w:sz="4" w:space="0" w:color="auto"/>
                  </w:tcBorders>
                  <w:shd w:val="clear" w:color="000000" w:fill="FFFFFF"/>
                  <w:noWrap/>
                  <w:vAlign w:val="center"/>
                  <w:hideMark/>
                </w:tcPr>
                <w:p w14:paraId="6C5F2C76"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2025</w:t>
                  </w:r>
                </w:p>
              </w:tc>
              <w:tc>
                <w:tcPr>
                  <w:tcW w:w="1165" w:type="dxa"/>
                  <w:tcBorders>
                    <w:top w:val="nil"/>
                    <w:left w:val="nil"/>
                    <w:bottom w:val="single" w:sz="4" w:space="0" w:color="auto"/>
                    <w:right w:val="single" w:sz="4" w:space="0" w:color="auto"/>
                  </w:tcBorders>
                  <w:shd w:val="clear" w:color="000000" w:fill="C6E0B4"/>
                  <w:noWrap/>
                  <w:vAlign w:val="center"/>
                  <w:hideMark/>
                </w:tcPr>
                <w:p w14:paraId="1A39A620"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15%</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30A6EBD3" w14:textId="43EBA9B2"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97,48 zł</w:t>
                  </w:r>
                </w:p>
              </w:tc>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EB1BB19" w14:textId="42D9DD44"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0,71%</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53635F75" w14:textId="3B0A5E1C"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98,17 zł</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2652003E" w14:textId="17C91AF0"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-31,15 zł</w:t>
                  </w:r>
                </w:p>
              </w:tc>
              <w:tc>
                <w:tcPr>
                  <w:tcW w:w="160" w:type="dxa"/>
                  <w:vAlign w:val="center"/>
                  <w:hideMark/>
                </w:tcPr>
                <w:p w14:paraId="32E02437"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5E2EB522" w14:textId="77777777" w:rsidTr="00FA2D86">
              <w:trPr>
                <w:trHeight w:val="536"/>
              </w:trPr>
              <w:tc>
                <w:tcPr>
                  <w:tcW w:w="827" w:type="dxa"/>
                  <w:tcBorders>
                    <w:top w:val="nil"/>
                    <w:left w:val="single" w:sz="4" w:space="0" w:color="auto"/>
                    <w:bottom w:val="single" w:sz="4" w:space="0" w:color="auto"/>
                    <w:right w:val="single" w:sz="4" w:space="0" w:color="auto"/>
                  </w:tcBorders>
                  <w:shd w:val="clear" w:color="000000" w:fill="FFFFFF"/>
                  <w:noWrap/>
                  <w:vAlign w:val="center"/>
                  <w:hideMark/>
                </w:tcPr>
                <w:p w14:paraId="587FEF1C"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2026</w:t>
                  </w:r>
                </w:p>
              </w:tc>
              <w:tc>
                <w:tcPr>
                  <w:tcW w:w="1165" w:type="dxa"/>
                  <w:tcBorders>
                    <w:top w:val="nil"/>
                    <w:left w:val="nil"/>
                    <w:bottom w:val="single" w:sz="4" w:space="0" w:color="auto"/>
                    <w:right w:val="single" w:sz="4" w:space="0" w:color="auto"/>
                  </w:tcBorders>
                  <w:shd w:val="clear" w:color="000000" w:fill="C6E0B4"/>
                  <w:noWrap/>
                  <w:vAlign w:val="center"/>
                  <w:hideMark/>
                </w:tcPr>
                <w:p w14:paraId="3F04F903"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12%</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3CD1BAE3" w14:textId="191B1699"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58,49 zł</w:t>
                  </w:r>
                </w:p>
              </w:tc>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54FB654A" w14:textId="3F3EA1E8"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0,10%</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4B69A505" w14:textId="60D60F34"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58,55 zł</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2EEC8231" w14:textId="0F123A80"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-70,77 zł</w:t>
                  </w:r>
                </w:p>
              </w:tc>
              <w:tc>
                <w:tcPr>
                  <w:tcW w:w="160" w:type="dxa"/>
                  <w:vAlign w:val="center"/>
                  <w:hideMark/>
                </w:tcPr>
                <w:p w14:paraId="424B4F51"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415B580D" w14:textId="77777777" w:rsidTr="00FA2D86">
              <w:trPr>
                <w:trHeight w:val="536"/>
              </w:trPr>
              <w:tc>
                <w:tcPr>
                  <w:tcW w:w="827" w:type="dxa"/>
                  <w:tcBorders>
                    <w:top w:val="nil"/>
                    <w:left w:val="single" w:sz="4" w:space="0" w:color="auto"/>
                    <w:bottom w:val="single" w:sz="4" w:space="0" w:color="auto"/>
                    <w:right w:val="single" w:sz="4" w:space="0" w:color="auto"/>
                  </w:tcBorders>
                  <w:shd w:val="clear" w:color="000000" w:fill="FFFFFF"/>
                  <w:noWrap/>
                  <w:vAlign w:val="center"/>
                  <w:hideMark/>
                </w:tcPr>
                <w:p w14:paraId="40E7C9F8"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2027</w:t>
                  </w:r>
                </w:p>
              </w:tc>
              <w:tc>
                <w:tcPr>
                  <w:tcW w:w="1165" w:type="dxa"/>
                  <w:tcBorders>
                    <w:top w:val="nil"/>
                    <w:left w:val="nil"/>
                    <w:bottom w:val="single" w:sz="4" w:space="0" w:color="auto"/>
                    <w:right w:val="single" w:sz="4" w:space="0" w:color="auto"/>
                  </w:tcBorders>
                  <w:shd w:val="clear" w:color="000000" w:fill="C6E0B4"/>
                  <w:noWrap/>
                  <w:vAlign w:val="center"/>
                  <w:hideMark/>
                </w:tcPr>
                <w:p w14:paraId="173C0929"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10%</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75382A1B" w14:textId="495AF699"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29,24 zł</w:t>
                  </w:r>
                </w:p>
              </w:tc>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6B44134" w14:textId="41B32AF7"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-2,38%</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4C3610E0" w14:textId="11842857"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28,55 zł</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513248ED" w14:textId="160C4695"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-100,78 zł</w:t>
                  </w:r>
                </w:p>
              </w:tc>
              <w:tc>
                <w:tcPr>
                  <w:tcW w:w="160" w:type="dxa"/>
                  <w:vAlign w:val="center"/>
                  <w:hideMark/>
                </w:tcPr>
                <w:p w14:paraId="112486FD"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4615D369" w14:textId="77777777" w:rsidTr="00FA2D86">
              <w:trPr>
                <w:trHeight w:val="536"/>
              </w:trPr>
              <w:tc>
                <w:tcPr>
                  <w:tcW w:w="827" w:type="dxa"/>
                  <w:tcBorders>
                    <w:top w:val="nil"/>
                    <w:left w:val="single" w:sz="4" w:space="0" w:color="auto"/>
                    <w:bottom w:val="single" w:sz="4" w:space="0" w:color="auto"/>
                    <w:right w:val="single" w:sz="4" w:space="0" w:color="auto"/>
                  </w:tcBorders>
                  <w:shd w:val="clear" w:color="000000" w:fill="FFFFFF"/>
                  <w:noWrap/>
                  <w:vAlign w:val="center"/>
                  <w:hideMark/>
                </w:tcPr>
                <w:p w14:paraId="684DB0C7"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2028</w:t>
                  </w:r>
                </w:p>
              </w:tc>
              <w:tc>
                <w:tcPr>
                  <w:tcW w:w="1165" w:type="dxa"/>
                  <w:tcBorders>
                    <w:top w:val="nil"/>
                    <w:left w:val="nil"/>
                    <w:bottom w:val="single" w:sz="4" w:space="0" w:color="auto"/>
                    <w:right w:val="single" w:sz="4" w:space="0" w:color="auto"/>
                  </w:tcBorders>
                  <w:shd w:val="clear" w:color="000000" w:fill="C6E0B4"/>
                  <w:noWrap/>
                  <w:vAlign w:val="center"/>
                  <w:hideMark/>
                </w:tcPr>
                <w:p w14:paraId="0783BC21"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8%</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63D4FECD" w14:textId="6FFC85B6"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11,70 zł</w:t>
                  </w:r>
                </w:p>
              </w:tc>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D3FDCE1" w14:textId="45A2912D"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-2,96%</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16099ED9" w14:textId="08A84125"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11,35 zł</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0A1FAF18" w14:textId="39D7DB18"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-117,97 zł</w:t>
                  </w:r>
                </w:p>
              </w:tc>
              <w:tc>
                <w:tcPr>
                  <w:tcW w:w="160" w:type="dxa"/>
                  <w:vAlign w:val="center"/>
                  <w:hideMark/>
                </w:tcPr>
                <w:p w14:paraId="7C8CF166"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16C5C48A" w14:textId="77777777" w:rsidTr="00FA2D86">
              <w:trPr>
                <w:trHeight w:val="536"/>
              </w:trPr>
              <w:tc>
                <w:tcPr>
                  <w:tcW w:w="827" w:type="dxa"/>
                  <w:tcBorders>
                    <w:top w:val="nil"/>
                    <w:left w:val="single" w:sz="4" w:space="0" w:color="auto"/>
                    <w:bottom w:val="single" w:sz="4" w:space="0" w:color="auto"/>
                    <w:right w:val="single" w:sz="4" w:space="0" w:color="auto"/>
                  </w:tcBorders>
                  <w:shd w:val="clear" w:color="000000" w:fill="FFFFFF"/>
                  <w:noWrap/>
                  <w:vAlign w:val="center"/>
                  <w:hideMark/>
                </w:tcPr>
                <w:p w14:paraId="4E5C38A3"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2029</w:t>
                  </w:r>
                </w:p>
              </w:tc>
              <w:tc>
                <w:tcPr>
                  <w:tcW w:w="1165" w:type="dxa"/>
                  <w:tcBorders>
                    <w:top w:val="nil"/>
                    <w:left w:val="nil"/>
                    <w:bottom w:val="single" w:sz="4" w:space="0" w:color="auto"/>
                    <w:right w:val="single" w:sz="4" w:space="0" w:color="auto"/>
                  </w:tcBorders>
                  <w:shd w:val="clear" w:color="000000" w:fill="C6E0B4"/>
                  <w:noWrap/>
                  <w:vAlign w:val="center"/>
                  <w:hideMark/>
                </w:tcPr>
                <w:p w14:paraId="42F5A8B8"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5%</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65567D13" w14:textId="28FCF978"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2,92 zł</w:t>
                  </w:r>
                </w:p>
              </w:tc>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420920C3" w14:textId="0BFB2A97"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-4,92%</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733AB107" w14:textId="3D9DACF6"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2,78 zł</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2DA651BB" w14:textId="6501257E"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-126,54 zł</w:t>
                  </w:r>
                </w:p>
              </w:tc>
              <w:tc>
                <w:tcPr>
                  <w:tcW w:w="160" w:type="dxa"/>
                  <w:vAlign w:val="center"/>
                  <w:hideMark/>
                </w:tcPr>
                <w:p w14:paraId="609A33E5"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6D003384" w14:textId="77777777" w:rsidTr="00FA2D86">
              <w:trPr>
                <w:trHeight w:val="536"/>
              </w:trPr>
              <w:tc>
                <w:tcPr>
                  <w:tcW w:w="827" w:type="dxa"/>
                  <w:tcBorders>
                    <w:top w:val="nil"/>
                    <w:left w:val="single" w:sz="4" w:space="0" w:color="auto"/>
                    <w:bottom w:val="single" w:sz="4" w:space="0" w:color="auto"/>
                    <w:right w:val="single" w:sz="4" w:space="0" w:color="auto"/>
                  </w:tcBorders>
                  <w:shd w:val="clear" w:color="000000" w:fill="FFFFFF"/>
                  <w:noWrap/>
                  <w:vAlign w:val="center"/>
                  <w:hideMark/>
                </w:tcPr>
                <w:p w14:paraId="3C11AEA3"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2030</w:t>
                  </w:r>
                </w:p>
              </w:tc>
              <w:tc>
                <w:tcPr>
                  <w:tcW w:w="1165" w:type="dxa"/>
                  <w:tcBorders>
                    <w:top w:val="nil"/>
                    <w:left w:val="nil"/>
                    <w:bottom w:val="single" w:sz="4" w:space="0" w:color="auto"/>
                    <w:right w:val="single" w:sz="4" w:space="0" w:color="auto"/>
                  </w:tcBorders>
                  <w:shd w:val="clear" w:color="000000" w:fill="C6E0B4"/>
                  <w:noWrap/>
                  <w:vAlign w:val="center"/>
                  <w:hideMark/>
                </w:tcPr>
                <w:p w14:paraId="0D656827"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0%</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065957D8" w14:textId="78084197"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0,00 zł</w:t>
                  </w:r>
                </w:p>
              </w:tc>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C8BAB5F" w14:textId="6FC9307E"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-6,86%</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053A344E" w14:textId="14564EAF"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0,00 zł</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24F5512E" w14:textId="4E153B42"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-129,32 zł</w:t>
                  </w:r>
                </w:p>
              </w:tc>
              <w:tc>
                <w:tcPr>
                  <w:tcW w:w="160" w:type="dxa"/>
                  <w:vAlign w:val="center"/>
                  <w:hideMark/>
                </w:tcPr>
                <w:p w14:paraId="72381811"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612ED5EB" w14:textId="77777777" w:rsidTr="00FA2D86">
              <w:trPr>
                <w:trHeight w:val="536"/>
              </w:trPr>
              <w:tc>
                <w:tcPr>
                  <w:tcW w:w="827" w:type="dxa"/>
                  <w:tcBorders>
                    <w:top w:val="nil"/>
                    <w:left w:val="single" w:sz="4" w:space="0" w:color="auto"/>
                    <w:bottom w:val="single" w:sz="4" w:space="0" w:color="auto"/>
                    <w:right w:val="single" w:sz="4" w:space="0" w:color="auto"/>
                  </w:tcBorders>
                  <w:shd w:val="clear" w:color="000000" w:fill="FFFFFF"/>
                  <w:noWrap/>
                  <w:vAlign w:val="center"/>
                  <w:hideMark/>
                </w:tcPr>
                <w:p w14:paraId="3BC54C29"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2031</w:t>
                  </w:r>
                </w:p>
              </w:tc>
              <w:tc>
                <w:tcPr>
                  <w:tcW w:w="1165" w:type="dxa"/>
                  <w:tcBorders>
                    <w:top w:val="nil"/>
                    <w:left w:val="nil"/>
                    <w:bottom w:val="single" w:sz="4" w:space="0" w:color="auto"/>
                    <w:right w:val="single" w:sz="4" w:space="0" w:color="auto"/>
                  </w:tcBorders>
                  <w:shd w:val="clear" w:color="000000" w:fill="C6E0B4"/>
                  <w:noWrap/>
                  <w:vAlign w:val="center"/>
                  <w:hideMark/>
                </w:tcPr>
                <w:p w14:paraId="1B078874"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0%</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0B0A8F87" w14:textId="1F8F28D9"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0,00 zł</w:t>
                  </w:r>
                </w:p>
              </w:tc>
              <w:tc>
                <w:tcPr>
                  <w:tcW w:w="1553" w:type="dxa"/>
                  <w:tcBorders>
                    <w:top w:val="nil"/>
                    <w:left w:val="nil"/>
                    <w:bottom w:val="single" w:sz="4" w:space="0" w:color="auto"/>
                    <w:right w:val="single" w:sz="4" w:space="0" w:color="auto"/>
                  </w:tcBorders>
                  <w:shd w:val="clear" w:color="auto" w:fill="auto"/>
                  <w:noWrap/>
                  <w:vAlign w:val="center"/>
                  <w:hideMark/>
                </w:tcPr>
                <w:p w14:paraId="2F30E92A"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 </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026DAFCD" w14:textId="521EC673"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0,00 zł</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44FE0026" w14:textId="01B01DC5"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-129,32 zł</w:t>
                  </w:r>
                </w:p>
              </w:tc>
              <w:tc>
                <w:tcPr>
                  <w:tcW w:w="160" w:type="dxa"/>
                  <w:vAlign w:val="center"/>
                  <w:hideMark/>
                </w:tcPr>
                <w:p w14:paraId="5F587FE1"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085780E9" w14:textId="77777777" w:rsidTr="00FA2D86">
              <w:trPr>
                <w:trHeight w:val="536"/>
              </w:trPr>
              <w:tc>
                <w:tcPr>
                  <w:tcW w:w="827" w:type="dxa"/>
                  <w:tcBorders>
                    <w:top w:val="nil"/>
                    <w:left w:val="single" w:sz="4" w:space="0" w:color="auto"/>
                    <w:bottom w:val="single" w:sz="4" w:space="0" w:color="auto"/>
                    <w:right w:val="single" w:sz="4" w:space="0" w:color="auto"/>
                  </w:tcBorders>
                  <w:shd w:val="clear" w:color="000000" w:fill="FFFFFF"/>
                  <w:noWrap/>
                  <w:vAlign w:val="center"/>
                  <w:hideMark/>
                </w:tcPr>
                <w:p w14:paraId="5CD189E3"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2032</w:t>
                  </w:r>
                </w:p>
              </w:tc>
              <w:tc>
                <w:tcPr>
                  <w:tcW w:w="1165" w:type="dxa"/>
                  <w:tcBorders>
                    <w:top w:val="nil"/>
                    <w:left w:val="nil"/>
                    <w:bottom w:val="single" w:sz="4" w:space="0" w:color="auto"/>
                    <w:right w:val="single" w:sz="4" w:space="0" w:color="auto"/>
                  </w:tcBorders>
                  <w:shd w:val="clear" w:color="000000" w:fill="C6E0B4"/>
                  <w:noWrap/>
                  <w:vAlign w:val="center"/>
                  <w:hideMark/>
                </w:tcPr>
                <w:p w14:paraId="6DA3AA6B"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0%</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3ACDCCB9" w14:textId="5C72C8EF"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0,00 zł</w:t>
                  </w:r>
                </w:p>
              </w:tc>
              <w:tc>
                <w:tcPr>
                  <w:tcW w:w="1553" w:type="dxa"/>
                  <w:tcBorders>
                    <w:top w:val="nil"/>
                    <w:left w:val="nil"/>
                    <w:bottom w:val="single" w:sz="4" w:space="0" w:color="auto"/>
                    <w:right w:val="single" w:sz="4" w:space="0" w:color="auto"/>
                  </w:tcBorders>
                  <w:shd w:val="clear" w:color="auto" w:fill="auto"/>
                  <w:noWrap/>
                  <w:vAlign w:val="center"/>
                  <w:hideMark/>
                </w:tcPr>
                <w:p w14:paraId="0433A6CF"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 </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4C92FF42" w14:textId="3A9365C6"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0,00 zł</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3E575953" w14:textId="43B42B74"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-129,32 zł</w:t>
                  </w:r>
                </w:p>
              </w:tc>
              <w:tc>
                <w:tcPr>
                  <w:tcW w:w="160" w:type="dxa"/>
                  <w:vAlign w:val="center"/>
                  <w:hideMark/>
                </w:tcPr>
                <w:p w14:paraId="380A9088"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726C7ED0" w14:textId="77777777" w:rsidTr="00FA2D86">
              <w:trPr>
                <w:trHeight w:val="536"/>
              </w:trPr>
              <w:tc>
                <w:tcPr>
                  <w:tcW w:w="827" w:type="dxa"/>
                  <w:tcBorders>
                    <w:top w:val="nil"/>
                    <w:left w:val="single" w:sz="4" w:space="0" w:color="auto"/>
                    <w:bottom w:val="single" w:sz="4" w:space="0" w:color="auto"/>
                    <w:right w:val="single" w:sz="4" w:space="0" w:color="auto"/>
                  </w:tcBorders>
                  <w:shd w:val="clear" w:color="000000" w:fill="FFFFFF"/>
                  <w:noWrap/>
                  <w:vAlign w:val="center"/>
                  <w:hideMark/>
                </w:tcPr>
                <w:p w14:paraId="1FF91368"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2033</w:t>
                  </w:r>
                </w:p>
              </w:tc>
              <w:tc>
                <w:tcPr>
                  <w:tcW w:w="1165" w:type="dxa"/>
                  <w:tcBorders>
                    <w:top w:val="nil"/>
                    <w:left w:val="nil"/>
                    <w:bottom w:val="single" w:sz="4" w:space="0" w:color="auto"/>
                    <w:right w:val="single" w:sz="4" w:space="0" w:color="auto"/>
                  </w:tcBorders>
                  <w:shd w:val="clear" w:color="000000" w:fill="C6E0B4"/>
                  <w:noWrap/>
                  <w:vAlign w:val="center"/>
                  <w:hideMark/>
                </w:tcPr>
                <w:p w14:paraId="316A4F6E"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0%</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5675EFD9" w14:textId="71F3E8C4"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0,00 zł</w:t>
                  </w:r>
                </w:p>
              </w:tc>
              <w:tc>
                <w:tcPr>
                  <w:tcW w:w="1553" w:type="dxa"/>
                  <w:tcBorders>
                    <w:top w:val="nil"/>
                    <w:left w:val="nil"/>
                    <w:bottom w:val="single" w:sz="4" w:space="0" w:color="auto"/>
                    <w:right w:val="single" w:sz="4" w:space="0" w:color="auto"/>
                  </w:tcBorders>
                  <w:shd w:val="clear" w:color="auto" w:fill="auto"/>
                  <w:noWrap/>
                  <w:vAlign w:val="center"/>
                  <w:hideMark/>
                </w:tcPr>
                <w:p w14:paraId="057F3D37"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 </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7D5C113D" w14:textId="3535890F"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0,00 zł</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500E3C15" w14:textId="61D7E6FA"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-129,32 zł</w:t>
                  </w:r>
                </w:p>
              </w:tc>
              <w:tc>
                <w:tcPr>
                  <w:tcW w:w="160" w:type="dxa"/>
                  <w:vAlign w:val="center"/>
                  <w:hideMark/>
                </w:tcPr>
                <w:p w14:paraId="4D23D343"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35EFBFDE" w14:textId="77777777" w:rsidTr="00D95D2F">
              <w:trPr>
                <w:trHeight w:val="536"/>
              </w:trPr>
              <w:tc>
                <w:tcPr>
                  <w:tcW w:w="827" w:type="dxa"/>
                  <w:tcBorders>
                    <w:top w:val="nil"/>
                    <w:left w:val="single" w:sz="4" w:space="0" w:color="auto"/>
                    <w:bottom w:val="single" w:sz="4" w:space="0" w:color="auto"/>
                    <w:right w:val="single" w:sz="4" w:space="0" w:color="auto"/>
                  </w:tcBorders>
                  <w:shd w:val="clear" w:color="000000" w:fill="FFFFFF"/>
                  <w:noWrap/>
                  <w:vAlign w:val="center"/>
                  <w:hideMark/>
                </w:tcPr>
                <w:p w14:paraId="4749EAB9"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2034</w:t>
                  </w:r>
                </w:p>
              </w:tc>
              <w:tc>
                <w:tcPr>
                  <w:tcW w:w="1165" w:type="dxa"/>
                  <w:tcBorders>
                    <w:top w:val="nil"/>
                    <w:left w:val="nil"/>
                    <w:bottom w:val="single" w:sz="4" w:space="0" w:color="auto"/>
                    <w:right w:val="single" w:sz="4" w:space="0" w:color="auto"/>
                  </w:tcBorders>
                  <w:shd w:val="clear" w:color="000000" w:fill="C6E0B4"/>
                  <w:noWrap/>
                  <w:vAlign w:val="center"/>
                  <w:hideMark/>
                </w:tcPr>
                <w:p w14:paraId="79BE8A1A"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0%</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1DC511EA" w14:textId="32C4FF8E"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0,00 zł</w:t>
                  </w:r>
                </w:p>
              </w:tc>
              <w:tc>
                <w:tcPr>
                  <w:tcW w:w="1553" w:type="dxa"/>
                  <w:tcBorders>
                    <w:top w:val="nil"/>
                    <w:left w:val="nil"/>
                    <w:bottom w:val="single" w:sz="4" w:space="0" w:color="auto"/>
                    <w:right w:val="single" w:sz="4" w:space="0" w:color="auto"/>
                  </w:tcBorders>
                  <w:shd w:val="clear" w:color="auto" w:fill="auto"/>
                  <w:noWrap/>
                  <w:vAlign w:val="center"/>
                  <w:hideMark/>
                </w:tcPr>
                <w:p w14:paraId="2C4D0B43"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 </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22B5C73C" w14:textId="4A8CB24B"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0,00 zł</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32A8FD9F" w14:textId="12A0BA92"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-129,32 zł</w:t>
                  </w:r>
                </w:p>
              </w:tc>
              <w:tc>
                <w:tcPr>
                  <w:tcW w:w="160" w:type="dxa"/>
                  <w:vAlign w:val="center"/>
                  <w:hideMark/>
                </w:tcPr>
                <w:p w14:paraId="181698C7" w14:textId="77777777" w:rsidR="004165D5" w:rsidRPr="00154E08" w:rsidRDefault="004165D5" w:rsidP="004165D5">
                  <w:pPr>
                    <w:spacing w:before="60" w:line="240" w:lineRule="auto"/>
                    <w:jc w:val="both"/>
                    <w:rPr>
                      <w:rFonts w:eastAsia="Calibri" w:cs="Times New Roman"/>
                      <w:color w:val="000000"/>
                      <w:szCs w:val="24"/>
                    </w:rPr>
                  </w:pPr>
                </w:p>
              </w:tc>
            </w:tr>
            <w:tr w:rsidR="004165D5" w:rsidRPr="00154E08" w14:paraId="7D224B70" w14:textId="77777777" w:rsidTr="00D95D2F">
              <w:trPr>
                <w:trHeight w:val="536"/>
              </w:trPr>
              <w:tc>
                <w:tcPr>
                  <w:tcW w:w="827" w:type="dxa"/>
                  <w:tcBorders>
                    <w:top w:val="nil"/>
                    <w:left w:val="nil"/>
                    <w:bottom w:val="nil"/>
                    <w:right w:val="nil"/>
                  </w:tcBorders>
                  <w:shd w:val="clear" w:color="auto" w:fill="auto"/>
                  <w:noWrap/>
                  <w:vAlign w:val="center"/>
                  <w:hideMark/>
                </w:tcPr>
                <w:p w14:paraId="49A07C9E" w14:textId="77777777" w:rsidR="004165D5" w:rsidRPr="00154E08" w:rsidRDefault="004165D5" w:rsidP="004165D5">
                  <w:pPr>
                    <w:spacing w:before="60" w:line="240" w:lineRule="auto"/>
                    <w:jc w:val="both"/>
                    <w:rPr>
                      <w:rFonts w:eastAsia="Calibri" w:cs="Times New Roman"/>
                      <w:color w:val="000000"/>
                      <w:sz w:val="18"/>
                      <w:szCs w:val="18"/>
                    </w:rPr>
                  </w:pPr>
                </w:p>
              </w:tc>
              <w:tc>
                <w:tcPr>
                  <w:tcW w:w="1165" w:type="dxa"/>
                  <w:tcBorders>
                    <w:top w:val="nil"/>
                    <w:left w:val="nil"/>
                    <w:bottom w:val="nil"/>
                    <w:right w:val="nil"/>
                  </w:tcBorders>
                  <w:shd w:val="clear" w:color="auto" w:fill="auto"/>
                  <w:noWrap/>
                  <w:vAlign w:val="center"/>
                  <w:hideMark/>
                </w:tcPr>
                <w:p w14:paraId="2CD9927D" w14:textId="77777777" w:rsidR="004165D5" w:rsidRPr="00154E08" w:rsidRDefault="004165D5" w:rsidP="004165D5">
                  <w:pPr>
                    <w:spacing w:before="60" w:line="240" w:lineRule="auto"/>
                    <w:jc w:val="both"/>
                    <w:rPr>
                      <w:rFonts w:eastAsia="Calibri" w:cs="Times New Roman"/>
                      <w:color w:val="000000"/>
                      <w:sz w:val="18"/>
                      <w:szCs w:val="18"/>
                    </w:rPr>
                  </w:pPr>
                </w:p>
              </w:tc>
              <w:tc>
                <w:tcPr>
                  <w:tcW w:w="1035" w:type="dxa"/>
                  <w:tcBorders>
                    <w:top w:val="nil"/>
                    <w:left w:val="nil"/>
                    <w:bottom w:val="nil"/>
                    <w:right w:val="nil"/>
                  </w:tcBorders>
                  <w:shd w:val="clear" w:color="auto" w:fill="auto"/>
                  <w:noWrap/>
                  <w:vAlign w:val="center"/>
                  <w:hideMark/>
                </w:tcPr>
                <w:p w14:paraId="31D59E20" w14:textId="77777777" w:rsidR="004165D5" w:rsidRPr="00154E08" w:rsidRDefault="004165D5" w:rsidP="004165D5">
                  <w:pPr>
                    <w:spacing w:before="60" w:line="240" w:lineRule="auto"/>
                    <w:jc w:val="both"/>
                    <w:rPr>
                      <w:rFonts w:eastAsia="Calibri" w:cs="Times New Roman"/>
                      <w:color w:val="000000"/>
                      <w:sz w:val="18"/>
                      <w:szCs w:val="18"/>
                    </w:rPr>
                  </w:pPr>
                </w:p>
              </w:tc>
              <w:tc>
                <w:tcPr>
                  <w:tcW w:w="1553" w:type="dxa"/>
                  <w:tcBorders>
                    <w:top w:val="nil"/>
                    <w:left w:val="nil"/>
                    <w:bottom w:val="nil"/>
                    <w:right w:val="single" w:sz="4" w:space="0" w:color="auto"/>
                  </w:tcBorders>
                  <w:shd w:val="clear" w:color="auto" w:fill="auto"/>
                  <w:noWrap/>
                  <w:vAlign w:val="center"/>
                  <w:hideMark/>
                </w:tcPr>
                <w:p w14:paraId="6B200DDC" w14:textId="77777777" w:rsidR="004165D5" w:rsidRPr="00154E08" w:rsidRDefault="004165D5" w:rsidP="004165D5">
                  <w:pPr>
                    <w:spacing w:before="60" w:line="240" w:lineRule="auto"/>
                    <w:jc w:val="both"/>
                    <w:rPr>
                      <w:rFonts w:eastAsia="Calibri" w:cs="Times New Roman"/>
                      <w:color w:val="000000"/>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000000" w:fill="C65911"/>
                  <w:noWrap/>
                  <w:vAlign w:val="center"/>
                  <w:hideMark/>
                </w:tcPr>
                <w:p w14:paraId="47C0A1C4" w14:textId="77777777" w:rsidR="004165D5" w:rsidRPr="00154E08" w:rsidRDefault="004165D5" w:rsidP="004165D5">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suma</w:t>
                  </w:r>
                </w:p>
              </w:tc>
              <w:tc>
                <w:tcPr>
                  <w:tcW w:w="2071" w:type="dxa"/>
                  <w:tcBorders>
                    <w:top w:val="single" w:sz="4" w:space="0" w:color="auto"/>
                    <w:left w:val="single" w:sz="4" w:space="0" w:color="auto"/>
                    <w:bottom w:val="single" w:sz="4" w:space="0" w:color="auto"/>
                    <w:right w:val="single" w:sz="4" w:space="0" w:color="auto"/>
                  </w:tcBorders>
                  <w:shd w:val="clear" w:color="000000" w:fill="C65911"/>
                  <w:noWrap/>
                  <w:vAlign w:val="center"/>
                  <w:hideMark/>
                </w:tcPr>
                <w:p w14:paraId="440AA4F5" w14:textId="3B2225EA" w:rsidR="004165D5" w:rsidRPr="00154E08" w:rsidRDefault="004165D5" w:rsidP="004165D5">
                  <w:pPr>
                    <w:spacing w:before="60" w:line="240" w:lineRule="auto"/>
                    <w:jc w:val="both"/>
                    <w:rPr>
                      <w:rFonts w:eastAsia="Calibri" w:cs="Times New Roman"/>
                      <w:color w:val="000000"/>
                      <w:sz w:val="18"/>
                      <w:szCs w:val="18"/>
                    </w:rPr>
                  </w:pPr>
                  <w:r w:rsidRPr="00154E08">
                    <w:rPr>
                      <w:rFonts w:cs="Times New Roman"/>
                      <w:color w:val="000000"/>
                      <w:sz w:val="20"/>
                    </w:rPr>
                    <w:t>-1 093,82 zł</w:t>
                  </w:r>
                </w:p>
              </w:tc>
              <w:tc>
                <w:tcPr>
                  <w:tcW w:w="160" w:type="dxa"/>
                  <w:tcBorders>
                    <w:left w:val="single" w:sz="4" w:space="0" w:color="auto"/>
                  </w:tcBorders>
                  <w:vAlign w:val="center"/>
                  <w:hideMark/>
                </w:tcPr>
                <w:p w14:paraId="67673327" w14:textId="77777777" w:rsidR="004165D5" w:rsidRPr="00154E08" w:rsidRDefault="004165D5" w:rsidP="004165D5">
                  <w:pPr>
                    <w:spacing w:before="60" w:line="240" w:lineRule="auto"/>
                    <w:jc w:val="both"/>
                    <w:rPr>
                      <w:rFonts w:eastAsia="Calibri" w:cs="Times New Roman"/>
                      <w:color w:val="000000"/>
                      <w:szCs w:val="24"/>
                    </w:rPr>
                  </w:pPr>
                </w:p>
              </w:tc>
            </w:tr>
          </w:tbl>
          <w:p w14:paraId="63F18A8C" w14:textId="249A7325" w:rsidR="00C6293E" w:rsidRPr="00154E08" w:rsidRDefault="00C6293E" w:rsidP="00C6293E">
            <w:pPr>
              <w:spacing w:before="60" w:line="240" w:lineRule="auto"/>
              <w:jc w:val="both"/>
              <w:rPr>
                <w:rFonts w:eastAsia="Calibri" w:cs="Times New Roman"/>
                <w:color w:val="000000"/>
                <w:sz w:val="18"/>
                <w:szCs w:val="18"/>
              </w:rPr>
            </w:pPr>
            <w:r w:rsidRPr="00154E08">
              <w:rPr>
                <w:rFonts w:eastAsia="Calibri" w:cs="Times New Roman"/>
                <w:color w:val="000000"/>
                <w:sz w:val="18"/>
                <w:szCs w:val="18"/>
              </w:rPr>
              <w:t xml:space="preserve">Źródło: </w:t>
            </w:r>
            <w:r w:rsidR="007D526B" w:rsidRPr="00154E08">
              <w:rPr>
                <w:rFonts w:eastAsia="Calibri" w:cs="Times New Roman"/>
                <w:color w:val="000000"/>
                <w:sz w:val="18"/>
                <w:szCs w:val="18"/>
              </w:rPr>
              <w:t>opracowanie własne MKiŚ</w:t>
            </w:r>
            <w:r w:rsidRPr="00154E08">
              <w:rPr>
                <w:rFonts w:eastAsia="Calibri" w:cs="Times New Roman"/>
                <w:color w:val="000000"/>
                <w:sz w:val="18"/>
                <w:szCs w:val="18"/>
              </w:rPr>
              <w:t xml:space="preserve">. </w:t>
            </w:r>
          </w:p>
          <w:p w14:paraId="048DF3A7" w14:textId="77777777" w:rsidR="003F19A5" w:rsidRPr="00154E08" w:rsidRDefault="003F19A5" w:rsidP="00C6293E">
            <w:pPr>
              <w:spacing w:before="60" w:line="240" w:lineRule="auto"/>
              <w:jc w:val="both"/>
              <w:rPr>
                <w:rFonts w:eastAsia="Calibri" w:cs="Times New Roman"/>
                <w:color w:val="000000"/>
                <w:sz w:val="18"/>
                <w:szCs w:val="18"/>
              </w:rPr>
            </w:pPr>
          </w:p>
          <w:p w14:paraId="6BA20870" w14:textId="00589A8F" w:rsidR="00777165" w:rsidRPr="00154E08" w:rsidRDefault="00C6293E" w:rsidP="00B279FD">
            <w:pPr>
              <w:spacing w:after="120" w:line="240" w:lineRule="auto"/>
              <w:jc w:val="both"/>
              <w:rPr>
                <w:rFonts w:eastAsia="Calibri" w:cs="Times New Roman"/>
                <w:color w:val="000000"/>
                <w:sz w:val="22"/>
                <w:szCs w:val="22"/>
              </w:rPr>
            </w:pPr>
            <w:r w:rsidRPr="00154E08">
              <w:rPr>
                <w:rFonts w:eastAsia="Calibri" w:cs="Times New Roman"/>
                <w:color w:val="000000"/>
                <w:sz w:val="22"/>
                <w:szCs w:val="22"/>
              </w:rPr>
              <w:t xml:space="preserve">Przewiduje się, że wpływy z tytułu opłaty zastępczej będą się systematycznie obniżać, z uwzględnieniem wielkości zużycia energii w sektorze transportu, np. do poziomu </w:t>
            </w:r>
            <w:r w:rsidR="005C244D" w:rsidRPr="00154E08">
              <w:rPr>
                <w:rFonts w:eastAsia="Calibri" w:cs="Times New Roman"/>
                <w:color w:val="000000"/>
                <w:sz w:val="22"/>
                <w:szCs w:val="22"/>
              </w:rPr>
              <w:t>97</w:t>
            </w:r>
            <w:r w:rsidRPr="00154E08">
              <w:rPr>
                <w:rFonts w:eastAsia="Calibri" w:cs="Times New Roman"/>
                <w:color w:val="000000"/>
                <w:sz w:val="22"/>
                <w:szCs w:val="22"/>
              </w:rPr>
              <w:t xml:space="preserve">,5 mln zł w 2025 r.. Dla tego samego roku utracony przychód z tytułu opłaty względem roku zero (2024) wyniesie </w:t>
            </w:r>
            <w:r w:rsidR="008917E3" w:rsidRPr="00154E08">
              <w:rPr>
                <w:rFonts w:eastAsia="Calibri" w:cs="Times New Roman"/>
                <w:color w:val="000000"/>
                <w:sz w:val="22"/>
                <w:szCs w:val="22"/>
              </w:rPr>
              <w:t>31</w:t>
            </w:r>
            <w:r w:rsidRPr="00154E08">
              <w:rPr>
                <w:rFonts w:eastAsia="Calibri" w:cs="Times New Roman"/>
                <w:color w:val="000000"/>
                <w:sz w:val="22"/>
                <w:szCs w:val="22"/>
              </w:rPr>
              <w:t>,</w:t>
            </w:r>
            <w:r w:rsidR="008917E3" w:rsidRPr="00154E08">
              <w:rPr>
                <w:rFonts w:eastAsia="Calibri" w:cs="Times New Roman"/>
                <w:color w:val="000000"/>
                <w:sz w:val="22"/>
                <w:szCs w:val="22"/>
              </w:rPr>
              <w:t xml:space="preserve">2 </w:t>
            </w:r>
            <w:r w:rsidRPr="00154E08">
              <w:rPr>
                <w:rFonts w:eastAsia="Calibri" w:cs="Times New Roman"/>
                <w:color w:val="000000"/>
                <w:sz w:val="22"/>
                <w:szCs w:val="22"/>
              </w:rPr>
              <w:t>mln zł.</w:t>
            </w:r>
            <w:r w:rsidR="002F1BDF" w:rsidRPr="00154E08">
              <w:rPr>
                <w:rFonts w:eastAsia="Calibri" w:cs="Times New Roman"/>
                <w:color w:val="000000"/>
                <w:sz w:val="22"/>
                <w:szCs w:val="22"/>
              </w:rPr>
              <w:t xml:space="preserve"> Szacowane wpływy mają miejsce w roku następnym po roku, którego dotyczy obowiązek NCW.</w:t>
            </w:r>
            <w:r w:rsidR="00777165" w:rsidRPr="00154E08">
              <w:rPr>
                <w:rFonts w:eastAsia="Calibri" w:cs="Times New Roman"/>
                <w:color w:val="000000"/>
                <w:sz w:val="22"/>
                <w:szCs w:val="22"/>
              </w:rPr>
              <w:t xml:space="preserve"> </w:t>
            </w:r>
          </w:p>
          <w:p w14:paraId="69B6A06F" w14:textId="4E4457CC" w:rsidR="00AB1D40" w:rsidRPr="00154E08" w:rsidRDefault="00777165" w:rsidP="00B279FD">
            <w:pPr>
              <w:spacing w:after="120" w:line="240" w:lineRule="auto"/>
              <w:jc w:val="both"/>
              <w:rPr>
                <w:rFonts w:eastAsia="Calibri" w:cs="Times New Roman"/>
                <w:szCs w:val="24"/>
              </w:rPr>
            </w:pPr>
            <w:r w:rsidRPr="00154E08">
              <w:rPr>
                <w:rFonts w:eastAsia="Calibri" w:cs="Times New Roman"/>
                <w:color w:val="000000"/>
                <w:sz w:val="22"/>
                <w:szCs w:val="22"/>
              </w:rPr>
              <w:t>Utracone przez NFOŚiGW w latach 2025-2034 środki będą dotyczyć kwoty -</w:t>
            </w:r>
            <w:r w:rsidR="00A734BB" w:rsidRPr="00154E08">
              <w:rPr>
                <w:rFonts w:eastAsia="Calibri" w:cs="Times New Roman"/>
                <w:color w:val="000000"/>
                <w:sz w:val="22"/>
                <w:szCs w:val="22"/>
              </w:rPr>
              <w:t>601,6</w:t>
            </w:r>
            <w:r w:rsidRPr="00154E08">
              <w:rPr>
                <w:rFonts w:eastAsia="Calibri" w:cs="Times New Roman"/>
                <w:color w:val="000000"/>
                <w:sz w:val="22"/>
                <w:szCs w:val="22"/>
              </w:rPr>
              <w:t xml:space="preserve"> mln zł, przekazywanej do FRPA oraz kwoty -</w:t>
            </w:r>
            <w:r w:rsidR="006F30A8" w:rsidRPr="00154E08">
              <w:rPr>
                <w:rFonts w:eastAsia="Calibri" w:cs="Times New Roman"/>
                <w:color w:val="000000"/>
                <w:sz w:val="22"/>
                <w:szCs w:val="22"/>
              </w:rPr>
              <w:t>492</w:t>
            </w:r>
            <w:r w:rsidRPr="00154E08">
              <w:rPr>
                <w:rFonts w:eastAsia="Calibri" w:cs="Times New Roman"/>
                <w:color w:val="000000"/>
                <w:sz w:val="22"/>
                <w:szCs w:val="22"/>
              </w:rPr>
              <w:t>,</w:t>
            </w:r>
            <w:r w:rsidR="00BD2A97" w:rsidRPr="00154E08">
              <w:rPr>
                <w:rFonts w:eastAsia="Calibri" w:cs="Times New Roman"/>
                <w:color w:val="000000"/>
                <w:sz w:val="22"/>
                <w:szCs w:val="22"/>
              </w:rPr>
              <w:t>2</w:t>
            </w:r>
            <w:r w:rsidRPr="00154E08">
              <w:rPr>
                <w:rFonts w:eastAsia="Calibri" w:cs="Times New Roman"/>
                <w:color w:val="000000"/>
                <w:sz w:val="22"/>
                <w:szCs w:val="22"/>
              </w:rPr>
              <w:t xml:space="preserve"> mln zł stanowiącej przychód zobowiązania wieloletniego „Fundusz Niskoemisyjnego Transportu”.</w:t>
            </w:r>
          </w:p>
        </w:tc>
        <w:tc>
          <w:tcPr>
            <w:tcW w:w="1256" w:type="dxa"/>
          </w:tcPr>
          <w:p w14:paraId="1E35B531" w14:textId="77777777" w:rsidR="00AB1D40" w:rsidRPr="00154E08" w:rsidRDefault="00AB1D40" w:rsidP="00AB1D40">
            <w:pPr>
              <w:rPr>
                <w:rFonts w:cs="Times New Roman"/>
              </w:rPr>
            </w:pPr>
          </w:p>
        </w:tc>
      </w:tr>
      <w:tr w:rsidR="00AB1D40" w:rsidRPr="00154E08" w14:paraId="0C06B03C" w14:textId="77777777" w:rsidTr="3E65ED00">
        <w:trPr>
          <w:trHeight w:val="345"/>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576B5355" w14:textId="2B02FC46" w:rsidR="00AB1D40" w:rsidRPr="00154E08" w:rsidRDefault="00AB1D40" w:rsidP="00AB1D40">
            <w:pPr>
              <w:keepNext/>
              <w:keepLines/>
              <w:spacing w:before="120" w:after="120" w:line="240" w:lineRule="auto"/>
              <w:jc w:val="both"/>
              <w:rPr>
                <w:rFonts w:eastAsia="Calibri" w:cs="Times New Roman"/>
                <w:b/>
                <w:color w:val="000000"/>
                <w:sz w:val="22"/>
                <w:szCs w:val="22"/>
              </w:rPr>
            </w:pPr>
            <w:r w:rsidRPr="00154E08">
              <w:rPr>
                <w:rFonts w:eastAsia="Calibri" w:cs="Times New Roman"/>
                <w:b/>
                <w:color w:val="000000"/>
                <w:spacing w:val="-2"/>
                <w:sz w:val="22"/>
                <w:szCs w:val="22"/>
              </w:rPr>
              <w:lastRenderedPageBreak/>
              <w:t xml:space="preserve">7. Wpływ na </w:t>
            </w:r>
            <w:r w:rsidRPr="00154E08">
              <w:rPr>
                <w:rFonts w:eastAsia="Calibri" w:cs="Times New Roman"/>
                <w:b/>
                <w:color w:val="000000"/>
                <w:sz w:val="22"/>
                <w:szCs w:val="22"/>
              </w:rPr>
              <w:t xml:space="preserve">konkurencyjność gospodarki i przedsiębiorczość, w tym funkcjonowanie przedsiębiorców oraz na rodzinę, obywateli i gospodarstwa domowe, </w:t>
            </w:r>
            <w:r w:rsidRPr="00154E08">
              <w:rPr>
                <w:rFonts w:eastAsia="Times New Roman" w:cs="Times New Roman"/>
                <w:b/>
                <w:color w:val="000000"/>
                <w:sz w:val="22"/>
                <w:szCs w:val="22"/>
              </w:rPr>
              <w:t>a także osoby niepełnosprawne oraz starsze</w:t>
            </w:r>
            <w:r w:rsidRPr="00154E08">
              <w:rPr>
                <w:rFonts w:eastAsia="Calibri" w:cs="Times New Roman"/>
                <w:b/>
                <w:color w:val="000000"/>
                <w:sz w:val="22"/>
                <w:szCs w:val="22"/>
              </w:rPr>
              <w:t xml:space="preserve"> </w:t>
            </w:r>
          </w:p>
        </w:tc>
        <w:tc>
          <w:tcPr>
            <w:tcW w:w="1256" w:type="dxa"/>
          </w:tcPr>
          <w:p w14:paraId="4B68BC25" w14:textId="77777777" w:rsidR="00AB1D40" w:rsidRPr="00154E08" w:rsidRDefault="00AB1D40" w:rsidP="00AB1D40">
            <w:pPr>
              <w:rPr>
                <w:rFonts w:cs="Times New Roman"/>
              </w:rPr>
            </w:pPr>
          </w:p>
        </w:tc>
      </w:tr>
      <w:tr w:rsidR="00AB1D40" w:rsidRPr="00154E08" w14:paraId="1CFA8F3F"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A3AAA3" w14:textId="77777777" w:rsidR="00AB1D40" w:rsidRPr="00154E08" w:rsidRDefault="00AB1D40" w:rsidP="00AB1D40">
            <w:pPr>
              <w:spacing w:line="240" w:lineRule="auto"/>
              <w:jc w:val="center"/>
              <w:rPr>
                <w:rFonts w:eastAsia="Calibri" w:cs="Times New Roman"/>
                <w:color w:val="000000"/>
                <w:spacing w:val="-2"/>
                <w:sz w:val="22"/>
                <w:szCs w:val="22"/>
              </w:rPr>
            </w:pPr>
            <w:r w:rsidRPr="00154E08">
              <w:rPr>
                <w:rFonts w:eastAsia="Calibri" w:cs="Times New Roman"/>
                <w:color w:val="000000"/>
                <w:spacing w:val="-2"/>
                <w:sz w:val="22"/>
                <w:szCs w:val="22"/>
              </w:rPr>
              <w:t>Skutki</w:t>
            </w:r>
          </w:p>
        </w:tc>
        <w:tc>
          <w:tcPr>
            <w:tcW w:w="1256" w:type="dxa"/>
          </w:tcPr>
          <w:p w14:paraId="5CD61BEF" w14:textId="77777777" w:rsidR="00AB1D40" w:rsidRPr="00154E08" w:rsidRDefault="00AB1D40" w:rsidP="00AB1D40">
            <w:pPr>
              <w:rPr>
                <w:rFonts w:cs="Times New Roman"/>
                <w:sz w:val="22"/>
                <w:szCs w:val="22"/>
              </w:rPr>
            </w:pPr>
          </w:p>
        </w:tc>
      </w:tr>
      <w:tr w:rsidR="00EF5035" w:rsidRPr="00154E08" w14:paraId="2C9BBFE6" w14:textId="77777777" w:rsidTr="3E65ED00">
        <w:trPr>
          <w:gridAfter w:val="1"/>
          <w:wAfter w:w="1256" w:type="dxa"/>
          <w:trHeight w:val="142"/>
        </w:trPr>
        <w:tc>
          <w:tcPr>
            <w:tcW w:w="2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561B2F" w14:textId="77777777" w:rsidR="00AB1D40" w:rsidRPr="00154E08" w:rsidRDefault="00AB1D40" w:rsidP="00AB1D40">
            <w:pPr>
              <w:spacing w:line="240" w:lineRule="auto"/>
              <w:rPr>
                <w:rFonts w:eastAsia="Calibri" w:cs="Times New Roman"/>
                <w:color w:val="000000"/>
                <w:sz w:val="22"/>
                <w:szCs w:val="22"/>
              </w:rPr>
            </w:pPr>
            <w:r w:rsidRPr="00154E08">
              <w:rPr>
                <w:rFonts w:eastAsia="Calibri" w:cs="Times New Roman"/>
                <w:color w:val="000000"/>
                <w:sz w:val="22"/>
                <w:szCs w:val="22"/>
              </w:rPr>
              <w:t>Czas w latach od wejścia w życie zmian</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5DB5DD" w14:textId="77777777" w:rsidR="00AB1D40" w:rsidRPr="00154E08" w:rsidRDefault="00AB1D40" w:rsidP="00AB1D40">
            <w:pPr>
              <w:spacing w:line="240" w:lineRule="auto"/>
              <w:jc w:val="center"/>
              <w:rPr>
                <w:rFonts w:eastAsia="Calibri" w:cs="Times New Roman"/>
                <w:color w:val="000000"/>
                <w:sz w:val="22"/>
                <w:szCs w:val="22"/>
              </w:rPr>
            </w:pPr>
            <w:r w:rsidRPr="00154E08">
              <w:rPr>
                <w:rFonts w:eastAsia="Calibri" w:cs="Times New Roman"/>
                <w:color w:val="000000"/>
                <w:sz w:val="22"/>
                <w:szCs w:val="22"/>
              </w:rPr>
              <w:t>0</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16A652" w14:textId="77777777" w:rsidR="00AB1D40" w:rsidRPr="00154E08" w:rsidRDefault="00AB1D40" w:rsidP="00AB1D40">
            <w:pPr>
              <w:spacing w:line="240" w:lineRule="auto"/>
              <w:jc w:val="center"/>
              <w:rPr>
                <w:rFonts w:eastAsia="Calibri" w:cs="Times New Roman"/>
                <w:color w:val="000000"/>
                <w:sz w:val="22"/>
                <w:szCs w:val="22"/>
              </w:rPr>
            </w:pPr>
            <w:r w:rsidRPr="00154E08">
              <w:rPr>
                <w:rFonts w:eastAsia="Calibri" w:cs="Times New Roman"/>
                <w:color w:val="000000"/>
                <w:sz w:val="22"/>
                <w:szCs w:val="22"/>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752C1" w14:textId="77777777" w:rsidR="00AB1D40" w:rsidRPr="00154E08" w:rsidRDefault="00AB1D40" w:rsidP="00AB1D40">
            <w:pPr>
              <w:spacing w:line="240" w:lineRule="auto"/>
              <w:jc w:val="center"/>
              <w:rPr>
                <w:rFonts w:eastAsia="Calibri" w:cs="Times New Roman"/>
                <w:color w:val="000000"/>
                <w:sz w:val="22"/>
                <w:szCs w:val="22"/>
              </w:rPr>
            </w:pPr>
            <w:r w:rsidRPr="00154E08">
              <w:rPr>
                <w:rFonts w:eastAsia="Calibri" w:cs="Times New Roman"/>
                <w:color w:val="000000"/>
                <w:sz w:val="22"/>
                <w:szCs w:val="22"/>
              </w:rPr>
              <w:t>2</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2EB471" w14:textId="77777777" w:rsidR="00AB1D40" w:rsidRPr="00154E08" w:rsidRDefault="00AB1D40" w:rsidP="00AB1D40">
            <w:pPr>
              <w:spacing w:line="240" w:lineRule="auto"/>
              <w:jc w:val="center"/>
              <w:rPr>
                <w:rFonts w:eastAsia="Calibri" w:cs="Times New Roman"/>
                <w:color w:val="000000"/>
                <w:sz w:val="22"/>
                <w:szCs w:val="22"/>
              </w:rPr>
            </w:pPr>
            <w:r w:rsidRPr="00154E08">
              <w:rPr>
                <w:rFonts w:eastAsia="Calibri" w:cs="Times New Roman"/>
                <w:color w:val="000000"/>
                <w:sz w:val="22"/>
                <w:szCs w:val="22"/>
              </w:rPr>
              <w:t>3</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CD367C" w14:textId="77777777" w:rsidR="00AB1D40" w:rsidRPr="00154E08" w:rsidRDefault="00AB1D40" w:rsidP="00AB1D40">
            <w:pPr>
              <w:spacing w:line="240" w:lineRule="auto"/>
              <w:jc w:val="center"/>
              <w:rPr>
                <w:rFonts w:eastAsia="Calibri" w:cs="Times New Roman"/>
                <w:color w:val="000000"/>
                <w:sz w:val="22"/>
                <w:szCs w:val="22"/>
              </w:rPr>
            </w:pPr>
            <w:r w:rsidRPr="00154E08">
              <w:rPr>
                <w:rFonts w:eastAsia="Calibri" w:cs="Times New Roman"/>
                <w:color w:val="000000"/>
                <w:sz w:val="22"/>
                <w:szCs w:val="22"/>
              </w:rPr>
              <w:t>5</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AFE806" w14:textId="77777777" w:rsidR="00AB1D40" w:rsidRPr="00154E08" w:rsidRDefault="00AB1D40" w:rsidP="00AB1D40">
            <w:pPr>
              <w:spacing w:line="240" w:lineRule="auto"/>
              <w:jc w:val="center"/>
              <w:rPr>
                <w:rFonts w:eastAsia="Calibri" w:cs="Times New Roman"/>
                <w:color w:val="000000"/>
                <w:sz w:val="22"/>
                <w:szCs w:val="22"/>
              </w:rPr>
            </w:pPr>
            <w:r w:rsidRPr="00154E08">
              <w:rPr>
                <w:rFonts w:eastAsia="Calibri" w:cs="Times New Roman"/>
                <w:color w:val="000000"/>
                <w:sz w:val="22"/>
                <w:szCs w:val="22"/>
              </w:rPr>
              <w:t>10</w:t>
            </w:r>
          </w:p>
        </w:tc>
        <w:tc>
          <w:tcPr>
            <w:tcW w:w="36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64F1C4" w14:textId="511BA38E" w:rsidR="00AB1D40" w:rsidRPr="00154E08" w:rsidRDefault="00AB1D40" w:rsidP="00AB1D40">
            <w:pPr>
              <w:spacing w:line="240" w:lineRule="auto"/>
              <w:jc w:val="center"/>
              <w:rPr>
                <w:rFonts w:eastAsia="Calibri" w:cs="Times New Roman"/>
                <w:i/>
                <w:color w:val="000000"/>
                <w:spacing w:val="-2"/>
                <w:sz w:val="22"/>
                <w:szCs w:val="22"/>
              </w:rPr>
            </w:pPr>
            <w:r w:rsidRPr="00154E08">
              <w:rPr>
                <w:rFonts w:eastAsia="Calibri" w:cs="Times New Roman"/>
                <w:i/>
                <w:color w:val="000000"/>
                <w:spacing w:val="-2"/>
                <w:sz w:val="22"/>
                <w:szCs w:val="22"/>
              </w:rPr>
              <w:t>Łącznie (0 –10)</w:t>
            </w:r>
          </w:p>
        </w:tc>
      </w:tr>
      <w:tr w:rsidR="004C796F" w:rsidRPr="00154E08" w14:paraId="1F5EA8FA" w14:textId="77777777" w:rsidTr="00154E08">
        <w:trPr>
          <w:gridAfter w:val="1"/>
          <w:wAfter w:w="1256" w:type="dxa"/>
          <w:trHeight w:val="142"/>
        </w:trPr>
        <w:tc>
          <w:tcPr>
            <w:tcW w:w="13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E1DB045" w14:textId="77777777" w:rsidR="00AB1D40" w:rsidRPr="00154E08" w:rsidRDefault="00AB1D40" w:rsidP="00AB1D40">
            <w:pPr>
              <w:spacing w:line="276" w:lineRule="auto"/>
              <w:rPr>
                <w:rFonts w:eastAsia="Calibri" w:cs="Times New Roman"/>
                <w:color w:val="000000"/>
                <w:sz w:val="22"/>
                <w:szCs w:val="22"/>
              </w:rPr>
            </w:pPr>
            <w:r w:rsidRPr="00154E08">
              <w:rPr>
                <w:rFonts w:eastAsia="Calibri" w:cs="Times New Roman"/>
                <w:color w:val="000000"/>
                <w:sz w:val="22"/>
                <w:szCs w:val="22"/>
              </w:rPr>
              <w:t>W ujęciu pieniężnym</w:t>
            </w:r>
          </w:p>
          <w:p w14:paraId="04003F7B" w14:textId="77777777" w:rsidR="00AB1D40" w:rsidRPr="00154E08" w:rsidRDefault="00AB1D40" w:rsidP="00AB1D40">
            <w:pPr>
              <w:spacing w:line="276" w:lineRule="auto"/>
              <w:rPr>
                <w:rFonts w:eastAsia="Calibri" w:cs="Times New Roman"/>
                <w:spacing w:val="-2"/>
                <w:sz w:val="22"/>
                <w:szCs w:val="22"/>
              </w:rPr>
            </w:pPr>
            <w:r w:rsidRPr="00154E08">
              <w:rPr>
                <w:rFonts w:eastAsia="Calibri" w:cs="Times New Roman"/>
                <w:spacing w:val="-2"/>
                <w:sz w:val="22"/>
                <w:szCs w:val="22"/>
              </w:rPr>
              <w:t xml:space="preserve">(w mln zł, </w:t>
            </w:r>
          </w:p>
          <w:p w14:paraId="18900144" w14:textId="36312C51" w:rsidR="00AB1D40" w:rsidRPr="00154E08" w:rsidRDefault="00AB1D40" w:rsidP="00AB1D40">
            <w:pPr>
              <w:spacing w:line="240" w:lineRule="auto"/>
              <w:rPr>
                <w:rFonts w:eastAsia="Calibri" w:cs="Times New Roman"/>
                <w:color w:val="000000"/>
                <w:sz w:val="22"/>
                <w:szCs w:val="22"/>
              </w:rPr>
            </w:pPr>
            <w:r w:rsidRPr="00154E08">
              <w:rPr>
                <w:rFonts w:eastAsia="Calibri" w:cs="Times New Roman"/>
                <w:spacing w:val="-2"/>
                <w:sz w:val="22"/>
                <w:szCs w:val="22"/>
              </w:rPr>
              <w:t>ceny stałe z</w:t>
            </w:r>
            <w:r w:rsidR="004C796F" w:rsidRPr="00154E08">
              <w:rPr>
                <w:rFonts w:eastAsia="Calibri" w:cs="Times New Roman"/>
                <w:spacing w:val="-2"/>
                <w:sz w:val="22"/>
                <w:szCs w:val="22"/>
              </w:rPr>
              <w:t xml:space="preserve"> 2024</w:t>
            </w:r>
            <w:r w:rsidRPr="00154E08">
              <w:rPr>
                <w:rFonts w:eastAsia="Calibri" w:cs="Times New Roman"/>
                <w:spacing w:val="-2"/>
                <w:sz w:val="22"/>
                <w:szCs w:val="22"/>
              </w:rPr>
              <w:t xml:space="preserve"> r.)</w:t>
            </w:r>
          </w:p>
        </w:tc>
        <w:tc>
          <w:tcPr>
            <w:tcW w:w="1459"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678D4E4A" w14:textId="77777777" w:rsidR="00AB1D40" w:rsidRPr="00154E08" w:rsidRDefault="00AB1D40" w:rsidP="00AB1D40">
            <w:pPr>
              <w:spacing w:line="240" w:lineRule="auto"/>
              <w:rPr>
                <w:rFonts w:eastAsia="Calibri" w:cs="Times New Roman"/>
                <w:color w:val="000000"/>
                <w:sz w:val="22"/>
                <w:szCs w:val="22"/>
              </w:rPr>
            </w:pPr>
            <w:r w:rsidRPr="00154E08">
              <w:rPr>
                <w:rFonts w:eastAsia="Calibri" w:cs="Times New Roman"/>
                <w:color w:val="000000"/>
                <w:sz w:val="22"/>
                <w:szCs w:val="22"/>
              </w:rPr>
              <w:t>duże przedsiębiorstwa</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015CC0"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5012DB"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F044FB"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9340D4"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2AD137"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A920C5" w14:textId="77777777" w:rsidR="00AB1D40" w:rsidRPr="00154E08" w:rsidRDefault="00AB1D40" w:rsidP="00AB1D40">
            <w:pPr>
              <w:spacing w:line="240" w:lineRule="auto"/>
              <w:rPr>
                <w:rFonts w:eastAsia="Calibri" w:cs="Times New Roman"/>
                <w:color w:val="000000"/>
                <w:sz w:val="22"/>
                <w:szCs w:val="22"/>
              </w:rPr>
            </w:pPr>
          </w:p>
        </w:tc>
        <w:tc>
          <w:tcPr>
            <w:tcW w:w="36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5AEDB9" w14:textId="1FB9F10D" w:rsidR="00AB1D40" w:rsidRPr="00154E08" w:rsidRDefault="00AB1D40" w:rsidP="00AB1D40">
            <w:pPr>
              <w:spacing w:line="240" w:lineRule="auto"/>
              <w:rPr>
                <w:rFonts w:eastAsia="Calibri" w:cs="Times New Roman"/>
                <w:color w:val="000000"/>
                <w:spacing w:val="-2"/>
                <w:sz w:val="22"/>
                <w:szCs w:val="22"/>
              </w:rPr>
            </w:pPr>
            <w:r w:rsidRPr="00154E08">
              <w:rPr>
                <w:rFonts w:eastAsia="Calibri" w:cs="Times New Roman"/>
                <w:color w:val="000000"/>
                <w:spacing w:val="-2"/>
                <w:sz w:val="22"/>
                <w:szCs w:val="22"/>
              </w:rPr>
              <w:t xml:space="preserve">10 400 </w:t>
            </w:r>
          </w:p>
        </w:tc>
      </w:tr>
      <w:tr w:rsidR="004C796F" w:rsidRPr="00154E08" w14:paraId="124ED5E1" w14:textId="77777777" w:rsidTr="00154E08">
        <w:trPr>
          <w:gridAfter w:val="1"/>
          <w:wAfter w:w="1256" w:type="dxa"/>
          <w:trHeight w:val="142"/>
        </w:trPr>
        <w:tc>
          <w:tcPr>
            <w:tcW w:w="1317" w:type="dxa"/>
            <w:vMerge/>
            <w:tcBorders>
              <w:top w:val="single" w:sz="4" w:space="0" w:color="auto"/>
              <w:left w:val="single" w:sz="4" w:space="0" w:color="auto"/>
              <w:bottom w:val="single" w:sz="4" w:space="0" w:color="auto"/>
            </w:tcBorders>
          </w:tcPr>
          <w:p w14:paraId="0D853F56" w14:textId="77777777" w:rsidR="00AB1D40" w:rsidRPr="00154E08" w:rsidRDefault="00AB1D40" w:rsidP="00AB1D40">
            <w:pPr>
              <w:spacing w:line="240" w:lineRule="auto"/>
              <w:rPr>
                <w:rFonts w:eastAsia="Calibri" w:cs="Times New Roman"/>
                <w:color w:val="000000"/>
                <w:sz w:val="22"/>
                <w:szCs w:val="22"/>
              </w:rPr>
            </w:pPr>
          </w:p>
        </w:tc>
        <w:tc>
          <w:tcPr>
            <w:tcW w:w="1459"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4BDB88C7" w14:textId="2C5E6889" w:rsidR="00AB1D40" w:rsidRPr="00154E08" w:rsidRDefault="00AB1D40" w:rsidP="00AB1D40">
            <w:pPr>
              <w:spacing w:line="240" w:lineRule="auto"/>
              <w:rPr>
                <w:rFonts w:eastAsia="Calibri" w:cs="Times New Roman"/>
                <w:color w:val="000000"/>
                <w:sz w:val="22"/>
                <w:szCs w:val="22"/>
              </w:rPr>
            </w:pPr>
            <w:r w:rsidRPr="00154E08">
              <w:rPr>
                <w:rFonts w:eastAsia="Calibri" w:cs="Times New Roman"/>
                <w:color w:val="000000"/>
                <w:sz w:val="22"/>
                <w:szCs w:val="22"/>
              </w:rPr>
              <w:t>sektor mikro –, małych i średnich przedsiębiorstw</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1B1F85"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951A5D"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2154F3"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C4CF28"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4C2C6B"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50B426" w14:textId="77777777" w:rsidR="00AB1D40" w:rsidRPr="00154E08" w:rsidRDefault="00AB1D40" w:rsidP="00AB1D40">
            <w:pPr>
              <w:spacing w:line="240" w:lineRule="auto"/>
              <w:rPr>
                <w:rFonts w:eastAsia="Calibri" w:cs="Times New Roman"/>
                <w:color w:val="000000"/>
                <w:sz w:val="22"/>
                <w:szCs w:val="22"/>
              </w:rPr>
            </w:pPr>
          </w:p>
        </w:tc>
        <w:tc>
          <w:tcPr>
            <w:tcW w:w="36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1C0740" w14:textId="1F290CD5" w:rsidR="00AB1D40" w:rsidRPr="00154E08" w:rsidRDefault="00AB1D40" w:rsidP="00AB1D40">
            <w:pPr>
              <w:spacing w:line="240" w:lineRule="auto"/>
              <w:rPr>
                <w:rFonts w:eastAsia="Calibri" w:cs="Times New Roman"/>
                <w:color w:val="000000"/>
                <w:spacing w:val="-2"/>
                <w:sz w:val="22"/>
                <w:szCs w:val="22"/>
              </w:rPr>
            </w:pPr>
            <w:r w:rsidRPr="00154E08">
              <w:rPr>
                <w:rFonts w:eastAsia="Calibri" w:cs="Times New Roman"/>
                <w:color w:val="000000"/>
                <w:spacing w:val="-2"/>
                <w:sz w:val="22"/>
                <w:szCs w:val="22"/>
              </w:rPr>
              <w:t xml:space="preserve">1 300 </w:t>
            </w:r>
          </w:p>
        </w:tc>
      </w:tr>
      <w:tr w:rsidR="004C796F" w:rsidRPr="00154E08" w14:paraId="29C4A0CE" w14:textId="77777777" w:rsidTr="00154E08">
        <w:trPr>
          <w:gridAfter w:val="1"/>
          <w:wAfter w:w="1256" w:type="dxa"/>
          <w:trHeight w:val="142"/>
        </w:trPr>
        <w:tc>
          <w:tcPr>
            <w:tcW w:w="1317" w:type="dxa"/>
            <w:vMerge/>
            <w:tcBorders>
              <w:top w:val="single" w:sz="4" w:space="0" w:color="auto"/>
              <w:left w:val="single" w:sz="4" w:space="0" w:color="auto"/>
              <w:bottom w:val="single" w:sz="4" w:space="0" w:color="auto"/>
            </w:tcBorders>
          </w:tcPr>
          <w:p w14:paraId="756FD1FB" w14:textId="77777777" w:rsidR="00AB1D40" w:rsidRPr="00154E08" w:rsidRDefault="00AB1D40" w:rsidP="00AB1D40">
            <w:pPr>
              <w:spacing w:line="240" w:lineRule="auto"/>
              <w:rPr>
                <w:rFonts w:eastAsia="Calibri" w:cs="Times New Roman"/>
                <w:color w:val="000000"/>
                <w:sz w:val="22"/>
                <w:szCs w:val="22"/>
              </w:rPr>
            </w:pPr>
          </w:p>
        </w:tc>
        <w:tc>
          <w:tcPr>
            <w:tcW w:w="1459"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5DD781B1" w14:textId="77777777" w:rsidR="00AB1D40" w:rsidRPr="00154E08" w:rsidRDefault="00AB1D40" w:rsidP="00AB1D40">
            <w:pPr>
              <w:spacing w:line="240" w:lineRule="auto"/>
              <w:rPr>
                <w:rFonts w:eastAsia="Calibri" w:cs="Times New Roman"/>
                <w:color w:val="000000"/>
                <w:sz w:val="22"/>
                <w:szCs w:val="22"/>
              </w:rPr>
            </w:pPr>
            <w:r w:rsidRPr="00154E08">
              <w:rPr>
                <w:rFonts w:eastAsia="Calibri" w:cs="Times New Roman"/>
                <w:sz w:val="22"/>
                <w:szCs w:val="22"/>
              </w:rPr>
              <w:t xml:space="preserve">rodzina, obywatele oraz gospodarstwa </w:t>
            </w:r>
            <w:r w:rsidRPr="00154E08">
              <w:rPr>
                <w:rFonts w:eastAsia="Calibri" w:cs="Times New Roman"/>
                <w:sz w:val="22"/>
                <w:szCs w:val="22"/>
              </w:rPr>
              <w:lastRenderedPageBreak/>
              <w:t>domowe</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9758B7"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333028"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CB59E8"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44D7EC"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1C4CE0"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BE2CE7" w14:textId="77777777" w:rsidR="00AB1D40" w:rsidRPr="00154E08" w:rsidRDefault="00AB1D40" w:rsidP="00AB1D40">
            <w:pPr>
              <w:spacing w:line="240" w:lineRule="auto"/>
              <w:rPr>
                <w:rFonts w:eastAsia="Calibri" w:cs="Times New Roman"/>
                <w:color w:val="000000"/>
                <w:sz w:val="22"/>
                <w:szCs w:val="22"/>
              </w:rPr>
            </w:pPr>
          </w:p>
        </w:tc>
        <w:tc>
          <w:tcPr>
            <w:tcW w:w="36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CD79C1" w14:textId="4CC942CC" w:rsidR="00AB1D40" w:rsidRPr="00154E08" w:rsidRDefault="004C796F" w:rsidP="004C796F">
            <w:pPr>
              <w:spacing w:line="240" w:lineRule="auto"/>
              <w:rPr>
                <w:rFonts w:eastAsia="Calibri" w:cs="Times New Roman"/>
                <w:color w:val="000000"/>
                <w:spacing w:val="-2"/>
                <w:sz w:val="22"/>
                <w:szCs w:val="22"/>
              </w:rPr>
            </w:pPr>
            <w:r w:rsidRPr="00154E08">
              <w:rPr>
                <w:rFonts w:eastAsia="Calibri" w:cs="Times New Roman"/>
                <w:color w:val="000000"/>
                <w:spacing w:val="-2"/>
                <w:sz w:val="22"/>
                <w:szCs w:val="22"/>
              </w:rPr>
              <w:t>Szacowany koszt przeprowadzonych inwestycji do 2030 r. alokowany do ceny litra paliwa to ok. 8 gr.</w:t>
            </w:r>
          </w:p>
        </w:tc>
      </w:tr>
      <w:tr w:rsidR="004C796F" w:rsidRPr="00154E08" w14:paraId="37A93DC6" w14:textId="77777777" w:rsidTr="00154E08">
        <w:trPr>
          <w:gridAfter w:val="1"/>
          <w:wAfter w:w="1256" w:type="dxa"/>
          <w:trHeight w:val="142"/>
        </w:trPr>
        <w:tc>
          <w:tcPr>
            <w:tcW w:w="1317" w:type="dxa"/>
            <w:vMerge/>
            <w:tcBorders>
              <w:top w:val="single" w:sz="4" w:space="0" w:color="auto"/>
              <w:left w:val="single" w:sz="4" w:space="0" w:color="auto"/>
              <w:bottom w:val="single" w:sz="4" w:space="0" w:color="auto"/>
            </w:tcBorders>
          </w:tcPr>
          <w:p w14:paraId="7759C172" w14:textId="77777777" w:rsidR="00AB1D40" w:rsidRPr="00154E08" w:rsidRDefault="00AB1D40" w:rsidP="00AB1D40">
            <w:pPr>
              <w:spacing w:line="240" w:lineRule="auto"/>
              <w:rPr>
                <w:rFonts w:eastAsia="Calibri" w:cs="Times New Roman"/>
                <w:color w:val="000000"/>
                <w:sz w:val="22"/>
                <w:szCs w:val="22"/>
              </w:rPr>
            </w:pPr>
          </w:p>
        </w:tc>
        <w:tc>
          <w:tcPr>
            <w:tcW w:w="1459"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495F1E9C" w14:textId="77777777" w:rsidR="00AB1D40" w:rsidRPr="00154E08" w:rsidRDefault="00AB1D40" w:rsidP="00AB1D40">
            <w:pPr>
              <w:spacing w:line="240" w:lineRule="auto"/>
              <w:rPr>
                <w:rFonts w:eastAsia="Calibri" w:cs="Times New Roman"/>
                <w:color w:val="000000"/>
                <w:sz w:val="22"/>
                <w:szCs w:val="22"/>
              </w:rPr>
            </w:pPr>
            <w:r w:rsidRPr="00154E08">
              <w:rPr>
                <w:rFonts w:eastAsia="Calibri" w:cs="Times New Roman"/>
                <w:color w:val="000000"/>
                <w:sz w:val="22"/>
                <w:szCs w:val="22"/>
              </w:rPr>
              <w:t>osoby niepełnosprawne i starsze</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262B99"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638020"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37028C"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69942B"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661142" w14:textId="77777777" w:rsidR="00AB1D40" w:rsidRPr="00154E08" w:rsidRDefault="00AB1D40" w:rsidP="00AB1D40">
            <w:pPr>
              <w:spacing w:line="240" w:lineRule="auto"/>
              <w:rPr>
                <w:rFonts w:eastAsia="Calibri" w:cs="Times New Roman"/>
                <w:color w:val="000000"/>
                <w:sz w:val="22"/>
                <w:szCs w:val="22"/>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B0F070" w14:textId="77777777" w:rsidR="00AB1D40" w:rsidRPr="00154E08" w:rsidRDefault="00AB1D40" w:rsidP="00AB1D40">
            <w:pPr>
              <w:spacing w:line="240" w:lineRule="auto"/>
              <w:rPr>
                <w:rFonts w:eastAsia="Calibri" w:cs="Times New Roman"/>
                <w:color w:val="000000"/>
                <w:sz w:val="22"/>
                <w:szCs w:val="22"/>
              </w:rPr>
            </w:pPr>
          </w:p>
        </w:tc>
        <w:tc>
          <w:tcPr>
            <w:tcW w:w="36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04BBE7" w14:textId="2F0C8BDB" w:rsidR="00AB1D40" w:rsidRPr="00154E08" w:rsidRDefault="00AB1D40" w:rsidP="00AB1D40">
            <w:pPr>
              <w:spacing w:line="240" w:lineRule="auto"/>
              <w:rPr>
                <w:rFonts w:eastAsia="Calibri" w:cs="Times New Roman"/>
                <w:color w:val="000000"/>
                <w:spacing w:val="-2"/>
                <w:sz w:val="22"/>
                <w:szCs w:val="22"/>
              </w:rPr>
            </w:pPr>
            <w:r w:rsidRPr="00154E08">
              <w:rPr>
                <w:rFonts w:eastAsia="Calibri" w:cs="Times New Roman"/>
                <w:color w:val="000000"/>
                <w:spacing w:val="-2"/>
                <w:sz w:val="22"/>
                <w:szCs w:val="22"/>
              </w:rPr>
              <w:t>nie dotyczy</w:t>
            </w:r>
          </w:p>
        </w:tc>
      </w:tr>
      <w:tr w:rsidR="004C796F" w:rsidRPr="00154E08" w14:paraId="4B5FD487" w14:textId="77777777" w:rsidTr="00154E08">
        <w:trPr>
          <w:trHeight w:val="142"/>
        </w:trPr>
        <w:tc>
          <w:tcPr>
            <w:tcW w:w="13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2B398E3" w14:textId="77777777" w:rsidR="00AB1D40" w:rsidRPr="00154E08" w:rsidRDefault="00AB1D40" w:rsidP="00AB1D40">
            <w:pPr>
              <w:spacing w:line="240" w:lineRule="auto"/>
              <w:rPr>
                <w:rFonts w:eastAsia="Calibri" w:cs="Times New Roman"/>
                <w:color w:val="000000"/>
                <w:sz w:val="22"/>
                <w:szCs w:val="22"/>
              </w:rPr>
            </w:pPr>
            <w:r w:rsidRPr="00154E08">
              <w:rPr>
                <w:rFonts w:eastAsia="Calibri" w:cs="Times New Roman"/>
                <w:color w:val="000000"/>
                <w:sz w:val="22"/>
                <w:szCs w:val="22"/>
              </w:rPr>
              <w:t>W ujęciu niepieniężnym</w:t>
            </w:r>
          </w:p>
        </w:tc>
        <w:tc>
          <w:tcPr>
            <w:tcW w:w="1459"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6EFD3300" w14:textId="77777777" w:rsidR="00AB1D40" w:rsidRPr="00154E08" w:rsidRDefault="00AB1D40" w:rsidP="00AB1D40">
            <w:pPr>
              <w:spacing w:line="240" w:lineRule="auto"/>
              <w:rPr>
                <w:rFonts w:eastAsia="Calibri" w:cs="Times New Roman"/>
                <w:color w:val="000000"/>
                <w:sz w:val="22"/>
                <w:szCs w:val="22"/>
              </w:rPr>
            </w:pPr>
            <w:r w:rsidRPr="00154E08">
              <w:rPr>
                <w:rFonts w:eastAsia="Calibri" w:cs="Times New Roman"/>
                <w:color w:val="000000"/>
                <w:sz w:val="22"/>
                <w:szCs w:val="22"/>
              </w:rPr>
              <w:t>duże przedsiębiorstwa</w:t>
            </w:r>
          </w:p>
        </w:tc>
        <w:tc>
          <w:tcPr>
            <w:tcW w:w="801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F0B0E5" w14:textId="3E8E1500"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iCs/>
                <w:spacing w:val="-2"/>
                <w:sz w:val="22"/>
                <w:szCs w:val="22"/>
              </w:rPr>
              <w:t>Projekt ustawy</w:t>
            </w:r>
            <w:r w:rsidRPr="00154E08">
              <w:rPr>
                <w:rFonts w:eastAsia="Calibri" w:cs="Times New Roman"/>
                <w:spacing w:val="-2"/>
                <w:sz w:val="22"/>
                <w:szCs w:val="22"/>
              </w:rPr>
              <w:t xml:space="preserve"> będzie miał pozytywny wpływ na konkurencyjność krajowych podmiotów dostarczających energię stosowaną w sektorze transportu, w tym w paliwach i biopaliwach ciekłych, przez generowanie zdolności wytwórczych konkurujących ze sobą technologii paliwowych. Wysokość niezbędnych inwestycji podmiotów zobowiązanych została określona na podstawie udostępnionych publicznie informacji, tj. kosztów i przybliżonych terminów realizacji inwestycji realizujących cele ustawowe NCW, realizowanych i planowanych przez największe podmioty sektora paliwowego realizujące NCW. Jednocześnie należy zwrócić uwagę, że decyzje inwestycyjne są podejmowane dynamicznie, tj. ostateczne wartości, uwzględniające uwarunkowania rynkowe wynikające z kształtu przyjętej regulacji, mogą się różnić od tych szacowanych w momencie tworzenia OSR do projektu ustawy. </w:t>
            </w:r>
          </w:p>
          <w:p w14:paraId="7F3C93F2" w14:textId="00C3D575"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 xml:space="preserve">Należy zwrócić uwagę, że plany inwestycyjne podmiotów w konkretne technologie stanowią element przewagi konkurencyjnej, stąd stosowane technologie oraz szacowane kwoty mają jedynie przybliżony charakter. Wśród rozpatrywanych inwestycji dominujące są deklaracje rozwinięcia następujących technologii: </w:t>
            </w:r>
          </w:p>
          <w:p w14:paraId="5204B382" w14:textId="31F41E7C"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w:t>
            </w:r>
            <w:r w:rsidRPr="00154E08">
              <w:rPr>
                <w:rFonts w:eastAsia="Calibri" w:cs="Times New Roman"/>
                <w:spacing w:val="-2"/>
                <w:sz w:val="22"/>
                <w:szCs w:val="22"/>
              </w:rPr>
              <w:tab/>
              <w:t>wytwarzanie biometanu (ok. 80% nakładów) do wykorzystania:</w:t>
            </w:r>
          </w:p>
          <w:p w14:paraId="1967612A" w14:textId="70418DDD"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 xml:space="preserve"> – jako biokomponent, tj. źródło </w:t>
            </w:r>
            <w:proofErr w:type="spellStart"/>
            <w:r w:rsidRPr="00154E08">
              <w:rPr>
                <w:rFonts w:eastAsia="Calibri" w:cs="Times New Roman"/>
                <w:spacing w:val="-2"/>
                <w:sz w:val="22"/>
                <w:szCs w:val="22"/>
              </w:rPr>
              <w:t>biowodoru</w:t>
            </w:r>
            <w:proofErr w:type="spellEnd"/>
            <w:r w:rsidRPr="00154E08">
              <w:rPr>
                <w:rFonts w:eastAsia="Calibri" w:cs="Times New Roman"/>
                <w:spacing w:val="-2"/>
                <w:sz w:val="22"/>
                <w:szCs w:val="22"/>
              </w:rPr>
              <w:t xml:space="preserve"> przy produkcji paliw ciekłych (1) lub alternatywnie </w:t>
            </w:r>
          </w:p>
          <w:p w14:paraId="2E07410E" w14:textId="1DEC55FE"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 xml:space="preserve"> – jako samoistne biopaliwo gazowe (2) w instalacjach CNG/LNG; </w:t>
            </w:r>
          </w:p>
          <w:p w14:paraId="675783C9" w14:textId="4B5CB95F"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w:t>
            </w:r>
            <w:r w:rsidRPr="00154E08">
              <w:rPr>
                <w:rFonts w:eastAsia="Calibri" w:cs="Times New Roman"/>
                <w:spacing w:val="-2"/>
                <w:sz w:val="22"/>
                <w:szCs w:val="22"/>
              </w:rPr>
              <w:tab/>
              <w:t>rozwój i uruchomienie produkcji paliw RFNBO (ok. 15% nakładów), tj. odnawialnych ciekłych i gazowych paliw transportowych pochodzenia niebiologicznego;</w:t>
            </w:r>
          </w:p>
          <w:p w14:paraId="23679DB9" w14:textId="62F500F3"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 xml:space="preserve"> – przykładem takiego paliwa jest wodór odnawialny pozyskiwany w drodze elektrolizy z wykorzystaniem odnawialnej energii elektrycznej, wykorzystywany dalej jako samoistne paliwo lub przy produkcji innych paliw; oraz </w:t>
            </w:r>
          </w:p>
          <w:p w14:paraId="2BF1049C" w14:textId="6BC86AF4"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w:t>
            </w:r>
            <w:r w:rsidRPr="00154E08">
              <w:rPr>
                <w:rFonts w:eastAsia="Calibri" w:cs="Times New Roman"/>
                <w:spacing w:val="-2"/>
                <w:sz w:val="22"/>
                <w:szCs w:val="22"/>
              </w:rPr>
              <w:tab/>
              <w:t xml:space="preserve">wytwarzanie paliwa HVO (ok. 5% nakładów) </w:t>
            </w:r>
            <w:proofErr w:type="spellStart"/>
            <w:r w:rsidRPr="00154E08">
              <w:rPr>
                <w:rFonts w:eastAsia="Calibri" w:cs="Times New Roman"/>
                <w:spacing w:val="-2"/>
                <w:sz w:val="22"/>
                <w:szCs w:val="22"/>
              </w:rPr>
              <w:t>hydrorafinowanych</w:t>
            </w:r>
            <w:proofErr w:type="spellEnd"/>
            <w:r w:rsidRPr="00154E08">
              <w:rPr>
                <w:rFonts w:eastAsia="Calibri" w:cs="Times New Roman"/>
                <w:spacing w:val="-2"/>
                <w:sz w:val="22"/>
                <w:szCs w:val="22"/>
              </w:rPr>
              <w:t xml:space="preserve"> olejów roślinnych (HVO) – wykorzystywanego jako samoistne paliwo do silników wysokoprężnych.</w:t>
            </w:r>
          </w:p>
          <w:p w14:paraId="72E79D48" w14:textId="02BBF733"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 xml:space="preserve">Przyjęto, iż rozwój elektromobilności będzie się odbywał w oparciu o inne regulacje, w tym </w:t>
            </w:r>
            <w:r w:rsidR="00723132" w:rsidRPr="00154E08">
              <w:rPr>
                <w:rFonts w:eastAsia="Calibri" w:cs="Times New Roman"/>
                <w:spacing w:val="-2"/>
                <w:sz w:val="22"/>
                <w:szCs w:val="22"/>
              </w:rPr>
              <w:t xml:space="preserve">przede wszystkim </w:t>
            </w:r>
            <w:r w:rsidRPr="00154E08">
              <w:rPr>
                <w:rFonts w:eastAsia="Calibri" w:cs="Times New Roman"/>
                <w:spacing w:val="-2"/>
                <w:sz w:val="22"/>
                <w:szCs w:val="22"/>
              </w:rPr>
              <w:t>przepisy ustawy o elektromobilności i paliwach alternatywnych oraz programy realizowane w ramach Narodowego Fundusz Ochrony Środowiska i Gospodarki Wodnej, jak np.: „Mój elektryk”, czy „Zielony transport publiczny”. Specyfika rozwoju elektroenergetyki odnawialnej ujęta jest w ramach przepisów ustawy o odnawialnych źródłach energii. W związku z powyższym koszty realizacji udziału odnawialnej energii elektrycznej w strukturze zużycia paliw transportowych nie zostały włączone do niniejszej oceny. Proponowane rozwiązania przyspieszą wykorzystanie odnawialnych źródeł energii w sektorze transportu, wesprą realizację NCW.</w:t>
            </w:r>
          </w:p>
          <w:p w14:paraId="312E3E14" w14:textId="0AA90B41" w:rsidR="00AB1D40" w:rsidRPr="00154E08" w:rsidRDefault="00AB1D40" w:rsidP="00B279FD">
            <w:pPr>
              <w:spacing w:after="120" w:line="240" w:lineRule="auto"/>
              <w:jc w:val="both"/>
              <w:rPr>
                <w:rFonts w:eastAsia="Calibri" w:cs="Times New Roman"/>
                <w:color w:val="C9211E"/>
                <w:spacing w:val="-2"/>
                <w:sz w:val="22"/>
                <w:szCs w:val="22"/>
              </w:rPr>
            </w:pPr>
            <w:r w:rsidRPr="00154E08">
              <w:rPr>
                <w:rFonts w:eastAsia="Calibri" w:cs="Times New Roman"/>
                <w:spacing w:val="-2"/>
                <w:sz w:val="22"/>
                <w:szCs w:val="22"/>
              </w:rPr>
              <w:t xml:space="preserve">Poczynione inwestycje dla realizacji celów określonych projektem ustawy przyczynią się wzrostu konkurencyjności sektora na arenie międzynarodowej (UE). Na tym etapie rozwoju rynku, trudno jest jednoznacznie określić wartość potrzebnych do 2030 r. inwestycji, gdyż ich poziom jest skorelowany </w:t>
            </w:r>
            <w:r w:rsidR="00723132" w:rsidRPr="00154E08">
              <w:rPr>
                <w:rFonts w:eastAsia="Calibri" w:cs="Times New Roman"/>
                <w:spacing w:val="-2"/>
                <w:sz w:val="22"/>
                <w:szCs w:val="22"/>
              </w:rPr>
              <w:t xml:space="preserve">z </w:t>
            </w:r>
            <w:r w:rsidRPr="00154E08">
              <w:rPr>
                <w:rFonts w:eastAsia="Calibri" w:cs="Times New Roman"/>
                <w:spacing w:val="-2"/>
                <w:sz w:val="22"/>
                <w:szCs w:val="22"/>
              </w:rPr>
              <w:t xml:space="preserve">wieloma czynnikami, w tym m.in.: z postępem i efektywnością dostępnych wielkoskalowo technologii oraz politykami, np.: modyfikowanymi regulacjami w ramach rewizji dyrektyw: RED II oraz </w:t>
            </w:r>
            <w:r w:rsidR="007D526B" w:rsidRPr="00154E08">
              <w:rPr>
                <w:rFonts w:eastAsia="Calibri" w:cs="Times New Roman"/>
                <w:spacing w:val="-2"/>
                <w:sz w:val="22"/>
                <w:szCs w:val="22"/>
              </w:rPr>
              <w:t>d</w:t>
            </w:r>
            <w:r w:rsidRPr="00154E08">
              <w:rPr>
                <w:rFonts w:eastAsia="Calibri" w:cs="Times New Roman"/>
                <w:spacing w:val="-2"/>
                <w:sz w:val="22"/>
                <w:szCs w:val="22"/>
              </w:rPr>
              <w:t xml:space="preserve">yrektywy Parlamentu Europejskiego i Rady 2014/94/UE z dnia 22 października 2014 r. w sprawie rozwoju infrastruktury paliw alternatywnych (Dz. Urz. UE. L 307 z 28.10. 2014, str. 1), zwanej dalej „AFID”. </w:t>
            </w:r>
          </w:p>
        </w:tc>
        <w:tc>
          <w:tcPr>
            <w:tcW w:w="1256" w:type="dxa"/>
          </w:tcPr>
          <w:p w14:paraId="5610537D" w14:textId="77777777" w:rsidR="00AB1D40" w:rsidRPr="00154E08" w:rsidRDefault="00AB1D40" w:rsidP="00AB1D40">
            <w:pPr>
              <w:rPr>
                <w:rFonts w:cs="Times New Roman"/>
                <w:sz w:val="22"/>
                <w:szCs w:val="22"/>
              </w:rPr>
            </w:pPr>
          </w:p>
        </w:tc>
      </w:tr>
      <w:tr w:rsidR="004C796F" w:rsidRPr="00154E08" w14:paraId="27354F60" w14:textId="77777777" w:rsidTr="00154E08">
        <w:trPr>
          <w:trHeight w:val="142"/>
        </w:trPr>
        <w:tc>
          <w:tcPr>
            <w:tcW w:w="1317" w:type="dxa"/>
            <w:vMerge/>
            <w:tcBorders>
              <w:top w:val="single" w:sz="4" w:space="0" w:color="auto"/>
              <w:left w:val="single" w:sz="4" w:space="0" w:color="auto"/>
              <w:bottom w:val="single" w:sz="4" w:space="0" w:color="auto"/>
              <w:right w:val="single" w:sz="4" w:space="0" w:color="auto"/>
            </w:tcBorders>
          </w:tcPr>
          <w:p w14:paraId="36690B05" w14:textId="77777777" w:rsidR="00AB1D40" w:rsidRPr="00154E08" w:rsidRDefault="00AB1D40" w:rsidP="00AB1D40">
            <w:pPr>
              <w:spacing w:line="240" w:lineRule="auto"/>
              <w:rPr>
                <w:rFonts w:eastAsia="Calibri" w:cs="Times New Roman"/>
                <w:color w:val="000000"/>
                <w:sz w:val="22"/>
                <w:szCs w:val="22"/>
              </w:rPr>
            </w:pPr>
          </w:p>
        </w:tc>
        <w:tc>
          <w:tcPr>
            <w:tcW w:w="1459"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76D89FB2" w14:textId="6483F501" w:rsidR="00AB1D40" w:rsidRPr="00154E08" w:rsidRDefault="00AB1D40" w:rsidP="00AB1D40">
            <w:pPr>
              <w:spacing w:line="240" w:lineRule="auto"/>
              <w:rPr>
                <w:rFonts w:eastAsia="Calibri" w:cs="Times New Roman"/>
                <w:color w:val="000000"/>
                <w:sz w:val="22"/>
                <w:szCs w:val="22"/>
              </w:rPr>
            </w:pPr>
            <w:r w:rsidRPr="00154E08">
              <w:rPr>
                <w:rFonts w:eastAsia="Calibri" w:cs="Times New Roman"/>
                <w:color w:val="000000"/>
                <w:sz w:val="22"/>
                <w:szCs w:val="22"/>
              </w:rPr>
              <w:t xml:space="preserve">sektor mikro –, małych i średnich </w:t>
            </w:r>
            <w:r w:rsidRPr="00154E08">
              <w:rPr>
                <w:rFonts w:eastAsia="Calibri" w:cs="Times New Roman"/>
                <w:color w:val="000000"/>
                <w:sz w:val="22"/>
                <w:szCs w:val="22"/>
              </w:rPr>
              <w:lastRenderedPageBreak/>
              <w:t>przedsiębiorstw</w:t>
            </w:r>
          </w:p>
        </w:tc>
        <w:tc>
          <w:tcPr>
            <w:tcW w:w="801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3C2DEB" w14:textId="1221712E"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lastRenderedPageBreak/>
              <w:t xml:space="preserve">Proponowane rozwiązania wesprą rozwój odnawialnych źródeł energii dla sektor transportu, przyczynią się do realizacji NCW. </w:t>
            </w:r>
          </w:p>
          <w:p w14:paraId="40DA3EB0" w14:textId="27FFA227"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 xml:space="preserve">Proponowane rozwiązania wzmocnią i ułatwią wdrażanie systemu hierarchicznego </w:t>
            </w:r>
            <w:r w:rsidRPr="00154E08">
              <w:rPr>
                <w:rFonts w:eastAsia="Calibri" w:cs="Times New Roman"/>
                <w:spacing w:val="-2"/>
                <w:sz w:val="22"/>
                <w:szCs w:val="22"/>
              </w:rPr>
              <w:lastRenderedPageBreak/>
              <w:t xml:space="preserve">gospodarowania odpadami oraz wdrażanie gospodarki o obiegu zamkniętym, w mniejszym stopniu </w:t>
            </w:r>
            <w:r w:rsidR="00723132" w:rsidRPr="00154E08">
              <w:rPr>
                <w:rFonts w:eastAsia="Calibri" w:cs="Times New Roman"/>
                <w:spacing w:val="-2"/>
                <w:sz w:val="22"/>
                <w:szCs w:val="22"/>
              </w:rPr>
              <w:t xml:space="preserve">zależnej </w:t>
            </w:r>
            <w:r w:rsidRPr="00154E08">
              <w:rPr>
                <w:rFonts w:eastAsia="Calibri" w:cs="Times New Roman"/>
                <w:spacing w:val="-2"/>
                <w:sz w:val="22"/>
                <w:szCs w:val="22"/>
              </w:rPr>
              <w:t xml:space="preserve">o importu. </w:t>
            </w:r>
          </w:p>
          <w:p w14:paraId="60C28D6F" w14:textId="14FC895A" w:rsidR="00AB1D40" w:rsidRPr="00154E08" w:rsidRDefault="00AB1D40" w:rsidP="00B279FD">
            <w:pPr>
              <w:spacing w:after="120" w:line="240" w:lineRule="auto"/>
              <w:jc w:val="both"/>
              <w:rPr>
                <w:rFonts w:cs="Times New Roman"/>
                <w:sz w:val="22"/>
                <w:szCs w:val="22"/>
              </w:rPr>
            </w:pPr>
            <w:r w:rsidRPr="00154E08">
              <w:rPr>
                <w:rFonts w:cs="Times New Roman"/>
                <w:sz w:val="22"/>
                <w:szCs w:val="22"/>
              </w:rPr>
              <w:t xml:space="preserve">Projekt ustawy wpływa pośrednio na strukturę paliw wykorzystywanych do transportu przez mobilizację i promocję nowych, alternatywnych paliw, np. rozwój rynku biometanu, RFNBO, energii elektrycznej, daje szansę dla inwencji, rozwoju dynamicznych przedsiębiorstw technologicznych. Trudno jest jednak przewidzieć liczbę nowych wyspecjalizowanych podmiotów, które wejdą na rynek w wyniku wdrożenia projektowanych przepisów. </w:t>
            </w:r>
          </w:p>
          <w:p w14:paraId="6E858C7F" w14:textId="372DEEFE" w:rsidR="00AB1D40" w:rsidRPr="00154E08" w:rsidRDefault="00AB1D40" w:rsidP="00B279FD">
            <w:pPr>
              <w:spacing w:after="120" w:line="240" w:lineRule="auto"/>
              <w:jc w:val="both"/>
              <w:rPr>
                <w:rFonts w:cs="Times New Roman"/>
                <w:sz w:val="22"/>
                <w:szCs w:val="22"/>
              </w:rPr>
            </w:pPr>
            <w:r w:rsidRPr="00154E08">
              <w:rPr>
                <w:rFonts w:cs="Times New Roman"/>
                <w:sz w:val="22"/>
                <w:szCs w:val="22"/>
              </w:rPr>
              <w:t xml:space="preserve">Jednocześnie należy zauważyć, że zmiany w trendzie dotyczącym konsumpcji energii przez sektor transportu, wypieranie paliw tradycyjnych z przerobu ropy (PB, ON, LPG) przez odnawialne odpowiedniki, będzie powodować w długiej perspektywie również zmiany dotyczące zapotrzebowania na tradycyjne biokomponenty: estry oraz bioetanol – </w:t>
            </w:r>
            <w:proofErr w:type="spellStart"/>
            <w:r w:rsidRPr="00154E08">
              <w:rPr>
                <w:rFonts w:cs="Times New Roman"/>
                <w:sz w:val="22"/>
                <w:szCs w:val="22"/>
              </w:rPr>
              <w:t>blendowane</w:t>
            </w:r>
            <w:proofErr w:type="spellEnd"/>
            <w:r w:rsidRPr="00154E08">
              <w:rPr>
                <w:rFonts w:cs="Times New Roman"/>
                <w:sz w:val="22"/>
                <w:szCs w:val="22"/>
              </w:rPr>
              <w:t xml:space="preserve"> z tymi paliwami. </w:t>
            </w:r>
          </w:p>
          <w:p w14:paraId="64A67C69" w14:textId="78364553" w:rsidR="00AB1D40" w:rsidRPr="00154E08" w:rsidRDefault="00AB1D40" w:rsidP="00B279FD">
            <w:pPr>
              <w:spacing w:after="120" w:line="240" w:lineRule="auto"/>
              <w:jc w:val="both"/>
              <w:rPr>
                <w:rFonts w:cs="Times New Roman"/>
                <w:sz w:val="22"/>
                <w:szCs w:val="22"/>
              </w:rPr>
            </w:pPr>
            <w:r w:rsidRPr="00154E08">
              <w:rPr>
                <w:rFonts w:cs="Times New Roman"/>
                <w:sz w:val="22"/>
                <w:szCs w:val="22"/>
              </w:rPr>
              <w:t xml:space="preserve">W perspektywie do 2030 r. nie stwierdzono istotnego wpływu projektu ustawy na zapotrzebowanie na tradycyjne biokomponenty oraz surowce używane do ich wytworzenia, pochodzące od krajowych przedsiębiorców głównie z upraw: rzepak – z ok. 630 tys. ha; kukurydza – z ok. 80 tys. ha. </w:t>
            </w:r>
          </w:p>
        </w:tc>
        <w:tc>
          <w:tcPr>
            <w:tcW w:w="1256" w:type="dxa"/>
          </w:tcPr>
          <w:p w14:paraId="61FFA3A1" w14:textId="77777777" w:rsidR="00AB1D40" w:rsidRPr="00154E08" w:rsidRDefault="00AB1D40" w:rsidP="00AB1D40">
            <w:pPr>
              <w:rPr>
                <w:rFonts w:cs="Times New Roman"/>
                <w:sz w:val="22"/>
                <w:szCs w:val="22"/>
              </w:rPr>
            </w:pPr>
          </w:p>
        </w:tc>
      </w:tr>
      <w:tr w:rsidR="004C796F" w:rsidRPr="00154E08" w14:paraId="143E1764" w14:textId="77777777" w:rsidTr="00154E08">
        <w:trPr>
          <w:trHeight w:val="596"/>
        </w:trPr>
        <w:tc>
          <w:tcPr>
            <w:tcW w:w="1317" w:type="dxa"/>
            <w:vMerge/>
            <w:tcBorders>
              <w:top w:val="single" w:sz="4" w:space="0" w:color="auto"/>
              <w:left w:val="single" w:sz="4" w:space="0" w:color="auto"/>
              <w:bottom w:val="single" w:sz="4" w:space="0" w:color="auto"/>
              <w:right w:val="single" w:sz="4" w:space="0" w:color="auto"/>
            </w:tcBorders>
          </w:tcPr>
          <w:p w14:paraId="4332E154" w14:textId="77777777" w:rsidR="00AB1D40" w:rsidRPr="00154E08" w:rsidRDefault="00AB1D40" w:rsidP="00AB1D40">
            <w:pPr>
              <w:spacing w:line="240" w:lineRule="auto"/>
              <w:rPr>
                <w:rFonts w:eastAsia="Calibri" w:cs="Times New Roman"/>
                <w:color w:val="000000"/>
                <w:sz w:val="22"/>
                <w:szCs w:val="22"/>
              </w:rPr>
            </w:pPr>
          </w:p>
        </w:tc>
        <w:tc>
          <w:tcPr>
            <w:tcW w:w="1459"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11FB29FC" w14:textId="77777777" w:rsidR="00AB1D40" w:rsidRPr="00154E08" w:rsidRDefault="00AB1D40" w:rsidP="00AB1D40">
            <w:pPr>
              <w:tabs>
                <w:tab w:val="right" w:pos="1936"/>
              </w:tabs>
              <w:spacing w:line="240" w:lineRule="auto"/>
              <w:rPr>
                <w:rFonts w:eastAsia="Calibri" w:cs="Times New Roman"/>
                <w:sz w:val="22"/>
                <w:szCs w:val="22"/>
              </w:rPr>
            </w:pPr>
            <w:r w:rsidRPr="00154E08">
              <w:rPr>
                <w:rFonts w:eastAsia="Calibri" w:cs="Times New Roman"/>
                <w:sz w:val="22"/>
                <w:szCs w:val="22"/>
              </w:rPr>
              <w:t xml:space="preserve">rodzina, obywatele oraz gospodarstwa domowe </w:t>
            </w:r>
          </w:p>
        </w:tc>
        <w:tc>
          <w:tcPr>
            <w:tcW w:w="801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716632" w14:textId="550E6867"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 xml:space="preserve">Przyjęte w </w:t>
            </w:r>
            <w:r w:rsidRPr="00154E08">
              <w:rPr>
                <w:rFonts w:eastAsia="Calibri" w:cs="Times New Roman"/>
                <w:iCs/>
                <w:spacing w:val="-2"/>
                <w:sz w:val="22"/>
                <w:szCs w:val="22"/>
              </w:rPr>
              <w:t>projekcie ustawy</w:t>
            </w:r>
            <w:r w:rsidRPr="00154E08">
              <w:rPr>
                <w:rFonts w:eastAsia="Calibri" w:cs="Times New Roman"/>
                <w:spacing w:val="-2"/>
                <w:sz w:val="22"/>
                <w:szCs w:val="22"/>
              </w:rPr>
              <w:t xml:space="preserve"> rozwiązania zmniejszą z jednej strony czynniki wpływające na niestabilność cen na rynkach surowcowych, przez zwiększenie udziału oraz wykorzystywania krajowych surowców i nośników zrównoważonej energii, natomiast mogą także, analogicznie do skutków wdrażania dyrektywy w</w:t>
            </w:r>
            <w:r w:rsidR="005B1356" w:rsidRPr="00154E08">
              <w:rPr>
                <w:rFonts w:eastAsia="Calibri" w:cs="Times New Roman"/>
                <w:spacing w:val="-2"/>
                <w:sz w:val="22"/>
                <w:szCs w:val="22"/>
              </w:rPr>
              <w:t> </w:t>
            </w:r>
            <w:r w:rsidRPr="00154E08">
              <w:rPr>
                <w:rFonts w:eastAsia="Calibri" w:cs="Times New Roman"/>
                <w:spacing w:val="-2"/>
                <w:sz w:val="22"/>
                <w:szCs w:val="22"/>
              </w:rPr>
              <w:t xml:space="preserve">innych państwach Unii Europejskiej rodzić dodatkową presję na większą partycypację obywateli w realizacji celów środowiskowych, skutkującą stosowaniem instrumentów fiskalnych w celu zachęcania do intensywniejszego korzystania z odnawialnych paliw, kosztem ich tradycyjnych kopalnych odpowiedników.  </w:t>
            </w:r>
          </w:p>
          <w:p w14:paraId="50DDDF62" w14:textId="77777777" w:rsidR="005B1356" w:rsidRPr="00154E08" w:rsidRDefault="00AB1D40" w:rsidP="00B279FD">
            <w:pPr>
              <w:spacing w:after="120" w:line="240" w:lineRule="auto"/>
              <w:jc w:val="both"/>
              <w:rPr>
                <w:rFonts w:cs="Times New Roman"/>
                <w:spacing w:val="-2"/>
                <w:sz w:val="22"/>
                <w:szCs w:val="22"/>
              </w:rPr>
            </w:pPr>
            <w:r w:rsidRPr="00154E08">
              <w:rPr>
                <w:rFonts w:cs="Times New Roman"/>
                <w:spacing w:val="-2"/>
                <w:sz w:val="22"/>
                <w:szCs w:val="22"/>
              </w:rPr>
              <w:t xml:space="preserve">W estymacji wpływu kosztów inwestycji OZE na cenę paliw przyjęto założenie, że koszty inwestycji, tj. suma projektów OZE składająca się na kwotę 11,7 mld zł, które będą wprost przenoszone przez podmioty zobowiązane do realizacji celu OZE w transporcie na całość wolumenu sprzedawanych paliw. </w:t>
            </w:r>
          </w:p>
          <w:p w14:paraId="200BBB3F" w14:textId="2C0B4E7A" w:rsidR="00AB1D40" w:rsidRPr="00154E08" w:rsidRDefault="00AB1D40" w:rsidP="00B279FD">
            <w:pPr>
              <w:spacing w:after="120" w:line="240" w:lineRule="auto"/>
              <w:jc w:val="both"/>
              <w:rPr>
                <w:rFonts w:cs="Times New Roman"/>
                <w:sz w:val="22"/>
                <w:szCs w:val="22"/>
              </w:rPr>
            </w:pPr>
            <w:r w:rsidRPr="00154E08">
              <w:rPr>
                <w:rFonts w:cs="Times New Roman"/>
                <w:spacing w:val="-2"/>
                <w:sz w:val="22"/>
                <w:szCs w:val="22"/>
              </w:rPr>
              <w:t>Uwzględniono średni roczny wolumen sprzedawanych na rynku odbiorcom końcowym (czyli zużywanych w transporcie) paliw transportowych (benzyn silnikowych oraz oleju napędowego) na poziomie ok. 30 mln m</w:t>
            </w:r>
            <w:r w:rsidRPr="00154E08">
              <w:rPr>
                <w:rFonts w:cs="Times New Roman"/>
                <w:spacing w:val="-2"/>
                <w:sz w:val="22"/>
                <w:szCs w:val="22"/>
                <w:vertAlign w:val="superscript"/>
              </w:rPr>
              <w:t>3</w:t>
            </w:r>
            <w:r w:rsidRPr="00154E08">
              <w:rPr>
                <w:rFonts w:cs="Times New Roman"/>
                <w:spacing w:val="-2"/>
                <w:sz w:val="22"/>
                <w:szCs w:val="22"/>
              </w:rPr>
              <w:t xml:space="preserve"> dla rozpatrywanego okresu – tj. od 2022 r. do 2030 r., obliczony na podstawie danych statystycznych dla 2020 r. oraz prognozy zużycia paliw przygotowanej przez Rządową Agencję Rezerw Strategicznych, uzupełnionej przez Departament Ropy i Paliw Transportowych w</w:t>
            </w:r>
            <w:r w:rsidR="005B1356" w:rsidRPr="00154E08">
              <w:rPr>
                <w:rFonts w:cs="Times New Roman"/>
                <w:spacing w:val="-2"/>
                <w:sz w:val="22"/>
                <w:szCs w:val="22"/>
              </w:rPr>
              <w:t> </w:t>
            </w:r>
            <w:r w:rsidRPr="00154E08">
              <w:rPr>
                <w:rFonts w:cs="Times New Roman"/>
                <w:spacing w:val="-2"/>
                <w:sz w:val="22"/>
                <w:szCs w:val="22"/>
              </w:rPr>
              <w:t xml:space="preserve">Ministerstwie Klimatu i Środowiska o </w:t>
            </w:r>
            <w:r w:rsidR="005B1356" w:rsidRPr="00154E08">
              <w:rPr>
                <w:rFonts w:cs="Times New Roman"/>
                <w:spacing w:val="-2"/>
                <w:sz w:val="22"/>
                <w:szCs w:val="22"/>
              </w:rPr>
              <w:t xml:space="preserve">rok </w:t>
            </w:r>
            <w:r w:rsidRPr="00154E08">
              <w:rPr>
                <w:rFonts w:cs="Times New Roman"/>
                <w:spacing w:val="-2"/>
                <w:sz w:val="22"/>
                <w:szCs w:val="22"/>
              </w:rPr>
              <w:t>2030</w:t>
            </w:r>
            <w:r w:rsidR="005B1356" w:rsidRPr="00154E08">
              <w:rPr>
                <w:rFonts w:cs="Times New Roman"/>
                <w:spacing w:val="-2"/>
                <w:sz w:val="22"/>
                <w:szCs w:val="22"/>
              </w:rPr>
              <w:t>.</w:t>
            </w:r>
            <w:r w:rsidR="004D3C87" w:rsidRPr="00154E08">
              <w:rPr>
                <w:rFonts w:cs="Times New Roman"/>
                <w:spacing w:val="-2"/>
                <w:sz w:val="22"/>
                <w:szCs w:val="22"/>
              </w:rPr>
              <w:t xml:space="preserve"> </w:t>
            </w:r>
            <w:r w:rsidRPr="00154E08">
              <w:rPr>
                <w:rFonts w:cs="Times New Roman"/>
                <w:spacing w:val="-2"/>
                <w:sz w:val="22"/>
                <w:szCs w:val="22"/>
              </w:rPr>
              <w:t>Koszt</w:t>
            </w:r>
            <w:r w:rsidR="005B1356" w:rsidRPr="00154E08">
              <w:rPr>
                <w:rFonts w:cs="Times New Roman"/>
                <w:spacing w:val="-2"/>
                <w:sz w:val="22"/>
                <w:szCs w:val="22"/>
              </w:rPr>
              <w:t>y</w:t>
            </w:r>
            <w:r w:rsidRPr="00154E08">
              <w:rPr>
                <w:rFonts w:cs="Times New Roman"/>
                <w:spacing w:val="-2"/>
                <w:sz w:val="22"/>
                <w:szCs w:val="22"/>
              </w:rPr>
              <w:t xml:space="preserve"> </w:t>
            </w:r>
            <w:r w:rsidR="004D3C87" w:rsidRPr="00154E08">
              <w:rPr>
                <w:rFonts w:cs="Times New Roman"/>
                <w:spacing w:val="-2"/>
                <w:sz w:val="22"/>
                <w:szCs w:val="22"/>
              </w:rPr>
              <w:t xml:space="preserve">koniecznych </w:t>
            </w:r>
            <w:r w:rsidRPr="00154E08">
              <w:rPr>
                <w:rFonts w:cs="Times New Roman"/>
                <w:spacing w:val="-2"/>
                <w:sz w:val="22"/>
                <w:szCs w:val="22"/>
              </w:rPr>
              <w:t>inwestycji alokowan</w:t>
            </w:r>
            <w:r w:rsidR="004D3C87" w:rsidRPr="00154E08">
              <w:rPr>
                <w:rFonts w:cs="Times New Roman"/>
                <w:spacing w:val="-2"/>
                <w:sz w:val="22"/>
                <w:szCs w:val="22"/>
              </w:rPr>
              <w:t>y</w:t>
            </w:r>
            <w:r w:rsidRPr="00154E08">
              <w:rPr>
                <w:rFonts w:cs="Times New Roman"/>
                <w:spacing w:val="-2"/>
                <w:sz w:val="22"/>
                <w:szCs w:val="22"/>
              </w:rPr>
              <w:t xml:space="preserve"> do zakładanej do 2030 r. konsumpcji paliw wskazuje uśrednioną wielkość wpływu </w:t>
            </w:r>
            <w:r w:rsidR="004D3C87" w:rsidRPr="00154E08">
              <w:rPr>
                <w:rFonts w:cs="Times New Roman"/>
                <w:spacing w:val="-2"/>
                <w:sz w:val="22"/>
                <w:szCs w:val="22"/>
              </w:rPr>
              <w:t xml:space="preserve">tych </w:t>
            </w:r>
            <w:r w:rsidRPr="00154E08">
              <w:rPr>
                <w:rFonts w:cs="Times New Roman"/>
                <w:spacing w:val="-2"/>
                <w:sz w:val="22"/>
                <w:szCs w:val="22"/>
              </w:rPr>
              <w:t xml:space="preserve">nakładów na średnią cenę paliw, </w:t>
            </w:r>
            <w:r w:rsidR="004D3C87" w:rsidRPr="00154E08">
              <w:rPr>
                <w:rFonts w:cs="Times New Roman"/>
                <w:spacing w:val="-2"/>
                <w:sz w:val="22"/>
                <w:szCs w:val="22"/>
              </w:rPr>
              <w:t>na szacowanym</w:t>
            </w:r>
            <w:r w:rsidRPr="00154E08">
              <w:rPr>
                <w:rFonts w:cs="Times New Roman"/>
                <w:spacing w:val="-2"/>
                <w:sz w:val="22"/>
                <w:szCs w:val="22"/>
              </w:rPr>
              <w:t xml:space="preserve"> wg ww. założeń poziomie ok. +8 groszy/litr paliwa.</w:t>
            </w:r>
          </w:p>
        </w:tc>
        <w:tc>
          <w:tcPr>
            <w:tcW w:w="1256" w:type="dxa"/>
          </w:tcPr>
          <w:p w14:paraId="7D1B1D40" w14:textId="77777777" w:rsidR="00AB1D40" w:rsidRPr="00154E08" w:rsidRDefault="00AB1D40" w:rsidP="00AB1D40">
            <w:pPr>
              <w:rPr>
                <w:rFonts w:cs="Times New Roman"/>
                <w:sz w:val="22"/>
                <w:szCs w:val="22"/>
              </w:rPr>
            </w:pPr>
          </w:p>
        </w:tc>
      </w:tr>
      <w:tr w:rsidR="004C796F" w:rsidRPr="00154E08" w14:paraId="127C1F54" w14:textId="77777777" w:rsidTr="00154E08">
        <w:trPr>
          <w:trHeight w:val="240"/>
        </w:trPr>
        <w:tc>
          <w:tcPr>
            <w:tcW w:w="1317" w:type="dxa"/>
            <w:vMerge/>
            <w:tcBorders>
              <w:top w:val="single" w:sz="4" w:space="0" w:color="auto"/>
              <w:left w:val="single" w:sz="4" w:space="0" w:color="auto"/>
              <w:bottom w:val="single" w:sz="4" w:space="0" w:color="auto"/>
              <w:right w:val="single" w:sz="4" w:space="0" w:color="auto"/>
            </w:tcBorders>
          </w:tcPr>
          <w:p w14:paraId="2D14039D" w14:textId="77777777" w:rsidR="00AB1D40" w:rsidRPr="00154E08" w:rsidRDefault="00AB1D40" w:rsidP="00AB1D40">
            <w:pPr>
              <w:spacing w:line="240" w:lineRule="auto"/>
              <w:rPr>
                <w:rFonts w:eastAsia="Calibri" w:cs="Times New Roman"/>
                <w:color w:val="000000"/>
                <w:sz w:val="22"/>
                <w:szCs w:val="22"/>
              </w:rPr>
            </w:pPr>
          </w:p>
        </w:tc>
        <w:tc>
          <w:tcPr>
            <w:tcW w:w="1459"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73DB5EEC" w14:textId="77777777" w:rsidR="00AB1D40" w:rsidRPr="00154E08" w:rsidRDefault="00AB1D40" w:rsidP="00AB1D40">
            <w:pPr>
              <w:tabs>
                <w:tab w:val="right" w:pos="1936"/>
              </w:tabs>
              <w:spacing w:line="276" w:lineRule="auto"/>
              <w:rPr>
                <w:rFonts w:eastAsia="Calibri" w:cs="Times New Roman"/>
                <w:sz w:val="22"/>
                <w:szCs w:val="22"/>
              </w:rPr>
            </w:pPr>
            <w:r w:rsidRPr="00154E08">
              <w:rPr>
                <w:rFonts w:eastAsia="Calibri" w:cs="Times New Roman"/>
                <w:sz w:val="22"/>
                <w:szCs w:val="22"/>
              </w:rPr>
              <w:t>osoby niepełnosprawne</w:t>
            </w:r>
          </w:p>
        </w:tc>
        <w:tc>
          <w:tcPr>
            <w:tcW w:w="801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D5691D" w14:textId="77777777" w:rsidR="00AB1D40" w:rsidRPr="00154E08" w:rsidRDefault="00AB1D40" w:rsidP="00AB1D40">
            <w:pPr>
              <w:tabs>
                <w:tab w:val="left" w:pos="3000"/>
              </w:tabs>
              <w:spacing w:line="276" w:lineRule="auto"/>
              <w:jc w:val="both"/>
              <w:rPr>
                <w:rFonts w:eastAsia="Calibri" w:cs="Times New Roman"/>
                <w:spacing w:val="-2"/>
                <w:sz w:val="22"/>
                <w:szCs w:val="22"/>
              </w:rPr>
            </w:pPr>
            <w:r w:rsidRPr="00154E08">
              <w:rPr>
                <w:rFonts w:eastAsia="Calibri" w:cs="Times New Roman"/>
                <w:spacing w:val="-2"/>
                <w:sz w:val="22"/>
                <w:szCs w:val="22"/>
              </w:rPr>
              <w:t>Brak wpływu</w:t>
            </w:r>
          </w:p>
        </w:tc>
        <w:tc>
          <w:tcPr>
            <w:tcW w:w="1256" w:type="dxa"/>
          </w:tcPr>
          <w:p w14:paraId="332E4E3C" w14:textId="77777777" w:rsidR="00AB1D40" w:rsidRPr="00154E08" w:rsidRDefault="00AB1D40" w:rsidP="00AB1D40">
            <w:pPr>
              <w:rPr>
                <w:rFonts w:cs="Times New Roman"/>
                <w:sz w:val="22"/>
                <w:szCs w:val="22"/>
              </w:rPr>
            </w:pPr>
          </w:p>
        </w:tc>
      </w:tr>
      <w:tr w:rsidR="004C796F" w:rsidRPr="00154E08" w14:paraId="1282108D" w14:textId="77777777" w:rsidTr="00154E08">
        <w:trPr>
          <w:trHeight w:val="240"/>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Pr>
          <w:p w14:paraId="3ECA9097" w14:textId="77777777" w:rsidR="00AB1D40" w:rsidRPr="00154E08" w:rsidRDefault="00AB1D40" w:rsidP="00AB1D40">
            <w:pPr>
              <w:spacing w:line="240" w:lineRule="auto"/>
              <w:rPr>
                <w:rFonts w:eastAsia="Calibri" w:cs="Times New Roman"/>
                <w:color w:val="000000"/>
                <w:sz w:val="22"/>
                <w:szCs w:val="22"/>
              </w:rPr>
            </w:pPr>
          </w:p>
        </w:tc>
        <w:tc>
          <w:tcPr>
            <w:tcW w:w="1459" w:type="dxa"/>
            <w:gridSpan w:val="2"/>
            <w:tcBorders>
              <w:left w:val="single" w:sz="4" w:space="0" w:color="auto"/>
              <w:bottom w:val="single" w:sz="4" w:space="0" w:color="000000" w:themeColor="text1"/>
              <w:right w:val="single" w:sz="4" w:space="0" w:color="000000" w:themeColor="text1"/>
            </w:tcBorders>
            <w:shd w:val="clear" w:color="auto" w:fill="FFFFFF" w:themeFill="background1"/>
          </w:tcPr>
          <w:p w14:paraId="7C19B7BC" w14:textId="77777777" w:rsidR="00AB1D40" w:rsidRPr="00154E08" w:rsidRDefault="00AB1D40" w:rsidP="00AB1D40">
            <w:pPr>
              <w:tabs>
                <w:tab w:val="right" w:pos="1936"/>
              </w:tabs>
              <w:spacing w:line="276" w:lineRule="auto"/>
              <w:rPr>
                <w:rFonts w:eastAsia="Calibri" w:cs="Times New Roman"/>
                <w:sz w:val="22"/>
                <w:szCs w:val="22"/>
              </w:rPr>
            </w:pPr>
            <w:r w:rsidRPr="00154E08">
              <w:rPr>
                <w:rFonts w:eastAsia="Calibri" w:cs="Times New Roman"/>
                <w:sz w:val="22"/>
                <w:szCs w:val="22"/>
              </w:rPr>
              <w:t>osoby starsze</w:t>
            </w:r>
          </w:p>
        </w:tc>
        <w:tc>
          <w:tcPr>
            <w:tcW w:w="8019" w:type="dxa"/>
            <w:gridSpan w:val="11"/>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09F1765F" w14:textId="66BC62EC" w:rsidR="00AB1D40" w:rsidRPr="00154E08" w:rsidRDefault="00AB1D40" w:rsidP="00AB1D40">
            <w:pPr>
              <w:tabs>
                <w:tab w:val="left" w:pos="3000"/>
              </w:tabs>
              <w:spacing w:line="276" w:lineRule="auto"/>
              <w:jc w:val="both"/>
              <w:rPr>
                <w:rFonts w:eastAsia="Calibri" w:cs="Times New Roman"/>
                <w:spacing w:val="-2"/>
                <w:sz w:val="22"/>
                <w:szCs w:val="22"/>
              </w:rPr>
            </w:pPr>
            <w:r w:rsidRPr="00154E08">
              <w:rPr>
                <w:rFonts w:eastAsia="Calibri" w:cs="Times New Roman"/>
                <w:spacing w:val="-2"/>
                <w:sz w:val="22"/>
                <w:szCs w:val="22"/>
              </w:rPr>
              <w:t>Brak wpływu</w:t>
            </w:r>
          </w:p>
        </w:tc>
        <w:tc>
          <w:tcPr>
            <w:tcW w:w="1256" w:type="dxa"/>
          </w:tcPr>
          <w:p w14:paraId="0F56DDA7" w14:textId="77777777" w:rsidR="00AB1D40" w:rsidRPr="00154E08" w:rsidRDefault="00AB1D40" w:rsidP="00AB1D40">
            <w:pPr>
              <w:rPr>
                <w:rFonts w:cs="Times New Roman"/>
                <w:sz w:val="22"/>
                <w:szCs w:val="22"/>
              </w:rPr>
            </w:pPr>
          </w:p>
        </w:tc>
      </w:tr>
      <w:tr w:rsidR="004C796F" w:rsidRPr="00154E08" w14:paraId="5B9C27CB" w14:textId="77777777" w:rsidTr="3E65ED00">
        <w:trPr>
          <w:trHeight w:val="142"/>
        </w:trPr>
        <w:tc>
          <w:tcPr>
            <w:tcW w:w="13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2C1A0FE" w14:textId="77777777" w:rsidR="00AB1D40" w:rsidRPr="00154E08" w:rsidRDefault="00AB1D40" w:rsidP="00AB1D40">
            <w:pPr>
              <w:spacing w:line="240" w:lineRule="auto"/>
              <w:rPr>
                <w:rFonts w:eastAsia="Calibri" w:cs="Times New Roman"/>
                <w:color w:val="000000"/>
                <w:sz w:val="22"/>
                <w:szCs w:val="22"/>
              </w:rPr>
            </w:pPr>
            <w:r w:rsidRPr="00154E08">
              <w:rPr>
                <w:rFonts w:eastAsia="Calibri" w:cs="Times New Roman"/>
                <w:color w:val="000000"/>
                <w:sz w:val="22"/>
                <w:szCs w:val="22"/>
              </w:rPr>
              <w:t>Niemierzalne</w:t>
            </w:r>
          </w:p>
        </w:tc>
        <w:tc>
          <w:tcPr>
            <w:tcW w:w="1459"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7949EF19" w14:textId="3BD84F0D" w:rsidR="00AB1D40" w:rsidRPr="00154E08" w:rsidRDefault="00AB1D40" w:rsidP="00AB1D40">
            <w:pPr>
              <w:spacing w:line="240" w:lineRule="auto"/>
              <w:rPr>
                <w:rFonts w:eastAsia="Calibri" w:cs="Times New Roman"/>
                <w:color w:val="808080" w:themeColor="background1" w:themeShade="80"/>
                <w:sz w:val="22"/>
                <w:szCs w:val="22"/>
              </w:rPr>
            </w:pPr>
          </w:p>
        </w:tc>
        <w:tc>
          <w:tcPr>
            <w:tcW w:w="801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E8C91A" w14:textId="0F44FC94" w:rsidR="00AB1D40" w:rsidRPr="00154E08" w:rsidRDefault="00AB1D40" w:rsidP="00AB1D40">
            <w:pPr>
              <w:spacing w:line="240" w:lineRule="auto"/>
              <w:rPr>
                <w:rFonts w:eastAsia="Calibri" w:cs="Times New Roman"/>
                <w:spacing w:val="-2"/>
                <w:sz w:val="22"/>
                <w:szCs w:val="22"/>
              </w:rPr>
            </w:pPr>
            <w:r w:rsidRPr="00154E08">
              <w:rPr>
                <w:rFonts w:eastAsia="Calibri" w:cs="Times New Roman"/>
                <w:spacing w:val="-2"/>
                <w:sz w:val="22"/>
                <w:szCs w:val="22"/>
              </w:rPr>
              <w:t xml:space="preserve">Wzrost świadomości społeczeństwa na temat roli i znaczenia odnawialnych nośników energii wykorzystywanych w gospodarce, świadomości potrzeby zmniejszenia uciążliwości i emisji z sektora transportu. </w:t>
            </w:r>
          </w:p>
        </w:tc>
        <w:tc>
          <w:tcPr>
            <w:tcW w:w="1256" w:type="dxa"/>
          </w:tcPr>
          <w:p w14:paraId="59779501" w14:textId="77777777" w:rsidR="00AB1D40" w:rsidRPr="00154E08" w:rsidRDefault="00AB1D40" w:rsidP="00AB1D40">
            <w:pPr>
              <w:rPr>
                <w:rFonts w:cs="Times New Roman"/>
                <w:sz w:val="22"/>
                <w:szCs w:val="22"/>
              </w:rPr>
            </w:pPr>
          </w:p>
        </w:tc>
      </w:tr>
      <w:tr w:rsidR="004C796F" w:rsidRPr="00154E08" w14:paraId="783293EA" w14:textId="77777777" w:rsidTr="00154E08">
        <w:trPr>
          <w:trHeight w:val="142"/>
        </w:trPr>
        <w:tc>
          <w:tcPr>
            <w:tcW w:w="1317" w:type="dxa"/>
            <w:vMerge/>
            <w:tcBorders>
              <w:top w:val="single" w:sz="4" w:space="0" w:color="auto"/>
              <w:left w:val="single" w:sz="4" w:space="0" w:color="auto"/>
              <w:bottom w:val="single" w:sz="4" w:space="0" w:color="auto"/>
            </w:tcBorders>
          </w:tcPr>
          <w:p w14:paraId="10AF8E2F" w14:textId="77777777" w:rsidR="00AB1D40" w:rsidRPr="00154E08" w:rsidRDefault="00AB1D40" w:rsidP="00AB1D40">
            <w:pPr>
              <w:spacing w:line="240" w:lineRule="auto"/>
              <w:rPr>
                <w:rFonts w:eastAsia="Calibri" w:cs="Times New Roman"/>
                <w:color w:val="000000"/>
                <w:sz w:val="22"/>
                <w:szCs w:val="22"/>
              </w:rPr>
            </w:pPr>
          </w:p>
        </w:tc>
        <w:tc>
          <w:tcPr>
            <w:tcW w:w="1459"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39EE6915" w14:textId="745D6D20" w:rsidR="00AB1D40" w:rsidRPr="00154E08" w:rsidRDefault="00AB1D40" w:rsidP="00AB1D40">
            <w:pPr>
              <w:spacing w:line="240" w:lineRule="auto"/>
              <w:rPr>
                <w:rFonts w:eastAsia="Calibri" w:cs="Times New Roman"/>
                <w:color w:val="808080" w:themeColor="background1" w:themeShade="80"/>
                <w:sz w:val="22"/>
                <w:szCs w:val="22"/>
              </w:rPr>
            </w:pPr>
          </w:p>
        </w:tc>
        <w:tc>
          <w:tcPr>
            <w:tcW w:w="801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F15EA0" w14:textId="3F3068CD" w:rsidR="00AB1D40" w:rsidRPr="00154E08" w:rsidRDefault="00AB1D40" w:rsidP="00AB1D40">
            <w:pPr>
              <w:spacing w:line="240" w:lineRule="auto"/>
              <w:rPr>
                <w:rFonts w:eastAsia="Calibri" w:cs="Times New Roman"/>
                <w:color w:val="808080" w:themeColor="background1" w:themeShade="80"/>
                <w:spacing w:val="-2"/>
                <w:sz w:val="22"/>
                <w:szCs w:val="22"/>
              </w:rPr>
            </w:pPr>
          </w:p>
        </w:tc>
        <w:tc>
          <w:tcPr>
            <w:tcW w:w="1256" w:type="dxa"/>
          </w:tcPr>
          <w:p w14:paraId="7DC7E1E9" w14:textId="77777777" w:rsidR="00AB1D40" w:rsidRPr="00154E08" w:rsidRDefault="00AB1D40" w:rsidP="00AB1D40">
            <w:pPr>
              <w:rPr>
                <w:rFonts w:cs="Times New Roman"/>
                <w:sz w:val="22"/>
                <w:szCs w:val="22"/>
              </w:rPr>
            </w:pPr>
          </w:p>
        </w:tc>
      </w:tr>
      <w:tr w:rsidR="00AB1D40" w:rsidRPr="00154E08" w14:paraId="714A97CC" w14:textId="77777777" w:rsidTr="3E65ED00">
        <w:trPr>
          <w:trHeight w:val="1643"/>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6163FB" w14:textId="77777777" w:rsidR="00AB1D40" w:rsidRPr="00154E08" w:rsidRDefault="00AB1D40" w:rsidP="00AB1D40">
            <w:pPr>
              <w:spacing w:line="240" w:lineRule="auto"/>
              <w:rPr>
                <w:rFonts w:eastAsia="Calibri" w:cs="Times New Roman"/>
                <w:color w:val="000000"/>
                <w:sz w:val="22"/>
                <w:szCs w:val="22"/>
              </w:rPr>
            </w:pPr>
            <w:r w:rsidRPr="00154E08">
              <w:rPr>
                <w:rFonts w:eastAsia="Calibri" w:cs="Times New Roman"/>
                <w:color w:val="000000"/>
                <w:sz w:val="22"/>
                <w:szCs w:val="22"/>
              </w:rPr>
              <w:lastRenderedPageBreak/>
              <w:t xml:space="preserve">Dodatkowe informacje, w tym wskazanie źródeł danych i przyjętych do obliczeń założeń </w:t>
            </w:r>
          </w:p>
        </w:tc>
        <w:tc>
          <w:tcPr>
            <w:tcW w:w="877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042788" w14:textId="77777777" w:rsidR="004A585C" w:rsidRPr="00154E08" w:rsidRDefault="00AB1D40" w:rsidP="00AB1D40">
            <w:pPr>
              <w:spacing w:line="240" w:lineRule="auto"/>
              <w:jc w:val="both"/>
              <w:rPr>
                <w:rFonts w:eastAsia="Calibri" w:cs="Times New Roman"/>
                <w:sz w:val="22"/>
                <w:szCs w:val="22"/>
              </w:rPr>
            </w:pPr>
            <w:r w:rsidRPr="00154E08">
              <w:rPr>
                <w:rFonts w:eastAsia="Calibri" w:cs="Times New Roman"/>
                <w:sz w:val="22"/>
                <w:szCs w:val="22"/>
              </w:rPr>
              <w:t>Koszty dostosowania rynku do realizacji nowych obowiązków wprowadzonych do ustawy poniosą przedsiębiorcy – podmioty zobowiązane NCW.</w:t>
            </w:r>
          </w:p>
          <w:p w14:paraId="7E456447" w14:textId="73348254" w:rsidR="00AB1D40" w:rsidRPr="00154E08" w:rsidRDefault="00AB1D40" w:rsidP="00AB1D40">
            <w:pPr>
              <w:spacing w:line="240" w:lineRule="auto"/>
              <w:jc w:val="both"/>
              <w:rPr>
                <w:rFonts w:eastAsia="Calibri" w:cs="Times New Roman"/>
                <w:strike/>
                <w:color w:val="000000"/>
                <w:sz w:val="22"/>
                <w:szCs w:val="22"/>
              </w:rPr>
            </w:pPr>
            <w:r w:rsidRPr="00154E08">
              <w:rPr>
                <w:rFonts w:eastAsia="Calibri" w:cs="Times New Roman"/>
                <w:sz w:val="22"/>
                <w:szCs w:val="22"/>
              </w:rPr>
              <w:t>Należy przyjąć, iż wprowadzane regulacje nie będą obciążać pozostałych przedsiębiorców, przyczynią się do zwiększenia świadomości wszystkich beneficjentów sektora paliw i transportu dotyczącej realizacji celów, przez systematyczny wzrost udziału zrównoważonej energii.</w:t>
            </w:r>
          </w:p>
        </w:tc>
        <w:tc>
          <w:tcPr>
            <w:tcW w:w="1256" w:type="dxa"/>
          </w:tcPr>
          <w:p w14:paraId="4724FEAA" w14:textId="77777777" w:rsidR="00AB1D40" w:rsidRPr="00154E08" w:rsidRDefault="00AB1D40" w:rsidP="00AB1D40">
            <w:pPr>
              <w:rPr>
                <w:rFonts w:cs="Times New Roman"/>
                <w:sz w:val="22"/>
                <w:szCs w:val="22"/>
              </w:rPr>
            </w:pPr>
          </w:p>
        </w:tc>
      </w:tr>
      <w:tr w:rsidR="00AB1D40" w:rsidRPr="00154E08" w14:paraId="4A9AFE77" w14:textId="77777777" w:rsidTr="3E65ED00">
        <w:trPr>
          <w:trHeight w:val="3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center"/>
          </w:tcPr>
          <w:p w14:paraId="55AE575B" w14:textId="6179E29D" w:rsidR="00AB1D40" w:rsidRPr="00154E08" w:rsidRDefault="00AB1D40" w:rsidP="00AB1D40">
            <w:pPr>
              <w:spacing w:before="60" w:after="60" w:line="240" w:lineRule="auto"/>
              <w:jc w:val="both"/>
              <w:rPr>
                <w:rFonts w:eastAsia="Calibri" w:cs="Times New Roman"/>
                <w:b/>
                <w:color w:val="000000"/>
                <w:sz w:val="22"/>
                <w:szCs w:val="22"/>
              </w:rPr>
            </w:pPr>
            <w:r w:rsidRPr="00154E08">
              <w:rPr>
                <w:rFonts w:eastAsia="Calibri" w:cs="Times New Roman"/>
                <w:b/>
                <w:color w:val="000000"/>
                <w:sz w:val="22"/>
                <w:szCs w:val="22"/>
              </w:rPr>
              <w:t>8. Zmiana obciążeń regulacyjnych (w tym obowiązków informacyjnych) wynikających z projektu</w:t>
            </w:r>
          </w:p>
        </w:tc>
        <w:tc>
          <w:tcPr>
            <w:tcW w:w="1256" w:type="dxa"/>
          </w:tcPr>
          <w:p w14:paraId="1C5A2DC7" w14:textId="77777777" w:rsidR="00AB1D40" w:rsidRPr="00154E08" w:rsidRDefault="00AB1D40" w:rsidP="00AB1D40">
            <w:pPr>
              <w:rPr>
                <w:rFonts w:cs="Times New Roman"/>
              </w:rPr>
            </w:pPr>
          </w:p>
        </w:tc>
      </w:tr>
      <w:tr w:rsidR="00AB1D40" w:rsidRPr="00154E08" w14:paraId="14B50339" w14:textId="77777777" w:rsidTr="3E65ED00">
        <w:trPr>
          <w:trHeight w:val="151"/>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20E689" w14:textId="6B9C784F" w:rsidR="00AB1D40" w:rsidRPr="00154E08" w:rsidRDefault="00000000" w:rsidP="00AB1D40">
            <w:pPr>
              <w:spacing w:line="240" w:lineRule="auto"/>
              <w:rPr>
                <w:rFonts w:eastAsia="Calibri" w:cs="Times New Roman"/>
                <w:color w:val="000000"/>
                <w:sz w:val="22"/>
                <w:szCs w:val="22"/>
              </w:rPr>
            </w:pPr>
            <w:sdt>
              <w:sdtPr>
                <w:rPr>
                  <w:rFonts w:cs="Times New Roman"/>
                  <w:sz w:val="22"/>
                  <w:szCs w:val="22"/>
                </w:rPr>
                <w:id w:val="-104886276"/>
                <w14:checkbox>
                  <w14:checked w14:val="0"/>
                  <w14:checkedState w14:val="2612" w14:font="MS Gothic"/>
                  <w14:uncheckedState w14:val="2610" w14:font="MS Gothic"/>
                </w14:checkbox>
              </w:sdtPr>
              <w:sdtContent>
                <w:r w:rsidR="003544B9" w:rsidRPr="00154E08">
                  <w:rPr>
                    <w:rFonts w:ascii="Segoe UI Symbol" w:eastAsia="MS Gothic" w:hAnsi="Segoe UI Symbol" w:cs="Segoe UI Symbol"/>
                    <w:sz w:val="22"/>
                    <w:szCs w:val="22"/>
                  </w:rPr>
                  <w:t>☐</w:t>
                </w:r>
              </w:sdtContent>
            </w:sdt>
            <w:r w:rsidR="00AB1D40" w:rsidRPr="00154E08">
              <w:rPr>
                <w:rFonts w:eastAsia="Calibri" w:cs="Times New Roman"/>
                <w:color w:val="000000"/>
                <w:spacing w:val="-2"/>
                <w:sz w:val="22"/>
                <w:szCs w:val="22"/>
              </w:rPr>
              <w:t xml:space="preserve"> nie dotyczy</w:t>
            </w:r>
          </w:p>
        </w:tc>
        <w:tc>
          <w:tcPr>
            <w:tcW w:w="1256" w:type="dxa"/>
          </w:tcPr>
          <w:p w14:paraId="0438DE4E" w14:textId="77777777" w:rsidR="00AB1D40" w:rsidRPr="00154E08" w:rsidRDefault="00AB1D40" w:rsidP="00AB1D40">
            <w:pPr>
              <w:rPr>
                <w:rFonts w:cs="Times New Roman"/>
              </w:rPr>
            </w:pPr>
          </w:p>
        </w:tc>
      </w:tr>
      <w:tr w:rsidR="00AB1D40" w:rsidRPr="00154E08" w14:paraId="56B4402B" w14:textId="77777777" w:rsidTr="3E65ED00">
        <w:trPr>
          <w:trHeight w:val="946"/>
        </w:trPr>
        <w:tc>
          <w:tcPr>
            <w:tcW w:w="3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494D9D" w14:textId="77777777" w:rsidR="00AB1D40" w:rsidRPr="00154E08" w:rsidRDefault="00AB1D40" w:rsidP="00AB1D40">
            <w:pPr>
              <w:spacing w:line="276" w:lineRule="auto"/>
              <w:rPr>
                <w:rFonts w:eastAsia="Calibri" w:cs="Times New Roman"/>
                <w:spacing w:val="-2"/>
                <w:sz w:val="22"/>
                <w:szCs w:val="22"/>
              </w:rPr>
            </w:pPr>
            <w:r w:rsidRPr="00154E08">
              <w:rPr>
                <w:rFonts w:eastAsia="Calibri" w:cs="Times New Roman"/>
                <w:spacing w:val="-2"/>
                <w:sz w:val="22"/>
                <w:szCs w:val="22"/>
              </w:rPr>
              <w:t xml:space="preserve">Wprowadzane są obciążenia poza bezwzględnie wymaganymi przez UE </w:t>
            </w:r>
            <w:r w:rsidRPr="00154E08">
              <w:rPr>
                <w:rFonts w:eastAsia="Calibri" w:cs="Times New Roman"/>
                <w:sz w:val="22"/>
                <w:szCs w:val="22"/>
              </w:rPr>
              <w:t>(szczegóły w odwróconej tabeli zgodności).</w:t>
            </w:r>
          </w:p>
        </w:tc>
        <w:tc>
          <w:tcPr>
            <w:tcW w:w="72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336ACF" w14:textId="77777777" w:rsidR="00AB1D40" w:rsidRPr="00154E08" w:rsidRDefault="00000000" w:rsidP="00AB1D40">
            <w:pPr>
              <w:spacing w:line="240" w:lineRule="auto"/>
              <w:rPr>
                <w:rFonts w:eastAsia="Calibri" w:cs="Times New Roman"/>
                <w:sz w:val="22"/>
                <w:szCs w:val="22"/>
              </w:rPr>
            </w:pPr>
            <w:sdt>
              <w:sdtPr>
                <w:rPr>
                  <w:rFonts w:cs="Times New Roman"/>
                  <w:sz w:val="22"/>
                  <w:szCs w:val="22"/>
                </w:rPr>
                <w:id w:val="390159664"/>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z w:val="22"/>
                    <w:szCs w:val="22"/>
                  </w:rPr>
                  <w:t>☐</w:t>
                </w:r>
              </w:sdtContent>
            </w:sdt>
            <w:r w:rsidR="00AB1D40" w:rsidRPr="00154E08">
              <w:rPr>
                <w:rFonts w:eastAsia="Calibri" w:cs="Times New Roman"/>
                <w:sz w:val="22"/>
                <w:szCs w:val="22"/>
              </w:rPr>
              <w:t xml:space="preserve"> tak</w:t>
            </w:r>
          </w:p>
          <w:p w14:paraId="61955AE4" w14:textId="6257C6F8" w:rsidR="00AB1D40" w:rsidRPr="00154E08" w:rsidRDefault="00000000" w:rsidP="00AB1D40">
            <w:pPr>
              <w:spacing w:line="240" w:lineRule="auto"/>
              <w:rPr>
                <w:rFonts w:eastAsia="Calibri" w:cs="Times New Roman"/>
                <w:sz w:val="22"/>
                <w:szCs w:val="22"/>
              </w:rPr>
            </w:pPr>
            <w:sdt>
              <w:sdtPr>
                <w:rPr>
                  <w:rFonts w:cs="Times New Roman"/>
                  <w:sz w:val="22"/>
                  <w:szCs w:val="22"/>
                </w:rPr>
                <w:id w:val="1550340692"/>
                <w14:checkbox>
                  <w14:checked w14:val="1"/>
                  <w14:checkedState w14:val="2612" w14:font="MS Gothic"/>
                  <w14:uncheckedState w14:val="2610" w14:font="MS Gothic"/>
                </w14:checkbox>
              </w:sdtPr>
              <w:sdtContent>
                <w:r w:rsidR="00AB1D40" w:rsidRPr="00154E08">
                  <w:rPr>
                    <w:rFonts w:ascii="Segoe UI Symbol" w:eastAsia="MS Gothic" w:hAnsi="Segoe UI Symbol" w:cs="Segoe UI Symbol"/>
                    <w:sz w:val="22"/>
                    <w:szCs w:val="22"/>
                  </w:rPr>
                  <w:t>☒</w:t>
                </w:r>
              </w:sdtContent>
            </w:sdt>
            <w:r w:rsidR="00AB1D40" w:rsidRPr="00154E08">
              <w:rPr>
                <w:rFonts w:eastAsia="Calibri" w:cs="Times New Roman"/>
                <w:sz w:val="22"/>
                <w:szCs w:val="22"/>
              </w:rPr>
              <w:t xml:space="preserve"> nie</w:t>
            </w:r>
          </w:p>
          <w:p w14:paraId="39CCD8E9" w14:textId="04DE1A07" w:rsidR="00AB1D40" w:rsidRPr="00154E08" w:rsidRDefault="00000000" w:rsidP="00AB1D40">
            <w:pPr>
              <w:spacing w:line="276" w:lineRule="auto"/>
              <w:rPr>
                <w:rFonts w:eastAsia="Calibri" w:cs="Times New Roman"/>
                <w:sz w:val="22"/>
                <w:szCs w:val="22"/>
              </w:rPr>
            </w:pPr>
            <w:sdt>
              <w:sdtPr>
                <w:rPr>
                  <w:rFonts w:cs="Times New Roman"/>
                  <w:sz w:val="22"/>
                  <w:szCs w:val="22"/>
                </w:rPr>
                <w:id w:val="-1376392690"/>
                <w14:checkbox>
                  <w14:checked w14:val="0"/>
                  <w14:checkedState w14:val="2612" w14:font="MS Gothic"/>
                  <w14:uncheckedState w14:val="2610" w14:font="MS Gothic"/>
                </w14:checkbox>
              </w:sdtPr>
              <w:sdtContent>
                <w:r w:rsidR="00AB1D40" w:rsidRPr="00154E08">
                  <w:rPr>
                    <w:rFonts w:ascii="Segoe UI Symbol" w:eastAsia="MS Gothic" w:hAnsi="Segoe UI Symbol" w:cs="Segoe UI Symbol"/>
                    <w:sz w:val="22"/>
                    <w:szCs w:val="22"/>
                  </w:rPr>
                  <w:t>☐</w:t>
                </w:r>
              </w:sdtContent>
            </w:sdt>
            <w:r w:rsidR="00AB1D40" w:rsidRPr="00154E08">
              <w:rPr>
                <w:rFonts w:eastAsia="Calibri" w:cs="Times New Roman"/>
                <w:sz w:val="22"/>
                <w:szCs w:val="22"/>
              </w:rPr>
              <w:t xml:space="preserve"> nie dotyczy</w:t>
            </w:r>
          </w:p>
        </w:tc>
        <w:tc>
          <w:tcPr>
            <w:tcW w:w="1256" w:type="dxa"/>
          </w:tcPr>
          <w:p w14:paraId="02AA34B2" w14:textId="77777777" w:rsidR="00AB1D40" w:rsidRPr="00154E08" w:rsidRDefault="00AB1D40" w:rsidP="00AB1D40">
            <w:pPr>
              <w:rPr>
                <w:rFonts w:cs="Times New Roman"/>
              </w:rPr>
            </w:pPr>
          </w:p>
        </w:tc>
      </w:tr>
      <w:tr w:rsidR="00AB1D40" w:rsidRPr="00154E08" w14:paraId="2AB5100F" w14:textId="77777777" w:rsidTr="3E65ED00">
        <w:trPr>
          <w:trHeight w:val="1245"/>
        </w:trPr>
        <w:tc>
          <w:tcPr>
            <w:tcW w:w="3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0E919B" w14:textId="77777777" w:rsidR="00AB1D40" w:rsidRPr="00154E08" w:rsidRDefault="00000000" w:rsidP="00AB1D40">
            <w:pPr>
              <w:spacing w:line="240" w:lineRule="auto"/>
              <w:rPr>
                <w:rFonts w:eastAsia="Calibri" w:cs="Times New Roman"/>
                <w:spacing w:val="-2"/>
                <w:sz w:val="22"/>
                <w:szCs w:val="22"/>
              </w:rPr>
            </w:pPr>
            <w:sdt>
              <w:sdtPr>
                <w:rPr>
                  <w:rFonts w:cs="Times New Roman"/>
                  <w:sz w:val="22"/>
                  <w:szCs w:val="22"/>
                </w:rPr>
                <w:id w:val="-1783334635"/>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pacing w:val="-2"/>
                    <w:sz w:val="22"/>
                    <w:szCs w:val="22"/>
                  </w:rPr>
                  <w:t>☐</w:t>
                </w:r>
              </w:sdtContent>
            </w:sdt>
            <w:r w:rsidR="00AB1D40" w:rsidRPr="00154E08">
              <w:rPr>
                <w:rFonts w:eastAsia="Calibri" w:cs="Times New Roman"/>
                <w:spacing w:val="-2"/>
                <w:sz w:val="22"/>
                <w:szCs w:val="22"/>
              </w:rPr>
              <w:t xml:space="preserve"> zmniejszenie liczby dokumentów </w:t>
            </w:r>
          </w:p>
          <w:p w14:paraId="35F4CBF0" w14:textId="77777777" w:rsidR="00AB1D40" w:rsidRPr="00154E08" w:rsidRDefault="00000000" w:rsidP="00AB1D40">
            <w:pPr>
              <w:spacing w:line="240" w:lineRule="auto"/>
              <w:rPr>
                <w:rFonts w:eastAsia="Calibri" w:cs="Times New Roman"/>
                <w:spacing w:val="-2"/>
                <w:sz w:val="22"/>
                <w:szCs w:val="22"/>
              </w:rPr>
            </w:pPr>
            <w:sdt>
              <w:sdtPr>
                <w:rPr>
                  <w:rFonts w:cs="Times New Roman"/>
                  <w:sz w:val="22"/>
                  <w:szCs w:val="22"/>
                </w:rPr>
                <w:id w:val="1960834636"/>
                <w14:checkbox>
                  <w14:checked w14:val="0"/>
                  <w14:checkedState w14:val="2612" w14:font="MS Gothic"/>
                  <w14:uncheckedState w14:val="2610" w14:font="MS Gothic"/>
                </w14:checkbox>
              </w:sdtPr>
              <w:sdtContent>
                <w:r w:rsidR="00AB1D40" w:rsidRPr="00154E08">
                  <w:rPr>
                    <w:rFonts w:ascii="Segoe UI Symbol" w:eastAsia="MS Gothic" w:hAnsi="Segoe UI Symbol" w:cs="Segoe UI Symbol"/>
                    <w:sz w:val="22"/>
                    <w:szCs w:val="22"/>
                  </w:rPr>
                  <w:t>☐</w:t>
                </w:r>
              </w:sdtContent>
            </w:sdt>
            <w:r w:rsidR="00AB1D40" w:rsidRPr="00154E08">
              <w:rPr>
                <w:rFonts w:eastAsia="Calibri" w:cs="Times New Roman"/>
                <w:spacing w:val="-2"/>
                <w:sz w:val="22"/>
                <w:szCs w:val="22"/>
              </w:rPr>
              <w:t xml:space="preserve"> zmniejszenie liczby procedur</w:t>
            </w:r>
          </w:p>
          <w:p w14:paraId="0B408DDB" w14:textId="77777777" w:rsidR="00AB1D40" w:rsidRPr="00154E08" w:rsidRDefault="00000000" w:rsidP="00AB1D40">
            <w:pPr>
              <w:spacing w:line="240" w:lineRule="auto"/>
              <w:rPr>
                <w:rFonts w:eastAsia="Calibri" w:cs="Times New Roman"/>
                <w:spacing w:val="-2"/>
                <w:sz w:val="22"/>
                <w:szCs w:val="22"/>
              </w:rPr>
            </w:pPr>
            <w:sdt>
              <w:sdtPr>
                <w:rPr>
                  <w:rFonts w:cs="Times New Roman"/>
                  <w:sz w:val="22"/>
                  <w:szCs w:val="22"/>
                </w:rPr>
                <w:id w:val="1054199439"/>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pacing w:val="-2"/>
                    <w:sz w:val="22"/>
                    <w:szCs w:val="22"/>
                  </w:rPr>
                  <w:t>☐</w:t>
                </w:r>
              </w:sdtContent>
            </w:sdt>
            <w:r w:rsidR="00AB1D40" w:rsidRPr="00154E08">
              <w:rPr>
                <w:rFonts w:eastAsia="Calibri" w:cs="Times New Roman"/>
                <w:spacing w:val="-2"/>
                <w:sz w:val="22"/>
                <w:szCs w:val="22"/>
              </w:rPr>
              <w:t xml:space="preserve"> skrócenie czasu na załatwienie sprawy</w:t>
            </w:r>
          </w:p>
          <w:p w14:paraId="468ED1F7" w14:textId="77777777" w:rsidR="00AB1D40" w:rsidRPr="00154E08" w:rsidRDefault="00000000" w:rsidP="00AB1D40">
            <w:pPr>
              <w:spacing w:line="276" w:lineRule="auto"/>
              <w:rPr>
                <w:rFonts w:eastAsia="Calibri" w:cs="Times New Roman"/>
                <w:b/>
                <w:spacing w:val="-2"/>
                <w:sz w:val="22"/>
                <w:szCs w:val="22"/>
              </w:rPr>
            </w:pPr>
            <w:sdt>
              <w:sdtPr>
                <w:rPr>
                  <w:rFonts w:cs="Times New Roman"/>
                  <w:sz w:val="22"/>
                  <w:szCs w:val="22"/>
                </w:rPr>
                <w:id w:val="-1267846522"/>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pacing w:val="-2"/>
                    <w:sz w:val="22"/>
                    <w:szCs w:val="22"/>
                  </w:rPr>
                  <w:t>☐</w:t>
                </w:r>
              </w:sdtContent>
            </w:sdt>
            <w:r w:rsidR="00AB1D40" w:rsidRPr="00154E08">
              <w:rPr>
                <w:rFonts w:eastAsia="Calibri" w:cs="Times New Roman"/>
                <w:spacing w:val="-2"/>
                <w:sz w:val="22"/>
                <w:szCs w:val="22"/>
              </w:rPr>
              <w:t xml:space="preserve"> inne:</w:t>
            </w:r>
            <w:r w:rsidR="00AB1D40" w:rsidRPr="00154E08">
              <w:rPr>
                <w:rFonts w:eastAsia="Calibri" w:cs="Times New Roman"/>
                <w:sz w:val="22"/>
                <w:szCs w:val="22"/>
              </w:rPr>
              <w:t xml:space="preserve"> …</w:t>
            </w:r>
          </w:p>
        </w:tc>
        <w:tc>
          <w:tcPr>
            <w:tcW w:w="72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19CE8A" w14:textId="77777777" w:rsidR="00AB1D40" w:rsidRPr="00154E08" w:rsidRDefault="00000000" w:rsidP="00AB1D40">
            <w:pPr>
              <w:spacing w:line="240" w:lineRule="auto"/>
              <w:rPr>
                <w:rFonts w:eastAsia="Calibri" w:cs="Times New Roman"/>
                <w:spacing w:val="-2"/>
                <w:sz w:val="22"/>
                <w:szCs w:val="22"/>
              </w:rPr>
            </w:pPr>
            <w:sdt>
              <w:sdtPr>
                <w:rPr>
                  <w:rFonts w:cs="Times New Roman"/>
                  <w:sz w:val="22"/>
                  <w:szCs w:val="22"/>
                </w:rPr>
                <w:id w:val="-1566559505"/>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pacing w:val="-2"/>
                    <w:sz w:val="22"/>
                    <w:szCs w:val="22"/>
                  </w:rPr>
                  <w:t>☒</w:t>
                </w:r>
              </w:sdtContent>
            </w:sdt>
            <w:r w:rsidR="00AB1D40" w:rsidRPr="00154E08">
              <w:rPr>
                <w:rFonts w:eastAsia="Calibri" w:cs="Times New Roman"/>
                <w:spacing w:val="-2"/>
                <w:sz w:val="22"/>
                <w:szCs w:val="22"/>
              </w:rPr>
              <w:t xml:space="preserve"> zwiększenie liczby dokumentów</w:t>
            </w:r>
          </w:p>
          <w:p w14:paraId="29156DDC" w14:textId="77777777" w:rsidR="00AB1D40" w:rsidRPr="00154E08" w:rsidRDefault="00000000" w:rsidP="00AB1D40">
            <w:pPr>
              <w:spacing w:line="240" w:lineRule="auto"/>
              <w:rPr>
                <w:rFonts w:eastAsia="Calibri" w:cs="Times New Roman"/>
                <w:spacing w:val="-2"/>
                <w:sz w:val="22"/>
                <w:szCs w:val="22"/>
              </w:rPr>
            </w:pPr>
            <w:sdt>
              <w:sdtPr>
                <w:rPr>
                  <w:rFonts w:cs="Times New Roman"/>
                  <w:sz w:val="22"/>
                  <w:szCs w:val="22"/>
                </w:rPr>
                <w:id w:val="1376355598"/>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z w:val="22"/>
                    <w:szCs w:val="22"/>
                  </w:rPr>
                  <w:t>☒</w:t>
                </w:r>
              </w:sdtContent>
            </w:sdt>
            <w:r w:rsidR="00AB1D40" w:rsidRPr="00154E08">
              <w:rPr>
                <w:rFonts w:eastAsia="Calibri" w:cs="Times New Roman"/>
                <w:sz w:val="22"/>
                <w:szCs w:val="22"/>
              </w:rPr>
              <w:t xml:space="preserve"> </w:t>
            </w:r>
            <w:r w:rsidR="00AB1D40" w:rsidRPr="00154E08">
              <w:rPr>
                <w:rFonts w:eastAsia="Calibri" w:cs="Times New Roman"/>
                <w:spacing w:val="-2"/>
                <w:sz w:val="22"/>
                <w:szCs w:val="22"/>
              </w:rPr>
              <w:t>zwiększenie liczby procedur</w:t>
            </w:r>
          </w:p>
          <w:p w14:paraId="36244FCA" w14:textId="77777777" w:rsidR="00AB1D40" w:rsidRPr="00154E08" w:rsidRDefault="00000000" w:rsidP="00AB1D40">
            <w:pPr>
              <w:spacing w:line="240" w:lineRule="auto"/>
              <w:rPr>
                <w:rFonts w:eastAsia="Calibri" w:cs="Times New Roman"/>
                <w:spacing w:val="-2"/>
                <w:sz w:val="22"/>
                <w:szCs w:val="22"/>
              </w:rPr>
            </w:pPr>
            <w:sdt>
              <w:sdtPr>
                <w:rPr>
                  <w:rFonts w:cs="Times New Roman"/>
                  <w:sz w:val="22"/>
                  <w:szCs w:val="22"/>
                </w:rPr>
                <w:id w:val="-980618882"/>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pacing w:val="-2"/>
                    <w:sz w:val="22"/>
                    <w:szCs w:val="22"/>
                  </w:rPr>
                  <w:t>☐</w:t>
                </w:r>
              </w:sdtContent>
            </w:sdt>
            <w:r w:rsidR="00AB1D40" w:rsidRPr="00154E08">
              <w:rPr>
                <w:rFonts w:eastAsia="Calibri" w:cs="Times New Roman"/>
                <w:spacing w:val="-2"/>
                <w:sz w:val="22"/>
                <w:szCs w:val="22"/>
              </w:rPr>
              <w:t xml:space="preserve"> wydłużenie czasu na załatwienie sprawy</w:t>
            </w:r>
          </w:p>
          <w:p w14:paraId="2A15BB12" w14:textId="77777777" w:rsidR="00AB1D40" w:rsidRPr="00154E08" w:rsidRDefault="00000000" w:rsidP="00AB1D40">
            <w:pPr>
              <w:spacing w:line="240" w:lineRule="auto"/>
              <w:rPr>
                <w:rFonts w:eastAsia="Calibri" w:cs="Times New Roman"/>
                <w:sz w:val="22"/>
                <w:szCs w:val="22"/>
              </w:rPr>
            </w:pPr>
            <w:sdt>
              <w:sdtPr>
                <w:rPr>
                  <w:rFonts w:cs="Times New Roman"/>
                  <w:sz w:val="22"/>
                  <w:szCs w:val="22"/>
                </w:rPr>
                <w:id w:val="-616294634"/>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pacing w:val="-2"/>
                    <w:sz w:val="22"/>
                    <w:szCs w:val="22"/>
                  </w:rPr>
                  <w:t>☐</w:t>
                </w:r>
              </w:sdtContent>
            </w:sdt>
            <w:r w:rsidR="00AB1D40" w:rsidRPr="00154E08">
              <w:rPr>
                <w:rFonts w:eastAsia="Calibri" w:cs="Times New Roman"/>
                <w:spacing w:val="-2"/>
                <w:sz w:val="22"/>
                <w:szCs w:val="22"/>
              </w:rPr>
              <w:t xml:space="preserve"> inne:</w:t>
            </w:r>
            <w:r w:rsidR="00AB1D40" w:rsidRPr="00154E08">
              <w:rPr>
                <w:rFonts w:eastAsia="Calibri" w:cs="Times New Roman"/>
                <w:sz w:val="22"/>
                <w:szCs w:val="22"/>
              </w:rPr>
              <w:t xml:space="preserve"> …</w:t>
            </w:r>
          </w:p>
          <w:p w14:paraId="1EB66E58" w14:textId="77777777" w:rsidR="00AB1D40" w:rsidRPr="00154E08" w:rsidRDefault="00AB1D40" w:rsidP="00AB1D40">
            <w:pPr>
              <w:spacing w:line="240" w:lineRule="auto"/>
              <w:rPr>
                <w:rFonts w:eastAsia="Calibri" w:cs="Times New Roman"/>
                <w:sz w:val="22"/>
                <w:szCs w:val="22"/>
              </w:rPr>
            </w:pPr>
          </w:p>
        </w:tc>
        <w:tc>
          <w:tcPr>
            <w:tcW w:w="1256" w:type="dxa"/>
          </w:tcPr>
          <w:p w14:paraId="57B3E069" w14:textId="77777777" w:rsidR="00AB1D40" w:rsidRPr="00154E08" w:rsidRDefault="00AB1D40" w:rsidP="00AB1D40">
            <w:pPr>
              <w:rPr>
                <w:rFonts w:cs="Times New Roman"/>
              </w:rPr>
            </w:pPr>
          </w:p>
        </w:tc>
      </w:tr>
      <w:tr w:rsidR="00AB1D40" w:rsidRPr="00154E08" w14:paraId="1CA107B0" w14:textId="77777777" w:rsidTr="3E65ED00">
        <w:trPr>
          <w:trHeight w:val="968"/>
        </w:trPr>
        <w:tc>
          <w:tcPr>
            <w:tcW w:w="3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35E936" w14:textId="77777777" w:rsidR="00AB1D40" w:rsidRPr="00154E08" w:rsidRDefault="00AB1D40" w:rsidP="00AB1D40">
            <w:pPr>
              <w:spacing w:line="240" w:lineRule="auto"/>
              <w:rPr>
                <w:rFonts w:eastAsia="Calibri" w:cs="Times New Roman"/>
                <w:sz w:val="22"/>
                <w:szCs w:val="22"/>
              </w:rPr>
            </w:pPr>
            <w:r w:rsidRPr="00154E08">
              <w:rPr>
                <w:rFonts w:eastAsia="Calibri" w:cs="Times New Roman"/>
                <w:spacing w:val="-2"/>
                <w:sz w:val="22"/>
                <w:szCs w:val="22"/>
              </w:rPr>
              <w:t xml:space="preserve">Wprowadzane obciążenia są przystosowane do ich elektronizacji. </w:t>
            </w:r>
          </w:p>
        </w:tc>
        <w:tc>
          <w:tcPr>
            <w:tcW w:w="72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40ADAF" w14:textId="77777777" w:rsidR="00AB1D40" w:rsidRPr="00154E08" w:rsidRDefault="00000000" w:rsidP="00AB1D40">
            <w:pPr>
              <w:spacing w:line="240" w:lineRule="auto"/>
              <w:rPr>
                <w:rFonts w:eastAsia="Calibri" w:cs="Times New Roman"/>
                <w:sz w:val="22"/>
                <w:szCs w:val="22"/>
              </w:rPr>
            </w:pPr>
            <w:sdt>
              <w:sdtPr>
                <w:rPr>
                  <w:rFonts w:cs="Times New Roman"/>
                  <w:sz w:val="22"/>
                  <w:szCs w:val="22"/>
                </w:rPr>
                <w:id w:val="-443610772"/>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z w:val="22"/>
                    <w:szCs w:val="22"/>
                  </w:rPr>
                  <w:t>☒</w:t>
                </w:r>
              </w:sdtContent>
            </w:sdt>
            <w:r w:rsidR="00AB1D40" w:rsidRPr="00154E08">
              <w:rPr>
                <w:rFonts w:eastAsia="Calibri" w:cs="Times New Roman"/>
                <w:sz w:val="22"/>
                <w:szCs w:val="22"/>
              </w:rPr>
              <w:t xml:space="preserve"> tak</w:t>
            </w:r>
          </w:p>
          <w:p w14:paraId="1653F02A" w14:textId="77777777" w:rsidR="00AB1D40" w:rsidRPr="00154E08" w:rsidRDefault="00000000" w:rsidP="00AB1D40">
            <w:pPr>
              <w:spacing w:line="240" w:lineRule="auto"/>
              <w:rPr>
                <w:rFonts w:eastAsia="Calibri" w:cs="Times New Roman"/>
                <w:sz w:val="22"/>
                <w:szCs w:val="22"/>
              </w:rPr>
            </w:pPr>
            <w:sdt>
              <w:sdtPr>
                <w:rPr>
                  <w:rFonts w:cs="Times New Roman"/>
                  <w:sz w:val="22"/>
                  <w:szCs w:val="22"/>
                </w:rPr>
                <w:id w:val="-1026867055"/>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z w:val="22"/>
                    <w:szCs w:val="22"/>
                  </w:rPr>
                  <w:t>☐</w:t>
                </w:r>
              </w:sdtContent>
            </w:sdt>
            <w:r w:rsidR="00AB1D40" w:rsidRPr="00154E08">
              <w:rPr>
                <w:rFonts w:eastAsia="Calibri" w:cs="Times New Roman"/>
                <w:sz w:val="22"/>
                <w:szCs w:val="22"/>
              </w:rPr>
              <w:t xml:space="preserve"> nie</w:t>
            </w:r>
          </w:p>
          <w:p w14:paraId="521A1CA2" w14:textId="2684E7B2" w:rsidR="00AB1D40" w:rsidRPr="00154E08" w:rsidRDefault="00000000" w:rsidP="00AB1D40">
            <w:pPr>
              <w:spacing w:line="240" w:lineRule="auto"/>
              <w:rPr>
                <w:rFonts w:eastAsia="Calibri" w:cs="Times New Roman"/>
                <w:sz w:val="22"/>
                <w:szCs w:val="22"/>
              </w:rPr>
            </w:pPr>
            <w:sdt>
              <w:sdtPr>
                <w:rPr>
                  <w:rFonts w:cs="Times New Roman"/>
                  <w:sz w:val="22"/>
                  <w:szCs w:val="22"/>
                </w:rPr>
                <w:id w:val="1537164951"/>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z w:val="22"/>
                    <w:szCs w:val="22"/>
                  </w:rPr>
                  <w:t>☐</w:t>
                </w:r>
              </w:sdtContent>
            </w:sdt>
            <w:r w:rsidR="00AB1D40" w:rsidRPr="00154E08">
              <w:rPr>
                <w:rFonts w:eastAsia="Calibri" w:cs="Times New Roman"/>
                <w:sz w:val="22"/>
                <w:szCs w:val="22"/>
              </w:rPr>
              <w:t xml:space="preserve"> nie dotyczy</w:t>
            </w:r>
          </w:p>
        </w:tc>
        <w:tc>
          <w:tcPr>
            <w:tcW w:w="1256" w:type="dxa"/>
          </w:tcPr>
          <w:p w14:paraId="4EC953CF" w14:textId="77777777" w:rsidR="00AB1D40" w:rsidRPr="00154E08" w:rsidRDefault="00AB1D40" w:rsidP="00AB1D40">
            <w:pPr>
              <w:rPr>
                <w:rFonts w:cs="Times New Roman"/>
              </w:rPr>
            </w:pPr>
          </w:p>
        </w:tc>
      </w:tr>
      <w:tr w:rsidR="00AB1D40" w:rsidRPr="00154E08" w14:paraId="7C73A447" w14:textId="77777777" w:rsidTr="3E65ED00">
        <w:trPr>
          <w:trHeight w:val="630"/>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B0BC75" w14:textId="2BF96BF8" w:rsidR="00AB1D40" w:rsidRPr="00154E08" w:rsidRDefault="00AB1D40" w:rsidP="00AB1D40">
            <w:pPr>
              <w:spacing w:line="240" w:lineRule="auto"/>
              <w:jc w:val="both"/>
              <w:rPr>
                <w:rFonts w:cs="Times New Roman"/>
                <w:sz w:val="22"/>
                <w:szCs w:val="22"/>
              </w:rPr>
            </w:pPr>
            <w:r w:rsidRPr="00154E08">
              <w:rPr>
                <w:rFonts w:eastAsia="Calibri" w:cs="Times New Roman"/>
                <w:b/>
                <w:bCs/>
                <w:sz w:val="22"/>
                <w:szCs w:val="22"/>
              </w:rPr>
              <w:t>Komentarz:</w:t>
            </w:r>
            <w:r w:rsidRPr="00154E08">
              <w:rPr>
                <w:rFonts w:eastAsia="Calibri" w:cs="Times New Roman"/>
                <w:sz w:val="22"/>
                <w:szCs w:val="22"/>
              </w:rPr>
              <w:t xml:space="preserve"> Wejście w życie </w:t>
            </w:r>
            <w:r w:rsidRPr="00154E08">
              <w:rPr>
                <w:rFonts w:eastAsia="Calibri" w:cs="Times New Roman"/>
                <w:iCs/>
                <w:sz w:val="22"/>
                <w:szCs w:val="22"/>
              </w:rPr>
              <w:t>projektu ustawy</w:t>
            </w:r>
            <w:r w:rsidRPr="00154E08">
              <w:rPr>
                <w:rFonts w:eastAsia="Calibri" w:cs="Times New Roman"/>
                <w:sz w:val="22"/>
                <w:szCs w:val="22"/>
              </w:rPr>
              <w:t xml:space="preserve"> może skutkować potrzebą przeglądu mechanizmu nadzoru funkcjonowania rynku paliwowego, spełniania </w:t>
            </w:r>
            <w:r w:rsidRPr="00154E08">
              <w:rPr>
                <w:rFonts w:cs="Times New Roman"/>
                <w:sz w:val="22"/>
                <w:szCs w:val="22"/>
              </w:rPr>
              <w:t xml:space="preserve">obowiązków regulacyjnych i informacyjnych przez podmioty realizujące NCW oraz wytwarzające energię, w tym energię elektryczną z OZE wykorzystywaną w sektorze transportu. </w:t>
            </w:r>
          </w:p>
          <w:p w14:paraId="6CD70E41" w14:textId="53B95674" w:rsidR="00AB1D40" w:rsidRPr="00154E08" w:rsidRDefault="00AB1D40" w:rsidP="00AB1D40">
            <w:pPr>
              <w:spacing w:line="240" w:lineRule="auto"/>
              <w:jc w:val="both"/>
              <w:rPr>
                <w:rFonts w:cs="Times New Roman"/>
                <w:sz w:val="22"/>
                <w:szCs w:val="22"/>
              </w:rPr>
            </w:pPr>
            <w:r w:rsidRPr="00154E08">
              <w:rPr>
                <w:rFonts w:cs="Times New Roman"/>
                <w:sz w:val="22"/>
                <w:szCs w:val="22"/>
              </w:rPr>
              <w:t>Przewiduje się, że przekazywane przez podmioty dokumenty i informacje będą mogły być dostarczane w formie elektronicznej przy zachowaniu rygoru podpisu elektronicznego.</w:t>
            </w:r>
          </w:p>
        </w:tc>
        <w:tc>
          <w:tcPr>
            <w:tcW w:w="1256" w:type="dxa"/>
          </w:tcPr>
          <w:p w14:paraId="114AC4FC" w14:textId="77777777" w:rsidR="00AB1D40" w:rsidRPr="00154E08" w:rsidRDefault="00AB1D40" w:rsidP="00AB1D40">
            <w:pPr>
              <w:rPr>
                <w:rFonts w:cs="Times New Roman"/>
              </w:rPr>
            </w:pPr>
          </w:p>
        </w:tc>
      </w:tr>
      <w:tr w:rsidR="00AB1D40" w:rsidRPr="00154E08" w14:paraId="372A108B"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7B72227D" w14:textId="17E8DDA5" w:rsidR="00AB1D40" w:rsidRPr="00154E08" w:rsidRDefault="00AB1D40" w:rsidP="00AB1D40">
            <w:pPr>
              <w:spacing w:before="60" w:after="60" w:line="240" w:lineRule="auto"/>
              <w:jc w:val="both"/>
              <w:rPr>
                <w:rFonts w:eastAsia="Calibri" w:cs="Times New Roman"/>
                <w:b/>
                <w:color w:val="000000"/>
                <w:sz w:val="22"/>
                <w:szCs w:val="22"/>
              </w:rPr>
            </w:pPr>
            <w:r w:rsidRPr="00154E08">
              <w:rPr>
                <w:rFonts w:eastAsia="Calibri" w:cs="Times New Roman"/>
                <w:b/>
                <w:color w:val="000000"/>
                <w:sz w:val="22"/>
                <w:szCs w:val="22"/>
              </w:rPr>
              <w:t xml:space="preserve">9. Wpływ na rynek pracy </w:t>
            </w:r>
          </w:p>
        </w:tc>
        <w:tc>
          <w:tcPr>
            <w:tcW w:w="1256" w:type="dxa"/>
          </w:tcPr>
          <w:p w14:paraId="64A2086C" w14:textId="77777777" w:rsidR="00AB1D40" w:rsidRPr="00154E08" w:rsidRDefault="00AB1D40" w:rsidP="00AB1D40">
            <w:pPr>
              <w:rPr>
                <w:rFonts w:cs="Times New Roman"/>
              </w:rPr>
            </w:pPr>
          </w:p>
        </w:tc>
      </w:tr>
      <w:tr w:rsidR="00AB1D40" w:rsidRPr="00154E08" w14:paraId="73B543F8"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CE5B8" w14:textId="4209E2E7" w:rsidR="00AB1D40" w:rsidRPr="00154E08" w:rsidRDefault="00AB1D40" w:rsidP="00B279FD">
            <w:pPr>
              <w:spacing w:after="120" w:line="240" w:lineRule="auto"/>
              <w:jc w:val="both"/>
              <w:rPr>
                <w:rFonts w:eastAsia="Calibri" w:cs="Times New Roman"/>
                <w:sz w:val="22"/>
                <w:szCs w:val="22"/>
              </w:rPr>
            </w:pPr>
            <w:r w:rsidRPr="00154E08">
              <w:rPr>
                <w:rFonts w:eastAsia="Calibri" w:cs="Times New Roman"/>
                <w:iCs/>
                <w:sz w:val="22"/>
                <w:szCs w:val="22"/>
              </w:rPr>
              <w:t>Projektowana</w:t>
            </w:r>
            <w:r w:rsidRPr="00154E08">
              <w:rPr>
                <w:rFonts w:eastAsia="Calibri" w:cs="Times New Roman"/>
                <w:sz w:val="22"/>
                <w:szCs w:val="22"/>
              </w:rPr>
              <w:t xml:space="preserve"> regulacja pozytywnie wpłynie na rynek pracy przez zwiększenie zapotrzebowania na dodatkowe zatrudnienie w analizowanej perspektywie, zarówno w sektorze energetyki oraz transportu, sektorze zagospodarowywania odpadów, a także w innych powiązanych sektorach gospodarki – związanych z łańcuchem dostaw krajowych komponentów (</w:t>
            </w:r>
            <w:r w:rsidRPr="00154E08">
              <w:rPr>
                <w:rFonts w:eastAsia="Calibri" w:cs="Times New Roman"/>
                <w:iCs/>
                <w:sz w:val="22"/>
                <w:szCs w:val="22"/>
              </w:rPr>
              <w:t>surowców, materiałów, podzespołów, produktów</w:t>
            </w:r>
            <w:r w:rsidRPr="00154E08">
              <w:rPr>
                <w:rFonts w:eastAsia="Calibri" w:cs="Times New Roman"/>
                <w:sz w:val="22"/>
                <w:szCs w:val="22"/>
              </w:rPr>
              <w:t xml:space="preserve">) koniecznych do wytworzenia energii wykorzystywanej w transporcie, np. </w:t>
            </w:r>
            <w:r w:rsidRPr="00154E08">
              <w:rPr>
                <w:rFonts w:eastAsia="Calibri" w:cs="Times New Roman"/>
                <w:iCs/>
                <w:sz w:val="22"/>
                <w:szCs w:val="22"/>
              </w:rPr>
              <w:t>biopaliw zaawansowanych, biometanu, RFNBO, energii elektrycznej z OZE</w:t>
            </w:r>
            <w:r w:rsidRPr="00154E08">
              <w:rPr>
                <w:rFonts w:eastAsia="Calibri" w:cs="Times New Roman"/>
                <w:sz w:val="22"/>
                <w:szCs w:val="22"/>
              </w:rPr>
              <w:t xml:space="preserve">. </w:t>
            </w:r>
          </w:p>
          <w:p w14:paraId="5D521B30" w14:textId="38668A84" w:rsidR="00AB1D40" w:rsidRPr="00154E08" w:rsidRDefault="00AB1D40" w:rsidP="00B279FD">
            <w:pPr>
              <w:spacing w:after="120" w:line="240" w:lineRule="auto"/>
              <w:jc w:val="both"/>
              <w:rPr>
                <w:rFonts w:eastAsia="Calibri" w:cs="Times New Roman"/>
                <w:color w:val="000000"/>
                <w:sz w:val="22"/>
                <w:szCs w:val="22"/>
              </w:rPr>
            </w:pPr>
            <w:r w:rsidRPr="00154E08">
              <w:rPr>
                <w:rFonts w:eastAsia="Calibri" w:cs="Times New Roman"/>
                <w:sz w:val="22"/>
                <w:szCs w:val="22"/>
              </w:rPr>
              <w:t xml:space="preserve">Oparcie dostaw surowców o lokalne, rozproszone źródła wpisuje się w długoterminową politykę Unii Europejskiej wdrażania gospodarki niskoemisyjnej funkcjonującej w zamkniętym obiegu (przy spożytkowaniu pełnego łańcucha wartości) i wymaga specjalistycznych kompetencji zarówno w obszarze dostaw surowców, nośników energii oraz ich przetwarzania, sprzętów i urządzeń oraz ich serwisowania, nadzoru funkcjonowania rynku. Wykorzystanie surowców zaawansowanych, paliw alternatywnych będzie wymagać prowadzenia wysokospecjalistycznych badań i analiz, </w:t>
            </w:r>
            <w:r w:rsidR="002C18B8" w:rsidRPr="00154E08">
              <w:rPr>
                <w:rFonts w:eastAsia="Calibri" w:cs="Times New Roman"/>
                <w:sz w:val="22"/>
                <w:szCs w:val="22"/>
              </w:rPr>
              <w:t>co będzie prowadzić do dalszego zwiększania kompetencji pracowniczych na wspólnotowym rynku</w:t>
            </w:r>
            <w:r w:rsidRPr="00154E08">
              <w:rPr>
                <w:rFonts w:eastAsia="Calibri" w:cs="Times New Roman"/>
                <w:sz w:val="22"/>
                <w:szCs w:val="22"/>
              </w:rPr>
              <w:t>. Nowe miejsca pracy w innowacyjnych sektorach gospodarki stymulują aktywność i konieczność budowania nowych kompetencji na rynku pracy (</w:t>
            </w:r>
            <w:r w:rsidRPr="00154E08">
              <w:rPr>
                <w:rFonts w:eastAsia="Calibri" w:cs="Times New Roman"/>
                <w:iCs/>
                <w:sz w:val="22"/>
                <w:szCs w:val="22"/>
              </w:rPr>
              <w:t>wyższe płace i kwalifikacje, niższa emigracja zarobkowa</w:t>
            </w:r>
            <w:r w:rsidRPr="00154E08">
              <w:rPr>
                <w:rFonts w:eastAsia="Calibri" w:cs="Times New Roman"/>
                <w:sz w:val="22"/>
                <w:szCs w:val="22"/>
              </w:rPr>
              <w:t>), wpłyną korzystnie na kształtowanie się gospodarki (PKB) oraz jej konkurencyjność międzynarodową. Liczba miejsc pracy w łańcuch wartości będzie wynikać ze stopnia integracji różnych technologii (</w:t>
            </w:r>
            <w:r w:rsidRPr="00154E08">
              <w:rPr>
                <w:rFonts w:eastAsia="Calibri" w:cs="Times New Roman"/>
                <w:iCs/>
                <w:sz w:val="22"/>
                <w:szCs w:val="22"/>
              </w:rPr>
              <w:t>zrównoważonych biokomponentów, odnawialnej energii elektrycznej, w przyszłości technologii wodorowych)</w:t>
            </w:r>
            <w:r w:rsidRPr="00154E08">
              <w:rPr>
                <w:rFonts w:eastAsia="Calibri" w:cs="Times New Roman"/>
                <w:sz w:val="22"/>
                <w:szCs w:val="22"/>
              </w:rPr>
              <w:t xml:space="preserve"> zaprzęgniętych do wspólnej – w ramach UE–27 – realizacji ambitnych celów OZE w transporcie</w:t>
            </w:r>
            <w:r w:rsidRPr="00154E08">
              <w:rPr>
                <w:rFonts w:eastAsia="Calibri" w:cs="Times New Roman"/>
                <w:color w:val="000000"/>
                <w:spacing w:val="-2"/>
                <w:sz w:val="22"/>
                <w:szCs w:val="22"/>
              </w:rPr>
              <w:t xml:space="preserve"> </w:t>
            </w:r>
            <w:r w:rsidRPr="00154E08">
              <w:rPr>
                <w:rFonts w:eastAsia="Calibri" w:cs="Times New Roman"/>
                <w:sz w:val="22"/>
                <w:szCs w:val="22"/>
              </w:rPr>
              <w:t>drogowym i kolejowym, przyjętych do realizacji przez państwa członkowskie Unii Europejskiej w perspektywie do 2030 r.</w:t>
            </w:r>
            <w:r w:rsidR="007D526B" w:rsidRPr="00154E08">
              <w:rPr>
                <w:rFonts w:eastAsia="Calibri" w:cs="Times New Roman"/>
                <w:sz w:val="22"/>
                <w:szCs w:val="22"/>
              </w:rPr>
              <w:t xml:space="preserve"> </w:t>
            </w:r>
            <w:r w:rsidRPr="00154E08">
              <w:rPr>
                <w:rFonts w:eastAsia="Calibri" w:cs="Times New Roman"/>
                <w:sz w:val="22"/>
                <w:szCs w:val="22"/>
              </w:rPr>
              <w:t>Większe wykorzystanie krajowych zasobów osobowych wynikające z wdrażania niniejszego projektu ustawy będzie korzystne dla gospodarki.</w:t>
            </w:r>
          </w:p>
        </w:tc>
        <w:tc>
          <w:tcPr>
            <w:tcW w:w="1256" w:type="dxa"/>
          </w:tcPr>
          <w:p w14:paraId="31E9DC4D" w14:textId="77777777" w:rsidR="00AB1D40" w:rsidRPr="00154E08" w:rsidRDefault="00AB1D40" w:rsidP="00AB1D40">
            <w:pPr>
              <w:rPr>
                <w:rFonts w:cs="Times New Roman"/>
              </w:rPr>
            </w:pPr>
          </w:p>
        </w:tc>
      </w:tr>
      <w:tr w:rsidR="00AB1D40" w:rsidRPr="00154E08" w14:paraId="3E68CAA0"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0BFD84AC" w14:textId="6D43EB53" w:rsidR="00AB1D40" w:rsidRPr="00154E08" w:rsidRDefault="00AB1D40" w:rsidP="00AB1D40">
            <w:pPr>
              <w:keepNext/>
              <w:keepLines/>
              <w:spacing w:before="60" w:after="60" w:line="240" w:lineRule="auto"/>
              <w:jc w:val="both"/>
              <w:rPr>
                <w:rFonts w:eastAsia="Calibri" w:cs="Times New Roman"/>
                <w:b/>
                <w:color w:val="000000"/>
                <w:sz w:val="22"/>
                <w:szCs w:val="22"/>
              </w:rPr>
            </w:pPr>
            <w:r w:rsidRPr="00154E08">
              <w:rPr>
                <w:rFonts w:eastAsia="Calibri" w:cs="Times New Roman"/>
                <w:b/>
                <w:color w:val="000000"/>
                <w:sz w:val="22"/>
                <w:szCs w:val="22"/>
              </w:rPr>
              <w:lastRenderedPageBreak/>
              <w:t>10. Wpływ na pozostałe obszary</w:t>
            </w:r>
          </w:p>
        </w:tc>
        <w:tc>
          <w:tcPr>
            <w:tcW w:w="1256" w:type="dxa"/>
          </w:tcPr>
          <w:p w14:paraId="17D76C77" w14:textId="77777777" w:rsidR="00AB1D40" w:rsidRPr="00154E08" w:rsidRDefault="00AB1D40" w:rsidP="00AB1D40">
            <w:pPr>
              <w:rPr>
                <w:rFonts w:cs="Times New Roman"/>
              </w:rPr>
            </w:pPr>
          </w:p>
        </w:tc>
      </w:tr>
      <w:tr w:rsidR="004C796F" w:rsidRPr="00154E08" w14:paraId="1E684F39" w14:textId="77777777" w:rsidTr="3E65ED00">
        <w:trPr>
          <w:trHeight w:val="1454"/>
        </w:trPr>
        <w:tc>
          <w:tcPr>
            <w:tcW w:w="2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164D5B" w14:textId="77777777" w:rsidR="00AB1D40" w:rsidRPr="00154E08" w:rsidRDefault="00000000" w:rsidP="00AB1D40">
            <w:pPr>
              <w:spacing w:line="240" w:lineRule="auto"/>
              <w:rPr>
                <w:rFonts w:eastAsia="Calibri" w:cs="Times New Roman"/>
                <w:spacing w:val="-2"/>
                <w:sz w:val="22"/>
                <w:szCs w:val="22"/>
              </w:rPr>
            </w:pPr>
            <w:sdt>
              <w:sdtPr>
                <w:rPr>
                  <w:rFonts w:cs="Times New Roman"/>
                  <w:sz w:val="22"/>
                  <w:szCs w:val="22"/>
                </w:rPr>
                <w:id w:val="1769427007"/>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z w:val="22"/>
                    <w:szCs w:val="22"/>
                  </w:rPr>
                  <w:t>☒</w:t>
                </w:r>
              </w:sdtContent>
            </w:sdt>
            <w:r w:rsidR="00AB1D40" w:rsidRPr="00154E08">
              <w:rPr>
                <w:rFonts w:eastAsia="Calibri" w:cs="Times New Roman"/>
                <w:sz w:val="22"/>
                <w:szCs w:val="22"/>
              </w:rPr>
              <w:t xml:space="preserve"> </w:t>
            </w:r>
            <w:r w:rsidR="00AB1D40" w:rsidRPr="00154E08">
              <w:rPr>
                <w:rFonts w:eastAsia="Calibri" w:cs="Times New Roman"/>
                <w:spacing w:val="-2"/>
                <w:sz w:val="22"/>
                <w:szCs w:val="22"/>
              </w:rPr>
              <w:t>środowisko naturalne</w:t>
            </w:r>
          </w:p>
          <w:p w14:paraId="09A23B28" w14:textId="734EC760" w:rsidR="00AB1D40" w:rsidRPr="00154E08" w:rsidRDefault="00000000" w:rsidP="00AB1D40">
            <w:pPr>
              <w:spacing w:line="240" w:lineRule="auto"/>
              <w:rPr>
                <w:rFonts w:eastAsia="Calibri" w:cs="Times New Roman"/>
                <w:sz w:val="22"/>
                <w:szCs w:val="22"/>
              </w:rPr>
            </w:pPr>
            <w:sdt>
              <w:sdtPr>
                <w:rPr>
                  <w:rFonts w:cs="Times New Roman"/>
                  <w:sz w:val="22"/>
                  <w:szCs w:val="22"/>
                </w:rPr>
                <w:id w:val="-814570336"/>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z w:val="22"/>
                    <w:szCs w:val="22"/>
                  </w:rPr>
                  <w:t>☒</w:t>
                </w:r>
              </w:sdtContent>
            </w:sdt>
            <w:r w:rsidR="00AB1D40" w:rsidRPr="00154E08">
              <w:rPr>
                <w:rFonts w:eastAsia="Calibri" w:cs="Times New Roman"/>
                <w:sz w:val="22"/>
                <w:szCs w:val="22"/>
              </w:rPr>
              <w:t xml:space="preserve"> sytuacja i rozwój regionalny</w:t>
            </w:r>
          </w:p>
          <w:p w14:paraId="2FC42F9F" w14:textId="7B00ECB6" w:rsidR="00AB1D40" w:rsidRPr="00154E08" w:rsidRDefault="00000000" w:rsidP="00AB1D40">
            <w:pPr>
              <w:spacing w:line="240" w:lineRule="auto"/>
              <w:rPr>
                <w:rFonts w:eastAsia="Calibri" w:cs="Times New Roman"/>
                <w:spacing w:val="-2"/>
                <w:sz w:val="22"/>
                <w:szCs w:val="22"/>
              </w:rPr>
            </w:pPr>
            <w:sdt>
              <w:sdtPr>
                <w:rPr>
                  <w:rFonts w:cs="Times New Roman"/>
                  <w:sz w:val="22"/>
                  <w:szCs w:val="22"/>
                </w:rPr>
                <w:id w:val="211626645"/>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pacing w:val="-2"/>
                    <w:sz w:val="22"/>
                    <w:szCs w:val="22"/>
                  </w:rPr>
                  <w:t>☐</w:t>
                </w:r>
              </w:sdtContent>
            </w:sdt>
            <w:r w:rsidR="00AB1D40" w:rsidRPr="00154E08">
              <w:rPr>
                <w:rFonts w:eastAsia="Calibri" w:cs="Times New Roman"/>
                <w:color w:val="000000"/>
                <w:spacing w:val="-2"/>
                <w:sz w:val="22"/>
                <w:szCs w:val="22"/>
                <w:lang w:eastAsia="en-US"/>
              </w:rPr>
              <w:t xml:space="preserve"> sądy powszechne, administracyjne lub wojskowe</w:t>
            </w:r>
          </w:p>
        </w:tc>
        <w:tc>
          <w:tcPr>
            <w:tcW w:w="21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C3B672" w14:textId="77777777" w:rsidR="00AB1D40" w:rsidRPr="00154E08" w:rsidRDefault="00000000" w:rsidP="00AB1D40">
            <w:pPr>
              <w:spacing w:line="240" w:lineRule="auto"/>
              <w:rPr>
                <w:rFonts w:eastAsia="Calibri" w:cs="Times New Roman"/>
                <w:spacing w:val="-2"/>
                <w:sz w:val="22"/>
                <w:szCs w:val="22"/>
              </w:rPr>
            </w:pPr>
            <w:sdt>
              <w:sdtPr>
                <w:rPr>
                  <w:rFonts w:cs="Times New Roman"/>
                  <w:sz w:val="22"/>
                  <w:szCs w:val="22"/>
                </w:rPr>
                <w:id w:val="616021101"/>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pacing w:val="-2"/>
                    <w:sz w:val="22"/>
                    <w:szCs w:val="22"/>
                  </w:rPr>
                  <w:t>☐</w:t>
                </w:r>
              </w:sdtContent>
            </w:sdt>
            <w:r w:rsidR="00AB1D40" w:rsidRPr="00154E08">
              <w:rPr>
                <w:rFonts w:eastAsia="Calibri" w:cs="Times New Roman"/>
                <w:spacing w:val="-2"/>
                <w:sz w:val="22"/>
                <w:szCs w:val="22"/>
              </w:rPr>
              <w:t xml:space="preserve"> demografia</w:t>
            </w:r>
          </w:p>
          <w:p w14:paraId="2EA7247E" w14:textId="77777777" w:rsidR="00AB1D40" w:rsidRPr="00154E08" w:rsidRDefault="00000000" w:rsidP="00AB1D40">
            <w:pPr>
              <w:spacing w:line="240" w:lineRule="auto"/>
              <w:rPr>
                <w:rFonts w:eastAsia="Calibri" w:cs="Times New Roman"/>
                <w:sz w:val="22"/>
                <w:szCs w:val="22"/>
              </w:rPr>
            </w:pPr>
            <w:sdt>
              <w:sdtPr>
                <w:rPr>
                  <w:rFonts w:cs="Times New Roman"/>
                  <w:sz w:val="22"/>
                  <w:szCs w:val="22"/>
                </w:rPr>
                <w:id w:val="317235228"/>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z w:val="22"/>
                    <w:szCs w:val="22"/>
                  </w:rPr>
                  <w:t>☐</w:t>
                </w:r>
              </w:sdtContent>
            </w:sdt>
            <w:r w:rsidR="00AB1D40" w:rsidRPr="00154E08">
              <w:rPr>
                <w:rFonts w:eastAsia="Calibri" w:cs="Times New Roman"/>
                <w:sz w:val="22"/>
                <w:szCs w:val="22"/>
              </w:rPr>
              <w:t xml:space="preserve"> mienie państwowe</w:t>
            </w:r>
          </w:p>
          <w:p w14:paraId="7F3B135B" w14:textId="404E7AE7" w:rsidR="00AB1D40" w:rsidRPr="00154E08" w:rsidRDefault="00000000" w:rsidP="00AB1D40">
            <w:pPr>
              <w:spacing w:line="240" w:lineRule="auto"/>
              <w:rPr>
                <w:rFonts w:eastAsia="Calibri" w:cs="Times New Roman"/>
                <w:sz w:val="22"/>
                <w:szCs w:val="22"/>
              </w:rPr>
            </w:pPr>
            <w:sdt>
              <w:sdtPr>
                <w:rPr>
                  <w:rFonts w:cs="Times New Roman"/>
                  <w:sz w:val="22"/>
                  <w:szCs w:val="22"/>
                </w:rPr>
                <w:id w:val="1514795261"/>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pacing w:val="-2"/>
                    <w:sz w:val="22"/>
                    <w:szCs w:val="22"/>
                  </w:rPr>
                  <w:t>☐</w:t>
                </w:r>
              </w:sdtContent>
            </w:sdt>
            <w:r w:rsidR="00AB1D40" w:rsidRPr="00154E08">
              <w:rPr>
                <w:rFonts w:eastAsia="Calibri" w:cs="Times New Roman"/>
                <w:spacing w:val="-2"/>
                <w:sz w:val="22"/>
                <w:szCs w:val="22"/>
              </w:rPr>
              <w:t xml:space="preserve"> inne: </w:t>
            </w:r>
            <w:r w:rsidR="00AB1D40" w:rsidRPr="00154E08">
              <w:rPr>
                <w:rFonts w:eastAsia="Calibri" w:cs="Times New Roman"/>
                <w:sz w:val="22"/>
                <w:szCs w:val="22"/>
              </w:rPr>
              <w:t>…</w:t>
            </w:r>
          </w:p>
        </w:tc>
        <w:tc>
          <w:tcPr>
            <w:tcW w:w="58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E61816" w14:textId="77777777" w:rsidR="00AB1D40" w:rsidRPr="00154E08" w:rsidRDefault="00000000" w:rsidP="00AB1D40">
            <w:pPr>
              <w:spacing w:line="240" w:lineRule="auto"/>
              <w:rPr>
                <w:rFonts w:eastAsia="Calibri" w:cs="Times New Roman"/>
                <w:spacing w:val="-2"/>
                <w:sz w:val="22"/>
                <w:szCs w:val="22"/>
              </w:rPr>
            </w:pPr>
            <w:sdt>
              <w:sdtPr>
                <w:rPr>
                  <w:rFonts w:cs="Times New Roman"/>
                  <w:sz w:val="22"/>
                  <w:szCs w:val="22"/>
                </w:rPr>
                <w:id w:val="-1000117140"/>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pacing w:val="-2"/>
                    <w:sz w:val="22"/>
                    <w:szCs w:val="22"/>
                  </w:rPr>
                  <w:t>☐</w:t>
                </w:r>
              </w:sdtContent>
            </w:sdt>
            <w:r w:rsidR="00AB1D40" w:rsidRPr="00154E08">
              <w:rPr>
                <w:rFonts w:eastAsia="Calibri" w:cs="Times New Roman"/>
                <w:spacing w:val="-2"/>
                <w:sz w:val="22"/>
                <w:szCs w:val="22"/>
              </w:rPr>
              <w:t xml:space="preserve"> informatyzacja</w:t>
            </w:r>
          </w:p>
          <w:p w14:paraId="7136C314" w14:textId="35508A92" w:rsidR="00AB1D40" w:rsidRPr="00154E08" w:rsidRDefault="00000000" w:rsidP="00AB1D40">
            <w:pPr>
              <w:spacing w:line="240" w:lineRule="auto"/>
              <w:rPr>
                <w:rFonts w:eastAsia="Calibri" w:cs="Times New Roman"/>
                <w:sz w:val="22"/>
                <w:szCs w:val="22"/>
              </w:rPr>
            </w:pPr>
            <w:sdt>
              <w:sdtPr>
                <w:rPr>
                  <w:rFonts w:cs="Times New Roman"/>
                  <w:sz w:val="22"/>
                  <w:szCs w:val="22"/>
                </w:rPr>
                <w:id w:val="-1016615658"/>
                <w14:checkbox>
                  <w14:checked w14:val="1"/>
                  <w14:checkedState w14:val="2612" w14:font="MS Gothic"/>
                  <w14:uncheckedState w14:val="2610" w14:font="MS Gothic"/>
                </w14:checkbox>
              </w:sdtPr>
              <w:sdtContent>
                <w:r w:rsidR="00AB1D40" w:rsidRPr="00154E08">
                  <w:rPr>
                    <w:rFonts w:ascii="Segoe UI Symbol" w:eastAsia="MS Mincho" w:hAnsi="Segoe UI Symbol" w:cs="Segoe UI Symbol"/>
                    <w:spacing w:val="-2"/>
                    <w:sz w:val="22"/>
                    <w:szCs w:val="22"/>
                  </w:rPr>
                  <w:t>☒</w:t>
                </w:r>
              </w:sdtContent>
            </w:sdt>
            <w:r w:rsidR="00AB1D40" w:rsidRPr="00154E08">
              <w:rPr>
                <w:rFonts w:eastAsia="Calibri" w:cs="Times New Roman"/>
                <w:spacing w:val="-2"/>
                <w:sz w:val="22"/>
                <w:szCs w:val="22"/>
              </w:rPr>
              <w:t xml:space="preserve"> zdrowie</w:t>
            </w:r>
          </w:p>
        </w:tc>
        <w:tc>
          <w:tcPr>
            <w:tcW w:w="1256" w:type="dxa"/>
          </w:tcPr>
          <w:p w14:paraId="5CE6D438" w14:textId="77777777" w:rsidR="00AB1D40" w:rsidRPr="00154E08" w:rsidRDefault="00AB1D40" w:rsidP="00AB1D40">
            <w:pPr>
              <w:rPr>
                <w:rFonts w:cs="Times New Roman"/>
              </w:rPr>
            </w:pPr>
          </w:p>
        </w:tc>
      </w:tr>
      <w:tr w:rsidR="00AB1D40" w:rsidRPr="00154E08" w14:paraId="50C90E29" w14:textId="77777777" w:rsidTr="3E65ED00">
        <w:trPr>
          <w:trHeight w:val="712"/>
        </w:trPr>
        <w:tc>
          <w:tcPr>
            <w:tcW w:w="2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B4003F" w14:textId="77777777" w:rsidR="00AB1D40" w:rsidRPr="00154E08" w:rsidRDefault="00AB1D40" w:rsidP="00AB1D40">
            <w:pPr>
              <w:spacing w:line="240" w:lineRule="auto"/>
              <w:rPr>
                <w:rFonts w:eastAsia="Calibri" w:cs="Times New Roman"/>
                <w:color w:val="000000"/>
                <w:sz w:val="22"/>
                <w:szCs w:val="22"/>
              </w:rPr>
            </w:pPr>
            <w:r w:rsidRPr="00154E08">
              <w:rPr>
                <w:rFonts w:eastAsia="Calibri" w:cs="Times New Roman"/>
                <w:color w:val="000000"/>
                <w:sz w:val="22"/>
                <w:szCs w:val="22"/>
              </w:rPr>
              <w:t>Omówienie wpływu</w:t>
            </w:r>
          </w:p>
        </w:tc>
        <w:tc>
          <w:tcPr>
            <w:tcW w:w="877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86C1CC" w14:textId="0AE34735" w:rsidR="00AB1D40" w:rsidRPr="00154E08" w:rsidRDefault="00AB1D40" w:rsidP="00B279FD">
            <w:pPr>
              <w:spacing w:after="120" w:line="240" w:lineRule="auto"/>
              <w:jc w:val="both"/>
              <w:rPr>
                <w:rFonts w:eastAsia="Calibri" w:cs="Times New Roman"/>
                <w:color w:val="000000"/>
                <w:spacing w:val="-2"/>
                <w:sz w:val="22"/>
                <w:szCs w:val="22"/>
              </w:rPr>
            </w:pPr>
            <w:r w:rsidRPr="00154E08">
              <w:rPr>
                <w:rFonts w:eastAsia="Calibri" w:cs="Times New Roman"/>
                <w:iCs/>
                <w:spacing w:val="-2"/>
                <w:sz w:val="22"/>
                <w:szCs w:val="22"/>
              </w:rPr>
              <w:t>Projekt ustawy</w:t>
            </w:r>
            <w:r w:rsidRPr="00154E08">
              <w:rPr>
                <w:rFonts w:eastAsia="Calibri" w:cs="Times New Roman"/>
                <w:spacing w:val="-2"/>
                <w:sz w:val="22"/>
                <w:szCs w:val="22"/>
              </w:rPr>
              <w:t xml:space="preserve"> będzie miał pozytywny wpływ na środowisko naturalne, zwłaszcza w zakresie ograniczenia emisji gazów cieplarnianych do atmosfery w związku z ograniczeniem wykorzystania paliw kopalnych (importowanej </w:t>
            </w:r>
            <w:r w:rsidRPr="00154E08">
              <w:rPr>
                <w:rFonts w:eastAsia="Calibri" w:cs="Times New Roman"/>
                <w:iCs/>
                <w:spacing w:val="-2"/>
                <w:sz w:val="22"/>
                <w:szCs w:val="22"/>
              </w:rPr>
              <w:t>ropy naftowej</w:t>
            </w:r>
            <w:r w:rsidRPr="00154E08">
              <w:rPr>
                <w:rFonts w:eastAsia="Calibri" w:cs="Times New Roman"/>
                <w:spacing w:val="-2"/>
                <w:sz w:val="22"/>
                <w:szCs w:val="22"/>
              </w:rPr>
              <w:t>) oraz w</w:t>
            </w:r>
            <w:r w:rsidR="003F19A5" w:rsidRPr="00154E08">
              <w:rPr>
                <w:rFonts w:eastAsia="Calibri" w:cs="Times New Roman"/>
                <w:spacing w:val="-2"/>
                <w:sz w:val="22"/>
                <w:szCs w:val="22"/>
              </w:rPr>
              <w:t> </w:t>
            </w:r>
            <w:r w:rsidRPr="00154E08">
              <w:rPr>
                <w:rFonts w:eastAsia="Calibri" w:cs="Times New Roman"/>
                <w:spacing w:val="-2"/>
                <w:sz w:val="22"/>
                <w:szCs w:val="22"/>
              </w:rPr>
              <w:t xml:space="preserve">związku z zagospodarowaniem surowców o charakterze odpadowym. Powyższe jest związane z faktem, że regulacja wdroży mechanizmy mające na celu zwiększenie powszechności stosowania bioenergii, biokomponentów, paliw odnawialnych, a tym samym zwiększy udział zrównoważonych i niskoemisyjnych nośników energii wykorzystanych w transporcie. Regulacja przyczyni się także do zwiększenia bezpieczeństwa paliwowego państwa, przez oparcie o krajowe źródła surowców i energii wykorzystanej do wytworzenia paliw. </w:t>
            </w:r>
          </w:p>
          <w:p w14:paraId="34F4F7FB" w14:textId="4C2F6E28" w:rsidR="00AB1D40" w:rsidRPr="00154E08" w:rsidRDefault="00AB1D40" w:rsidP="00B279FD">
            <w:pPr>
              <w:spacing w:after="120" w:line="240" w:lineRule="auto"/>
              <w:jc w:val="both"/>
              <w:rPr>
                <w:rFonts w:eastAsia="Calibri" w:cs="Times New Roman"/>
                <w:spacing w:val="-2"/>
                <w:sz w:val="22"/>
                <w:szCs w:val="22"/>
              </w:rPr>
            </w:pPr>
            <w:r w:rsidRPr="00154E08">
              <w:rPr>
                <w:rFonts w:eastAsia="Calibri" w:cs="Times New Roman"/>
                <w:spacing w:val="-2"/>
                <w:sz w:val="22"/>
                <w:szCs w:val="22"/>
              </w:rPr>
              <w:t>Warunki krajowe umożliwiają realizację postanowień niniejszej ustawy w większości w oparciu o krajowy potencjał zrównoważonych surowców, lokalnie pozyskiwane m.in.: odpady ulegające biodegradacji z przemysłu rolno</w:t>
            </w:r>
            <w:r w:rsidRPr="00154E08">
              <w:rPr>
                <w:rFonts w:eastAsia="Calibri" w:cs="Times New Roman"/>
                <w:i/>
                <w:iCs/>
                <w:spacing w:val="-2"/>
                <w:sz w:val="22"/>
                <w:szCs w:val="22"/>
              </w:rPr>
              <w:t>-</w:t>
            </w:r>
            <w:r w:rsidRPr="00154E08">
              <w:rPr>
                <w:rFonts w:eastAsia="Calibri" w:cs="Times New Roman"/>
                <w:spacing w:val="-2"/>
                <w:sz w:val="22"/>
                <w:szCs w:val="22"/>
              </w:rPr>
              <w:t xml:space="preserve">spożywczego lub komunalne, co jednocześnie ułatwi ich zagospodarowywanie. Regulacja wpłynie korzystnie na aktywizację i rozwój regionów w zakresie przetwarzania i utylizacji odpadów, zmniejszy uciążliwości środowiskowe, emisje gazów i pyłów (GHG), związane z tym koszty zdrowotne – z korzyścią dla jakości życia przyszłych pokoleń. </w:t>
            </w:r>
          </w:p>
          <w:p w14:paraId="2EAA454A" w14:textId="5A0CBBE9" w:rsidR="00AB1D40" w:rsidRPr="00154E08" w:rsidRDefault="00AB1D40" w:rsidP="00B279FD">
            <w:pPr>
              <w:spacing w:after="120" w:line="240" w:lineRule="auto"/>
              <w:jc w:val="both"/>
              <w:rPr>
                <w:rFonts w:eastAsia="Calibri" w:cs="Times New Roman"/>
                <w:color w:val="000000"/>
                <w:spacing w:val="-2"/>
                <w:sz w:val="22"/>
                <w:szCs w:val="22"/>
              </w:rPr>
            </w:pPr>
            <w:r w:rsidRPr="00154E08">
              <w:rPr>
                <w:rFonts w:eastAsia="Calibri" w:cs="Times New Roman"/>
                <w:spacing w:val="-2"/>
                <w:sz w:val="22"/>
                <w:szCs w:val="22"/>
              </w:rPr>
              <w:t>Wykorzystywanie bioenergii z rozproszonych na terenie kraju źródeł, energii zużywanej w pobliżu źródła jej wytworzenia, również wpłynie pozytywnie na aktywizację i rozwój lokalnych społeczności, pozwoli dodatkowo zmniejszyć koszty środowiskowe z transportu paliw, a tym samym zmniejszyć emisje wynikające z wydobycia kopalin, ich transportu ze świata i dystrybucji paliw na terenie Unii Europejskiej.</w:t>
            </w:r>
          </w:p>
        </w:tc>
        <w:tc>
          <w:tcPr>
            <w:tcW w:w="1256" w:type="dxa"/>
          </w:tcPr>
          <w:p w14:paraId="5530EB8B" w14:textId="77777777" w:rsidR="00AB1D40" w:rsidRPr="00154E08" w:rsidRDefault="00AB1D40" w:rsidP="00AB1D40">
            <w:pPr>
              <w:rPr>
                <w:rFonts w:cs="Times New Roman"/>
              </w:rPr>
            </w:pPr>
          </w:p>
        </w:tc>
      </w:tr>
      <w:tr w:rsidR="00AB1D40" w:rsidRPr="00154E08" w14:paraId="26AF2083"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4C310C7E" w14:textId="569FBC27" w:rsidR="00AB1D40" w:rsidRPr="00154E08" w:rsidRDefault="00AB1D40" w:rsidP="00AB1D40">
            <w:pPr>
              <w:spacing w:before="60" w:after="60" w:line="240" w:lineRule="auto"/>
              <w:jc w:val="both"/>
              <w:rPr>
                <w:rFonts w:eastAsia="Calibri" w:cs="Times New Roman"/>
                <w:b/>
                <w:sz w:val="22"/>
                <w:szCs w:val="22"/>
              </w:rPr>
            </w:pPr>
            <w:r w:rsidRPr="00154E08">
              <w:rPr>
                <w:rFonts w:eastAsia="Calibri" w:cs="Times New Roman"/>
                <w:b/>
                <w:spacing w:val="-2"/>
                <w:sz w:val="22"/>
                <w:szCs w:val="22"/>
              </w:rPr>
              <w:t>11. Planowane wykonanie przepisów aktu prawnego</w:t>
            </w:r>
          </w:p>
        </w:tc>
        <w:tc>
          <w:tcPr>
            <w:tcW w:w="1256" w:type="dxa"/>
          </w:tcPr>
          <w:p w14:paraId="10B91033" w14:textId="77777777" w:rsidR="00AB1D40" w:rsidRPr="00154E08" w:rsidRDefault="00AB1D40" w:rsidP="00AB1D40">
            <w:pPr>
              <w:rPr>
                <w:rFonts w:cs="Times New Roman"/>
              </w:rPr>
            </w:pPr>
          </w:p>
        </w:tc>
      </w:tr>
      <w:tr w:rsidR="00AB1D40" w:rsidRPr="00154E08" w14:paraId="284931D6"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3623EF" w14:textId="1F2ECB44" w:rsidR="00AB1D40" w:rsidRPr="00154E08" w:rsidRDefault="00AB1D40" w:rsidP="00B279FD">
            <w:pPr>
              <w:spacing w:after="120" w:line="240" w:lineRule="auto"/>
              <w:jc w:val="both"/>
              <w:rPr>
                <w:rFonts w:cs="Times New Roman"/>
                <w:spacing w:val="-2"/>
                <w:sz w:val="22"/>
                <w:szCs w:val="22"/>
              </w:rPr>
            </w:pPr>
            <w:r w:rsidRPr="00154E08">
              <w:rPr>
                <w:rFonts w:eastAsia="Calibri" w:cs="Times New Roman"/>
                <w:spacing w:val="-2"/>
                <w:sz w:val="22"/>
                <w:szCs w:val="22"/>
              </w:rPr>
              <w:t>Proponuje się, aby projektowana ustawa weszła w życie zasadniczo z dniem 1 stycznia 2025 r.</w:t>
            </w:r>
            <w:r w:rsidR="00F64B5F" w:rsidRPr="00154E08">
              <w:rPr>
                <w:rFonts w:cs="Times New Roman"/>
                <w:sz w:val="22"/>
                <w:szCs w:val="22"/>
              </w:rPr>
              <w:t xml:space="preserve"> </w:t>
            </w:r>
            <w:r w:rsidRPr="00154E08">
              <w:rPr>
                <w:rFonts w:cs="Times New Roman"/>
                <w:sz w:val="22"/>
                <w:szCs w:val="22"/>
              </w:rPr>
              <w:t xml:space="preserve">Proponowane </w:t>
            </w:r>
            <w:r w:rsidRPr="00154E08">
              <w:rPr>
                <w:rFonts w:cs="Times New Roman"/>
                <w:spacing w:val="-2"/>
                <w:sz w:val="22"/>
                <w:szCs w:val="22"/>
              </w:rPr>
              <w:t xml:space="preserve">zmiany mają wieloletni skutek, określają zobowiązania i warunki ich realizacji w perspektywie obecnej dekady, jednocześnie nakreślają ramy dla mechanizmów, które będą stosowane w długoterminowej perspektywie. </w:t>
            </w:r>
          </w:p>
          <w:p w14:paraId="0F05E125" w14:textId="31E3DBAA" w:rsidR="004D3C87" w:rsidRPr="00154E08" w:rsidRDefault="00AB1D40" w:rsidP="00B279FD">
            <w:pPr>
              <w:spacing w:after="120" w:line="240" w:lineRule="auto"/>
              <w:jc w:val="both"/>
              <w:rPr>
                <w:rFonts w:cs="Times New Roman"/>
                <w:spacing w:val="-2"/>
                <w:sz w:val="22"/>
                <w:szCs w:val="22"/>
              </w:rPr>
            </w:pPr>
            <w:r w:rsidRPr="00154E08">
              <w:rPr>
                <w:rFonts w:cs="Times New Roman"/>
                <w:spacing w:val="-2"/>
                <w:sz w:val="22"/>
                <w:szCs w:val="22"/>
              </w:rPr>
              <w:t xml:space="preserve">Należy wskazać, że Komisja Europejska w ramach rewizji dyrektywy REDII (14 lipca 2021 r. Komisja Europejska dokonanej w kontekście realizacji Polityki Europejskiego Zielonego Ładu (2050) przyjęła, dla omawianej perspektywy czasowej jeszcze wyższe cele w zakresie OZE w transporcie, zwłaszcza w zakresie redukcji emisji. Trwają także prace związane z nowelizacjami innych strategicznych dokumentów: dyrektywy 2003/87/WE Parlamentu Europejskiego i Rady z dnia 13 października 2003 r. ustanawiającej system handlu przydziałami emisji gazów cieplarnianych we Wspólnocie oraz zmieniającej dyrektywę Rady 96/61/WE (Dz. Urz. UE L 275 z 25.10.2003, str. 32, z </w:t>
            </w:r>
            <w:proofErr w:type="spellStart"/>
            <w:r w:rsidRPr="00154E08">
              <w:rPr>
                <w:rFonts w:cs="Times New Roman"/>
                <w:spacing w:val="-2"/>
                <w:sz w:val="22"/>
                <w:szCs w:val="22"/>
              </w:rPr>
              <w:t>późn</w:t>
            </w:r>
            <w:proofErr w:type="spellEnd"/>
            <w:r w:rsidRPr="00154E08">
              <w:rPr>
                <w:rFonts w:cs="Times New Roman"/>
                <w:spacing w:val="-2"/>
                <w:sz w:val="22"/>
                <w:szCs w:val="22"/>
              </w:rPr>
              <w:t>. zm</w:t>
            </w:r>
            <w:r w:rsidR="00F64B5F" w:rsidRPr="00154E08">
              <w:rPr>
                <w:rFonts w:cs="Times New Roman"/>
                <w:spacing w:val="-2"/>
                <w:sz w:val="22"/>
                <w:szCs w:val="22"/>
              </w:rPr>
              <w:t>.</w:t>
            </w:r>
            <w:r w:rsidRPr="00154E08">
              <w:rPr>
                <w:rFonts w:cs="Times New Roman"/>
                <w:spacing w:val="-2"/>
                <w:sz w:val="22"/>
                <w:szCs w:val="22"/>
              </w:rPr>
              <w:t>)</w:t>
            </w:r>
            <w:r w:rsidRPr="00154E08">
              <w:rPr>
                <w:rFonts w:eastAsia="Calibri" w:cs="Times New Roman"/>
                <w:color w:val="000000"/>
                <w:spacing w:val="-2"/>
                <w:sz w:val="22"/>
                <w:szCs w:val="22"/>
              </w:rPr>
              <w:t>. W związku z powyższym</w:t>
            </w:r>
            <w:r w:rsidRPr="00154E08">
              <w:rPr>
                <w:rFonts w:cs="Times New Roman"/>
                <w:spacing w:val="-2"/>
                <w:sz w:val="22"/>
                <w:szCs w:val="22"/>
              </w:rPr>
              <w:t xml:space="preserve"> należy wskazać, że kolejne projekty nowelizacji będą musiały uwzględniać nowe sektory transportu, określać cele także dla sektora żeglugi i</w:t>
            </w:r>
            <w:r w:rsidR="00B775D6" w:rsidRPr="00154E08">
              <w:rPr>
                <w:rFonts w:cs="Times New Roman"/>
                <w:spacing w:val="-2"/>
                <w:sz w:val="22"/>
                <w:szCs w:val="22"/>
              </w:rPr>
              <w:t> </w:t>
            </w:r>
            <w:r w:rsidRPr="00154E08">
              <w:rPr>
                <w:rFonts w:cs="Times New Roman"/>
                <w:spacing w:val="-2"/>
                <w:sz w:val="22"/>
                <w:szCs w:val="22"/>
              </w:rPr>
              <w:t>transportu lotniczego.</w:t>
            </w:r>
          </w:p>
        </w:tc>
        <w:tc>
          <w:tcPr>
            <w:tcW w:w="1256" w:type="dxa"/>
          </w:tcPr>
          <w:p w14:paraId="6F9AFF83" w14:textId="77777777" w:rsidR="00AB1D40" w:rsidRPr="00154E08" w:rsidRDefault="00AB1D40" w:rsidP="00AB1D40">
            <w:pPr>
              <w:rPr>
                <w:rFonts w:cs="Times New Roman"/>
              </w:rPr>
            </w:pPr>
          </w:p>
        </w:tc>
      </w:tr>
      <w:tr w:rsidR="00AB1D40" w:rsidRPr="00154E08" w14:paraId="2ECCBC0C"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1B09B24A" w14:textId="5D40F012" w:rsidR="00AB1D40" w:rsidRPr="00154E08" w:rsidRDefault="00AB1D40" w:rsidP="00AB1D40">
            <w:pPr>
              <w:spacing w:before="60" w:after="60" w:line="240" w:lineRule="auto"/>
              <w:jc w:val="both"/>
              <w:rPr>
                <w:rFonts w:eastAsia="Calibri" w:cs="Times New Roman"/>
                <w:b/>
                <w:sz w:val="22"/>
                <w:szCs w:val="22"/>
              </w:rPr>
            </w:pPr>
            <w:r w:rsidRPr="00154E08">
              <w:rPr>
                <w:rFonts w:eastAsia="Calibri" w:cs="Times New Roman"/>
                <w:b/>
                <w:color w:val="000000"/>
                <w:sz w:val="22"/>
                <w:szCs w:val="22"/>
              </w:rPr>
              <w:t xml:space="preserve">12. </w:t>
            </w:r>
            <w:r w:rsidRPr="00154E08">
              <w:rPr>
                <w:rFonts w:eastAsia="Calibri" w:cs="Times New Roman"/>
                <w:b/>
                <w:spacing w:val="-2"/>
                <w:sz w:val="22"/>
                <w:szCs w:val="22"/>
              </w:rPr>
              <w:t>W jaki sposób i kiedy nastąpi ewaluacja efektów projektu oraz jakie mierniki zostaną zastosowane?</w:t>
            </w:r>
          </w:p>
        </w:tc>
        <w:tc>
          <w:tcPr>
            <w:tcW w:w="1256" w:type="dxa"/>
          </w:tcPr>
          <w:p w14:paraId="5E0988AA" w14:textId="77777777" w:rsidR="00AB1D40" w:rsidRPr="00154E08" w:rsidRDefault="00AB1D40" w:rsidP="00AB1D40">
            <w:pPr>
              <w:rPr>
                <w:rFonts w:cs="Times New Roman"/>
              </w:rPr>
            </w:pPr>
          </w:p>
        </w:tc>
      </w:tr>
      <w:tr w:rsidR="00AB1D40" w:rsidRPr="00154E08" w14:paraId="5E837B64"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E14859" w14:textId="7A542C61" w:rsidR="00AB1D40" w:rsidRPr="00154E08" w:rsidRDefault="00AB1D40"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spacing w:val="-2"/>
                <w:sz w:val="22"/>
                <w:szCs w:val="22"/>
              </w:rPr>
              <w:t xml:space="preserve">Ewaluacja efektów </w:t>
            </w:r>
            <w:r w:rsidRPr="00154E08">
              <w:rPr>
                <w:rFonts w:eastAsia="Calibri" w:cs="Times New Roman"/>
                <w:iCs/>
                <w:color w:val="000000"/>
                <w:spacing w:val="-2"/>
                <w:sz w:val="22"/>
                <w:szCs w:val="22"/>
              </w:rPr>
              <w:t>projektu ustawy</w:t>
            </w:r>
            <w:r w:rsidRPr="00154E08">
              <w:rPr>
                <w:rFonts w:eastAsia="Calibri" w:cs="Times New Roman"/>
                <w:color w:val="000000"/>
                <w:spacing w:val="-2"/>
                <w:sz w:val="22"/>
                <w:szCs w:val="22"/>
              </w:rPr>
              <w:t xml:space="preserve"> będzie prowadzona w sposób ciągły, w tym w ramach </w:t>
            </w:r>
            <w:r w:rsidRPr="00154E08">
              <w:rPr>
                <w:rFonts w:eastAsia="Calibri" w:cs="Times New Roman"/>
                <w:color w:val="000000" w:themeColor="text1"/>
                <w:spacing w:val="-2"/>
                <w:sz w:val="22"/>
                <w:szCs w:val="22"/>
              </w:rPr>
              <w:t xml:space="preserve">monitoringu rynku prowadzonego przez Dyrektora Generalnego KOWR oraz Prezesa URE, jak też </w:t>
            </w:r>
            <w:r w:rsidRPr="00154E08">
              <w:rPr>
                <w:rFonts w:cs="Times New Roman"/>
                <w:color w:val="000000" w:themeColor="text1"/>
                <w:spacing w:val="-2"/>
                <w:sz w:val="22"/>
                <w:szCs w:val="22"/>
              </w:rPr>
              <w:t xml:space="preserve">na poszczególnych etapach rozwoju </w:t>
            </w:r>
            <w:r w:rsidRPr="00154E08">
              <w:rPr>
                <w:rFonts w:eastAsia="Calibri" w:cs="Times New Roman"/>
                <w:color w:val="000000" w:themeColor="text1"/>
                <w:spacing w:val="-2"/>
                <w:sz w:val="22"/>
                <w:szCs w:val="22"/>
              </w:rPr>
              <w:t xml:space="preserve">przez ministerstwa właściwe </w:t>
            </w:r>
            <w:r w:rsidRPr="00154E08">
              <w:rPr>
                <w:rFonts w:eastAsia="Calibri" w:cs="Times New Roman"/>
                <w:iCs/>
                <w:color w:val="000000" w:themeColor="text1"/>
                <w:spacing w:val="-2"/>
                <w:sz w:val="22"/>
                <w:szCs w:val="22"/>
              </w:rPr>
              <w:t>do spraw</w:t>
            </w:r>
            <w:r w:rsidRPr="00154E08">
              <w:rPr>
                <w:rFonts w:eastAsia="Calibri" w:cs="Times New Roman"/>
                <w:i/>
                <w:iCs/>
                <w:color w:val="000000" w:themeColor="text1"/>
                <w:spacing w:val="-2"/>
                <w:sz w:val="22"/>
                <w:szCs w:val="22"/>
              </w:rPr>
              <w:t xml:space="preserve"> </w:t>
            </w:r>
            <w:r w:rsidRPr="00154E08">
              <w:rPr>
                <w:rFonts w:eastAsia="Calibri" w:cs="Times New Roman"/>
                <w:iCs/>
                <w:color w:val="000000" w:themeColor="text1"/>
                <w:spacing w:val="-2"/>
                <w:sz w:val="22"/>
                <w:szCs w:val="22"/>
              </w:rPr>
              <w:t>energii.</w:t>
            </w:r>
            <w:r w:rsidR="005D562B" w:rsidRPr="00154E08">
              <w:rPr>
                <w:rFonts w:eastAsia="Calibri" w:cs="Times New Roman"/>
                <w:iCs/>
                <w:color w:val="000000" w:themeColor="text1"/>
                <w:spacing w:val="-2"/>
                <w:sz w:val="22"/>
                <w:szCs w:val="22"/>
              </w:rPr>
              <w:t xml:space="preserve"> </w:t>
            </w:r>
            <w:r w:rsidRPr="00154E08">
              <w:rPr>
                <w:rFonts w:eastAsia="Calibri" w:cs="Times New Roman"/>
                <w:color w:val="000000" w:themeColor="text1"/>
                <w:spacing w:val="-2"/>
                <w:sz w:val="22"/>
                <w:szCs w:val="22"/>
              </w:rPr>
              <w:tab/>
            </w:r>
          </w:p>
          <w:p w14:paraId="733BA898" w14:textId="47A12C5B" w:rsidR="00AB1D40" w:rsidRPr="00154E08" w:rsidRDefault="00837D94" w:rsidP="00B279FD">
            <w:pPr>
              <w:spacing w:after="120" w:line="240" w:lineRule="auto"/>
              <w:jc w:val="both"/>
              <w:rPr>
                <w:rFonts w:eastAsia="Calibri" w:cs="Times New Roman"/>
                <w:color w:val="000000" w:themeColor="text1"/>
                <w:spacing w:val="-2"/>
                <w:sz w:val="22"/>
                <w:szCs w:val="22"/>
              </w:rPr>
            </w:pPr>
            <w:r w:rsidRPr="00154E08">
              <w:rPr>
                <w:rFonts w:eastAsia="Calibri" w:cs="Times New Roman"/>
                <w:color w:val="000000" w:themeColor="text1"/>
                <w:spacing w:val="-2"/>
                <w:sz w:val="22"/>
                <w:szCs w:val="22"/>
              </w:rPr>
              <w:t>Przyjęte</w:t>
            </w:r>
            <w:r w:rsidR="004D3C87" w:rsidRPr="00154E08">
              <w:rPr>
                <w:rFonts w:eastAsia="Calibri" w:cs="Times New Roman"/>
                <w:color w:val="000000" w:themeColor="text1"/>
                <w:spacing w:val="-2"/>
                <w:sz w:val="22"/>
                <w:szCs w:val="22"/>
              </w:rPr>
              <w:t xml:space="preserve"> rozwiązania</w:t>
            </w:r>
            <w:r w:rsidR="00AB1D40" w:rsidRPr="00154E08">
              <w:rPr>
                <w:rFonts w:eastAsia="Calibri" w:cs="Times New Roman"/>
                <w:color w:val="000000" w:themeColor="text1"/>
                <w:spacing w:val="-2"/>
                <w:sz w:val="22"/>
                <w:szCs w:val="22"/>
              </w:rPr>
              <w:t xml:space="preserve"> zapewni</w:t>
            </w:r>
            <w:r w:rsidR="004D3C87" w:rsidRPr="00154E08">
              <w:rPr>
                <w:rFonts w:eastAsia="Calibri" w:cs="Times New Roman"/>
                <w:color w:val="000000" w:themeColor="text1"/>
                <w:spacing w:val="-2"/>
                <w:sz w:val="22"/>
                <w:szCs w:val="22"/>
              </w:rPr>
              <w:t xml:space="preserve">ą </w:t>
            </w:r>
            <w:r w:rsidR="00AB1D40" w:rsidRPr="00154E08">
              <w:rPr>
                <w:rFonts w:eastAsia="Calibri" w:cs="Times New Roman"/>
                <w:color w:val="000000" w:themeColor="text1"/>
                <w:spacing w:val="-2"/>
                <w:sz w:val="22"/>
                <w:szCs w:val="22"/>
              </w:rPr>
              <w:t>sprawniejsz</w:t>
            </w:r>
            <w:r w:rsidR="004D3C87" w:rsidRPr="00154E08">
              <w:rPr>
                <w:rFonts w:eastAsia="Calibri" w:cs="Times New Roman"/>
                <w:color w:val="000000" w:themeColor="text1"/>
                <w:spacing w:val="-2"/>
                <w:sz w:val="22"/>
                <w:szCs w:val="22"/>
              </w:rPr>
              <w:t>ą</w:t>
            </w:r>
            <w:r w:rsidR="00AB1D40" w:rsidRPr="00154E08">
              <w:rPr>
                <w:rFonts w:eastAsia="Calibri" w:cs="Times New Roman"/>
                <w:color w:val="000000" w:themeColor="text1"/>
                <w:spacing w:val="-2"/>
                <w:sz w:val="22"/>
                <w:szCs w:val="22"/>
              </w:rPr>
              <w:t xml:space="preserve"> kontrol</w:t>
            </w:r>
            <w:r w:rsidR="004D3C87" w:rsidRPr="00154E08">
              <w:rPr>
                <w:rFonts w:eastAsia="Calibri" w:cs="Times New Roman"/>
                <w:color w:val="000000" w:themeColor="text1"/>
                <w:spacing w:val="-2"/>
                <w:sz w:val="22"/>
                <w:szCs w:val="22"/>
              </w:rPr>
              <w:t>ę</w:t>
            </w:r>
            <w:r w:rsidR="00AB1D40" w:rsidRPr="00154E08">
              <w:rPr>
                <w:rFonts w:eastAsia="Calibri" w:cs="Times New Roman"/>
                <w:color w:val="000000" w:themeColor="text1"/>
                <w:spacing w:val="-2"/>
                <w:sz w:val="22"/>
                <w:szCs w:val="22"/>
              </w:rPr>
              <w:t xml:space="preserve"> bieżących zjawisk zachodzących na rynku, wska</w:t>
            </w:r>
            <w:r w:rsidR="004D3C87" w:rsidRPr="00154E08">
              <w:rPr>
                <w:rFonts w:eastAsia="Calibri" w:cs="Times New Roman"/>
                <w:color w:val="000000" w:themeColor="text1"/>
                <w:spacing w:val="-2"/>
                <w:sz w:val="22"/>
                <w:szCs w:val="22"/>
              </w:rPr>
              <w:t>żą</w:t>
            </w:r>
            <w:r w:rsidR="00AB1D40" w:rsidRPr="00154E08">
              <w:rPr>
                <w:rFonts w:eastAsia="Calibri" w:cs="Times New Roman"/>
                <w:color w:val="000000" w:themeColor="text1"/>
                <w:spacing w:val="-2"/>
                <w:sz w:val="22"/>
                <w:szCs w:val="22"/>
              </w:rPr>
              <w:t xml:space="preserve"> możliw</w:t>
            </w:r>
            <w:r w:rsidR="004D3C87" w:rsidRPr="00154E08">
              <w:rPr>
                <w:rFonts w:eastAsia="Calibri" w:cs="Times New Roman"/>
                <w:color w:val="000000" w:themeColor="text1"/>
                <w:spacing w:val="-2"/>
                <w:sz w:val="22"/>
                <w:szCs w:val="22"/>
              </w:rPr>
              <w:t>e</w:t>
            </w:r>
            <w:r w:rsidR="00AB1D40" w:rsidRPr="00154E08">
              <w:rPr>
                <w:rFonts w:eastAsia="Calibri" w:cs="Times New Roman"/>
                <w:color w:val="000000" w:themeColor="text1"/>
                <w:spacing w:val="-2"/>
                <w:sz w:val="22"/>
                <w:szCs w:val="22"/>
              </w:rPr>
              <w:t xml:space="preserve"> kierunk</w:t>
            </w:r>
            <w:r w:rsidR="004D3C87" w:rsidRPr="00154E08">
              <w:rPr>
                <w:rFonts w:eastAsia="Calibri" w:cs="Times New Roman"/>
                <w:color w:val="000000" w:themeColor="text1"/>
                <w:spacing w:val="-2"/>
                <w:sz w:val="22"/>
                <w:szCs w:val="22"/>
              </w:rPr>
              <w:t xml:space="preserve">i </w:t>
            </w:r>
            <w:r w:rsidR="00AB1D40" w:rsidRPr="00154E08">
              <w:rPr>
                <w:rFonts w:eastAsia="Calibri" w:cs="Times New Roman"/>
                <w:color w:val="000000" w:themeColor="text1"/>
                <w:spacing w:val="-2"/>
                <w:sz w:val="22"/>
                <w:szCs w:val="22"/>
              </w:rPr>
              <w:t xml:space="preserve">rozwoju, w zakresie </w:t>
            </w:r>
            <w:r w:rsidR="004D3C87" w:rsidRPr="00154E08">
              <w:rPr>
                <w:rFonts w:eastAsia="Calibri" w:cs="Times New Roman"/>
                <w:color w:val="000000" w:themeColor="text1"/>
                <w:spacing w:val="-2"/>
                <w:sz w:val="22"/>
                <w:szCs w:val="22"/>
              </w:rPr>
              <w:t xml:space="preserve">możliwości </w:t>
            </w:r>
            <w:r w:rsidR="00AB1D40" w:rsidRPr="00154E08">
              <w:rPr>
                <w:rFonts w:eastAsia="Calibri" w:cs="Times New Roman"/>
                <w:color w:val="000000" w:themeColor="text1"/>
                <w:spacing w:val="-2"/>
                <w:sz w:val="22"/>
                <w:szCs w:val="22"/>
              </w:rPr>
              <w:t xml:space="preserve">realizacji celów OZE i zmniejszenia uciążliwości sektora transportu, a także </w:t>
            </w:r>
            <w:r w:rsidR="004D3C87" w:rsidRPr="00154E08">
              <w:rPr>
                <w:rFonts w:eastAsia="Calibri" w:cs="Times New Roman"/>
                <w:color w:val="000000" w:themeColor="text1"/>
                <w:spacing w:val="-2"/>
                <w:sz w:val="22"/>
                <w:szCs w:val="22"/>
              </w:rPr>
              <w:t xml:space="preserve">wzmocnią </w:t>
            </w:r>
            <w:r w:rsidR="00AB1D40" w:rsidRPr="00154E08">
              <w:rPr>
                <w:rFonts w:eastAsia="Calibri" w:cs="Times New Roman"/>
                <w:color w:val="000000" w:themeColor="text1"/>
                <w:spacing w:val="-2"/>
                <w:sz w:val="22"/>
                <w:szCs w:val="22"/>
              </w:rPr>
              <w:t xml:space="preserve">wykorzystanie krajowego potencjału: </w:t>
            </w:r>
            <w:r w:rsidR="00AB1D40" w:rsidRPr="00154E08">
              <w:rPr>
                <w:rFonts w:eastAsia="Calibri" w:cs="Times New Roman"/>
                <w:iCs/>
                <w:color w:val="000000" w:themeColor="text1"/>
                <w:spacing w:val="-2"/>
                <w:sz w:val="22"/>
                <w:szCs w:val="22"/>
              </w:rPr>
              <w:t>surowców, infrastruktury, floty pojazdów, przemysłu</w:t>
            </w:r>
            <w:r w:rsidR="00AB1D40" w:rsidRPr="00154E08">
              <w:rPr>
                <w:rFonts w:eastAsia="Calibri" w:cs="Times New Roman"/>
                <w:color w:val="000000" w:themeColor="text1"/>
                <w:spacing w:val="-2"/>
                <w:sz w:val="22"/>
                <w:szCs w:val="22"/>
              </w:rPr>
              <w:t xml:space="preserve">. </w:t>
            </w:r>
          </w:p>
          <w:p w14:paraId="745BF1B1" w14:textId="296C959A" w:rsidR="00AB1D40" w:rsidRPr="00154E08" w:rsidRDefault="00AB1D40" w:rsidP="00B279FD">
            <w:pPr>
              <w:spacing w:after="120" w:line="240" w:lineRule="auto"/>
              <w:jc w:val="both"/>
              <w:rPr>
                <w:rFonts w:eastAsia="Calibri" w:cs="Times New Roman"/>
                <w:color w:val="000000"/>
                <w:spacing w:val="-2"/>
                <w:sz w:val="22"/>
                <w:szCs w:val="22"/>
              </w:rPr>
            </w:pPr>
            <w:r w:rsidRPr="00154E08">
              <w:rPr>
                <w:rFonts w:eastAsia="Calibri" w:cs="Times New Roman"/>
                <w:color w:val="000000" w:themeColor="text1"/>
                <w:spacing w:val="-2"/>
                <w:sz w:val="22"/>
                <w:szCs w:val="22"/>
              </w:rPr>
              <w:t xml:space="preserve">Podstawowym miernikiem ewaluacji będzie stopień realizacji krajowego celu w referencyjnym 2025 r. oraz następnie w 2030 r., realizacja celów OZE w transporcie przyjętych przepisami dyrektywy REDII </w:t>
            </w:r>
            <w:r w:rsidR="004D3C87" w:rsidRPr="00154E08">
              <w:rPr>
                <w:rFonts w:eastAsia="Calibri" w:cs="Times New Roman"/>
                <w:color w:val="000000" w:themeColor="text1"/>
                <w:spacing w:val="-2"/>
                <w:sz w:val="22"/>
                <w:szCs w:val="22"/>
              </w:rPr>
              <w:t>tj. p</w:t>
            </w:r>
            <w:r w:rsidRPr="00154E08">
              <w:rPr>
                <w:rFonts w:eastAsia="Calibri" w:cs="Times New Roman"/>
                <w:color w:val="000000" w:themeColor="text1"/>
                <w:spacing w:val="-2"/>
                <w:sz w:val="22"/>
                <w:szCs w:val="22"/>
              </w:rPr>
              <w:t>otrzeb</w:t>
            </w:r>
            <w:r w:rsidR="004D3C87" w:rsidRPr="00154E08">
              <w:rPr>
                <w:rFonts w:eastAsia="Calibri" w:cs="Times New Roman"/>
                <w:color w:val="000000" w:themeColor="text1"/>
                <w:spacing w:val="-2"/>
                <w:sz w:val="22"/>
                <w:szCs w:val="22"/>
              </w:rPr>
              <w:t>a osiągnięcia</w:t>
            </w:r>
            <w:r w:rsidRPr="00154E08">
              <w:rPr>
                <w:rFonts w:eastAsia="Calibri" w:cs="Times New Roman"/>
                <w:color w:val="000000" w:themeColor="text1"/>
                <w:spacing w:val="-2"/>
                <w:sz w:val="22"/>
                <w:szCs w:val="22"/>
              </w:rPr>
              <w:t xml:space="preserve"> min</w:t>
            </w:r>
            <w:r w:rsidR="004D3C87" w:rsidRPr="00154E08">
              <w:rPr>
                <w:rFonts w:eastAsia="Calibri" w:cs="Times New Roman"/>
                <w:color w:val="000000" w:themeColor="text1"/>
                <w:spacing w:val="-2"/>
                <w:sz w:val="22"/>
                <w:szCs w:val="22"/>
              </w:rPr>
              <w:t xml:space="preserve">. </w:t>
            </w:r>
            <w:r w:rsidRPr="00154E08">
              <w:rPr>
                <w:rFonts w:eastAsia="Calibri" w:cs="Times New Roman"/>
                <w:color w:val="000000" w:themeColor="text1"/>
                <w:spacing w:val="-2"/>
                <w:sz w:val="22"/>
                <w:szCs w:val="22"/>
              </w:rPr>
              <w:t>14%</w:t>
            </w:r>
            <w:r w:rsidRPr="00154E08">
              <w:rPr>
                <w:rFonts w:cs="Times New Roman"/>
                <w:color w:val="000000" w:themeColor="text1"/>
                <w:sz w:val="22"/>
                <w:szCs w:val="22"/>
              </w:rPr>
              <w:t xml:space="preserve"> </w:t>
            </w:r>
            <w:r w:rsidRPr="00154E08">
              <w:rPr>
                <w:rFonts w:eastAsia="Calibri" w:cs="Times New Roman"/>
                <w:color w:val="000000" w:themeColor="text1"/>
                <w:spacing w:val="-2"/>
                <w:sz w:val="22"/>
                <w:szCs w:val="22"/>
              </w:rPr>
              <w:t xml:space="preserve">udziału energii odnawialnej w końcowym zużyciu energii w sektorze transportu. </w:t>
            </w:r>
          </w:p>
        </w:tc>
        <w:tc>
          <w:tcPr>
            <w:tcW w:w="1256" w:type="dxa"/>
          </w:tcPr>
          <w:p w14:paraId="0653F8FB" w14:textId="77777777" w:rsidR="00AB1D40" w:rsidRPr="00154E08" w:rsidRDefault="00AB1D40" w:rsidP="00AB1D40">
            <w:pPr>
              <w:rPr>
                <w:rFonts w:cs="Times New Roman"/>
              </w:rPr>
            </w:pPr>
          </w:p>
        </w:tc>
      </w:tr>
      <w:tr w:rsidR="00AB1D40" w:rsidRPr="00154E08" w14:paraId="4053A1AB"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75218CBB" w14:textId="57F755A1" w:rsidR="00AB1D40" w:rsidRPr="00154E08" w:rsidRDefault="00AB1D40" w:rsidP="00AB1D40">
            <w:pPr>
              <w:spacing w:before="60" w:after="60" w:line="240" w:lineRule="auto"/>
              <w:jc w:val="both"/>
              <w:rPr>
                <w:rFonts w:eastAsia="Calibri" w:cs="Times New Roman"/>
                <w:b/>
                <w:spacing w:val="-2"/>
                <w:sz w:val="22"/>
                <w:szCs w:val="22"/>
              </w:rPr>
            </w:pPr>
            <w:r w:rsidRPr="00154E08">
              <w:rPr>
                <w:rFonts w:eastAsia="Calibri" w:cs="Times New Roman"/>
                <w:b/>
                <w:color w:val="000000"/>
                <w:spacing w:val="-2"/>
                <w:sz w:val="22"/>
                <w:szCs w:val="22"/>
              </w:rPr>
              <w:lastRenderedPageBreak/>
              <w:t xml:space="preserve">13. Załączniki </w:t>
            </w:r>
            <w:r w:rsidRPr="00154E08">
              <w:rPr>
                <w:rFonts w:eastAsia="Calibri" w:cs="Times New Roman"/>
                <w:b/>
                <w:spacing w:val="-2"/>
                <w:sz w:val="22"/>
                <w:szCs w:val="22"/>
              </w:rPr>
              <w:t>(istotne dokumenty źródłowe, badania, analizy itp.</w:t>
            </w:r>
            <w:r w:rsidRPr="00154E08">
              <w:rPr>
                <w:rFonts w:eastAsia="Calibri" w:cs="Times New Roman"/>
                <w:b/>
                <w:color w:val="000000"/>
                <w:spacing w:val="-2"/>
                <w:sz w:val="22"/>
                <w:szCs w:val="22"/>
              </w:rPr>
              <w:t xml:space="preserve">) </w:t>
            </w:r>
          </w:p>
        </w:tc>
        <w:tc>
          <w:tcPr>
            <w:tcW w:w="1256" w:type="dxa"/>
          </w:tcPr>
          <w:p w14:paraId="2320E73C" w14:textId="77777777" w:rsidR="00AB1D40" w:rsidRPr="00154E08" w:rsidRDefault="00AB1D40" w:rsidP="00AB1D40">
            <w:pPr>
              <w:rPr>
                <w:rFonts w:cs="Times New Roman"/>
              </w:rPr>
            </w:pPr>
          </w:p>
        </w:tc>
      </w:tr>
      <w:tr w:rsidR="00AB1D40" w:rsidRPr="00154E08" w14:paraId="6D0E8790" w14:textId="77777777" w:rsidTr="3E65ED00">
        <w:trPr>
          <w:trHeight w:val="142"/>
        </w:trPr>
        <w:tc>
          <w:tcPr>
            <w:tcW w:w="107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6DF1CA" w14:textId="77777777" w:rsidR="00AB1D40" w:rsidRPr="00154E08" w:rsidRDefault="00AB1D40" w:rsidP="00AB1D40">
            <w:pPr>
              <w:spacing w:line="240" w:lineRule="auto"/>
              <w:jc w:val="both"/>
              <w:rPr>
                <w:rFonts w:eastAsia="Calibri" w:cs="Times New Roman"/>
                <w:color w:val="000000"/>
                <w:spacing w:val="-2"/>
                <w:sz w:val="22"/>
                <w:szCs w:val="22"/>
              </w:rPr>
            </w:pPr>
            <w:r w:rsidRPr="00154E08">
              <w:rPr>
                <w:rFonts w:eastAsia="Calibri" w:cs="Times New Roman"/>
                <w:color w:val="000000"/>
                <w:spacing w:val="-2"/>
                <w:sz w:val="22"/>
                <w:szCs w:val="22"/>
              </w:rPr>
              <w:t xml:space="preserve">Brak. </w:t>
            </w:r>
          </w:p>
        </w:tc>
        <w:tc>
          <w:tcPr>
            <w:tcW w:w="1256" w:type="dxa"/>
          </w:tcPr>
          <w:p w14:paraId="0BE1B5F7" w14:textId="77777777" w:rsidR="00AB1D40" w:rsidRPr="00154E08" w:rsidRDefault="00AB1D40" w:rsidP="00AB1D40">
            <w:pPr>
              <w:rPr>
                <w:rFonts w:cs="Times New Roman"/>
              </w:rPr>
            </w:pPr>
          </w:p>
        </w:tc>
      </w:tr>
    </w:tbl>
    <w:p w14:paraId="6173A06A" w14:textId="74C96B01" w:rsidR="00250BF6" w:rsidRPr="00154E08" w:rsidRDefault="00250BF6">
      <w:pPr>
        <w:keepNext/>
        <w:spacing w:before="240" w:after="60" w:line="240" w:lineRule="auto"/>
        <w:outlineLvl w:val="0"/>
        <w:rPr>
          <w:rFonts w:cs="Times New Roman"/>
        </w:rPr>
      </w:pPr>
    </w:p>
    <w:sectPr w:rsidR="00250BF6" w:rsidRPr="00154E08" w:rsidSect="00754AFA">
      <w:headerReference w:type="default" r:id="rId13"/>
      <w:footerReference w:type="default" r:id="rId14"/>
      <w:pgSz w:w="11906" w:h="16838"/>
      <w:pgMar w:top="720" w:right="720" w:bottom="1418" w:left="720" w:header="709"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81C2" w14:textId="77777777" w:rsidR="00754AFA" w:rsidRDefault="00754AFA">
      <w:pPr>
        <w:spacing w:line="240" w:lineRule="auto"/>
      </w:pPr>
      <w:r>
        <w:separator/>
      </w:r>
    </w:p>
  </w:endnote>
  <w:endnote w:type="continuationSeparator" w:id="0">
    <w:p w14:paraId="5760DD21" w14:textId="77777777" w:rsidR="00754AFA" w:rsidRDefault="00754AFA">
      <w:pPr>
        <w:spacing w:line="240" w:lineRule="auto"/>
      </w:pPr>
      <w:r>
        <w:continuationSeparator/>
      </w:r>
    </w:p>
  </w:endnote>
  <w:endnote w:type="continuationNotice" w:id="1">
    <w:p w14:paraId="158E9F9B" w14:textId="77777777" w:rsidR="00754AFA" w:rsidRDefault="00754A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1309"/>
      <w:docPartObj>
        <w:docPartGallery w:val="Page Numbers (Bottom of Page)"/>
        <w:docPartUnique/>
      </w:docPartObj>
    </w:sdtPr>
    <w:sdtEndPr>
      <w:rPr>
        <w:sz w:val="22"/>
        <w:szCs w:val="22"/>
      </w:rPr>
    </w:sdtEndPr>
    <w:sdtContent>
      <w:p w14:paraId="11308361" w14:textId="7276C22F" w:rsidR="001A3CD7" w:rsidRPr="00154E08" w:rsidRDefault="001A3CD7">
        <w:pPr>
          <w:pStyle w:val="Stopka"/>
          <w:jc w:val="center"/>
          <w:rPr>
            <w:sz w:val="22"/>
            <w:szCs w:val="22"/>
          </w:rPr>
        </w:pPr>
        <w:r w:rsidRPr="00154E08">
          <w:rPr>
            <w:sz w:val="22"/>
            <w:szCs w:val="22"/>
          </w:rPr>
          <w:fldChar w:fldCharType="begin"/>
        </w:r>
        <w:r w:rsidRPr="00154E08">
          <w:rPr>
            <w:sz w:val="22"/>
            <w:szCs w:val="22"/>
          </w:rPr>
          <w:instrText>PAGE</w:instrText>
        </w:r>
        <w:r w:rsidRPr="00154E08">
          <w:rPr>
            <w:sz w:val="22"/>
            <w:szCs w:val="22"/>
          </w:rPr>
          <w:fldChar w:fldCharType="separate"/>
        </w:r>
        <w:r w:rsidR="00720FD3" w:rsidRPr="00154E08">
          <w:rPr>
            <w:noProof/>
            <w:sz w:val="22"/>
            <w:szCs w:val="22"/>
          </w:rPr>
          <w:t>21</w:t>
        </w:r>
        <w:r w:rsidRPr="00154E0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88BD" w14:textId="77777777" w:rsidR="00754AFA" w:rsidRDefault="00754AFA">
      <w:pPr>
        <w:spacing w:line="240" w:lineRule="auto"/>
      </w:pPr>
      <w:r>
        <w:separator/>
      </w:r>
    </w:p>
  </w:footnote>
  <w:footnote w:type="continuationSeparator" w:id="0">
    <w:p w14:paraId="6050AB3A" w14:textId="77777777" w:rsidR="00754AFA" w:rsidRDefault="00754AFA">
      <w:pPr>
        <w:spacing w:line="240" w:lineRule="auto"/>
      </w:pPr>
      <w:r>
        <w:continuationSeparator/>
      </w:r>
    </w:p>
  </w:footnote>
  <w:footnote w:type="continuationNotice" w:id="1">
    <w:p w14:paraId="698C84DD" w14:textId="77777777" w:rsidR="00754AFA" w:rsidRDefault="00754AFA">
      <w:pPr>
        <w:spacing w:line="240" w:lineRule="auto"/>
      </w:pPr>
    </w:p>
  </w:footnote>
  <w:footnote w:id="2">
    <w:p w14:paraId="05A3E66D" w14:textId="63DAACA2" w:rsidR="001A3CD7" w:rsidRPr="0030280F" w:rsidRDefault="001A3CD7" w:rsidP="001D2E01">
      <w:pPr>
        <w:pStyle w:val="ODNONIKtreodnonika"/>
      </w:pPr>
      <w:r>
        <w:rPr>
          <w:rStyle w:val="Odwoanieprzypisudolnego"/>
        </w:rPr>
        <w:footnoteRef/>
      </w:r>
      <w:bookmarkStart w:id="2" w:name="_Hlk139973181"/>
      <w:r w:rsidR="00611062">
        <w:rPr>
          <w:vertAlign w:val="superscript"/>
        </w:rPr>
        <w:t>)</w:t>
      </w:r>
      <w:bookmarkEnd w:id="2"/>
      <w:r w:rsidR="00B4225D">
        <w:rPr>
          <w:vertAlign w:val="superscript"/>
        </w:rPr>
        <w:t xml:space="preserve"> </w:t>
      </w:r>
      <w:r w:rsidR="00837D94">
        <w:rPr>
          <w:vertAlign w:val="superscript"/>
        </w:rPr>
        <w:tab/>
      </w:r>
      <w:hyperlink r:id="rId1" w:history="1">
        <w:r w:rsidR="00837D94" w:rsidRPr="00837D94">
          <w:rPr>
            <w:rStyle w:val="Hipercze"/>
          </w:rPr>
          <w:t>https://rejestry.ure.gov.pl/o/17</w:t>
        </w:r>
      </w:hyperlink>
      <w:r w:rsidR="00ED607A">
        <w:t xml:space="preserve"> </w:t>
      </w:r>
      <w:r w:rsidR="00BB53A0">
        <w:t xml:space="preserve">- stan </w:t>
      </w:r>
      <w:r w:rsidR="00ED607A" w:rsidRPr="00CF240A">
        <w:t>na dzień 14.02.2024 r</w:t>
      </w:r>
      <w:r w:rsidR="00ED607A">
        <w:t>.</w:t>
      </w:r>
      <w:r w:rsidR="00CF240A">
        <w:t xml:space="preserve"> </w:t>
      </w:r>
    </w:p>
  </w:footnote>
  <w:footnote w:id="3">
    <w:p w14:paraId="71B0DB3B" w14:textId="64E0BD25" w:rsidR="001A3CD7" w:rsidRPr="004D4D78" w:rsidRDefault="001A3CD7" w:rsidP="001D2E01">
      <w:pPr>
        <w:pStyle w:val="ODNONIKtreodnonika"/>
      </w:pPr>
      <w:r w:rsidRPr="0030280F">
        <w:rPr>
          <w:rStyle w:val="Odwoanieprzypisudolnego"/>
        </w:rPr>
        <w:footnoteRef/>
      </w:r>
      <w:r w:rsidR="00611062" w:rsidRPr="0030280F">
        <w:rPr>
          <w:vertAlign w:val="superscript"/>
        </w:rPr>
        <w:t>)</w:t>
      </w:r>
      <w:r w:rsidRPr="0030280F">
        <w:t xml:space="preserve"> </w:t>
      </w:r>
      <w:r w:rsidR="00837D94">
        <w:tab/>
      </w:r>
      <w:r w:rsidR="002618C0" w:rsidRPr="002618C0">
        <w:t>22 podmioty w rejestrze wytwórców - stan na 30.11.2023 r.</w:t>
      </w:r>
      <w:r w:rsidR="002618C0" w:rsidRPr="002618C0" w:rsidDel="002618C0">
        <w:t xml:space="preserve"> </w:t>
      </w:r>
    </w:p>
  </w:footnote>
  <w:footnote w:id="4">
    <w:p w14:paraId="63B7FA76" w14:textId="0AA6F7C7" w:rsidR="001A3CD7" w:rsidRPr="005A12A8" w:rsidRDefault="001A3CD7" w:rsidP="001D2E01">
      <w:pPr>
        <w:pStyle w:val="ODNONIKtreodnonika"/>
      </w:pPr>
      <w:r w:rsidRPr="00A346AB">
        <w:rPr>
          <w:rStyle w:val="Odwoanieprzypisudolnego"/>
        </w:rPr>
        <w:footnoteRef/>
      </w:r>
      <w:r w:rsidR="00611062">
        <w:rPr>
          <w:vertAlign w:val="superscript"/>
        </w:rPr>
        <w:t>)</w:t>
      </w:r>
      <w:r w:rsidRPr="00A346AB">
        <w:t xml:space="preserve"> </w:t>
      </w:r>
      <w:r w:rsidR="00837D94">
        <w:tab/>
      </w:r>
      <w:r w:rsidRPr="005A12A8">
        <w:t xml:space="preserve">Dane zagregowane KOWR dotyczące ilości biokomponentów wytworzonych a następnie rozporządzonych przez dokonanie jakiejkolwiek czynności prawnej lub faktycznej skutkującej trwałym wyzbyciem się tych biokomponentów, lub przeznaczonych do wytworzenia paliw ciekłych lub biopaliw ciekłych. </w:t>
      </w:r>
    </w:p>
  </w:footnote>
  <w:footnote w:id="5">
    <w:p w14:paraId="6CD89A6B" w14:textId="199795B1" w:rsidR="001A3CD7" w:rsidRPr="00EC0E0F" w:rsidRDefault="001A3CD7" w:rsidP="001D2E01">
      <w:pPr>
        <w:pStyle w:val="ODNONIKtreodnonika"/>
      </w:pPr>
      <w:r>
        <w:rPr>
          <w:rStyle w:val="Odwoanieprzypisudolnego"/>
        </w:rPr>
        <w:footnoteRef/>
      </w:r>
      <w:r w:rsidR="00611062">
        <w:rPr>
          <w:vertAlign w:val="superscript"/>
        </w:rPr>
        <w:t>)</w:t>
      </w:r>
      <w:r>
        <w:t xml:space="preserve"> </w:t>
      </w:r>
      <w:r w:rsidR="00B775D6">
        <w:tab/>
      </w:r>
      <w:r w:rsidR="00611062">
        <w:t>S</w:t>
      </w:r>
      <w:r w:rsidR="00611062" w:rsidRPr="00EC0E0F">
        <w:t>prawozdanie</w:t>
      </w:r>
      <w:r>
        <w:t xml:space="preserve"> </w:t>
      </w:r>
      <w:r w:rsidR="00611062" w:rsidRPr="00EC0E0F">
        <w:t>z działalności</w:t>
      </w:r>
      <w:r>
        <w:t xml:space="preserve"> </w:t>
      </w:r>
      <w:r w:rsidRPr="00EC0E0F">
        <w:t>Krajowego Ośrodka</w:t>
      </w:r>
      <w:r>
        <w:t xml:space="preserve"> </w:t>
      </w:r>
      <w:r w:rsidRPr="00EC0E0F">
        <w:t>Wsparcia Rolnictwa</w:t>
      </w:r>
      <w:r>
        <w:t xml:space="preserve"> </w:t>
      </w:r>
      <w:r w:rsidRPr="00EC0E0F">
        <w:t>w 202</w:t>
      </w:r>
      <w:r>
        <w:t>2</w:t>
      </w:r>
      <w:r w:rsidRPr="00EC0E0F">
        <w:t xml:space="preserve"> r</w:t>
      </w:r>
      <w:r>
        <w:t>.</w:t>
      </w:r>
      <w:r w:rsidR="005C3CE8">
        <w:t xml:space="preserve"> (wstępne za 2023 r.)</w:t>
      </w:r>
    </w:p>
  </w:footnote>
  <w:footnote w:id="6">
    <w:p w14:paraId="4AFB44C4" w14:textId="2607E22F" w:rsidR="00084681" w:rsidRPr="00B279FD" w:rsidRDefault="00084681" w:rsidP="00084681">
      <w:pPr>
        <w:pStyle w:val="Tekstprzypisudolnego"/>
        <w:rPr>
          <w:rFonts w:ascii="Times New Roman" w:eastAsiaTheme="minorEastAsia" w:hAnsi="Times New Roman" w:cs="Arial"/>
          <w:sz w:val="20"/>
          <w:szCs w:val="20"/>
        </w:rPr>
      </w:pPr>
      <w:r w:rsidRPr="00B279FD">
        <w:rPr>
          <w:rStyle w:val="Odwoanieprzypisudolnego"/>
          <w:rFonts w:ascii="Times New Roman" w:hAnsi="Times New Roman"/>
          <w:sz w:val="20"/>
          <w:szCs w:val="20"/>
        </w:rPr>
        <w:footnoteRef/>
      </w:r>
      <w:r w:rsidR="00837D94" w:rsidRPr="00B279FD">
        <w:rPr>
          <w:rFonts w:ascii="Times New Roman" w:hAnsi="Times New Roman"/>
          <w:sz w:val="20"/>
          <w:szCs w:val="20"/>
          <w:vertAlign w:val="superscript"/>
        </w:rPr>
        <w:t>)</w:t>
      </w:r>
      <w:r>
        <w:t xml:space="preserve"> </w:t>
      </w:r>
      <w:r w:rsidRPr="00B279FD">
        <w:rPr>
          <w:rFonts w:ascii="Times New Roman" w:eastAsiaTheme="minorEastAsia" w:hAnsi="Times New Roman" w:cs="Arial"/>
          <w:sz w:val="20"/>
          <w:szCs w:val="20"/>
        </w:rPr>
        <w:t>PSPA -raport elektromobilności</w:t>
      </w:r>
      <w:r w:rsidR="00837D94">
        <w:rPr>
          <w:rFonts w:ascii="Times New Roman" w:eastAsiaTheme="minorEastAsia" w:hAnsi="Times New Roman" w:cs="Arial"/>
          <w:sz w:val="20"/>
          <w:szCs w:val="20"/>
        </w:rPr>
        <w:t xml:space="preserve"> – </w:t>
      </w:r>
      <w:r w:rsidRPr="00B279FD">
        <w:rPr>
          <w:rFonts w:ascii="Times New Roman" w:eastAsiaTheme="minorEastAsia" w:hAnsi="Times New Roman" w:cs="Arial"/>
          <w:sz w:val="20"/>
          <w:szCs w:val="20"/>
        </w:rPr>
        <w:t>styczeń 2024</w:t>
      </w:r>
    </w:p>
  </w:footnote>
  <w:footnote w:id="7">
    <w:p w14:paraId="5A725E77" w14:textId="65E950C0" w:rsidR="001A3CD7" w:rsidRPr="00B279FD" w:rsidRDefault="001A3CD7" w:rsidP="0044484A">
      <w:pPr>
        <w:pStyle w:val="ODNONIKtreodnonika"/>
        <w:rPr>
          <w:rFonts w:cs="Times New Roman"/>
        </w:rPr>
      </w:pPr>
      <w:r w:rsidRPr="00B279FD">
        <w:rPr>
          <w:rStyle w:val="Odwoanieprzypisudolnego"/>
          <w:rFonts w:cs="Times New Roman"/>
        </w:rPr>
        <w:footnoteRef/>
      </w:r>
      <w:r w:rsidR="0054757A" w:rsidRPr="00B279FD">
        <w:rPr>
          <w:rFonts w:cs="Times New Roman"/>
          <w:vertAlign w:val="superscript"/>
        </w:rPr>
        <w:t>)</w:t>
      </w:r>
      <w:r w:rsidR="007877F0" w:rsidRPr="00B279FD">
        <w:rPr>
          <w:rFonts w:cs="Times New Roman"/>
          <w:vertAlign w:val="superscript"/>
        </w:rPr>
        <w:t> </w:t>
      </w:r>
      <w:r w:rsidR="00837D94">
        <w:rPr>
          <w:rFonts w:cs="Times New Roman"/>
          <w:vertAlign w:val="superscript"/>
        </w:rPr>
        <w:tab/>
      </w:r>
      <w:hyperlink r:id="rId2" w:history="1">
        <w:r w:rsidR="00B279FD" w:rsidRPr="00F01335">
          <w:rPr>
            <w:rStyle w:val="Hipercze"/>
            <w:rFonts w:cs="Times New Roman"/>
          </w:rPr>
          <w:t>https://www.money.pl/gospodarka/szybko-rosnie-liczba-e-autobusow-w-polsce-tempo-spadnie-przez-ceny-pradu-6854353613081152a.html</w:t>
        </w:r>
      </w:hyperlink>
      <w:r w:rsidR="00B279FD">
        <w:rPr>
          <w:rFonts w:cs="Times New Roman"/>
        </w:rPr>
        <w:t xml:space="preserve"> </w:t>
      </w:r>
      <w:r w:rsidRPr="00B279FD" w:rsidDel="00811E5C">
        <w:rPr>
          <w:rFonts w:cs="Times New Roman"/>
        </w:rPr>
        <w:t xml:space="preserve"> </w:t>
      </w:r>
      <w:r w:rsidR="00837D94">
        <w:rPr>
          <w:rFonts w:cs="Times New Roman"/>
        </w:rPr>
        <w:t xml:space="preserve"> </w:t>
      </w:r>
    </w:p>
  </w:footnote>
  <w:footnote w:id="8">
    <w:p w14:paraId="7AA2EC81" w14:textId="42CBC1B9" w:rsidR="001A3CD7" w:rsidRPr="00997AB1" w:rsidRDefault="001A3CD7" w:rsidP="0044484A">
      <w:pPr>
        <w:pStyle w:val="ODNONIKtreodnonika"/>
        <w:rPr>
          <w:rFonts w:cs="Times New Roman"/>
          <w:sz w:val="22"/>
          <w:szCs w:val="22"/>
        </w:rPr>
      </w:pPr>
      <w:r w:rsidRPr="00B279FD">
        <w:rPr>
          <w:rStyle w:val="Odwoanieprzypisudolnego"/>
          <w:rFonts w:cs="Times New Roman"/>
        </w:rPr>
        <w:footnoteRef/>
      </w:r>
      <w:r w:rsidR="0054757A" w:rsidRPr="00B279FD">
        <w:rPr>
          <w:rFonts w:cs="Times New Roman"/>
          <w:vertAlign w:val="superscript"/>
        </w:rPr>
        <w:t>)</w:t>
      </w:r>
      <w:r w:rsidRPr="00B279FD">
        <w:rPr>
          <w:rFonts w:cs="Times New Roman"/>
        </w:rPr>
        <w:t xml:space="preserve"> </w:t>
      </w:r>
      <w:r w:rsidR="00837D94">
        <w:rPr>
          <w:rFonts w:cs="Times New Roman"/>
        </w:rPr>
        <w:tab/>
      </w:r>
      <w:r w:rsidRPr="00B279FD">
        <w:rPr>
          <w:rFonts w:cs="Times New Roman"/>
        </w:rPr>
        <w:t xml:space="preserve">Licznik Elektromobilności uruchomiony przez PZPM i PSPA </w:t>
      </w:r>
      <w:hyperlink r:id="rId3" w:history="1">
        <w:r w:rsidRPr="00B279FD">
          <w:rPr>
            <w:rStyle w:val="Hipercze"/>
            <w:rFonts w:cs="Times New Roman"/>
            <w:color w:val="auto"/>
          </w:rPr>
          <w:t>https://pspa.com.pl/tag/licznik-elektromobilnosci/</w:t>
        </w:r>
      </w:hyperlink>
      <w:r w:rsidR="00B279FD">
        <w:rPr>
          <w:rStyle w:val="Hipercze"/>
          <w:rFonts w:cs="Times New Roman"/>
          <w:color w:val="auto"/>
        </w:rPr>
        <w:t xml:space="preserve"> </w:t>
      </w:r>
      <w:r w:rsidRPr="00997AB1">
        <w:rPr>
          <w:rFonts w:cs="Times New Roman"/>
          <w:sz w:val="22"/>
          <w:szCs w:val="22"/>
        </w:rPr>
        <w:t xml:space="preserve"> </w:t>
      </w:r>
    </w:p>
  </w:footnote>
  <w:footnote w:id="9">
    <w:p w14:paraId="43B8294F" w14:textId="5CC6CCBF" w:rsidR="001A3CD7" w:rsidRPr="00B279FD" w:rsidRDefault="001A3CD7" w:rsidP="007E628F">
      <w:pPr>
        <w:pStyle w:val="Tekstprzypisudolnego"/>
        <w:spacing w:line="240" w:lineRule="auto"/>
        <w:ind w:left="284" w:hanging="284"/>
        <w:jc w:val="both"/>
        <w:rPr>
          <w:rFonts w:ascii="Times New Roman" w:hAnsi="Times New Roman"/>
          <w:sz w:val="20"/>
          <w:szCs w:val="20"/>
        </w:rPr>
      </w:pPr>
      <w:r w:rsidRPr="00B279FD">
        <w:rPr>
          <w:rStyle w:val="Odwoanieprzypisudolnego"/>
          <w:rFonts w:ascii="Times New Roman" w:hAnsi="Times New Roman"/>
          <w:sz w:val="20"/>
          <w:szCs w:val="20"/>
        </w:rPr>
        <w:footnoteRef/>
      </w:r>
      <w:r w:rsidR="007877F0" w:rsidRPr="00B279FD">
        <w:rPr>
          <w:rFonts w:ascii="Times New Roman" w:hAnsi="Times New Roman"/>
          <w:sz w:val="20"/>
          <w:szCs w:val="20"/>
          <w:vertAlign w:val="superscript"/>
        </w:rPr>
        <w:t>) </w:t>
      </w:r>
      <w:hyperlink r:id="rId4" w:anchor="timeline-for-renewable-energy-in-the-eu" w:history="1">
        <w:r w:rsidR="003B171A" w:rsidRPr="00B279FD">
          <w:rPr>
            <w:rStyle w:val="Hipercze"/>
            <w:rFonts w:ascii="Times New Roman" w:hAnsi="Times New Roman"/>
            <w:sz w:val="20"/>
            <w:szCs w:val="20"/>
          </w:rPr>
          <w:t>https://energy.ec.europa.eu/topics/renewable-energy/renewable-energy-directive-targets-and-rules/renewable-energy-directive_en#timeline-for-renewable-energy-in-the-eu</w:t>
        </w:r>
      </w:hyperlink>
    </w:p>
    <w:p w14:paraId="202ACA01" w14:textId="77777777" w:rsidR="00F661AD" w:rsidRPr="00B7695A" w:rsidRDefault="00F661AD" w:rsidP="0044484A">
      <w:pPr>
        <w:pStyle w:val="Tekstprzypisudolnego"/>
        <w:spacing w:line="240" w:lineRule="auto"/>
        <w:jc w:val="both"/>
        <w:rPr>
          <w:rFonts w:ascii="Times New Roman" w:hAnsi="Times New Roman"/>
          <w:sz w:val="22"/>
          <w:szCs w:val="22"/>
        </w:rPr>
      </w:pPr>
    </w:p>
  </w:footnote>
  <w:footnote w:id="10">
    <w:p w14:paraId="1AF10564" w14:textId="2C1664B0" w:rsidR="001A3CD7" w:rsidRDefault="001A3CD7" w:rsidP="00B279FD">
      <w:pPr>
        <w:pStyle w:val="ODNONIKSPECtreodnonikadoodnonika"/>
        <w:jc w:val="both"/>
      </w:pPr>
      <w:r>
        <w:rPr>
          <w:rStyle w:val="Odwoanieprzypisudolnego"/>
        </w:rPr>
        <w:footnoteRef/>
      </w:r>
      <w:r w:rsidR="00112CB2">
        <w:rPr>
          <w:vertAlign w:val="superscript"/>
        </w:rPr>
        <w:t>)</w:t>
      </w:r>
      <w:r w:rsidRPr="007877F0">
        <w:t xml:space="preserve"> Zgodnie z przyjętą w dniu 27 października 2022 r. nowelizacją dla roku 2023</w:t>
      </w:r>
      <w:r w:rsidR="00837D94">
        <w:t xml:space="preserve"> </w:t>
      </w:r>
      <w:hyperlink r:id="rId5" w:history="1">
        <w:r w:rsidR="00837D94" w:rsidRPr="00B279FD">
          <w:rPr>
            <w:rStyle w:val="Hipercze"/>
          </w:rPr>
          <w:t>http://orka.sejm.gov.pl/proc9.nsf/ustawy/2541_u.htm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69EE" w14:textId="77777777" w:rsidR="001A3CD7" w:rsidRDefault="001A3CD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D3C"/>
    <w:multiLevelType w:val="hybridMultilevel"/>
    <w:tmpl w:val="732E1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96064"/>
    <w:multiLevelType w:val="multilevel"/>
    <w:tmpl w:val="ABE02B24"/>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965101"/>
    <w:multiLevelType w:val="multilevel"/>
    <w:tmpl w:val="C17AE18C"/>
    <w:lvl w:ilvl="0">
      <w:start w:val="1"/>
      <w:numFmt w:val="decimal"/>
      <w:lvlText w:val="%1)"/>
      <w:lvlJc w:val="left"/>
      <w:rPr>
        <w:rFonts w:ascii="Times New Roman" w:hAnsi="Times New Roman"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hint="default"/>
        <w:b w:val="0"/>
        <w:i w:val="0"/>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82E432D"/>
    <w:multiLevelType w:val="hybridMultilevel"/>
    <w:tmpl w:val="9A7E70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867C69"/>
    <w:multiLevelType w:val="hybridMultilevel"/>
    <w:tmpl w:val="13783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C50866"/>
    <w:multiLevelType w:val="hybridMultilevel"/>
    <w:tmpl w:val="D9866AB2"/>
    <w:lvl w:ilvl="0" w:tplc="87309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A23907"/>
    <w:multiLevelType w:val="hybridMultilevel"/>
    <w:tmpl w:val="2780CD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3225B1"/>
    <w:multiLevelType w:val="hybridMultilevel"/>
    <w:tmpl w:val="2B98EABC"/>
    <w:lvl w:ilvl="0" w:tplc="D7A22462">
      <w:start w:val="1"/>
      <w:numFmt w:val="lowerLetter"/>
      <w:lvlText w:val="%1)"/>
      <w:lvlJc w:val="left"/>
      <w:pPr>
        <w:ind w:left="720" w:hanging="360"/>
      </w:pPr>
      <w:rPr>
        <w:rFonts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E247C"/>
    <w:multiLevelType w:val="multilevel"/>
    <w:tmpl w:val="BD70F39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hint="default"/>
        <w:b w:val="0"/>
        <w:i w:val="0"/>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3AE229E8"/>
    <w:multiLevelType w:val="multilevel"/>
    <w:tmpl w:val="ABE02B24"/>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CA41DF0"/>
    <w:multiLevelType w:val="multilevel"/>
    <w:tmpl w:val="4C58566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4BFA05F3"/>
    <w:multiLevelType w:val="hybridMultilevel"/>
    <w:tmpl w:val="B88E9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313352"/>
    <w:multiLevelType w:val="hybridMultilevel"/>
    <w:tmpl w:val="D032832A"/>
    <w:lvl w:ilvl="0" w:tplc="46B62072">
      <w:start w:val="1"/>
      <w:numFmt w:val="decimal"/>
      <w:lvlText w:val="%1)"/>
      <w:lvlJc w:val="left"/>
      <w:pPr>
        <w:ind w:left="720" w:hanging="360"/>
      </w:pPr>
      <w:rPr>
        <w:rFonts w:ascii="Times New Roman" w:hAnsi="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E721B0"/>
    <w:multiLevelType w:val="hybridMultilevel"/>
    <w:tmpl w:val="68A61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A71BE5"/>
    <w:multiLevelType w:val="hybridMultilevel"/>
    <w:tmpl w:val="56B85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2A497C"/>
    <w:multiLevelType w:val="hybridMultilevel"/>
    <w:tmpl w:val="A532F9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DD0F6B"/>
    <w:multiLevelType w:val="hybridMultilevel"/>
    <w:tmpl w:val="7DAEFC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F53D1E"/>
    <w:multiLevelType w:val="hybridMultilevel"/>
    <w:tmpl w:val="2326DB56"/>
    <w:lvl w:ilvl="0" w:tplc="EF9CE18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AA5F0D"/>
    <w:multiLevelType w:val="hybridMultilevel"/>
    <w:tmpl w:val="EDB285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18079D2"/>
    <w:multiLevelType w:val="hybridMultilevel"/>
    <w:tmpl w:val="6DC238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5505"/>
    <w:multiLevelType w:val="multilevel"/>
    <w:tmpl w:val="F4F4D3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799E0026"/>
    <w:multiLevelType w:val="hybridMultilevel"/>
    <w:tmpl w:val="DDB62004"/>
    <w:lvl w:ilvl="0" w:tplc="0CC42870">
      <w:start w:val="1"/>
      <w:numFmt w:val="lowerLetter"/>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2413CA"/>
    <w:multiLevelType w:val="hybridMultilevel"/>
    <w:tmpl w:val="E59AED52"/>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A317DC9"/>
    <w:multiLevelType w:val="hybridMultilevel"/>
    <w:tmpl w:val="9A7E7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F65F7C"/>
    <w:multiLevelType w:val="hybridMultilevel"/>
    <w:tmpl w:val="CACEF44C"/>
    <w:lvl w:ilvl="0" w:tplc="B524A7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1004060">
    <w:abstractNumId w:val="8"/>
  </w:num>
  <w:num w:numId="2" w16cid:durableId="47843627">
    <w:abstractNumId w:val="10"/>
  </w:num>
  <w:num w:numId="3" w16cid:durableId="1236357175">
    <w:abstractNumId w:val="20"/>
  </w:num>
  <w:num w:numId="4" w16cid:durableId="1459489797">
    <w:abstractNumId w:val="11"/>
  </w:num>
  <w:num w:numId="5" w16cid:durableId="1953973467">
    <w:abstractNumId w:val="5"/>
  </w:num>
  <w:num w:numId="6" w16cid:durableId="1754666721">
    <w:abstractNumId w:val="6"/>
  </w:num>
  <w:num w:numId="7" w16cid:durableId="448011863">
    <w:abstractNumId w:val="17"/>
  </w:num>
  <w:num w:numId="8" w16cid:durableId="775490074">
    <w:abstractNumId w:val="12"/>
  </w:num>
  <w:num w:numId="9" w16cid:durableId="1639528750">
    <w:abstractNumId w:val="16"/>
  </w:num>
  <w:num w:numId="10" w16cid:durableId="1498426942">
    <w:abstractNumId w:val="19"/>
  </w:num>
  <w:num w:numId="11" w16cid:durableId="1983344201">
    <w:abstractNumId w:val="15"/>
  </w:num>
  <w:num w:numId="12" w16cid:durableId="1218009463">
    <w:abstractNumId w:val="7"/>
  </w:num>
  <w:num w:numId="13" w16cid:durableId="1966231020">
    <w:abstractNumId w:val="1"/>
  </w:num>
  <w:num w:numId="14" w16cid:durableId="535579546">
    <w:abstractNumId w:val="9"/>
  </w:num>
  <w:num w:numId="15" w16cid:durableId="2009823821">
    <w:abstractNumId w:val="4"/>
  </w:num>
  <w:num w:numId="16" w16cid:durableId="1225794655">
    <w:abstractNumId w:val="2"/>
  </w:num>
  <w:num w:numId="17" w16cid:durableId="1072461188">
    <w:abstractNumId w:val="14"/>
  </w:num>
  <w:num w:numId="18" w16cid:durableId="655645541">
    <w:abstractNumId w:val="0"/>
  </w:num>
  <w:num w:numId="19" w16cid:durableId="250897696">
    <w:abstractNumId w:val="24"/>
  </w:num>
  <w:num w:numId="20" w16cid:durableId="1685743402">
    <w:abstractNumId w:val="21"/>
  </w:num>
  <w:num w:numId="21" w16cid:durableId="876160449">
    <w:abstractNumId w:val="23"/>
  </w:num>
  <w:num w:numId="22" w16cid:durableId="545412401">
    <w:abstractNumId w:val="3"/>
  </w:num>
  <w:num w:numId="23" w16cid:durableId="1608737717">
    <w:abstractNumId w:val="18"/>
  </w:num>
  <w:num w:numId="24" w16cid:durableId="1450930232">
    <w:abstractNumId w:val="22"/>
  </w:num>
  <w:num w:numId="25" w16cid:durableId="10196275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7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F6"/>
    <w:rsid w:val="00000676"/>
    <w:rsid w:val="000007FE"/>
    <w:rsid w:val="000008C1"/>
    <w:rsid w:val="00000B79"/>
    <w:rsid w:val="00000EE6"/>
    <w:rsid w:val="00001199"/>
    <w:rsid w:val="000017DD"/>
    <w:rsid w:val="00002364"/>
    <w:rsid w:val="00002D52"/>
    <w:rsid w:val="00003981"/>
    <w:rsid w:val="00003BCF"/>
    <w:rsid w:val="000048B6"/>
    <w:rsid w:val="00004CFB"/>
    <w:rsid w:val="00005589"/>
    <w:rsid w:val="00006876"/>
    <w:rsid w:val="00006A24"/>
    <w:rsid w:val="0000747F"/>
    <w:rsid w:val="00007658"/>
    <w:rsid w:val="00007A99"/>
    <w:rsid w:val="00007CE2"/>
    <w:rsid w:val="00007EBA"/>
    <w:rsid w:val="000109DD"/>
    <w:rsid w:val="00010C5C"/>
    <w:rsid w:val="0001154B"/>
    <w:rsid w:val="00011627"/>
    <w:rsid w:val="000116F6"/>
    <w:rsid w:val="000121C8"/>
    <w:rsid w:val="000122C3"/>
    <w:rsid w:val="000145BE"/>
    <w:rsid w:val="00014C15"/>
    <w:rsid w:val="00015A67"/>
    <w:rsid w:val="00015B23"/>
    <w:rsid w:val="0001602A"/>
    <w:rsid w:val="00016291"/>
    <w:rsid w:val="00017214"/>
    <w:rsid w:val="00021176"/>
    <w:rsid w:val="00022793"/>
    <w:rsid w:val="0002284A"/>
    <w:rsid w:val="00022942"/>
    <w:rsid w:val="00023BEE"/>
    <w:rsid w:val="00023C2A"/>
    <w:rsid w:val="00023F9B"/>
    <w:rsid w:val="00024AE5"/>
    <w:rsid w:val="00024BDE"/>
    <w:rsid w:val="000253B1"/>
    <w:rsid w:val="000274E1"/>
    <w:rsid w:val="000276C7"/>
    <w:rsid w:val="0003028E"/>
    <w:rsid w:val="00030596"/>
    <w:rsid w:val="000308C2"/>
    <w:rsid w:val="00031323"/>
    <w:rsid w:val="0003139E"/>
    <w:rsid w:val="00031450"/>
    <w:rsid w:val="00032EED"/>
    <w:rsid w:val="0003317B"/>
    <w:rsid w:val="000340B8"/>
    <w:rsid w:val="00035A7B"/>
    <w:rsid w:val="0003636A"/>
    <w:rsid w:val="0003715E"/>
    <w:rsid w:val="000373D3"/>
    <w:rsid w:val="000375BF"/>
    <w:rsid w:val="000377D2"/>
    <w:rsid w:val="000405AB"/>
    <w:rsid w:val="0004131D"/>
    <w:rsid w:val="00042C09"/>
    <w:rsid w:val="00043261"/>
    <w:rsid w:val="00043E8D"/>
    <w:rsid w:val="00044173"/>
    <w:rsid w:val="000441AC"/>
    <w:rsid w:val="000442B2"/>
    <w:rsid w:val="000448DF"/>
    <w:rsid w:val="00045286"/>
    <w:rsid w:val="00045BD3"/>
    <w:rsid w:val="00045F91"/>
    <w:rsid w:val="00046A02"/>
    <w:rsid w:val="00047162"/>
    <w:rsid w:val="0004717F"/>
    <w:rsid w:val="000474DD"/>
    <w:rsid w:val="00047678"/>
    <w:rsid w:val="0005034F"/>
    <w:rsid w:val="0005099E"/>
    <w:rsid w:val="00050B51"/>
    <w:rsid w:val="0005143C"/>
    <w:rsid w:val="00051C52"/>
    <w:rsid w:val="00051E02"/>
    <w:rsid w:val="00052565"/>
    <w:rsid w:val="00052729"/>
    <w:rsid w:val="0005345B"/>
    <w:rsid w:val="0005521E"/>
    <w:rsid w:val="00055746"/>
    <w:rsid w:val="00056407"/>
    <w:rsid w:val="00057476"/>
    <w:rsid w:val="00057D04"/>
    <w:rsid w:val="000601F3"/>
    <w:rsid w:val="000611E2"/>
    <w:rsid w:val="00061ECE"/>
    <w:rsid w:val="0006273A"/>
    <w:rsid w:val="00063D7B"/>
    <w:rsid w:val="00064052"/>
    <w:rsid w:val="00065139"/>
    <w:rsid w:val="00065236"/>
    <w:rsid w:val="00065370"/>
    <w:rsid w:val="00065A66"/>
    <w:rsid w:val="000663B9"/>
    <w:rsid w:val="000664AB"/>
    <w:rsid w:val="000666DD"/>
    <w:rsid w:val="000668FC"/>
    <w:rsid w:val="00066CF5"/>
    <w:rsid w:val="00066EB6"/>
    <w:rsid w:val="00066F49"/>
    <w:rsid w:val="00067A17"/>
    <w:rsid w:val="00067BC4"/>
    <w:rsid w:val="00070112"/>
    <w:rsid w:val="00070296"/>
    <w:rsid w:val="00070622"/>
    <w:rsid w:val="000709AD"/>
    <w:rsid w:val="00070A4B"/>
    <w:rsid w:val="0007146D"/>
    <w:rsid w:val="00071562"/>
    <w:rsid w:val="00071CE1"/>
    <w:rsid w:val="00072287"/>
    <w:rsid w:val="000722B6"/>
    <w:rsid w:val="000725C1"/>
    <w:rsid w:val="0007272A"/>
    <w:rsid w:val="000733C0"/>
    <w:rsid w:val="00073CC2"/>
    <w:rsid w:val="000743DA"/>
    <w:rsid w:val="00074719"/>
    <w:rsid w:val="00075105"/>
    <w:rsid w:val="00075624"/>
    <w:rsid w:val="00076240"/>
    <w:rsid w:val="00076304"/>
    <w:rsid w:val="00076F86"/>
    <w:rsid w:val="00077B82"/>
    <w:rsid w:val="000800BA"/>
    <w:rsid w:val="00082B81"/>
    <w:rsid w:val="00083692"/>
    <w:rsid w:val="00083B5B"/>
    <w:rsid w:val="00084681"/>
    <w:rsid w:val="000847D2"/>
    <w:rsid w:val="000853F6"/>
    <w:rsid w:val="000854A4"/>
    <w:rsid w:val="0008736D"/>
    <w:rsid w:val="0008738B"/>
    <w:rsid w:val="00087FA9"/>
    <w:rsid w:val="00091B50"/>
    <w:rsid w:val="00092567"/>
    <w:rsid w:val="0009335D"/>
    <w:rsid w:val="0009386F"/>
    <w:rsid w:val="00093A1E"/>
    <w:rsid w:val="0009453C"/>
    <w:rsid w:val="00095031"/>
    <w:rsid w:val="0009515F"/>
    <w:rsid w:val="00095FC6"/>
    <w:rsid w:val="00096D86"/>
    <w:rsid w:val="00097136"/>
    <w:rsid w:val="00097B1C"/>
    <w:rsid w:val="000A1944"/>
    <w:rsid w:val="000A19CC"/>
    <w:rsid w:val="000A1B2D"/>
    <w:rsid w:val="000A20B1"/>
    <w:rsid w:val="000A22AD"/>
    <w:rsid w:val="000A24B0"/>
    <w:rsid w:val="000A2698"/>
    <w:rsid w:val="000A29FA"/>
    <w:rsid w:val="000A3361"/>
    <w:rsid w:val="000A336A"/>
    <w:rsid w:val="000A339B"/>
    <w:rsid w:val="000A35E9"/>
    <w:rsid w:val="000A368B"/>
    <w:rsid w:val="000A4331"/>
    <w:rsid w:val="000A4F3C"/>
    <w:rsid w:val="000A5626"/>
    <w:rsid w:val="000A6D46"/>
    <w:rsid w:val="000A7C6C"/>
    <w:rsid w:val="000A7C82"/>
    <w:rsid w:val="000B0027"/>
    <w:rsid w:val="000B00CF"/>
    <w:rsid w:val="000B084D"/>
    <w:rsid w:val="000B0E07"/>
    <w:rsid w:val="000B0F31"/>
    <w:rsid w:val="000B10CD"/>
    <w:rsid w:val="000B11D8"/>
    <w:rsid w:val="000B1308"/>
    <w:rsid w:val="000B161A"/>
    <w:rsid w:val="000B1C89"/>
    <w:rsid w:val="000B2971"/>
    <w:rsid w:val="000B2C81"/>
    <w:rsid w:val="000B3354"/>
    <w:rsid w:val="000B3531"/>
    <w:rsid w:val="000B376C"/>
    <w:rsid w:val="000B37F0"/>
    <w:rsid w:val="000B3B57"/>
    <w:rsid w:val="000B3EF6"/>
    <w:rsid w:val="000B4312"/>
    <w:rsid w:val="000B450E"/>
    <w:rsid w:val="000B49BC"/>
    <w:rsid w:val="000B5CC0"/>
    <w:rsid w:val="000B5FB1"/>
    <w:rsid w:val="000C039F"/>
    <w:rsid w:val="000C0E39"/>
    <w:rsid w:val="000C1005"/>
    <w:rsid w:val="000C1502"/>
    <w:rsid w:val="000C1591"/>
    <w:rsid w:val="000C1653"/>
    <w:rsid w:val="000C2555"/>
    <w:rsid w:val="000C257B"/>
    <w:rsid w:val="000C272C"/>
    <w:rsid w:val="000C2CB4"/>
    <w:rsid w:val="000C3937"/>
    <w:rsid w:val="000C3961"/>
    <w:rsid w:val="000C3E10"/>
    <w:rsid w:val="000C439F"/>
    <w:rsid w:val="000C4421"/>
    <w:rsid w:val="000C4D4B"/>
    <w:rsid w:val="000C5484"/>
    <w:rsid w:val="000C5E30"/>
    <w:rsid w:val="000C5FDA"/>
    <w:rsid w:val="000C678C"/>
    <w:rsid w:val="000C6BAC"/>
    <w:rsid w:val="000C6E5A"/>
    <w:rsid w:val="000C7B7B"/>
    <w:rsid w:val="000D0AD0"/>
    <w:rsid w:val="000D0D90"/>
    <w:rsid w:val="000D17C1"/>
    <w:rsid w:val="000D34CE"/>
    <w:rsid w:val="000D4622"/>
    <w:rsid w:val="000D5A7E"/>
    <w:rsid w:val="000D5B63"/>
    <w:rsid w:val="000D6931"/>
    <w:rsid w:val="000D6E8D"/>
    <w:rsid w:val="000D73F5"/>
    <w:rsid w:val="000D7C74"/>
    <w:rsid w:val="000E0B12"/>
    <w:rsid w:val="000E0C93"/>
    <w:rsid w:val="000E0DEE"/>
    <w:rsid w:val="000E12D9"/>
    <w:rsid w:val="000E1ED7"/>
    <w:rsid w:val="000E2907"/>
    <w:rsid w:val="000E2BE0"/>
    <w:rsid w:val="000E509A"/>
    <w:rsid w:val="000E6541"/>
    <w:rsid w:val="000E6986"/>
    <w:rsid w:val="000E6E45"/>
    <w:rsid w:val="000E7173"/>
    <w:rsid w:val="000E7331"/>
    <w:rsid w:val="000E79F1"/>
    <w:rsid w:val="000E7AB1"/>
    <w:rsid w:val="000F07EC"/>
    <w:rsid w:val="000F09A9"/>
    <w:rsid w:val="000F2867"/>
    <w:rsid w:val="000F364A"/>
    <w:rsid w:val="000F4A03"/>
    <w:rsid w:val="000F59C2"/>
    <w:rsid w:val="000F6538"/>
    <w:rsid w:val="000F6E9E"/>
    <w:rsid w:val="000F7BA5"/>
    <w:rsid w:val="001006A6"/>
    <w:rsid w:val="00100743"/>
    <w:rsid w:val="00100DBA"/>
    <w:rsid w:val="00101419"/>
    <w:rsid w:val="00101895"/>
    <w:rsid w:val="00101F2E"/>
    <w:rsid w:val="0010222E"/>
    <w:rsid w:val="00103F90"/>
    <w:rsid w:val="0010423F"/>
    <w:rsid w:val="001043A4"/>
    <w:rsid w:val="001045F0"/>
    <w:rsid w:val="00104BD2"/>
    <w:rsid w:val="00104EC6"/>
    <w:rsid w:val="00106734"/>
    <w:rsid w:val="00106A50"/>
    <w:rsid w:val="00107544"/>
    <w:rsid w:val="0011023E"/>
    <w:rsid w:val="001103BA"/>
    <w:rsid w:val="001104F6"/>
    <w:rsid w:val="00110889"/>
    <w:rsid w:val="00110A7C"/>
    <w:rsid w:val="00110E7B"/>
    <w:rsid w:val="00112AFB"/>
    <w:rsid w:val="00112CB2"/>
    <w:rsid w:val="00113DDF"/>
    <w:rsid w:val="00114122"/>
    <w:rsid w:val="0011451C"/>
    <w:rsid w:val="0011478D"/>
    <w:rsid w:val="001147AB"/>
    <w:rsid w:val="00114CEB"/>
    <w:rsid w:val="00114E91"/>
    <w:rsid w:val="00115190"/>
    <w:rsid w:val="00115DD6"/>
    <w:rsid w:val="00116013"/>
    <w:rsid w:val="001165C4"/>
    <w:rsid w:val="0011684C"/>
    <w:rsid w:val="00117ED4"/>
    <w:rsid w:val="00120526"/>
    <w:rsid w:val="0012061E"/>
    <w:rsid w:val="00120CC5"/>
    <w:rsid w:val="00121547"/>
    <w:rsid w:val="00122560"/>
    <w:rsid w:val="001225B8"/>
    <w:rsid w:val="0012305B"/>
    <w:rsid w:val="00123708"/>
    <w:rsid w:val="001238B5"/>
    <w:rsid w:val="00123BD3"/>
    <w:rsid w:val="001241E9"/>
    <w:rsid w:val="00124909"/>
    <w:rsid w:val="001253B1"/>
    <w:rsid w:val="001258FA"/>
    <w:rsid w:val="00127158"/>
    <w:rsid w:val="00130E0B"/>
    <w:rsid w:val="00131D33"/>
    <w:rsid w:val="001321E4"/>
    <w:rsid w:val="00132577"/>
    <w:rsid w:val="001325C3"/>
    <w:rsid w:val="0013295B"/>
    <w:rsid w:val="00132A3F"/>
    <w:rsid w:val="0013308A"/>
    <w:rsid w:val="00133874"/>
    <w:rsid w:val="00133F01"/>
    <w:rsid w:val="00133F6C"/>
    <w:rsid w:val="00134501"/>
    <w:rsid w:val="00135F38"/>
    <w:rsid w:val="00136E01"/>
    <w:rsid w:val="00136F48"/>
    <w:rsid w:val="001372B7"/>
    <w:rsid w:val="00137E93"/>
    <w:rsid w:val="00140C63"/>
    <w:rsid w:val="001413E8"/>
    <w:rsid w:val="00142883"/>
    <w:rsid w:val="00142EA1"/>
    <w:rsid w:val="0014504E"/>
    <w:rsid w:val="001451AD"/>
    <w:rsid w:val="001457EE"/>
    <w:rsid w:val="00147AA3"/>
    <w:rsid w:val="00150A73"/>
    <w:rsid w:val="001511C3"/>
    <w:rsid w:val="001518CE"/>
    <w:rsid w:val="00151983"/>
    <w:rsid w:val="001519C9"/>
    <w:rsid w:val="00151C08"/>
    <w:rsid w:val="00152361"/>
    <w:rsid w:val="0015257D"/>
    <w:rsid w:val="00152797"/>
    <w:rsid w:val="00152DE7"/>
    <w:rsid w:val="0015328E"/>
    <w:rsid w:val="00153E08"/>
    <w:rsid w:val="001544A7"/>
    <w:rsid w:val="00154BD2"/>
    <w:rsid w:val="00154D26"/>
    <w:rsid w:val="00154E08"/>
    <w:rsid w:val="001560B5"/>
    <w:rsid w:val="00156584"/>
    <w:rsid w:val="001567D0"/>
    <w:rsid w:val="0015687B"/>
    <w:rsid w:val="001570CC"/>
    <w:rsid w:val="00160048"/>
    <w:rsid w:val="00160E1C"/>
    <w:rsid w:val="0016149E"/>
    <w:rsid w:val="001615AA"/>
    <w:rsid w:val="001615BB"/>
    <w:rsid w:val="0016251F"/>
    <w:rsid w:val="0016253D"/>
    <w:rsid w:val="00162A37"/>
    <w:rsid w:val="0016369A"/>
    <w:rsid w:val="00163A93"/>
    <w:rsid w:val="00164025"/>
    <w:rsid w:val="0016450C"/>
    <w:rsid w:val="00164A77"/>
    <w:rsid w:val="00164B65"/>
    <w:rsid w:val="00164BA0"/>
    <w:rsid w:val="00164C52"/>
    <w:rsid w:val="00164DAE"/>
    <w:rsid w:val="00165C39"/>
    <w:rsid w:val="00165F40"/>
    <w:rsid w:val="00166888"/>
    <w:rsid w:val="00167715"/>
    <w:rsid w:val="0017069D"/>
    <w:rsid w:val="00171531"/>
    <w:rsid w:val="0017201A"/>
    <w:rsid w:val="00172BC4"/>
    <w:rsid w:val="00173118"/>
    <w:rsid w:val="00173AC4"/>
    <w:rsid w:val="00174566"/>
    <w:rsid w:val="00174B23"/>
    <w:rsid w:val="00174B83"/>
    <w:rsid w:val="00174CEA"/>
    <w:rsid w:val="001763B9"/>
    <w:rsid w:val="001765EE"/>
    <w:rsid w:val="001770F8"/>
    <w:rsid w:val="00177146"/>
    <w:rsid w:val="00177B34"/>
    <w:rsid w:val="0018146A"/>
    <w:rsid w:val="001823BB"/>
    <w:rsid w:val="00182AFC"/>
    <w:rsid w:val="00182B77"/>
    <w:rsid w:val="00183D1B"/>
    <w:rsid w:val="001852FB"/>
    <w:rsid w:val="00185D28"/>
    <w:rsid w:val="00186995"/>
    <w:rsid w:val="0018717B"/>
    <w:rsid w:val="00187624"/>
    <w:rsid w:val="0019055F"/>
    <w:rsid w:val="00190CC5"/>
    <w:rsid w:val="00191BF5"/>
    <w:rsid w:val="00192027"/>
    <w:rsid w:val="00192BFE"/>
    <w:rsid w:val="0019306C"/>
    <w:rsid w:val="0019415C"/>
    <w:rsid w:val="00194A84"/>
    <w:rsid w:val="00194E74"/>
    <w:rsid w:val="0019562F"/>
    <w:rsid w:val="0019571A"/>
    <w:rsid w:val="001960AE"/>
    <w:rsid w:val="00196597"/>
    <w:rsid w:val="0019702F"/>
    <w:rsid w:val="00197ABD"/>
    <w:rsid w:val="00197CB7"/>
    <w:rsid w:val="001A13D6"/>
    <w:rsid w:val="001A1C89"/>
    <w:rsid w:val="001A23D2"/>
    <w:rsid w:val="001A35A0"/>
    <w:rsid w:val="001A37C3"/>
    <w:rsid w:val="001A3B7A"/>
    <w:rsid w:val="001A3CD7"/>
    <w:rsid w:val="001A3E2C"/>
    <w:rsid w:val="001A44BD"/>
    <w:rsid w:val="001A476D"/>
    <w:rsid w:val="001A5147"/>
    <w:rsid w:val="001A6C39"/>
    <w:rsid w:val="001A6DE7"/>
    <w:rsid w:val="001A6EF9"/>
    <w:rsid w:val="001A72D0"/>
    <w:rsid w:val="001B008B"/>
    <w:rsid w:val="001B07D3"/>
    <w:rsid w:val="001B12C5"/>
    <w:rsid w:val="001B2553"/>
    <w:rsid w:val="001B2C52"/>
    <w:rsid w:val="001B2D19"/>
    <w:rsid w:val="001B472E"/>
    <w:rsid w:val="001B57D5"/>
    <w:rsid w:val="001B6928"/>
    <w:rsid w:val="001B7846"/>
    <w:rsid w:val="001C0D33"/>
    <w:rsid w:val="001C1958"/>
    <w:rsid w:val="001C1B2D"/>
    <w:rsid w:val="001C1EC7"/>
    <w:rsid w:val="001C1F72"/>
    <w:rsid w:val="001C25C8"/>
    <w:rsid w:val="001C34F9"/>
    <w:rsid w:val="001C4176"/>
    <w:rsid w:val="001C45CA"/>
    <w:rsid w:val="001C49DF"/>
    <w:rsid w:val="001C4BF0"/>
    <w:rsid w:val="001C4F63"/>
    <w:rsid w:val="001C517F"/>
    <w:rsid w:val="001C5E6C"/>
    <w:rsid w:val="001C5E9B"/>
    <w:rsid w:val="001C625A"/>
    <w:rsid w:val="001C733B"/>
    <w:rsid w:val="001C77FE"/>
    <w:rsid w:val="001D1535"/>
    <w:rsid w:val="001D2E01"/>
    <w:rsid w:val="001D3335"/>
    <w:rsid w:val="001D3DC0"/>
    <w:rsid w:val="001D3F1E"/>
    <w:rsid w:val="001D3FD2"/>
    <w:rsid w:val="001D4665"/>
    <w:rsid w:val="001D49F7"/>
    <w:rsid w:val="001D4E29"/>
    <w:rsid w:val="001D4EA6"/>
    <w:rsid w:val="001D5AB2"/>
    <w:rsid w:val="001D5FEA"/>
    <w:rsid w:val="001D6951"/>
    <w:rsid w:val="001D7427"/>
    <w:rsid w:val="001D750C"/>
    <w:rsid w:val="001D75FA"/>
    <w:rsid w:val="001D771F"/>
    <w:rsid w:val="001D7837"/>
    <w:rsid w:val="001E15B7"/>
    <w:rsid w:val="001E1976"/>
    <w:rsid w:val="001E1ACB"/>
    <w:rsid w:val="001E1B9C"/>
    <w:rsid w:val="001E205D"/>
    <w:rsid w:val="001E2977"/>
    <w:rsid w:val="001E3072"/>
    <w:rsid w:val="001E335A"/>
    <w:rsid w:val="001E387B"/>
    <w:rsid w:val="001E3EF1"/>
    <w:rsid w:val="001E3F2B"/>
    <w:rsid w:val="001E49F2"/>
    <w:rsid w:val="001E4B9C"/>
    <w:rsid w:val="001E4C67"/>
    <w:rsid w:val="001E588A"/>
    <w:rsid w:val="001E5E91"/>
    <w:rsid w:val="001E65B2"/>
    <w:rsid w:val="001E6D35"/>
    <w:rsid w:val="001E738B"/>
    <w:rsid w:val="001E75A3"/>
    <w:rsid w:val="001E75CB"/>
    <w:rsid w:val="001E7F5B"/>
    <w:rsid w:val="001F02F7"/>
    <w:rsid w:val="001F094C"/>
    <w:rsid w:val="001F0ADB"/>
    <w:rsid w:val="001F1095"/>
    <w:rsid w:val="001F1245"/>
    <w:rsid w:val="001F1358"/>
    <w:rsid w:val="001F20B1"/>
    <w:rsid w:val="001F3812"/>
    <w:rsid w:val="001F4368"/>
    <w:rsid w:val="001F44A6"/>
    <w:rsid w:val="001F4707"/>
    <w:rsid w:val="001F57CA"/>
    <w:rsid w:val="001F5F9F"/>
    <w:rsid w:val="001F6283"/>
    <w:rsid w:val="001F71CC"/>
    <w:rsid w:val="001F7B95"/>
    <w:rsid w:val="00200355"/>
    <w:rsid w:val="00200797"/>
    <w:rsid w:val="00200E5E"/>
    <w:rsid w:val="002016D3"/>
    <w:rsid w:val="00201E8E"/>
    <w:rsid w:val="002031FD"/>
    <w:rsid w:val="002037A8"/>
    <w:rsid w:val="002038DF"/>
    <w:rsid w:val="00203B00"/>
    <w:rsid w:val="00204CC9"/>
    <w:rsid w:val="00205CD5"/>
    <w:rsid w:val="0020754E"/>
    <w:rsid w:val="002103DF"/>
    <w:rsid w:val="0021049D"/>
    <w:rsid w:val="00210525"/>
    <w:rsid w:val="002105D3"/>
    <w:rsid w:val="00211B5A"/>
    <w:rsid w:val="00211E87"/>
    <w:rsid w:val="002128CB"/>
    <w:rsid w:val="00212F79"/>
    <w:rsid w:val="00213233"/>
    <w:rsid w:val="0021324B"/>
    <w:rsid w:val="002137D3"/>
    <w:rsid w:val="00213D77"/>
    <w:rsid w:val="00213FB2"/>
    <w:rsid w:val="0021401A"/>
    <w:rsid w:val="0021455E"/>
    <w:rsid w:val="00214B9B"/>
    <w:rsid w:val="0021514D"/>
    <w:rsid w:val="00215BC5"/>
    <w:rsid w:val="00215DF3"/>
    <w:rsid w:val="002161FD"/>
    <w:rsid w:val="002167E1"/>
    <w:rsid w:val="00216F68"/>
    <w:rsid w:val="0022050D"/>
    <w:rsid w:val="00220AAB"/>
    <w:rsid w:val="002213D5"/>
    <w:rsid w:val="00221407"/>
    <w:rsid w:val="002219DE"/>
    <w:rsid w:val="002222B5"/>
    <w:rsid w:val="002222DE"/>
    <w:rsid w:val="002238B3"/>
    <w:rsid w:val="00223FFE"/>
    <w:rsid w:val="002245A9"/>
    <w:rsid w:val="00224736"/>
    <w:rsid w:val="00224A85"/>
    <w:rsid w:val="00225AD8"/>
    <w:rsid w:val="00226D00"/>
    <w:rsid w:val="002271E9"/>
    <w:rsid w:val="00227B5B"/>
    <w:rsid w:val="0023015B"/>
    <w:rsid w:val="0023172F"/>
    <w:rsid w:val="002327C8"/>
    <w:rsid w:val="002329CF"/>
    <w:rsid w:val="00233542"/>
    <w:rsid w:val="002344A3"/>
    <w:rsid w:val="0023499F"/>
    <w:rsid w:val="00234BF7"/>
    <w:rsid w:val="00234F1C"/>
    <w:rsid w:val="002359C9"/>
    <w:rsid w:val="00236767"/>
    <w:rsid w:val="00236A2E"/>
    <w:rsid w:val="00237BA8"/>
    <w:rsid w:val="00237CE4"/>
    <w:rsid w:val="00237EA4"/>
    <w:rsid w:val="002402F7"/>
    <w:rsid w:val="00240AA8"/>
    <w:rsid w:val="00240AB1"/>
    <w:rsid w:val="00240AEB"/>
    <w:rsid w:val="00241160"/>
    <w:rsid w:val="002412E5"/>
    <w:rsid w:val="00243448"/>
    <w:rsid w:val="002434EE"/>
    <w:rsid w:val="002442D7"/>
    <w:rsid w:val="00245252"/>
    <w:rsid w:val="002509C8"/>
    <w:rsid w:val="00250B2B"/>
    <w:rsid w:val="00250BF6"/>
    <w:rsid w:val="00250EF6"/>
    <w:rsid w:val="002518EC"/>
    <w:rsid w:val="0025194E"/>
    <w:rsid w:val="00253528"/>
    <w:rsid w:val="00253892"/>
    <w:rsid w:val="00254087"/>
    <w:rsid w:val="00254301"/>
    <w:rsid w:val="00255815"/>
    <w:rsid w:val="00255D61"/>
    <w:rsid w:val="00256290"/>
    <w:rsid w:val="00257098"/>
    <w:rsid w:val="002574EB"/>
    <w:rsid w:val="0025762D"/>
    <w:rsid w:val="00257B7B"/>
    <w:rsid w:val="002618C0"/>
    <w:rsid w:val="00261921"/>
    <w:rsid w:val="002621C9"/>
    <w:rsid w:val="002625E0"/>
    <w:rsid w:val="002639E9"/>
    <w:rsid w:val="00264332"/>
    <w:rsid w:val="002645C5"/>
    <w:rsid w:val="002646C4"/>
    <w:rsid w:val="00264A4B"/>
    <w:rsid w:val="00264CC3"/>
    <w:rsid w:val="00264EB3"/>
    <w:rsid w:val="0026607A"/>
    <w:rsid w:val="0026775C"/>
    <w:rsid w:val="00267801"/>
    <w:rsid w:val="00270118"/>
    <w:rsid w:val="0027031B"/>
    <w:rsid w:val="00270733"/>
    <w:rsid w:val="002707ED"/>
    <w:rsid w:val="00270F18"/>
    <w:rsid w:val="00271699"/>
    <w:rsid w:val="002719FD"/>
    <w:rsid w:val="00272508"/>
    <w:rsid w:val="00272CAC"/>
    <w:rsid w:val="002738EA"/>
    <w:rsid w:val="00273F00"/>
    <w:rsid w:val="00275875"/>
    <w:rsid w:val="002758C0"/>
    <w:rsid w:val="00275F34"/>
    <w:rsid w:val="002773A2"/>
    <w:rsid w:val="002775E2"/>
    <w:rsid w:val="0027764F"/>
    <w:rsid w:val="002778D0"/>
    <w:rsid w:val="00277AE4"/>
    <w:rsid w:val="00277EC7"/>
    <w:rsid w:val="002810E0"/>
    <w:rsid w:val="002823A1"/>
    <w:rsid w:val="002824EE"/>
    <w:rsid w:val="00282F05"/>
    <w:rsid w:val="00283788"/>
    <w:rsid w:val="00283FCE"/>
    <w:rsid w:val="0028556A"/>
    <w:rsid w:val="002857B0"/>
    <w:rsid w:val="00285B33"/>
    <w:rsid w:val="00286069"/>
    <w:rsid w:val="0028640A"/>
    <w:rsid w:val="00286C9A"/>
    <w:rsid w:val="00287D90"/>
    <w:rsid w:val="00287FFD"/>
    <w:rsid w:val="002903FB"/>
    <w:rsid w:val="00290D1B"/>
    <w:rsid w:val="0029222B"/>
    <w:rsid w:val="00292389"/>
    <w:rsid w:val="00294306"/>
    <w:rsid w:val="00295EC0"/>
    <w:rsid w:val="00296805"/>
    <w:rsid w:val="00296F2A"/>
    <w:rsid w:val="00297799"/>
    <w:rsid w:val="002A0281"/>
    <w:rsid w:val="002A095D"/>
    <w:rsid w:val="002A0BEB"/>
    <w:rsid w:val="002A0F44"/>
    <w:rsid w:val="002A0FCB"/>
    <w:rsid w:val="002A302A"/>
    <w:rsid w:val="002A35EF"/>
    <w:rsid w:val="002A3AED"/>
    <w:rsid w:val="002A4454"/>
    <w:rsid w:val="002A4BF3"/>
    <w:rsid w:val="002A5210"/>
    <w:rsid w:val="002A56CA"/>
    <w:rsid w:val="002A6023"/>
    <w:rsid w:val="002A6442"/>
    <w:rsid w:val="002A6675"/>
    <w:rsid w:val="002A6CD3"/>
    <w:rsid w:val="002A6CE6"/>
    <w:rsid w:val="002A6DA0"/>
    <w:rsid w:val="002A70CD"/>
    <w:rsid w:val="002A75DC"/>
    <w:rsid w:val="002B04CE"/>
    <w:rsid w:val="002B1263"/>
    <w:rsid w:val="002B1E3F"/>
    <w:rsid w:val="002B2426"/>
    <w:rsid w:val="002B2B16"/>
    <w:rsid w:val="002B3970"/>
    <w:rsid w:val="002B39C9"/>
    <w:rsid w:val="002B3E8A"/>
    <w:rsid w:val="002B4214"/>
    <w:rsid w:val="002B4371"/>
    <w:rsid w:val="002B4427"/>
    <w:rsid w:val="002B54E9"/>
    <w:rsid w:val="002B5509"/>
    <w:rsid w:val="002B59D4"/>
    <w:rsid w:val="002B6157"/>
    <w:rsid w:val="002B6B80"/>
    <w:rsid w:val="002B75BE"/>
    <w:rsid w:val="002B7628"/>
    <w:rsid w:val="002B7A04"/>
    <w:rsid w:val="002B7D72"/>
    <w:rsid w:val="002B7E07"/>
    <w:rsid w:val="002C03D6"/>
    <w:rsid w:val="002C05A2"/>
    <w:rsid w:val="002C07BB"/>
    <w:rsid w:val="002C0910"/>
    <w:rsid w:val="002C0A61"/>
    <w:rsid w:val="002C1094"/>
    <w:rsid w:val="002C14CE"/>
    <w:rsid w:val="002C18B8"/>
    <w:rsid w:val="002C1C93"/>
    <w:rsid w:val="002C1CCC"/>
    <w:rsid w:val="002C2FAE"/>
    <w:rsid w:val="002C4D92"/>
    <w:rsid w:val="002C4DDF"/>
    <w:rsid w:val="002C5680"/>
    <w:rsid w:val="002C5798"/>
    <w:rsid w:val="002C649B"/>
    <w:rsid w:val="002C6ACD"/>
    <w:rsid w:val="002C72E7"/>
    <w:rsid w:val="002D019D"/>
    <w:rsid w:val="002D0E2F"/>
    <w:rsid w:val="002D1672"/>
    <w:rsid w:val="002D1719"/>
    <w:rsid w:val="002D1AF1"/>
    <w:rsid w:val="002D2980"/>
    <w:rsid w:val="002D2D3E"/>
    <w:rsid w:val="002D3C7A"/>
    <w:rsid w:val="002D3D8C"/>
    <w:rsid w:val="002D3E95"/>
    <w:rsid w:val="002D4084"/>
    <w:rsid w:val="002D603F"/>
    <w:rsid w:val="002D70DA"/>
    <w:rsid w:val="002D7246"/>
    <w:rsid w:val="002D740F"/>
    <w:rsid w:val="002E016F"/>
    <w:rsid w:val="002E01BF"/>
    <w:rsid w:val="002E03AA"/>
    <w:rsid w:val="002E06F7"/>
    <w:rsid w:val="002E0AB4"/>
    <w:rsid w:val="002E0EED"/>
    <w:rsid w:val="002E1CD4"/>
    <w:rsid w:val="002E1D76"/>
    <w:rsid w:val="002E27F2"/>
    <w:rsid w:val="002E2FE0"/>
    <w:rsid w:val="002E358C"/>
    <w:rsid w:val="002E391F"/>
    <w:rsid w:val="002E3C4B"/>
    <w:rsid w:val="002E3CCB"/>
    <w:rsid w:val="002E4077"/>
    <w:rsid w:val="002E54BA"/>
    <w:rsid w:val="002E5623"/>
    <w:rsid w:val="002E57E0"/>
    <w:rsid w:val="002E59F2"/>
    <w:rsid w:val="002E5A17"/>
    <w:rsid w:val="002E64D5"/>
    <w:rsid w:val="002E6723"/>
    <w:rsid w:val="002E685D"/>
    <w:rsid w:val="002E69DE"/>
    <w:rsid w:val="002E69EE"/>
    <w:rsid w:val="002E6CA8"/>
    <w:rsid w:val="002E701C"/>
    <w:rsid w:val="002E70B9"/>
    <w:rsid w:val="002E736C"/>
    <w:rsid w:val="002E7467"/>
    <w:rsid w:val="002F004B"/>
    <w:rsid w:val="002F0E99"/>
    <w:rsid w:val="002F16FA"/>
    <w:rsid w:val="002F1BDF"/>
    <w:rsid w:val="002F1FFE"/>
    <w:rsid w:val="002F213F"/>
    <w:rsid w:val="002F2A5C"/>
    <w:rsid w:val="002F2F3B"/>
    <w:rsid w:val="002F3017"/>
    <w:rsid w:val="002F31D0"/>
    <w:rsid w:val="002F3FB3"/>
    <w:rsid w:val="002F475B"/>
    <w:rsid w:val="002F4D5B"/>
    <w:rsid w:val="002F5D41"/>
    <w:rsid w:val="002F5F9F"/>
    <w:rsid w:val="002F6EA0"/>
    <w:rsid w:val="002F6FF2"/>
    <w:rsid w:val="002F785D"/>
    <w:rsid w:val="002F7B5E"/>
    <w:rsid w:val="003007FA"/>
    <w:rsid w:val="0030280F"/>
    <w:rsid w:val="003035C0"/>
    <w:rsid w:val="00303725"/>
    <w:rsid w:val="00304119"/>
    <w:rsid w:val="003041AB"/>
    <w:rsid w:val="0030555B"/>
    <w:rsid w:val="003059E9"/>
    <w:rsid w:val="00305AF5"/>
    <w:rsid w:val="00305E28"/>
    <w:rsid w:val="00306DC3"/>
    <w:rsid w:val="003071B2"/>
    <w:rsid w:val="003072D7"/>
    <w:rsid w:val="003079FC"/>
    <w:rsid w:val="00307A49"/>
    <w:rsid w:val="00310D57"/>
    <w:rsid w:val="00310E33"/>
    <w:rsid w:val="00311247"/>
    <w:rsid w:val="00311860"/>
    <w:rsid w:val="00312368"/>
    <w:rsid w:val="003126CB"/>
    <w:rsid w:val="00312D71"/>
    <w:rsid w:val="00312F1E"/>
    <w:rsid w:val="00313D0A"/>
    <w:rsid w:val="00314719"/>
    <w:rsid w:val="00314C98"/>
    <w:rsid w:val="0031618C"/>
    <w:rsid w:val="003163D9"/>
    <w:rsid w:val="003163FA"/>
    <w:rsid w:val="00316E6F"/>
    <w:rsid w:val="00316F36"/>
    <w:rsid w:val="00320A20"/>
    <w:rsid w:val="00320A96"/>
    <w:rsid w:val="00320A9B"/>
    <w:rsid w:val="00320F9C"/>
    <w:rsid w:val="003220E2"/>
    <w:rsid w:val="003221C4"/>
    <w:rsid w:val="0032259C"/>
    <w:rsid w:val="00323E1B"/>
    <w:rsid w:val="00324125"/>
    <w:rsid w:val="00324170"/>
    <w:rsid w:val="0032422E"/>
    <w:rsid w:val="00324FF0"/>
    <w:rsid w:val="003252AF"/>
    <w:rsid w:val="003264CF"/>
    <w:rsid w:val="0032690D"/>
    <w:rsid w:val="003273D7"/>
    <w:rsid w:val="003273DB"/>
    <w:rsid w:val="003274C6"/>
    <w:rsid w:val="00327BB7"/>
    <w:rsid w:val="00327CE2"/>
    <w:rsid w:val="003301AD"/>
    <w:rsid w:val="0033032A"/>
    <w:rsid w:val="00330389"/>
    <w:rsid w:val="00331140"/>
    <w:rsid w:val="003313A2"/>
    <w:rsid w:val="003317A9"/>
    <w:rsid w:val="00332794"/>
    <w:rsid w:val="003329F8"/>
    <w:rsid w:val="0033375A"/>
    <w:rsid w:val="00333857"/>
    <w:rsid w:val="00333F2C"/>
    <w:rsid w:val="00334718"/>
    <w:rsid w:val="0033473A"/>
    <w:rsid w:val="00334D61"/>
    <w:rsid w:val="00335630"/>
    <w:rsid w:val="00335B5F"/>
    <w:rsid w:val="00337F8A"/>
    <w:rsid w:val="0034007E"/>
    <w:rsid w:val="00340571"/>
    <w:rsid w:val="00341566"/>
    <w:rsid w:val="00341ABC"/>
    <w:rsid w:val="00342268"/>
    <w:rsid w:val="003429DC"/>
    <w:rsid w:val="00343980"/>
    <w:rsid w:val="00343B5E"/>
    <w:rsid w:val="003445BD"/>
    <w:rsid w:val="003446A1"/>
    <w:rsid w:val="00346013"/>
    <w:rsid w:val="003464F5"/>
    <w:rsid w:val="0034786E"/>
    <w:rsid w:val="0035062B"/>
    <w:rsid w:val="003521C4"/>
    <w:rsid w:val="0035288B"/>
    <w:rsid w:val="00352FE5"/>
    <w:rsid w:val="003531EA"/>
    <w:rsid w:val="00353555"/>
    <w:rsid w:val="00353AF7"/>
    <w:rsid w:val="003544B9"/>
    <w:rsid w:val="0035595E"/>
    <w:rsid w:val="0035605E"/>
    <w:rsid w:val="0035631F"/>
    <w:rsid w:val="003567DB"/>
    <w:rsid w:val="00357A35"/>
    <w:rsid w:val="00357AFC"/>
    <w:rsid w:val="00357D23"/>
    <w:rsid w:val="00360AC1"/>
    <w:rsid w:val="00361579"/>
    <w:rsid w:val="00361ABD"/>
    <w:rsid w:val="00362479"/>
    <w:rsid w:val="00363224"/>
    <w:rsid w:val="00363910"/>
    <w:rsid w:val="00363EFB"/>
    <w:rsid w:val="0036409A"/>
    <w:rsid w:val="0036438B"/>
    <w:rsid w:val="00364909"/>
    <w:rsid w:val="00364BEC"/>
    <w:rsid w:val="003652EA"/>
    <w:rsid w:val="003653B4"/>
    <w:rsid w:val="00366BB7"/>
    <w:rsid w:val="00366FFD"/>
    <w:rsid w:val="00367A2E"/>
    <w:rsid w:val="0037049E"/>
    <w:rsid w:val="003705B7"/>
    <w:rsid w:val="003719C4"/>
    <w:rsid w:val="00372276"/>
    <w:rsid w:val="00372498"/>
    <w:rsid w:val="00372AD4"/>
    <w:rsid w:val="00372DC0"/>
    <w:rsid w:val="0037323D"/>
    <w:rsid w:val="003738CA"/>
    <w:rsid w:val="0037424B"/>
    <w:rsid w:val="00374454"/>
    <w:rsid w:val="00374ABA"/>
    <w:rsid w:val="00374FFF"/>
    <w:rsid w:val="00377198"/>
    <w:rsid w:val="00377A8C"/>
    <w:rsid w:val="0038039F"/>
    <w:rsid w:val="00382845"/>
    <w:rsid w:val="00382996"/>
    <w:rsid w:val="00382AAB"/>
    <w:rsid w:val="00383B1F"/>
    <w:rsid w:val="003841B1"/>
    <w:rsid w:val="003849B8"/>
    <w:rsid w:val="00385499"/>
    <w:rsid w:val="00385C3D"/>
    <w:rsid w:val="003861F9"/>
    <w:rsid w:val="00386FB1"/>
    <w:rsid w:val="0038708D"/>
    <w:rsid w:val="00387A0D"/>
    <w:rsid w:val="00390D30"/>
    <w:rsid w:val="00390DBC"/>
    <w:rsid w:val="00390F4D"/>
    <w:rsid w:val="003918F4"/>
    <w:rsid w:val="003923C0"/>
    <w:rsid w:val="00392FE6"/>
    <w:rsid w:val="00393500"/>
    <w:rsid w:val="0039370B"/>
    <w:rsid w:val="00393C08"/>
    <w:rsid w:val="003944C8"/>
    <w:rsid w:val="00395297"/>
    <w:rsid w:val="00395755"/>
    <w:rsid w:val="00397A0A"/>
    <w:rsid w:val="00397AF1"/>
    <w:rsid w:val="00397C4A"/>
    <w:rsid w:val="003A048B"/>
    <w:rsid w:val="003A0922"/>
    <w:rsid w:val="003A0FEF"/>
    <w:rsid w:val="003A171E"/>
    <w:rsid w:val="003A257E"/>
    <w:rsid w:val="003A25F9"/>
    <w:rsid w:val="003A2835"/>
    <w:rsid w:val="003A2A3F"/>
    <w:rsid w:val="003A34AF"/>
    <w:rsid w:val="003A3E71"/>
    <w:rsid w:val="003A678D"/>
    <w:rsid w:val="003A76EB"/>
    <w:rsid w:val="003A7DA4"/>
    <w:rsid w:val="003B0220"/>
    <w:rsid w:val="003B07F0"/>
    <w:rsid w:val="003B0C30"/>
    <w:rsid w:val="003B11DC"/>
    <w:rsid w:val="003B135F"/>
    <w:rsid w:val="003B160A"/>
    <w:rsid w:val="003B16C4"/>
    <w:rsid w:val="003B171A"/>
    <w:rsid w:val="003B2BA6"/>
    <w:rsid w:val="003B2E06"/>
    <w:rsid w:val="003B2E38"/>
    <w:rsid w:val="003B3486"/>
    <w:rsid w:val="003B364F"/>
    <w:rsid w:val="003B3989"/>
    <w:rsid w:val="003B3C09"/>
    <w:rsid w:val="003B3C7F"/>
    <w:rsid w:val="003B3F94"/>
    <w:rsid w:val="003B4A29"/>
    <w:rsid w:val="003B6B4B"/>
    <w:rsid w:val="003B7795"/>
    <w:rsid w:val="003B7F30"/>
    <w:rsid w:val="003C0908"/>
    <w:rsid w:val="003C093D"/>
    <w:rsid w:val="003C098F"/>
    <w:rsid w:val="003C1C79"/>
    <w:rsid w:val="003C2186"/>
    <w:rsid w:val="003C2568"/>
    <w:rsid w:val="003C2682"/>
    <w:rsid w:val="003C32B4"/>
    <w:rsid w:val="003C36CC"/>
    <w:rsid w:val="003C3E1D"/>
    <w:rsid w:val="003C3F1C"/>
    <w:rsid w:val="003C4114"/>
    <w:rsid w:val="003C4CEC"/>
    <w:rsid w:val="003C4D8A"/>
    <w:rsid w:val="003C4DBB"/>
    <w:rsid w:val="003C56F1"/>
    <w:rsid w:val="003C5702"/>
    <w:rsid w:val="003C5B29"/>
    <w:rsid w:val="003C708D"/>
    <w:rsid w:val="003C755C"/>
    <w:rsid w:val="003C774C"/>
    <w:rsid w:val="003C7C3F"/>
    <w:rsid w:val="003D0415"/>
    <w:rsid w:val="003D0BEC"/>
    <w:rsid w:val="003D0D93"/>
    <w:rsid w:val="003D18E0"/>
    <w:rsid w:val="003D1B21"/>
    <w:rsid w:val="003D23B1"/>
    <w:rsid w:val="003D27C7"/>
    <w:rsid w:val="003D2A49"/>
    <w:rsid w:val="003D2B80"/>
    <w:rsid w:val="003D381B"/>
    <w:rsid w:val="003D39B4"/>
    <w:rsid w:val="003D3A0A"/>
    <w:rsid w:val="003D42C2"/>
    <w:rsid w:val="003D48B8"/>
    <w:rsid w:val="003D5DCD"/>
    <w:rsid w:val="003D5E87"/>
    <w:rsid w:val="003D6F8F"/>
    <w:rsid w:val="003D7D1D"/>
    <w:rsid w:val="003E01E3"/>
    <w:rsid w:val="003E22AA"/>
    <w:rsid w:val="003E2EBD"/>
    <w:rsid w:val="003E2F9C"/>
    <w:rsid w:val="003E3286"/>
    <w:rsid w:val="003E35F8"/>
    <w:rsid w:val="003E4861"/>
    <w:rsid w:val="003E50FC"/>
    <w:rsid w:val="003E58B5"/>
    <w:rsid w:val="003E619B"/>
    <w:rsid w:val="003E681B"/>
    <w:rsid w:val="003E68F0"/>
    <w:rsid w:val="003F0DBC"/>
    <w:rsid w:val="003F19A5"/>
    <w:rsid w:val="003F1DC9"/>
    <w:rsid w:val="003F2296"/>
    <w:rsid w:val="003F3016"/>
    <w:rsid w:val="003F4CB0"/>
    <w:rsid w:val="003F5DF3"/>
    <w:rsid w:val="003F6152"/>
    <w:rsid w:val="003F656F"/>
    <w:rsid w:val="003F7D96"/>
    <w:rsid w:val="004012A5"/>
    <w:rsid w:val="004012BC"/>
    <w:rsid w:val="0040189C"/>
    <w:rsid w:val="00401A4F"/>
    <w:rsid w:val="00402976"/>
    <w:rsid w:val="00403454"/>
    <w:rsid w:val="004036A8"/>
    <w:rsid w:val="00403B8C"/>
    <w:rsid w:val="00403F77"/>
    <w:rsid w:val="00403FD7"/>
    <w:rsid w:val="004040DA"/>
    <w:rsid w:val="00404536"/>
    <w:rsid w:val="00404C62"/>
    <w:rsid w:val="00404E06"/>
    <w:rsid w:val="0040515D"/>
    <w:rsid w:val="00405ECC"/>
    <w:rsid w:val="004064AC"/>
    <w:rsid w:val="00406FBF"/>
    <w:rsid w:val="00407E45"/>
    <w:rsid w:val="00411371"/>
    <w:rsid w:val="00411582"/>
    <w:rsid w:val="00411E7C"/>
    <w:rsid w:val="00411F2E"/>
    <w:rsid w:val="004124DA"/>
    <w:rsid w:val="0041260A"/>
    <w:rsid w:val="00412722"/>
    <w:rsid w:val="004132A3"/>
    <w:rsid w:val="00413A9E"/>
    <w:rsid w:val="00413BB5"/>
    <w:rsid w:val="00413BE5"/>
    <w:rsid w:val="0041441C"/>
    <w:rsid w:val="0041477C"/>
    <w:rsid w:val="00414AF0"/>
    <w:rsid w:val="00415125"/>
    <w:rsid w:val="00415568"/>
    <w:rsid w:val="004155D1"/>
    <w:rsid w:val="00415AE6"/>
    <w:rsid w:val="00416547"/>
    <w:rsid w:val="004165D5"/>
    <w:rsid w:val="00417333"/>
    <w:rsid w:val="004173DF"/>
    <w:rsid w:val="00417931"/>
    <w:rsid w:val="004200FD"/>
    <w:rsid w:val="00420556"/>
    <w:rsid w:val="0042087E"/>
    <w:rsid w:val="00420F55"/>
    <w:rsid w:val="00422496"/>
    <w:rsid w:val="00422CCA"/>
    <w:rsid w:val="00423508"/>
    <w:rsid w:val="004235F0"/>
    <w:rsid w:val="004244E0"/>
    <w:rsid w:val="00424A69"/>
    <w:rsid w:val="00424A7B"/>
    <w:rsid w:val="00424ED7"/>
    <w:rsid w:val="00424F31"/>
    <w:rsid w:val="004254D7"/>
    <w:rsid w:val="00426100"/>
    <w:rsid w:val="00426328"/>
    <w:rsid w:val="00426992"/>
    <w:rsid w:val="00426E1A"/>
    <w:rsid w:val="00427301"/>
    <w:rsid w:val="004275C4"/>
    <w:rsid w:val="00427A0C"/>
    <w:rsid w:val="00427B86"/>
    <w:rsid w:val="00427EFF"/>
    <w:rsid w:val="00430CAB"/>
    <w:rsid w:val="00430CB4"/>
    <w:rsid w:val="00431314"/>
    <w:rsid w:val="0043143E"/>
    <w:rsid w:val="004317F3"/>
    <w:rsid w:val="00431FB9"/>
    <w:rsid w:val="00432368"/>
    <w:rsid w:val="00432EF1"/>
    <w:rsid w:val="00432F05"/>
    <w:rsid w:val="004330F4"/>
    <w:rsid w:val="00434272"/>
    <w:rsid w:val="00434587"/>
    <w:rsid w:val="004349BD"/>
    <w:rsid w:val="00435CD6"/>
    <w:rsid w:val="00436412"/>
    <w:rsid w:val="00436677"/>
    <w:rsid w:val="004371A5"/>
    <w:rsid w:val="0043789B"/>
    <w:rsid w:val="0044039A"/>
    <w:rsid w:val="00441ECE"/>
    <w:rsid w:val="00442652"/>
    <w:rsid w:val="00443A6A"/>
    <w:rsid w:val="00443CE8"/>
    <w:rsid w:val="004441D7"/>
    <w:rsid w:val="0044484A"/>
    <w:rsid w:val="004452E9"/>
    <w:rsid w:val="0044552A"/>
    <w:rsid w:val="0044598D"/>
    <w:rsid w:val="00445ED8"/>
    <w:rsid w:val="00446740"/>
    <w:rsid w:val="00446D3F"/>
    <w:rsid w:val="00446FE5"/>
    <w:rsid w:val="0044739B"/>
    <w:rsid w:val="004477CB"/>
    <w:rsid w:val="00447FF7"/>
    <w:rsid w:val="0045092B"/>
    <w:rsid w:val="004509E5"/>
    <w:rsid w:val="00452033"/>
    <w:rsid w:val="0045276A"/>
    <w:rsid w:val="004530D5"/>
    <w:rsid w:val="004535C8"/>
    <w:rsid w:val="00453884"/>
    <w:rsid w:val="004541B7"/>
    <w:rsid w:val="0045461B"/>
    <w:rsid w:val="0045496E"/>
    <w:rsid w:val="004550A8"/>
    <w:rsid w:val="004552F7"/>
    <w:rsid w:val="0045565C"/>
    <w:rsid w:val="00460B47"/>
    <w:rsid w:val="004610A1"/>
    <w:rsid w:val="00462CBA"/>
    <w:rsid w:val="004635DB"/>
    <w:rsid w:val="00463D18"/>
    <w:rsid w:val="004641B7"/>
    <w:rsid w:val="00464E30"/>
    <w:rsid w:val="0046588B"/>
    <w:rsid w:val="0046678B"/>
    <w:rsid w:val="00466DF7"/>
    <w:rsid w:val="0047063A"/>
    <w:rsid w:val="00470A7B"/>
    <w:rsid w:val="0047106F"/>
    <w:rsid w:val="004723AB"/>
    <w:rsid w:val="004727F6"/>
    <w:rsid w:val="00473782"/>
    <w:rsid w:val="004738F1"/>
    <w:rsid w:val="00473E75"/>
    <w:rsid w:val="00473FBD"/>
    <w:rsid w:val="00474137"/>
    <w:rsid w:val="00475732"/>
    <w:rsid w:val="00476028"/>
    <w:rsid w:val="004762A9"/>
    <w:rsid w:val="004763E6"/>
    <w:rsid w:val="004768B4"/>
    <w:rsid w:val="00477DF9"/>
    <w:rsid w:val="004800E8"/>
    <w:rsid w:val="0048037D"/>
    <w:rsid w:val="0048083A"/>
    <w:rsid w:val="004827E4"/>
    <w:rsid w:val="00482CEA"/>
    <w:rsid w:val="00482F52"/>
    <w:rsid w:val="004835D8"/>
    <w:rsid w:val="004838CB"/>
    <w:rsid w:val="004848CB"/>
    <w:rsid w:val="00484A79"/>
    <w:rsid w:val="00484E76"/>
    <w:rsid w:val="00484F61"/>
    <w:rsid w:val="0048544F"/>
    <w:rsid w:val="00485471"/>
    <w:rsid w:val="004862D1"/>
    <w:rsid w:val="00486B06"/>
    <w:rsid w:val="00486D48"/>
    <w:rsid w:val="00486D4F"/>
    <w:rsid w:val="0049026F"/>
    <w:rsid w:val="00490D82"/>
    <w:rsid w:val="004915AD"/>
    <w:rsid w:val="00491C9C"/>
    <w:rsid w:val="004922B9"/>
    <w:rsid w:val="0049287F"/>
    <w:rsid w:val="00492881"/>
    <w:rsid w:val="00493726"/>
    <w:rsid w:val="00493BF1"/>
    <w:rsid w:val="0049473E"/>
    <w:rsid w:val="004947D1"/>
    <w:rsid w:val="00495E1C"/>
    <w:rsid w:val="00495F7F"/>
    <w:rsid w:val="00496300"/>
    <w:rsid w:val="00496A69"/>
    <w:rsid w:val="00497340"/>
    <w:rsid w:val="004A0668"/>
    <w:rsid w:val="004A0BEE"/>
    <w:rsid w:val="004A1422"/>
    <w:rsid w:val="004A19A0"/>
    <w:rsid w:val="004A19EA"/>
    <w:rsid w:val="004A1F7D"/>
    <w:rsid w:val="004A2125"/>
    <w:rsid w:val="004A2E9C"/>
    <w:rsid w:val="004A2FD7"/>
    <w:rsid w:val="004A333F"/>
    <w:rsid w:val="004A37B6"/>
    <w:rsid w:val="004A3F39"/>
    <w:rsid w:val="004A3F90"/>
    <w:rsid w:val="004A54AD"/>
    <w:rsid w:val="004A585C"/>
    <w:rsid w:val="004A648F"/>
    <w:rsid w:val="004A7138"/>
    <w:rsid w:val="004A7191"/>
    <w:rsid w:val="004A7365"/>
    <w:rsid w:val="004A76AF"/>
    <w:rsid w:val="004A79D4"/>
    <w:rsid w:val="004B0713"/>
    <w:rsid w:val="004B0A65"/>
    <w:rsid w:val="004B0B40"/>
    <w:rsid w:val="004B0F62"/>
    <w:rsid w:val="004B1049"/>
    <w:rsid w:val="004B10F0"/>
    <w:rsid w:val="004B128B"/>
    <w:rsid w:val="004B21D2"/>
    <w:rsid w:val="004B38B2"/>
    <w:rsid w:val="004B3A4E"/>
    <w:rsid w:val="004B42AA"/>
    <w:rsid w:val="004B4684"/>
    <w:rsid w:val="004B4C25"/>
    <w:rsid w:val="004B5083"/>
    <w:rsid w:val="004B570C"/>
    <w:rsid w:val="004B57BF"/>
    <w:rsid w:val="004B5D3C"/>
    <w:rsid w:val="004B611E"/>
    <w:rsid w:val="004B6AC1"/>
    <w:rsid w:val="004C05BA"/>
    <w:rsid w:val="004C075A"/>
    <w:rsid w:val="004C086C"/>
    <w:rsid w:val="004C2111"/>
    <w:rsid w:val="004C3E01"/>
    <w:rsid w:val="004C406C"/>
    <w:rsid w:val="004C55EA"/>
    <w:rsid w:val="004C6544"/>
    <w:rsid w:val="004C6B00"/>
    <w:rsid w:val="004C6BB3"/>
    <w:rsid w:val="004C6EF7"/>
    <w:rsid w:val="004C7085"/>
    <w:rsid w:val="004C7127"/>
    <w:rsid w:val="004C796F"/>
    <w:rsid w:val="004C7E50"/>
    <w:rsid w:val="004D06D1"/>
    <w:rsid w:val="004D107F"/>
    <w:rsid w:val="004D15A9"/>
    <w:rsid w:val="004D2183"/>
    <w:rsid w:val="004D2333"/>
    <w:rsid w:val="004D2D57"/>
    <w:rsid w:val="004D2F24"/>
    <w:rsid w:val="004D3C87"/>
    <w:rsid w:val="004D4064"/>
    <w:rsid w:val="004D428D"/>
    <w:rsid w:val="004D487E"/>
    <w:rsid w:val="004D51A1"/>
    <w:rsid w:val="004D57A3"/>
    <w:rsid w:val="004D57E2"/>
    <w:rsid w:val="004D5AAD"/>
    <w:rsid w:val="004D5E45"/>
    <w:rsid w:val="004D5FC3"/>
    <w:rsid w:val="004D67CF"/>
    <w:rsid w:val="004D709A"/>
    <w:rsid w:val="004E0239"/>
    <w:rsid w:val="004E0890"/>
    <w:rsid w:val="004E09C3"/>
    <w:rsid w:val="004E0BD2"/>
    <w:rsid w:val="004E135A"/>
    <w:rsid w:val="004E1580"/>
    <w:rsid w:val="004E170A"/>
    <w:rsid w:val="004E19BA"/>
    <w:rsid w:val="004E1F0C"/>
    <w:rsid w:val="004E2262"/>
    <w:rsid w:val="004E3255"/>
    <w:rsid w:val="004E3760"/>
    <w:rsid w:val="004E383A"/>
    <w:rsid w:val="004E3BF3"/>
    <w:rsid w:val="004E40F7"/>
    <w:rsid w:val="004E4810"/>
    <w:rsid w:val="004E4ED1"/>
    <w:rsid w:val="004E619E"/>
    <w:rsid w:val="004E61F1"/>
    <w:rsid w:val="004E62D7"/>
    <w:rsid w:val="004E6C30"/>
    <w:rsid w:val="004E74CB"/>
    <w:rsid w:val="004E75F4"/>
    <w:rsid w:val="004F02F4"/>
    <w:rsid w:val="004F067E"/>
    <w:rsid w:val="004F06AA"/>
    <w:rsid w:val="004F0EF0"/>
    <w:rsid w:val="004F1733"/>
    <w:rsid w:val="004F18B4"/>
    <w:rsid w:val="004F1B46"/>
    <w:rsid w:val="004F1FC9"/>
    <w:rsid w:val="004F2029"/>
    <w:rsid w:val="004F416C"/>
    <w:rsid w:val="004F431B"/>
    <w:rsid w:val="004F4413"/>
    <w:rsid w:val="004F4CB6"/>
    <w:rsid w:val="004F58C9"/>
    <w:rsid w:val="004F5C55"/>
    <w:rsid w:val="004F5CE0"/>
    <w:rsid w:val="004F6069"/>
    <w:rsid w:val="004F754C"/>
    <w:rsid w:val="004F7CDD"/>
    <w:rsid w:val="004F7E19"/>
    <w:rsid w:val="004F7E4F"/>
    <w:rsid w:val="004F7F98"/>
    <w:rsid w:val="00500060"/>
    <w:rsid w:val="0050062E"/>
    <w:rsid w:val="00501782"/>
    <w:rsid w:val="00501BD9"/>
    <w:rsid w:val="00502397"/>
    <w:rsid w:val="0050281F"/>
    <w:rsid w:val="005028D1"/>
    <w:rsid w:val="00502A56"/>
    <w:rsid w:val="00502BB8"/>
    <w:rsid w:val="00502C1F"/>
    <w:rsid w:val="00502E2A"/>
    <w:rsid w:val="00503B42"/>
    <w:rsid w:val="00503F27"/>
    <w:rsid w:val="00504AE7"/>
    <w:rsid w:val="005056FD"/>
    <w:rsid w:val="005058E8"/>
    <w:rsid w:val="00505D5D"/>
    <w:rsid w:val="00505EA5"/>
    <w:rsid w:val="00506477"/>
    <w:rsid w:val="005065B8"/>
    <w:rsid w:val="00506EE4"/>
    <w:rsid w:val="00507451"/>
    <w:rsid w:val="0051021A"/>
    <w:rsid w:val="00511DE1"/>
    <w:rsid w:val="00511E11"/>
    <w:rsid w:val="0051200A"/>
    <w:rsid w:val="00512036"/>
    <w:rsid w:val="005120A8"/>
    <w:rsid w:val="00512276"/>
    <w:rsid w:val="00514074"/>
    <w:rsid w:val="005146B6"/>
    <w:rsid w:val="005146EC"/>
    <w:rsid w:val="00514BC4"/>
    <w:rsid w:val="00514E61"/>
    <w:rsid w:val="00514E69"/>
    <w:rsid w:val="00515312"/>
    <w:rsid w:val="0051542C"/>
    <w:rsid w:val="00515469"/>
    <w:rsid w:val="005159B9"/>
    <w:rsid w:val="005159D2"/>
    <w:rsid w:val="00515D9F"/>
    <w:rsid w:val="00516341"/>
    <w:rsid w:val="005164C3"/>
    <w:rsid w:val="00516621"/>
    <w:rsid w:val="005170D1"/>
    <w:rsid w:val="00517916"/>
    <w:rsid w:val="00521B95"/>
    <w:rsid w:val="00521E54"/>
    <w:rsid w:val="0052251D"/>
    <w:rsid w:val="00523B49"/>
    <w:rsid w:val="00524572"/>
    <w:rsid w:val="005245A4"/>
    <w:rsid w:val="005245FE"/>
    <w:rsid w:val="00524A55"/>
    <w:rsid w:val="00525703"/>
    <w:rsid w:val="0052661D"/>
    <w:rsid w:val="005273AE"/>
    <w:rsid w:val="00527D65"/>
    <w:rsid w:val="00531D59"/>
    <w:rsid w:val="00532491"/>
    <w:rsid w:val="00532589"/>
    <w:rsid w:val="005325E2"/>
    <w:rsid w:val="005326F0"/>
    <w:rsid w:val="00532CD2"/>
    <w:rsid w:val="0053302C"/>
    <w:rsid w:val="005338BE"/>
    <w:rsid w:val="00534461"/>
    <w:rsid w:val="00535008"/>
    <w:rsid w:val="005352A8"/>
    <w:rsid w:val="00537AEC"/>
    <w:rsid w:val="0054011A"/>
    <w:rsid w:val="005401DB"/>
    <w:rsid w:val="00540380"/>
    <w:rsid w:val="00540AFD"/>
    <w:rsid w:val="00541E09"/>
    <w:rsid w:val="0054233D"/>
    <w:rsid w:val="00542D08"/>
    <w:rsid w:val="00543103"/>
    <w:rsid w:val="005434FA"/>
    <w:rsid w:val="005436C4"/>
    <w:rsid w:val="00543CFA"/>
    <w:rsid w:val="00544A06"/>
    <w:rsid w:val="00544EC4"/>
    <w:rsid w:val="00544FF9"/>
    <w:rsid w:val="00545002"/>
    <w:rsid w:val="00545819"/>
    <w:rsid w:val="00545B35"/>
    <w:rsid w:val="00546322"/>
    <w:rsid w:val="005464D0"/>
    <w:rsid w:val="0054757A"/>
    <w:rsid w:val="005478AA"/>
    <w:rsid w:val="00547FE2"/>
    <w:rsid w:val="00550446"/>
    <w:rsid w:val="00550AB2"/>
    <w:rsid w:val="005513A1"/>
    <w:rsid w:val="0055167C"/>
    <w:rsid w:val="00552D2C"/>
    <w:rsid w:val="00552FF6"/>
    <w:rsid w:val="005537DC"/>
    <w:rsid w:val="00553B85"/>
    <w:rsid w:val="0055417D"/>
    <w:rsid w:val="0055427D"/>
    <w:rsid w:val="0055437E"/>
    <w:rsid w:val="00554588"/>
    <w:rsid w:val="00554D8D"/>
    <w:rsid w:val="005550FC"/>
    <w:rsid w:val="0055576C"/>
    <w:rsid w:val="00555AD4"/>
    <w:rsid w:val="0055665D"/>
    <w:rsid w:val="00557465"/>
    <w:rsid w:val="0055762A"/>
    <w:rsid w:val="0056027A"/>
    <w:rsid w:val="00562484"/>
    <w:rsid w:val="00563065"/>
    <w:rsid w:val="00563272"/>
    <w:rsid w:val="00564AFD"/>
    <w:rsid w:val="00564E08"/>
    <w:rsid w:val="00565A91"/>
    <w:rsid w:val="00566553"/>
    <w:rsid w:val="005671A5"/>
    <w:rsid w:val="00567696"/>
    <w:rsid w:val="0057153F"/>
    <w:rsid w:val="00572363"/>
    <w:rsid w:val="0057287E"/>
    <w:rsid w:val="005732A2"/>
    <w:rsid w:val="005732D8"/>
    <w:rsid w:val="005733B7"/>
    <w:rsid w:val="00573ACB"/>
    <w:rsid w:val="00574871"/>
    <w:rsid w:val="00574AB3"/>
    <w:rsid w:val="0057578A"/>
    <w:rsid w:val="00577696"/>
    <w:rsid w:val="0057793D"/>
    <w:rsid w:val="00577B95"/>
    <w:rsid w:val="0058013B"/>
    <w:rsid w:val="00580259"/>
    <w:rsid w:val="005805FB"/>
    <w:rsid w:val="00580685"/>
    <w:rsid w:val="005810F1"/>
    <w:rsid w:val="00581A7A"/>
    <w:rsid w:val="00581BBB"/>
    <w:rsid w:val="005823B4"/>
    <w:rsid w:val="005828A7"/>
    <w:rsid w:val="00582A54"/>
    <w:rsid w:val="005832F1"/>
    <w:rsid w:val="00583645"/>
    <w:rsid w:val="00583CC3"/>
    <w:rsid w:val="00583E50"/>
    <w:rsid w:val="0058410F"/>
    <w:rsid w:val="00584CB7"/>
    <w:rsid w:val="005857CD"/>
    <w:rsid w:val="005860AB"/>
    <w:rsid w:val="005860B1"/>
    <w:rsid w:val="00586416"/>
    <w:rsid w:val="0058690B"/>
    <w:rsid w:val="005875CF"/>
    <w:rsid w:val="005903C7"/>
    <w:rsid w:val="005932CE"/>
    <w:rsid w:val="0059333A"/>
    <w:rsid w:val="00594BBE"/>
    <w:rsid w:val="00594C60"/>
    <w:rsid w:val="00594E4C"/>
    <w:rsid w:val="00595328"/>
    <w:rsid w:val="0059581B"/>
    <w:rsid w:val="0059636D"/>
    <w:rsid w:val="0059649E"/>
    <w:rsid w:val="0059656A"/>
    <w:rsid w:val="0059678C"/>
    <w:rsid w:val="00597395"/>
    <w:rsid w:val="005975E5"/>
    <w:rsid w:val="005A0501"/>
    <w:rsid w:val="005A183A"/>
    <w:rsid w:val="005A1CDD"/>
    <w:rsid w:val="005A2750"/>
    <w:rsid w:val="005A2950"/>
    <w:rsid w:val="005A3F0C"/>
    <w:rsid w:val="005A4078"/>
    <w:rsid w:val="005A49CE"/>
    <w:rsid w:val="005A6094"/>
    <w:rsid w:val="005A61EF"/>
    <w:rsid w:val="005A62F5"/>
    <w:rsid w:val="005A67D7"/>
    <w:rsid w:val="005A7720"/>
    <w:rsid w:val="005A7B64"/>
    <w:rsid w:val="005B0892"/>
    <w:rsid w:val="005B0B71"/>
    <w:rsid w:val="005B1356"/>
    <w:rsid w:val="005B2BAC"/>
    <w:rsid w:val="005B30D8"/>
    <w:rsid w:val="005B3367"/>
    <w:rsid w:val="005B3B52"/>
    <w:rsid w:val="005B3C03"/>
    <w:rsid w:val="005B40F4"/>
    <w:rsid w:val="005B42C1"/>
    <w:rsid w:val="005B740B"/>
    <w:rsid w:val="005B779B"/>
    <w:rsid w:val="005C001F"/>
    <w:rsid w:val="005C0B23"/>
    <w:rsid w:val="005C0EC6"/>
    <w:rsid w:val="005C0ED3"/>
    <w:rsid w:val="005C1015"/>
    <w:rsid w:val="005C19F3"/>
    <w:rsid w:val="005C22DB"/>
    <w:rsid w:val="005C244D"/>
    <w:rsid w:val="005C26C4"/>
    <w:rsid w:val="005C285A"/>
    <w:rsid w:val="005C2FD8"/>
    <w:rsid w:val="005C333D"/>
    <w:rsid w:val="005C3CE8"/>
    <w:rsid w:val="005C4A34"/>
    <w:rsid w:val="005C5995"/>
    <w:rsid w:val="005C67D5"/>
    <w:rsid w:val="005C6AA1"/>
    <w:rsid w:val="005C6DD0"/>
    <w:rsid w:val="005C748D"/>
    <w:rsid w:val="005D0015"/>
    <w:rsid w:val="005D0C3D"/>
    <w:rsid w:val="005D138C"/>
    <w:rsid w:val="005D23AE"/>
    <w:rsid w:val="005D28A2"/>
    <w:rsid w:val="005D46DB"/>
    <w:rsid w:val="005D4773"/>
    <w:rsid w:val="005D4855"/>
    <w:rsid w:val="005D495F"/>
    <w:rsid w:val="005D4CAD"/>
    <w:rsid w:val="005D54CC"/>
    <w:rsid w:val="005D562B"/>
    <w:rsid w:val="005D599C"/>
    <w:rsid w:val="005D59FF"/>
    <w:rsid w:val="005D61E5"/>
    <w:rsid w:val="005D6E51"/>
    <w:rsid w:val="005D729E"/>
    <w:rsid w:val="005D7D68"/>
    <w:rsid w:val="005D7ECB"/>
    <w:rsid w:val="005E02DB"/>
    <w:rsid w:val="005E09A9"/>
    <w:rsid w:val="005E0EF9"/>
    <w:rsid w:val="005E106B"/>
    <w:rsid w:val="005E13EC"/>
    <w:rsid w:val="005E15E9"/>
    <w:rsid w:val="005E2072"/>
    <w:rsid w:val="005E2185"/>
    <w:rsid w:val="005E2C6D"/>
    <w:rsid w:val="005E3C33"/>
    <w:rsid w:val="005E4338"/>
    <w:rsid w:val="005E5AE5"/>
    <w:rsid w:val="005E6238"/>
    <w:rsid w:val="005F02F8"/>
    <w:rsid w:val="005F03A7"/>
    <w:rsid w:val="005F05C8"/>
    <w:rsid w:val="005F1379"/>
    <w:rsid w:val="005F1601"/>
    <w:rsid w:val="005F2437"/>
    <w:rsid w:val="005F2731"/>
    <w:rsid w:val="005F2F06"/>
    <w:rsid w:val="005F3758"/>
    <w:rsid w:val="005F3B76"/>
    <w:rsid w:val="005F3B9D"/>
    <w:rsid w:val="005F454D"/>
    <w:rsid w:val="005F59C2"/>
    <w:rsid w:val="005F6000"/>
    <w:rsid w:val="005F6B8D"/>
    <w:rsid w:val="005F72EB"/>
    <w:rsid w:val="005F730D"/>
    <w:rsid w:val="005F7505"/>
    <w:rsid w:val="005F7A35"/>
    <w:rsid w:val="0060008C"/>
    <w:rsid w:val="006014C9"/>
    <w:rsid w:val="0060186B"/>
    <w:rsid w:val="006027EB"/>
    <w:rsid w:val="00602ADF"/>
    <w:rsid w:val="00602ED5"/>
    <w:rsid w:val="00603373"/>
    <w:rsid w:val="00603F4F"/>
    <w:rsid w:val="00604139"/>
    <w:rsid w:val="0060419B"/>
    <w:rsid w:val="0060578B"/>
    <w:rsid w:val="00606E0C"/>
    <w:rsid w:val="006070A6"/>
    <w:rsid w:val="00607948"/>
    <w:rsid w:val="006103D2"/>
    <w:rsid w:val="0061065F"/>
    <w:rsid w:val="00610A1E"/>
    <w:rsid w:val="00610B4C"/>
    <w:rsid w:val="00610CB2"/>
    <w:rsid w:val="00611062"/>
    <w:rsid w:val="00611349"/>
    <w:rsid w:val="00611532"/>
    <w:rsid w:val="006138C0"/>
    <w:rsid w:val="00613F35"/>
    <w:rsid w:val="00613FDD"/>
    <w:rsid w:val="0061422E"/>
    <w:rsid w:val="0061454D"/>
    <w:rsid w:val="006146A9"/>
    <w:rsid w:val="00614BC9"/>
    <w:rsid w:val="00614CFD"/>
    <w:rsid w:val="00614D31"/>
    <w:rsid w:val="00614D3C"/>
    <w:rsid w:val="0061538D"/>
    <w:rsid w:val="00615934"/>
    <w:rsid w:val="00615BAE"/>
    <w:rsid w:val="00616842"/>
    <w:rsid w:val="00616CF9"/>
    <w:rsid w:val="006172A2"/>
    <w:rsid w:val="0061730C"/>
    <w:rsid w:val="006176A4"/>
    <w:rsid w:val="00617FB7"/>
    <w:rsid w:val="00621493"/>
    <w:rsid w:val="00621B1D"/>
    <w:rsid w:val="00622350"/>
    <w:rsid w:val="006232D9"/>
    <w:rsid w:val="006232ED"/>
    <w:rsid w:val="00623538"/>
    <w:rsid w:val="00623FD1"/>
    <w:rsid w:val="006247FA"/>
    <w:rsid w:val="00625530"/>
    <w:rsid w:val="006259CB"/>
    <w:rsid w:val="00625BBA"/>
    <w:rsid w:val="00625EFF"/>
    <w:rsid w:val="00625F16"/>
    <w:rsid w:val="00627CD9"/>
    <w:rsid w:val="0063019D"/>
    <w:rsid w:val="00631970"/>
    <w:rsid w:val="00631C67"/>
    <w:rsid w:val="0063269C"/>
    <w:rsid w:val="00632E7D"/>
    <w:rsid w:val="006331A1"/>
    <w:rsid w:val="006331D3"/>
    <w:rsid w:val="00633DDF"/>
    <w:rsid w:val="00634B6C"/>
    <w:rsid w:val="00634BFC"/>
    <w:rsid w:val="006353CE"/>
    <w:rsid w:val="00635C54"/>
    <w:rsid w:val="00640390"/>
    <w:rsid w:val="00640A86"/>
    <w:rsid w:val="006410DE"/>
    <w:rsid w:val="00641162"/>
    <w:rsid w:val="0064153C"/>
    <w:rsid w:val="00641F9A"/>
    <w:rsid w:val="00642467"/>
    <w:rsid w:val="00642BDF"/>
    <w:rsid w:val="006431A9"/>
    <w:rsid w:val="00643F0B"/>
    <w:rsid w:val="00644009"/>
    <w:rsid w:val="0064444B"/>
    <w:rsid w:val="006448C9"/>
    <w:rsid w:val="00644C9C"/>
    <w:rsid w:val="00645466"/>
    <w:rsid w:val="006454B9"/>
    <w:rsid w:val="006455F2"/>
    <w:rsid w:val="00645761"/>
    <w:rsid w:val="00646155"/>
    <w:rsid w:val="006467E7"/>
    <w:rsid w:val="006469E3"/>
    <w:rsid w:val="0064708A"/>
    <w:rsid w:val="00647C25"/>
    <w:rsid w:val="006521D0"/>
    <w:rsid w:val="00654479"/>
    <w:rsid w:val="006546CC"/>
    <w:rsid w:val="00654ACD"/>
    <w:rsid w:val="00654C8E"/>
    <w:rsid w:val="00654D20"/>
    <w:rsid w:val="00654E98"/>
    <w:rsid w:val="00654F66"/>
    <w:rsid w:val="006551AE"/>
    <w:rsid w:val="00655204"/>
    <w:rsid w:val="006553A2"/>
    <w:rsid w:val="00655E24"/>
    <w:rsid w:val="0065681B"/>
    <w:rsid w:val="00657B2A"/>
    <w:rsid w:val="0066110F"/>
    <w:rsid w:val="00661FCD"/>
    <w:rsid w:val="006620AA"/>
    <w:rsid w:val="00662A37"/>
    <w:rsid w:val="006636FC"/>
    <w:rsid w:val="0066426A"/>
    <w:rsid w:val="00664A2B"/>
    <w:rsid w:val="006652B5"/>
    <w:rsid w:val="00665462"/>
    <w:rsid w:val="0066550D"/>
    <w:rsid w:val="00665846"/>
    <w:rsid w:val="006663CF"/>
    <w:rsid w:val="0066741F"/>
    <w:rsid w:val="006700A0"/>
    <w:rsid w:val="006702F4"/>
    <w:rsid w:val="00670354"/>
    <w:rsid w:val="0067106B"/>
    <w:rsid w:val="006711A9"/>
    <w:rsid w:val="00671633"/>
    <w:rsid w:val="00671CAD"/>
    <w:rsid w:val="00673189"/>
    <w:rsid w:val="0067351A"/>
    <w:rsid w:val="0067483B"/>
    <w:rsid w:val="00675827"/>
    <w:rsid w:val="00675B04"/>
    <w:rsid w:val="0067727C"/>
    <w:rsid w:val="0067753F"/>
    <w:rsid w:val="00677CD0"/>
    <w:rsid w:val="00677CEF"/>
    <w:rsid w:val="00677E1F"/>
    <w:rsid w:val="00677F5D"/>
    <w:rsid w:val="006803B4"/>
    <w:rsid w:val="00680609"/>
    <w:rsid w:val="00680A3D"/>
    <w:rsid w:val="006816AE"/>
    <w:rsid w:val="006820C9"/>
    <w:rsid w:val="00683801"/>
    <w:rsid w:val="00683B75"/>
    <w:rsid w:val="00684054"/>
    <w:rsid w:val="00684A87"/>
    <w:rsid w:val="00684EAF"/>
    <w:rsid w:val="00684F69"/>
    <w:rsid w:val="006852A8"/>
    <w:rsid w:val="006853D4"/>
    <w:rsid w:val="0068562B"/>
    <w:rsid w:val="00685B85"/>
    <w:rsid w:val="00686056"/>
    <w:rsid w:val="0068639E"/>
    <w:rsid w:val="006865D8"/>
    <w:rsid w:val="006872A3"/>
    <w:rsid w:val="00687688"/>
    <w:rsid w:val="00687892"/>
    <w:rsid w:val="0069092F"/>
    <w:rsid w:val="00691314"/>
    <w:rsid w:val="006914C9"/>
    <w:rsid w:val="006917A2"/>
    <w:rsid w:val="00691F79"/>
    <w:rsid w:val="00692847"/>
    <w:rsid w:val="0069332F"/>
    <w:rsid w:val="00693361"/>
    <w:rsid w:val="006939E6"/>
    <w:rsid w:val="006947A8"/>
    <w:rsid w:val="00694928"/>
    <w:rsid w:val="00694CCC"/>
    <w:rsid w:val="006950C1"/>
    <w:rsid w:val="0069549F"/>
    <w:rsid w:val="00696185"/>
    <w:rsid w:val="00696A7C"/>
    <w:rsid w:val="006974CD"/>
    <w:rsid w:val="006A07ED"/>
    <w:rsid w:val="006A0CC0"/>
    <w:rsid w:val="006A19FC"/>
    <w:rsid w:val="006A1A79"/>
    <w:rsid w:val="006A35C9"/>
    <w:rsid w:val="006A3619"/>
    <w:rsid w:val="006A3B25"/>
    <w:rsid w:val="006A3BCF"/>
    <w:rsid w:val="006A4061"/>
    <w:rsid w:val="006A4348"/>
    <w:rsid w:val="006A4A7F"/>
    <w:rsid w:val="006A4FC1"/>
    <w:rsid w:val="006A557E"/>
    <w:rsid w:val="006A564E"/>
    <w:rsid w:val="006A5892"/>
    <w:rsid w:val="006A5FD6"/>
    <w:rsid w:val="006A7041"/>
    <w:rsid w:val="006A7552"/>
    <w:rsid w:val="006B060E"/>
    <w:rsid w:val="006B0931"/>
    <w:rsid w:val="006B099A"/>
    <w:rsid w:val="006B0E0D"/>
    <w:rsid w:val="006B1085"/>
    <w:rsid w:val="006B13F8"/>
    <w:rsid w:val="006B1D8D"/>
    <w:rsid w:val="006B272B"/>
    <w:rsid w:val="006B37CF"/>
    <w:rsid w:val="006B3FFE"/>
    <w:rsid w:val="006B5542"/>
    <w:rsid w:val="006B5BA0"/>
    <w:rsid w:val="006B5D21"/>
    <w:rsid w:val="006B6D66"/>
    <w:rsid w:val="006B7A46"/>
    <w:rsid w:val="006C022B"/>
    <w:rsid w:val="006C03A0"/>
    <w:rsid w:val="006C0D4A"/>
    <w:rsid w:val="006C0FE9"/>
    <w:rsid w:val="006C20F9"/>
    <w:rsid w:val="006C2ABC"/>
    <w:rsid w:val="006C2F47"/>
    <w:rsid w:val="006C3A4C"/>
    <w:rsid w:val="006C3B41"/>
    <w:rsid w:val="006C3D46"/>
    <w:rsid w:val="006C3EE8"/>
    <w:rsid w:val="006C3F5E"/>
    <w:rsid w:val="006C4689"/>
    <w:rsid w:val="006C4EDF"/>
    <w:rsid w:val="006C517E"/>
    <w:rsid w:val="006C58F1"/>
    <w:rsid w:val="006C7638"/>
    <w:rsid w:val="006D0422"/>
    <w:rsid w:val="006D159D"/>
    <w:rsid w:val="006D392B"/>
    <w:rsid w:val="006D481B"/>
    <w:rsid w:val="006D563C"/>
    <w:rsid w:val="006D583D"/>
    <w:rsid w:val="006D618F"/>
    <w:rsid w:val="006D683F"/>
    <w:rsid w:val="006D7272"/>
    <w:rsid w:val="006D7B08"/>
    <w:rsid w:val="006D7C0A"/>
    <w:rsid w:val="006E03B1"/>
    <w:rsid w:val="006E08D3"/>
    <w:rsid w:val="006E0DE6"/>
    <w:rsid w:val="006E13B7"/>
    <w:rsid w:val="006E1712"/>
    <w:rsid w:val="006E1EEF"/>
    <w:rsid w:val="006E24B6"/>
    <w:rsid w:val="006E252C"/>
    <w:rsid w:val="006E36E9"/>
    <w:rsid w:val="006E4360"/>
    <w:rsid w:val="006E5B2D"/>
    <w:rsid w:val="006E5DE9"/>
    <w:rsid w:val="006E7151"/>
    <w:rsid w:val="006E7957"/>
    <w:rsid w:val="006F13F0"/>
    <w:rsid w:val="006F17F3"/>
    <w:rsid w:val="006F1C58"/>
    <w:rsid w:val="006F1DCC"/>
    <w:rsid w:val="006F29E1"/>
    <w:rsid w:val="006F3007"/>
    <w:rsid w:val="006F3043"/>
    <w:rsid w:val="006F30A8"/>
    <w:rsid w:val="006F4078"/>
    <w:rsid w:val="006F40CA"/>
    <w:rsid w:val="006F425B"/>
    <w:rsid w:val="006F4385"/>
    <w:rsid w:val="006F4B59"/>
    <w:rsid w:val="006F4C67"/>
    <w:rsid w:val="006F4D78"/>
    <w:rsid w:val="006F5900"/>
    <w:rsid w:val="006F7015"/>
    <w:rsid w:val="006F72FA"/>
    <w:rsid w:val="006F75CD"/>
    <w:rsid w:val="006F7DBD"/>
    <w:rsid w:val="0070023A"/>
    <w:rsid w:val="00700A1E"/>
    <w:rsid w:val="00700C76"/>
    <w:rsid w:val="00700D87"/>
    <w:rsid w:val="00700EE3"/>
    <w:rsid w:val="007014C2"/>
    <w:rsid w:val="0070179A"/>
    <w:rsid w:val="0070196C"/>
    <w:rsid w:val="007020CA"/>
    <w:rsid w:val="00702FF2"/>
    <w:rsid w:val="00703CB1"/>
    <w:rsid w:val="007042E6"/>
    <w:rsid w:val="00704B35"/>
    <w:rsid w:val="00704DA2"/>
    <w:rsid w:val="00706733"/>
    <w:rsid w:val="007068E1"/>
    <w:rsid w:val="00706B8A"/>
    <w:rsid w:val="00707214"/>
    <w:rsid w:val="00707329"/>
    <w:rsid w:val="00707332"/>
    <w:rsid w:val="00707B30"/>
    <w:rsid w:val="00707C7A"/>
    <w:rsid w:val="00710064"/>
    <w:rsid w:val="00712243"/>
    <w:rsid w:val="00713002"/>
    <w:rsid w:val="00713AB5"/>
    <w:rsid w:val="00713C13"/>
    <w:rsid w:val="00714186"/>
    <w:rsid w:val="007161E9"/>
    <w:rsid w:val="0071699D"/>
    <w:rsid w:val="00716F4F"/>
    <w:rsid w:val="007173D5"/>
    <w:rsid w:val="00717C68"/>
    <w:rsid w:val="00720FD3"/>
    <w:rsid w:val="007210DB"/>
    <w:rsid w:val="00721ABF"/>
    <w:rsid w:val="0072239C"/>
    <w:rsid w:val="007225A9"/>
    <w:rsid w:val="007225B4"/>
    <w:rsid w:val="00722FB7"/>
    <w:rsid w:val="00723131"/>
    <w:rsid w:val="00723132"/>
    <w:rsid w:val="007231E6"/>
    <w:rsid w:val="00723A5E"/>
    <w:rsid w:val="007242D1"/>
    <w:rsid w:val="00724BE8"/>
    <w:rsid w:val="007255F8"/>
    <w:rsid w:val="0072634E"/>
    <w:rsid w:val="00726AEB"/>
    <w:rsid w:val="00726D8F"/>
    <w:rsid w:val="00726EC6"/>
    <w:rsid w:val="00730ABC"/>
    <w:rsid w:val="00731A20"/>
    <w:rsid w:val="00731CCC"/>
    <w:rsid w:val="007327CE"/>
    <w:rsid w:val="00732AA3"/>
    <w:rsid w:val="007331A6"/>
    <w:rsid w:val="00734A21"/>
    <w:rsid w:val="00735042"/>
    <w:rsid w:val="0073523E"/>
    <w:rsid w:val="00735C49"/>
    <w:rsid w:val="00736255"/>
    <w:rsid w:val="007366A9"/>
    <w:rsid w:val="00736DBE"/>
    <w:rsid w:val="0073782D"/>
    <w:rsid w:val="00737D33"/>
    <w:rsid w:val="00741867"/>
    <w:rsid w:val="0074196E"/>
    <w:rsid w:val="00741C47"/>
    <w:rsid w:val="007420BE"/>
    <w:rsid w:val="0074273E"/>
    <w:rsid w:val="0074295C"/>
    <w:rsid w:val="00742BC4"/>
    <w:rsid w:val="007437BC"/>
    <w:rsid w:val="00743A5A"/>
    <w:rsid w:val="0074455E"/>
    <w:rsid w:val="00744EA7"/>
    <w:rsid w:val="00745D16"/>
    <w:rsid w:val="0074601A"/>
    <w:rsid w:val="007462C0"/>
    <w:rsid w:val="00746CE9"/>
    <w:rsid w:val="00746D0C"/>
    <w:rsid w:val="00746FB4"/>
    <w:rsid w:val="00747011"/>
    <w:rsid w:val="00747072"/>
    <w:rsid w:val="007475A6"/>
    <w:rsid w:val="00750916"/>
    <w:rsid w:val="00750A7C"/>
    <w:rsid w:val="00751A2C"/>
    <w:rsid w:val="00753115"/>
    <w:rsid w:val="0075488F"/>
    <w:rsid w:val="00754AFA"/>
    <w:rsid w:val="00756DC0"/>
    <w:rsid w:val="007571FD"/>
    <w:rsid w:val="007573B1"/>
    <w:rsid w:val="00757AB4"/>
    <w:rsid w:val="00760767"/>
    <w:rsid w:val="00761728"/>
    <w:rsid w:val="00761C61"/>
    <w:rsid w:val="007626BF"/>
    <w:rsid w:val="00762B03"/>
    <w:rsid w:val="00762D05"/>
    <w:rsid w:val="00762D8C"/>
    <w:rsid w:val="00763127"/>
    <w:rsid w:val="00763382"/>
    <w:rsid w:val="007635F2"/>
    <w:rsid w:val="0076369C"/>
    <w:rsid w:val="00765100"/>
    <w:rsid w:val="007659E0"/>
    <w:rsid w:val="00766E22"/>
    <w:rsid w:val="00766FB7"/>
    <w:rsid w:val="0076718B"/>
    <w:rsid w:val="00767954"/>
    <w:rsid w:val="00767C1C"/>
    <w:rsid w:val="00767E72"/>
    <w:rsid w:val="0077048D"/>
    <w:rsid w:val="00770622"/>
    <w:rsid w:val="00770F67"/>
    <w:rsid w:val="007714FE"/>
    <w:rsid w:val="00771674"/>
    <w:rsid w:val="007719CF"/>
    <w:rsid w:val="00771ABE"/>
    <w:rsid w:val="00772B27"/>
    <w:rsid w:val="00772EF9"/>
    <w:rsid w:val="007737BE"/>
    <w:rsid w:val="00773825"/>
    <w:rsid w:val="007754A2"/>
    <w:rsid w:val="0077575F"/>
    <w:rsid w:val="00775BD2"/>
    <w:rsid w:val="007762EC"/>
    <w:rsid w:val="007764DD"/>
    <w:rsid w:val="0077704E"/>
    <w:rsid w:val="0077709E"/>
    <w:rsid w:val="00777165"/>
    <w:rsid w:val="00781395"/>
    <w:rsid w:val="007823E3"/>
    <w:rsid w:val="00782AA5"/>
    <w:rsid w:val="00783EB5"/>
    <w:rsid w:val="00784A04"/>
    <w:rsid w:val="00784C7C"/>
    <w:rsid w:val="00785010"/>
    <w:rsid w:val="0078509A"/>
    <w:rsid w:val="0078548B"/>
    <w:rsid w:val="00785A02"/>
    <w:rsid w:val="00785A6B"/>
    <w:rsid w:val="00786263"/>
    <w:rsid w:val="0078666B"/>
    <w:rsid w:val="007872B3"/>
    <w:rsid w:val="00787792"/>
    <w:rsid w:val="007877F0"/>
    <w:rsid w:val="00787804"/>
    <w:rsid w:val="00787DC4"/>
    <w:rsid w:val="007909E5"/>
    <w:rsid w:val="00790EA5"/>
    <w:rsid w:val="0079170E"/>
    <w:rsid w:val="00791A9C"/>
    <w:rsid w:val="00791CC1"/>
    <w:rsid w:val="00791E8F"/>
    <w:rsid w:val="00791EE2"/>
    <w:rsid w:val="0079201B"/>
    <w:rsid w:val="0079215F"/>
    <w:rsid w:val="007925BF"/>
    <w:rsid w:val="00792EEA"/>
    <w:rsid w:val="00794316"/>
    <w:rsid w:val="007943A9"/>
    <w:rsid w:val="0079456F"/>
    <w:rsid w:val="007947FE"/>
    <w:rsid w:val="007949EB"/>
    <w:rsid w:val="00794E6D"/>
    <w:rsid w:val="007951C2"/>
    <w:rsid w:val="00795E75"/>
    <w:rsid w:val="00796262"/>
    <w:rsid w:val="007967D7"/>
    <w:rsid w:val="00796CC6"/>
    <w:rsid w:val="00797A38"/>
    <w:rsid w:val="007A0C8E"/>
    <w:rsid w:val="007A0C9A"/>
    <w:rsid w:val="007A218B"/>
    <w:rsid w:val="007A24C8"/>
    <w:rsid w:val="007A386E"/>
    <w:rsid w:val="007A3ED6"/>
    <w:rsid w:val="007A40B1"/>
    <w:rsid w:val="007A5A95"/>
    <w:rsid w:val="007A5DA3"/>
    <w:rsid w:val="007A5DCF"/>
    <w:rsid w:val="007A61F0"/>
    <w:rsid w:val="007A6701"/>
    <w:rsid w:val="007A6888"/>
    <w:rsid w:val="007A746E"/>
    <w:rsid w:val="007A7520"/>
    <w:rsid w:val="007B0476"/>
    <w:rsid w:val="007B1172"/>
    <w:rsid w:val="007B1BA0"/>
    <w:rsid w:val="007B1F97"/>
    <w:rsid w:val="007B3582"/>
    <w:rsid w:val="007B457C"/>
    <w:rsid w:val="007B473F"/>
    <w:rsid w:val="007B4A43"/>
    <w:rsid w:val="007B4B7A"/>
    <w:rsid w:val="007B5F1A"/>
    <w:rsid w:val="007B6789"/>
    <w:rsid w:val="007B6F4E"/>
    <w:rsid w:val="007B7E9B"/>
    <w:rsid w:val="007C04A2"/>
    <w:rsid w:val="007C0D17"/>
    <w:rsid w:val="007C19FE"/>
    <w:rsid w:val="007C1AB0"/>
    <w:rsid w:val="007C1C3C"/>
    <w:rsid w:val="007C2738"/>
    <w:rsid w:val="007C2749"/>
    <w:rsid w:val="007C48F7"/>
    <w:rsid w:val="007C54AE"/>
    <w:rsid w:val="007C5EBA"/>
    <w:rsid w:val="007C626E"/>
    <w:rsid w:val="007C6CDD"/>
    <w:rsid w:val="007C726D"/>
    <w:rsid w:val="007C74DA"/>
    <w:rsid w:val="007C7B77"/>
    <w:rsid w:val="007D05AA"/>
    <w:rsid w:val="007D0926"/>
    <w:rsid w:val="007D0AD5"/>
    <w:rsid w:val="007D0C10"/>
    <w:rsid w:val="007D1334"/>
    <w:rsid w:val="007D144B"/>
    <w:rsid w:val="007D19EB"/>
    <w:rsid w:val="007D2584"/>
    <w:rsid w:val="007D263F"/>
    <w:rsid w:val="007D2D2D"/>
    <w:rsid w:val="007D3A64"/>
    <w:rsid w:val="007D448D"/>
    <w:rsid w:val="007D4A3E"/>
    <w:rsid w:val="007D526B"/>
    <w:rsid w:val="007D5610"/>
    <w:rsid w:val="007D5701"/>
    <w:rsid w:val="007D5F70"/>
    <w:rsid w:val="007D6248"/>
    <w:rsid w:val="007D6430"/>
    <w:rsid w:val="007D6893"/>
    <w:rsid w:val="007D717C"/>
    <w:rsid w:val="007D73F6"/>
    <w:rsid w:val="007D7513"/>
    <w:rsid w:val="007D757E"/>
    <w:rsid w:val="007D7B8E"/>
    <w:rsid w:val="007E1173"/>
    <w:rsid w:val="007E1600"/>
    <w:rsid w:val="007E1735"/>
    <w:rsid w:val="007E1E51"/>
    <w:rsid w:val="007E2428"/>
    <w:rsid w:val="007E265A"/>
    <w:rsid w:val="007E2A13"/>
    <w:rsid w:val="007E2A41"/>
    <w:rsid w:val="007E30A8"/>
    <w:rsid w:val="007E3FF7"/>
    <w:rsid w:val="007E4397"/>
    <w:rsid w:val="007E48C3"/>
    <w:rsid w:val="007E4BEE"/>
    <w:rsid w:val="007E54AE"/>
    <w:rsid w:val="007E577B"/>
    <w:rsid w:val="007E5C76"/>
    <w:rsid w:val="007E628F"/>
    <w:rsid w:val="007E64CA"/>
    <w:rsid w:val="007E6883"/>
    <w:rsid w:val="007E7530"/>
    <w:rsid w:val="007E7E4D"/>
    <w:rsid w:val="007F00B6"/>
    <w:rsid w:val="007F018C"/>
    <w:rsid w:val="007F02FB"/>
    <w:rsid w:val="007F0565"/>
    <w:rsid w:val="007F0695"/>
    <w:rsid w:val="007F0A9D"/>
    <w:rsid w:val="007F0FC2"/>
    <w:rsid w:val="007F1426"/>
    <w:rsid w:val="007F14E4"/>
    <w:rsid w:val="007F271A"/>
    <w:rsid w:val="007F34EF"/>
    <w:rsid w:val="007F41BE"/>
    <w:rsid w:val="007F547C"/>
    <w:rsid w:val="007F5E00"/>
    <w:rsid w:val="007F6C31"/>
    <w:rsid w:val="007F6D77"/>
    <w:rsid w:val="007F77AC"/>
    <w:rsid w:val="007F7883"/>
    <w:rsid w:val="007F7AEB"/>
    <w:rsid w:val="008011C0"/>
    <w:rsid w:val="0080131F"/>
    <w:rsid w:val="00801CF1"/>
    <w:rsid w:val="00801DB3"/>
    <w:rsid w:val="00801EA0"/>
    <w:rsid w:val="00801FE0"/>
    <w:rsid w:val="008036C2"/>
    <w:rsid w:val="008036F9"/>
    <w:rsid w:val="008037DF"/>
    <w:rsid w:val="008038A1"/>
    <w:rsid w:val="00803C50"/>
    <w:rsid w:val="00803F23"/>
    <w:rsid w:val="00804840"/>
    <w:rsid w:val="0080491D"/>
    <w:rsid w:val="00804B3C"/>
    <w:rsid w:val="008050CD"/>
    <w:rsid w:val="00805826"/>
    <w:rsid w:val="00805F0D"/>
    <w:rsid w:val="008063FB"/>
    <w:rsid w:val="008065F4"/>
    <w:rsid w:val="00806A3C"/>
    <w:rsid w:val="008072BF"/>
    <w:rsid w:val="008103D1"/>
    <w:rsid w:val="00810652"/>
    <w:rsid w:val="00810A69"/>
    <w:rsid w:val="00810BC8"/>
    <w:rsid w:val="00810C8F"/>
    <w:rsid w:val="00810D54"/>
    <w:rsid w:val="00811E5C"/>
    <w:rsid w:val="00812D4D"/>
    <w:rsid w:val="0081354A"/>
    <w:rsid w:val="0081403D"/>
    <w:rsid w:val="0081421C"/>
    <w:rsid w:val="00814E8B"/>
    <w:rsid w:val="00815A47"/>
    <w:rsid w:val="00815A4B"/>
    <w:rsid w:val="00815B2B"/>
    <w:rsid w:val="008160CB"/>
    <w:rsid w:val="00816181"/>
    <w:rsid w:val="00816534"/>
    <w:rsid w:val="008170DA"/>
    <w:rsid w:val="00817174"/>
    <w:rsid w:val="008178CA"/>
    <w:rsid w:val="0082004A"/>
    <w:rsid w:val="00820292"/>
    <w:rsid w:val="008203AB"/>
    <w:rsid w:val="008203E9"/>
    <w:rsid w:val="00820A94"/>
    <w:rsid w:val="00821628"/>
    <w:rsid w:val="00821DA0"/>
    <w:rsid w:val="0082236C"/>
    <w:rsid w:val="008225A4"/>
    <w:rsid w:val="008233EF"/>
    <w:rsid w:val="00823DAB"/>
    <w:rsid w:val="00824437"/>
    <w:rsid w:val="00824D8A"/>
    <w:rsid w:val="00825958"/>
    <w:rsid w:val="00825B1D"/>
    <w:rsid w:val="00826190"/>
    <w:rsid w:val="008272E9"/>
    <w:rsid w:val="00827DAB"/>
    <w:rsid w:val="00830421"/>
    <w:rsid w:val="0083078E"/>
    <w:rsid w:val="00830EC4"/>
    <w:rsid w:val="00831264"/>
    <w:rsid w:val="00831EFA"/>
    <w:rsid w:val="008323D2"/>
    <w:rsid w:val="00833052"/>
    <w:rsid w:val="00833B83"/>
    <w:rsid w:val="00833CE9"/>
    <w:rsid w:val="00833FAD"/>
    <w:rsid w:val="008344E1"/>
    <w:rsid w:val="0083450E"/>
    <w:rsid w:val="00834C5D"/>
    <w:rsid w:val="00834D53"/>
    <w:rsid w:val="00834FF8"/>
    <w:rsid w:val="00835CC8"/>
    <w:rsid w:val="00835FD4"/>
    <w:rsid w:val="00836ADA"/>
    <w:rsid w:val="00836B69"/>
    <w:rsid w:val="00836C9B"/>
    <w:rsid w:val="00837D94"/>
    <w:rsid w:val="008400F2"/>
    <w:rsid w:val="00840299"/>
    <w:rsid w:val="008408A6"/>
    <w:rsid w:val="008408C1"/>
    <w:rsid w:val="00840AE5"/>
    <w:rsid w:val="00840EA6"/>
    <w:rsid w:val="00841184"/>
    <w:rsid w:val="00841672"/>
    <w:rsid w:val="008447E6"/>
    <w:rsid w:val="00844BCE"/>
    <w:rsid w:val="00845345"/>
    <w:rsid w:val="00845817"/>
    <w:rsid w:val="00846B7E"/>
    <w:rsid w:val="00846C6A"/>
    <w:rsid w:val="00850662"/>
    <w:rsid w:val="008514D9"/>
    <w:rsid w:val="00851D6E"/>
    <w:rsid w:val="00851D70"/>
    <w:rsid w:val="00852785"/>
    <w:rsid w:val="0085296E"/>
    <w:rsid w:val="0085319F"/>
    <w:rsid w:val="0085320F"/>
    <w:rsid w:val="0085342E"/>
    <w:rsid w:val="00853D82"/>
    <w:rsid w:val="0085418E"/>
    <w:rsid w:val="00854584"/>
    <w:rsid w:val="0085482B"/>
    <w:rsid w:val="00854A6C"/>
    <w:rsid w:val="00854DA8"/>
    <w:rsid w:val="00855200"/>
    <w:rsid w:val="00855E5E"/>
    <w:rsid w:val="00857091"/>
    <w:rsid w:val="00857876"/>
    <w:rsid w:val="0086078E"/>
    <w:rsid w:val="00862686"/>
    <w:rsid w:val="00862888"/>
    <w:rsid w:val="008629D2"/>
    <w:rsid w:val="0086311C"/>
    <w:rsid w:val="00863A9A"/>
    <w:rsid w:val="00864267"/>
    <w:rsid w:val="00864B7A"/>
    <w:rsid w:val="00864E66"/>
    <w:rsid w:val="00865BBF"/>
    <w:rsid w:val="008660D7"/>
    <w:rsid w:val="008662DB"/>
    <w:rsid w:val="00866C1E"/>
    <w:rsid w:val="00866D1F"/>
    <w:rsid w:val="00867156"/>
    <w:rsid w:val="0086727F"/>
    <w:rsid w:val="008672A3"/>
    <w:rsid w:val="00867686"/>
    <w:rsid w:val="00870F73"/>
    <w:rsid w:val="00871CA7"/>
    <w:rsid w:val="00872297"/>
    <w:rsid w:val="008726B5"/>
    <w:rsid w:val="00872BCF"/>
    <w:rsid w:val="00873470"/>
    <w:rsid w:val="0087631F"/>
    <w:rsid w:val="00877077"/>
    <w:rsid w:val="00877C81"/>
    <w:rsid w:val="00877DD4"/>
    <w:rsid w:val="00880718"/>
    <w:rsid w:val="0088119A"/>
    <w:rsid w:val="008829DC"/>
    <w:rsid w:val="008838DD"/>
    <w:rsid w:val="00883F6C"/>
    <w:rsid w:val="008844AB"/>
    <w:rsid w:val="00884AF2"/>
    <w:rsid w:val="0088520E"/>
    <w:rsid w:val="00885338"/>
    <w:rsid w:val="00886DB1"/>
    <w:rsid w:val="00887C86"/>
    <w:rsid w:val="00887FCA"/>
    <w:rsid w:val="00890C1B"/>
    <w:rsid w:val="00890EB5"/>
    <w:rsid w:val="008910DC"/>
    <w:rsid w:val="00891129"/>
    <w:rsid w:val="00891345"/>
    <w:rsid w:val="008915EA"/>
    <w:rsid w:val="00891601"/>
    <w:rsid w:val="008917E3"/>
    <w:rsid w:val="00891B19"/>
    <w:rsid w:val="008926DE"/>
    <w:rsid w:val="00892D58"/>
    <w:rsid w:val="00892DB8"/>
    <w:rsid w:val="00893029"/>
    <w:rsid w:val="008930AC"/>
    <w:rsid w:val="008932D5"/>
    <w:rsid w:val="00893C2E"/>
    <w:rsid w:val="00894735"/>
    <w:rsid w:val="0089573F"/>
    <w:rsid w:val="00896A9A"/>
    <w:rsid w:val="00896BF0"/>
    <w:rsid w:val="00897643"/>
    <w:rsid w:val="008A0565"/>
    <w:rsid w:val="008A182C"/>
    <w:rsid w:val="008A1EC9"/>
    <w:rsid w:val="008A206D"/>
    <w:rsid w:val="008A2787"/>
    <w:rsid w:val="008A3D82"/>
    <w:rsid w:val="008A437D"/>
    <w:rsid w:val="008A50DC"/>
    <w:rsid w:val="008A54F1"/>
    <w:rsid w:val="008A5BEA"/>
    <w:rsid w:val="008A5C7C"/>
    <w:rsid w:val="008A61A3"/>
    <w:rsid w:val="008A6220"/>
    <w:rsid w:val="008A656F"/>
    <w:rsid w:val="008A6C4B"/>
    <w:rsid w:val="008A70D9"/>
    <w:rsid w:val="008A72D3"/>
    <w:rsid w:val="008B02FC"/>
    <w:rsid w:val="008B0992"/>
    <w:rsid w:val="008B0AA1"/>
    <w:rsid w:val="008B0F90"/>
    <w:rsid w:val="008B1C1D"/>
    <w:rsid w:val="008B291F"/>
    <w:rsid w:val="008B2EA5"/>
    <w:rsid w:val="008B3393"/>
    <w:rsid w:val="008B3A27"/>
    <w:rsid w:val="008B3CC9"/>
    <w:rsid w:val="008B3D1C"/>
    <w:rsid w:val="008B4253"/>
    <w:rsid w:val="008B42C6"/>
    <w:rsid w:val="008B42D8"/>
    <w:rsid w:val="008B4A87"/>
    <w:rsid w:val="008B50CC"/>
    <w:rsid w:val="008B5329"/>
    <w:rsid w:val="008B6CCE"/>
    <w:rsid w:val="008B78C3"/>
    <w:rsid w:val="008B79BB"/>
    <w:rsid w:val="008C022C"/>
    <w:rsid w:val="008C0598"/>
    <w:rsid w:val="008C17E4"/>
    <w:rsid w:val="008C1BCD"/>
    <w:rsid w:val="008C1E45"/>
    <w:rsid w:val="008C289D"/>
    <w:rsid w:val="008C312F"/>
    <w:rsid w:val="008C334D"/>
    <w:rsid w:val="008C42FB"/>
    <w:rsid w:val="008C4833"/>
    <w:rsid w:val="008C4F93"/>
    <w:rsid w:val="008C550D"/>
    <w:rsid w:val="008C56F2"/>
    <w:rsid w:val="008C5BBE"/>
    <w:rsid w:val="008C60D1"/>
    <w:rsid w:val="008C62BE"/>
    <w:rsid w:val="008C6853"/>
    <w:rsid w:val="008C6BEB"/>
    <w:rsid w:val="008C77B0"/>
    <w:rsid w:val="008C786E"/>
    <w:rsid w:val="008D02D2"/>
    <w:rsid w:val="008D15F5"/>
    <w:rsid w:val="008D1D0A"/>
    <w:rsid w:val="008D1FE3"/>
    <w:rsid w:val="008D2346"/>
    <w:rsid w:val="008D2FC7"/>
    <w:rsid w:val="008D4063"/>
    <w:rsid w:val="008D4648"/>
    <w:rsid w:val="008D4BC5"/>
    <w:rsid w:val="008D5477"/>
    <w:rsid w:val="008D589D"/>
    <w:rsid w:val="008D5AFF"/>
    <w:rsid w:val="008D6949"/>
    <w:rsid w:val="008D6F4D"/>
    <w:rsid w:val="008D7087"/>
    <w:rsid w:val="008E02AC"/>
    <w:rsid w:val="008E0AC9"/>
    <w:rsid w:val="008E0AE8"/>
    <w:rsid w:val="008E218B"/>
    <w:rsid w:val="008E3D3A"/>
    <w:rsid w:val="008E4BA9"/>
    <w:rsid w:val="008E4F3B"/>
    <w:rsid w:val="008E5D85"/>
    <w:rsid w:val="008E7FF0"/>
    <w:rsid w:val="008F07BA"/>
    <w:rsid w:val="008F0D43"/>
    <w:rsid w:val="008F0F60"/>
    <w:rsid w:val="008F1187"/>
    <w:rsid w:val="008F11D0"/>
    <w:rsid w:val="008F12DD"/>
    <w:rsid w:val="008F15DE"/>
    <w:rsid w:val="008F1E3C"/>
    <w:rsid w:val="008F1ED8"/>
    <w:rsid w:val="008F211C"/>
    <w:rsid w:val="008F2563"/>
    <w:rsid w:val="008F2873"/>
    <w:rsid w:val="008F3E8B"/>
    <w:rsid w:val="008F3FAE"/>
    <w:rsid w:val="008F3FF9"/>
    <w:rsid w:val="008F4455"/>
    <w:rsid w:val="008F4D80"/>
    <w:rsid w:val="008F4DF9"/>
    <w:rsid w:val="008F6F65"/>
    <w:rsid w:val="0090008B"/>
    <w:rsid w:val="0090033E"/>
    <w:rsid w:val="009003EA"/>
    <w:rsid w:val="00900A4C"/>
    <w:rsid w:val="00900BF3"/>
    <w:rsid w:val="00900F98"/>
    <w:rsid w:val="009010CB"/>
    <w:rsid w:val="0090127E"/>
    <w:rsid w:val="009026E3"/>
    <w:rsid w:val="00902995"/>
    <w:rsid w:val="00902A63"/>
    <w:rsid w:val="0090314A"/>
    <w:rsid w:val="0090323A"/>
    <w:rsid w:val="00904AE1"/>
    <w:rsid w:val="0090524E"/>
    <w:rsid w:val="00905891"/>
    <w:rsid w:val="00907300"/>
    <w:rsid w:val="0091043C"/>
    <w:rsid w:val="00911BCA"/>
    <w:rsid w:val="00911C71"/>
    <w:rsid w:val="00912758"/>
    <w:rsid w:val="009127B0"/>
    <w:rsid w:val="009128DE"/>
    <w:rsid w:val="00913B49"/>
    <w:rsid w:val="00914EAE"/>
    <w:rsid w:val="00914F44"/>
    <w:rsid w:val="009155A4"/>
    <w:rsid w:val="00916444"/>
    <w:rsid w:val="00916B02"/>
    <w:rsid w:val="00916CFE"/>
    <w:rsid w:val="00916DD8"/>
    <w:rsid w:val="00916FDF"/>
    <w:rsid w:val="009174C3"/>
    <w:rsid w:val="009176BB"/>
    <w:rsid w:val="00917BAC"/>
    <w:rsid w:val="0092011B"/>
    <w:rsid w:val="009201CD"/>
    <w:rsid w:val="009204B2"/>
    <w:rsid w:val="00920917"/>
    <w:rsid w:val="00920B00"/>
    <w:rsid w:val="00920D29"/>
    <w:rsid w:val="00920FA8"/>
    <w:rsid w:val="00921EEC"/>
    <w:rsid w:val="00922F87"/>
    <w:rsid w:val="00923209"/>
    <w:rsid w:val="009238C0"/>
    <w:rsid w:val="009249B6"/>
    <w:rsid w:val="009253D1"/>
    <w:rsid w:val="00925D8E"/>
    <w:rsid w:val="0092640C"/>
    <w:rsid w:val="00926E67"/>
    <w:rsid w:val="00927222"/>
    <w:rsid w:val="00927E18"/>
    <w:rsid w:val="00927E8F"/>
    <w:rsid w:val="009309FD"/>
    <w:rsid w:val="00930A5A"/>
    <w:rsid w:val="00931084"/>
    <w:rsid w:val="00931203"/>
    <w:rsid w:val="00931592"/>
    <w:rsid w:val="00931695"/>
    <w:rsid w:val="00931878"/>
    <w:rsid w:val="00932401"/>
    <w:rsid w:val="009327F9"/>
    <w:rsid w:val="0093327A"/>
    <w:rsid w:val="00934002"/>
    <w:rsid w:val="00934233"/>
    <w:rsid w:val="00934CAD"/>
    <w:rsid w:val="00934E50"/>
    <w:rsid w:val="009358A9"/>
    <w:rsid w:val="00936584"/>
    <w:rsid w:val="00936686"/>
    <w:rsid w:val="00936BF6"/>
    <w:rsid w:val="009372AB"/>
    <w:rsid w:val="00937327"/>
    <w:rsid w:val="00937562"/>
    <w:rsid w:val="00937759"/>
    <w:rsid w:val="00940647"/>
    <w:rsid w:val="009408D2"/>
    <w:rsid w:val="009413FB"/>
    <w:rsid w:val="00941574"/>
    <w:rsid w:val="0094264F"/>
    <w:rsid w:val="0094359A"/>
    <w:rsid w:val="009443DA"/>
    <w:rsid w:val="00944BA3"/>
    <w:rsid w:val="0094537F"/>
    <w:rsid w:val="0094623F"/>
    <w:rsid w:val="009469A3"/>
    <w:rsid w:val="00946E85"/>
    <w:rsid w:val="00946F96"/>
    <w:rsid w:val="0094725B"/>
    <w:rsid w:val="00947FFA"/>
    <w:rsid w:val="00951B79"/>
    <w:rsid w:val="00951ED9"/>
    <w:rsid w:val="009527B1"/>
    <w:rsid w:val="00952F19"/>
    <w:rsid w:val="009538CD"/>
    <w:rsid w:val="00953A87"/>
    <w:rsid w:val="00954245"/>
    <w:rsid w:val="009543FD"/>
    <w:rsid w:val="00954788"/>
    <w:rsid w:val="009556AC"/>
    <w:rsid w:val="00955AED"/>
    <w:rsid w:val="00955C75"/>
    <w:rsid w:val="00955CBD"/>
    <w:rsid w:val="00955CC9"/>
    <w:rsid w:val="009567C0"/>
    <w:rsid w:val="00960930"/>
    <w:rsid w:val="009609B6"/>
    <w:rsid w:val="009610D0"/>
    <w:rsid w:val="009613AA"/>
    <w:rsid w:val="00961499"/>
    <w:rsid w:val="00961536"/>
    <w:rsid w:val="00961CEA"/>
    <w:rsid w:val="00963AAA"/>
    <w:rsid w:val="00963E32"/>
    <w:rsid w:val="00963F0F"/>
    <w:rsid w:val="009647C9"/>
    <w:rsid w:val="00964910"/>
    <w:rsid w:val="00964C36"/>
    <w:rsid w:val="00966B3B"/>
    <w:rsid w:val="00967672"/>
    <w:rsid w:val="009678E7"/>
    <w:rsid w:val="009705E9"/>
    <w:rsid w:val="0097060B"/>
    <w:rsid w:val="00970614"/>
    <w:rsid w:val="00970A14"/>
    <w:rsid w:val="00970D12"/>
    <w:rsid w:val="00971039"/>
    <w:rsid w:val="0097154C"/>
    <w:rsid w:val="00972DDF"/>
    <w:rsid w:val="009736F5"/>
    <w:rsid w:val="00973DF1"/>
    <w:rsid w:val="00973EA6"/>
    <w:rsid w:val="009741C1"/>
    <w:rsid w:val="009741FD"/>
    <w:rsid w:val="009749B4"/>
    <w:rsid w:val="0097572A"/>
    <w:rsid w:val="00975CB6"/>
    <w:rsid w:val="0097604E"/>
    <w:rsid w:val="009761F0"/>
    <w:rsid w:val="00976D89"/>
    <w:rsid w:val="00976D9D"/>
    <w:rsid w:val="00977A53"/>
    <w:rsid w:val="00977E6C"/>
    <w:rsid w:val="00977E78"/>
    <w:rsid w:val="00980048"/>
    <w:rsid w:val="009800FC"/>
    <w:rsid w:val="009828C1"/>
    <w:rsid w:val="00982CCB"/>
    <w:rsid w:val="009841CA"/>
    <w:rsid w:val="0098482E"/>
    <w:rsid w:val="0098486D"/>
    <w:rsid w:val="00984A0A"/>
    <w:rsid w:val="00984A5D"/>
    <w:rsid w:val="00985100"/>
    <w:rsid w:val="00985764"/>
    <w:rsid w:val="0098606D"/>
    <w:rsid w:val="00987269"/>
    <w:rsid w:val="00987482"/>
    <w:rsid w:val="009877DD"/>
    <w:rsid w:val="00990C61"/>
    <w:rsid w:val="009914A3"/>
    <w:rsid w:val="00991A88"/>
    <w:rsid w:val="00991C30"/>
    <w:rsid w:val="00992261"/>
    <w:rsid w:val="009928EB"/>
    <w:rsid w:val="0099348E"/>
    <w:rsid w:val="0099368C"/>
    <w:rsid w:val="009937F0"/>
    <w:rsid w:val="00993EE4"/>
    <w:rsid w:val="00994104"/>
    <w:rsid w:val="00994874"/>
    <w:rsid w:val="009948A4"/>
    <w:rsid w:val="00994CCF"/>
    <w:rsid w:val="00994CEB"/>
    <w:rsid w:val="00995FDD"/>
    <w:rsid w:val="0099681A"/>
    <w:rsid w:val="00997AB1"/>
    <w:rsid w:val="009A033F"/>
    <w:rsid w:val="009A0957"/>
    <w:rsid w:val="009A0B77"/>
    <w:rsid w:val="009A0B8E"/>
    <w:rsid w:val="009A0BDD"/>
    <w:rsid w:val="009A1A5F"/>
    <w:rsid w:val="009A317F"/>
    <w:rsid w:val="009A37AB"/>
    <w:rsid w:val="009A3E39"/>
    <w:rsid w:val="009A4683"/>
    <w:rsid w:val="009A4C03"/>
    <w:rsid w:val="009A7354"/>
    <w:rsid w:val="009B0747"/>
    <w:rsid w:val="009B1263"/>
    <w:rsid w:val="009B17AD"/>
    <w:rsid w:val="009B2102"/>
    <w:rsid w:val="009B2FFE"/>
    <w:rsid w:val="009B33D4"/>
    <w:rsid w:val="009B37AB"/>
    <w:rsid w:val="009B3C7B"/>
    <w:rsid w:val="009B3FC3"/>
    <w:rsid w:val="009B4115"/>
    <w:rsid w:val="009B47F1"/>
    <w:rsid w:val="009B5407"/>
    <w:rsid w:val="009B5740"/>
    <w:rsid w:val="009B5E2C"/>
    <w:rsid w:val="009B6151"/>
    <w:rsid w:val="009B6FD2"/>
    <w:rsid w:val="009B76E2"/>
    <w:rsid w:val="009B7932"/>
    <w:rsid w:val="009C0215"/>
    <w:rsid w:val="009C035E"/>
    <w:rsid w:val="009C0456"/>
    <w:rsid w:val="009C04B9"/>
    <w:rsid w:val="009C118B"/>
    <w:rsid w:val="009C1642"/>
    <w:rsid w:val="009C2B19"/>
    <w:rsid w:val="009C2DD9"/>
    <w:rsid w:val="009C2F1C"/>
    <w:rsid w:val="009C3AC0"/>
    <w:rsid w:val="009C3F41"/>
    <w:rsid w:val="009C4BDC"/>
    <w:rsid w:val="009C5156"/>
    <w:rsid w:val="009C519F"/>
    <w:rsid w:val="009C5A09"/>
    <w:rsid w:val="009C5B77"/>
    <w:rsid w:val="009C5CE6"/>
    <w:rsid w:val="009C7D1B"/>
    <w:rsid w:val="009C7FAD"/>
    <w:rsid w:val="009D1A46"/>
    <w:rsid w:val="009D260E"/>
    <w:rsid w:val="009D2D12"/>
    <w:rsid w:val="009D3004"/>
    <w:rsid w:val="009D4582"/>
    <w:rsid w:val="009D5466"/>
    <w:rsid w:val="009D5BA8"/>
    <w:rsid w:val="009D6794"/>
    <w:rsid w:val="009D718A"/>
    <w:rsid w:val="009D7385"/>
    <w:rsid w:val="009E0191"/>
    <w:rsid w:val="009E1850"/>
    <w:rsid w:val="009E18B5"/>
    <w:rsid w:val="009E1ADC"/>
    <w:rsid w:val="009E22F4"/>
    <w:rsid w:val="009E2BD6"/>
    <w:rsid w:val="009E2D6F"/>
    <w:rsid w:val="009E396D"/>
    <w:rsid w:val="009E39A0"/>
    <w:rsid w:val="009E43B8"/>
    <w:rsid w:val="009E456C"/>
    <w:rsid w:val="009E46F7"/>
    <w:rsid w:val="009E53F4"/>
    <w:rsid w:val="009E5652"/>
    <w:rsid w:val="009E596C"/>
    <w:rsid w:val="009E5A15"/>
    <w:rsid w:val="009E5C09"/>
    <w:rsid w:val="009E653C"/>
    <w:rsid w:val="009E6953"/>
    <w:rsid w:val="009E6D0B"/>
    <w:rsid w:val="009E727C"/>
    <w:rsid w:val="009E7795"/>
    <w:rsid w:val="009F019F"/>
    <w:rsid w:val="009F08DC"/>
    <w:rsid w:val="009F0DAD"/>
    <w:rsid w:val="009F0F59"/>
    <w:rsid w:val="009F13E9"/>
    <w:rsid w:val="009F1878"/>
    <w:rsid w:val="009F2C4C"/>
    <w:rsid w:val="009F2D56"/>
    <w:rsid w:val="009F2D97"/>
    <w:rsid w:val="009F443D"/>
    <w:rsid w:val="009F4BF6"/>
    <w:rsid w:val="009F5E28"/>
    <w:rsid w:val="009F74DA"/>
    <w:rsid w:val="009F76CD"/>
    <w:rsid w:val="00A00F9D"/>
    <w:rsid w:val="00A01260"/>
    <w:rsid w:val="00A01D55"/>
    <w:rsid w:val="00A01F5F"/>
    <w:rsid w:val="00A022F9"/>
    <w:rsid w:val="00A02948"/>
    <w:rsid w:val="00A02A57"/>
    <w:rsid w:val="00A03B70"/>
    <w:rsid w:val="00A04665"/>
    <w:rsid w:val="00A05319"/>
    <w:rsid w:val="00A06FCA"/>
    <w:rsid w:val="00A07154"/>
    <w:rsid w:val="00A0723A"/>
    <w:rsid w:val="00A07C75"/>
    <w:rsid w:val="00A10344"/>
    <w:rsid w:val="00A10953"/>
    <w:rsid w:val="00A10E01"/>
    <w:rsid w:val="00A10E21"/>
    <w:rsid w:val="00A110E7"/>
    <w:rsid w:val="00A11223"/>
    <w:rsid w:val="00A116F0"/>
    <w:rsid w:val="00A11DA7"/>
    <w:rsid w:val="00A130AC"/>
    <w:rsid w:val="00A13F36"/>
    <w:rsid w:val="00A145FF"/>
    <w:rsid w:val="00A152D4"/>
    <w:rsid w:val="00A15637"/>
    <w:rsid w:val="00A1564D"/>
    <w:rsid w:val="00A160A7"/>
    <w:rsid w:val="00A164E4"/>
    <w:rsid w:val="00A16833"/>
    <w:rsid w:val="00A16CBE"/>
    <w:rsid w:val="00A1753A"/>
    <w:rsid w:val="00A17EA7"/>
    <w:rsid w:val="00A20E55"/>
    <w:rsid w:val="00A21037"/>
    <w:rsid w:val="00A213CD"/>
    <w:rsid w:val="00A217A6"/>
    <w:rsid w:val="00A219C1"/>
    <w:rsid w:val="00A220C9"/>
    <w:rsid w:val="00A22555"/>
    <w:rsid w:val="00A22831"/>
    <w:rsid w:val="00A22A4B"/>
    <w:rsid w:val="00A22C04"/>
    <w:rsid w:val="00A23164"/>
    <w:rsid w:val="00A2318A"/>
    <w:rsid w:val="00A23215"/>
    <w:rsid w:val="00A233EE"/>
    <w:rsid w:val="00A23874"/>
    <w:rsid w:val="00A2391D"/>
    <w:rsid w:val="00A23988"/>
    <w:rsid w:val="00A244EF"/>
    <w:rsid w:val="00A24F42"/>
    <w:rsid w:val="00A24F4B"/>
    <w:rsid w:val="00A255BB"/>
    <w:rsid w:val="00A2609E"/>
    <w:rsid w:val="00A272E0"/>
    <w:rsid w:val="00A27AB1"/>
    <w:rsid w:val="00A27B6E"/>
    <w:rsid w:val="00A302C5"/>
    <w:rsid w:val="00A304D5"/>
    <w:rsid w:val="00A308E5"/>
    <w:rsid w:val="00A30F6E"/>
    <w:rsid w:val="00A31929"/>
    <w:rsid w:val="00A320DD"/>
    <w:rsid w:val="00A322C5"/>
    <w:rsid w:val="00A346AB"/>
    <w:rsid w:val="00A346FB"/>
    <w:rsid w:val="00A358E8"/>
    <w:rsid w:val="00A359A9"/>
    <w:rsid w:val="00A35A21"/>
    <w:rsid w:val="00A36091"/>
    <w:rsid w:val="00A36648"/>
    <w:rsid w:val="00A36E19"/>
    <w:rsid w:val="00A375CD"/>
    <w:rsid w:val="00A37994"/>
    <w:rsid w:val="00A37D49"/>
    <w:rsid w:val="00A414AD"/>
    <w:rsid w:val="00A4250A"/>
    <w:rsid w:val="00A43381"/>
    <w:rsid w:val="00A43547"/>
    <w:rsid w:val="00A435D1"/>
    <w:rsid w:val="00A445F0"/>
    <w:rsid w:val="00A4463C"/>
    <w:rsid w:val="00A44EF8"/>
    <w:rsid w:val="00A453B9"/>
    <w:rsid w:val="00A45828"/>
    <w:rsid w:val="00A45949"/>
    <w:rsid w:val="00A45B4B"/>
    <w:rsid w:val="00A46130"/>
    <w:rsid w:val="00A47A3A"/>
    <w:rsid w:val="00A47AD1"/>
    <w:rsid w:val="00A5019B"/>
    <w:rsid w:val="00A51061"/>
    <w:rsid w:val="00A51845"/>
    <w:rsid w:val="00A5192A"/>
    <w:rsid w:val="00A519A3"/>
    <w:rsid w:val="00A51D50"/>
    <w:rsid w:val="00A5465D"/>
    <w:rsid w:val="00A54C58"/>
    <w:rsid w:val="00A54E22"/>
    <w:rsid w:val="00A5647E"/>
    <w:rsid w:val="00A57160"/>
    <w:rsid w:val="00A571A3"/>
    <w:rsid w:val="00A57347"/>
    <w:rsid w:val="00A573AD"/>
    <w:rsid w:val="00A574CB"/>
    <w:rsid w:val="00A5766D"/>
    <w:rsid w:val="00A57B00"/>
    <w:rsid w:val="00A60150"/>
    <w:rsid w:val="00A6080B"/>
    <w:rsid w:val="00A60C29"/>
    <w:rsid w:val="00A60CCD"/>
    <w:rsid w:val="00A6177E"/>
    <w:rsid w:val="00A62AE9"/>
    <w:rsid w:val="00A62BA6"/>
    <w:rsid w:val="00A62E73"/>
    <w:rsid w:val="00A63426"/>
    <w:rsid w:val="00A63760"/>
    <w:rsid w:val="00A63B81"/>
    <w:rsid w:val="00A63D8E"/>
    <w:rsid w:val="00A63E94"/>
    <w:rsid w:val="00A648DF"/>
    <w:rsid w:val="00A656DA"/>
    <w:rsid w:val="00A65BCB"/>
    <w:rsid w:val="00A65E86"/>
    <w:rsid w:val="00A65FCA"/>
    <w:rsid w:val="00A66373"/>
    <w:rsid w:val="00A666BB"/>
    <w:rsid w:val="00A67633"/>
    <w:rsid w:val="00A676AA"/>
    <w:rsid w:val="00A7162A"/>
    <w:rsid w:val="00A71ACC"/>
    <w:rsid w:val="00A71F9B"/>
    <w:rsid w:val="00A72603"/>
    <w:rsid w:val="00A72CB6"/>
    <w:rsid w:val="00A73262"/>
    <w:rsid w:val="00A73418"/>
    <w:rsid w:val="00A734BB"/>
    <w:rsid w:val="00A73B00"/>
    <w:rsid w:val="00A75BC4"/>
    <w:rsid w:val="00A77C4E"/>
    <w:rsid w:val="00A8072D"/>
    <w:rsid w:val="00A80E32"/>
    <w:rsid w:val="00A823D7"/>
    <w:rsid w:val="00A82DC0"/>
    <w:rsid w:val="00A830AE"/>
    <w:rsid w:val="00A83407"/>
    <w:rsid w:val="00A83AFA"/>
    <w:rsid w:val="00A851BF"/>
    <w:rsid w:val="00A8567E"/>
    <w:rsid w:val="00A85816"/>
    <w:rsid w:val="00A858E6"/>
    <w:rsid w:val="00A86D5F"/>
    <w:rsid w:val="00A86EA8"/>
    <w:rsid w:val="00A8729B"/>
    <w:rsid w:val="00A87437"/>
    <w:rsid w:val="00A90F92"/>
    <w:rsid w:val="00A91198"/>
    <w:rsid w:val="00A91DA3"/>
    <w:rsid w:val="00A929B1"/>
    <w:rsid w:val="00A92EB1"/>
    <w:rsid w:val="00A9370D"/>
    <w:rsid w:val="00A9447B"/>
    <w:rsid w:val="00A95FF9"/>
    <w:rsid w:val="00A96A2C"/>
    <w:rsid w:val="00AA024D"/>
    <w:rsid w:val="00AA098F"/>
    <w:rsid w:val="00AA0F86"/>
    <w:rsid w:val="00AA14AA"/>
    <w:rsid w:val="00AA2249"/>
    <w:rsid w:val="00AA23D9"/>
    <w:rsid w:val="00AA271A"/>
    <w:rsid w:val="00AA2849"/>
    <w:rsid w:val="00AA3938"/>
    <w:rsid w:val="00AA43D2"/>
    <w:rsid w:val="00AA459F"/>
    <w:rsid w:val="00AA4E1D"/>
    <w:rsid w:val="00AA59B9"/>
    <w:rsid w:val="00AA6353"/>
    <w:rsid w:val="00AA6703"/>
    <w:rsid w:val="00AA6A9F"/>
    <w:rsid w:val="00AB0050"/>
    <w:rsid w:val="00AB02CC"/>
    <w:rsid w:val="00AB053C"/>
    <w:rsid w:val="00AB0F78"/>
    <w:rsid w:val="00AB1D40"/>
    <w:rsid w:val="00AB1FB8"/>
    <w:rsid w:val="00AB221D"/>
    <w:rsid w:val="00AB2451"/>
    <w:rsid w:val="00AB28C9"/>
    <w:rsid w:val="00AB328A"/>
    <w:rsid w:val="00AB447A"/>
    <w:rsid w:val="00AB51EF"/>
    <w:rsid w:val="00AB5625"/>
    <w:rsid w:val="00AB5C34"/>
    <w:rsid w:val="00AB5FA8"/>
    <w:rsid w:val="00AB68A3"/>
    <w:rsid w:val="00AB6AAC"/>
    <w:rsid w:val="00AB763E"/>
    <w:rsid w:val="00AB7AC2"/>
    <w:rsid w:val="00AC020A"/>
    <w:rsid w:val="00AC03BB"/>
    <w:rsid w:val="00AC08C2"/>
    <w:rsid w:val="00AC13DA"/>
    <w:rsid w:val="00AC1B44"/>
    <w:rsid w:val="00AC2135"/>
    <w:rsid w:val="00AC2283"/>
    <w:rsid w:val="00AC2A94"/>
    <w:rsid w:val="00AC2D6F"/>
    <w:rsid w:val="00AC30D1"/>
    <w:rsid w:val="00AC3551"/>
    <w:rsid w:val="00AC39DB"/>
    <w:rsid w:val="00AC3C67"/>
    <w:rsid w:val="00AC4475"/>
    <w:rsid w:val="00AC457A"/>
    <w:rsid w:val="00AC6A16"/>
    <w:rsid w:val="00AC6BF4"/>
    <w:rsid w:val="00AC70CE"/>
    <w:rsid w:val="00AC7850"/>
    <w:rsid w:val="00AD1098"/>
    <w:rsid w:val="00AD1721"/>
    <w:rsid w:val="00AD1B8B"/>
    <w:rsid w:val="00AD201A"/>
    <w:rsid w:val="00AD20A7"/>
    <w:rsid w:val="00AD282D"/>
    <w:rsid w:val="00AD29CC"/>
    <w:rsid w:val="00AD2A62"/>
    <w:rsid w:val="00AD36EA"/>
    <w:rsid w:val="00AD3BD1"/>
    <w:rsid w:val="00AD3E4A"/>
    <w:rsid w:val="00AD3E58"/>
    <w:rsid w:val="00AD5BCD"/>
    <w:rsid w:val="00AD5DB1"/>
    <w:rsid w:val="00AD65D8"/>
    <w:rsid w:val="00AD68E7"/>
    <w:rsid w:val="00AD6A2D"/>
    <w:rsid w:val="00AD719E"/>
    <w:rsid w:val="00AE04A0"/>
    <w:rsid w:val="00AE0724"/>
    <w:rsid w:val="00AE0BCD"/>
    <w:rsid w:val="00AE0C39"/>
    <w:rsid w:val="00AE0FA6"/>
    <w:rsid w:val="00AE1063"/>
    <w:rsid w:val="00AE15F8"/>
    <w:rsid w:val="00AE2969"/>
    <w:rsid w:val="00AE3658"/>
    <w:rsid w:val="00AE3748"/>
    <w:rsid w:val="00AE399C"/>
    <w:rsid w:val="00AE3EF1"/>
    <w:rsid w:val="00AE4147"/>
    <w:rsid w:val="00AE5475"/>
    <w:rsid w:val="00AE589F"/>
    <w:rsid w:val="00AE5973"/>
    <w:rsid w:val="00AE5F50"/>
    <w:rsid w:val="00AE6B4C"/>
    <w:rsid w:val="00AE709B"/>
    <w:rsid w:val="00AE76C5"/>
    <w:rsid w:val="00AE7A6D"/>
    <w:rsid w:val="00AE7E0A"/>
    <w:rsid w:val="00AE7F91"/>
    <w:rsid w:val="00AF0885"/>
    <w:rsid w:val="00AF15AA"/>
    <w:rsid w:val="00AF173B"/>
    <w:rsid w:val="00AF1C9F"/>
    <w:rsid w:val="00AF2443"/>
    <w:rsid w:val="00AF24C2"/>
    <w:rsid w:val="00AF2E38"/>
    <w:rsid w:val="00AF3410"/>
    <w:rsid w:val="00AF407F"/>
    <w:rsid w:val="00AF4E26"/>
    <w:rsid w:val="00AF4F0A"/>
    <w:rsid w:val="00AF546F"/>
    <w:rsid w:val="00B017FA"/>
    <w:rsid w:val="00B0286B"/>
    <w:rsid w:val="00B02EA5"/>
    <w:rsid w:val="00B03294"/>
    <w:rsid w:val="00B03B60"/>
    <w:rsid w:val="00B044DE"/>
    <w:rsid w:val="00B04555"/>
    <w:rsid w:val="00B04652"/>
    <w:rsid w:val="00B04CCF"/>
    <w:rsid w:val="00B05326"/>
    <w:rsid w:val="00B05BE9"/>
    <w:rsid w:val="00B06093"/>
    <w:rsid w:val="00B064C7"/>
    <w:rsid w:val="00B07E22"/>
    <w:rsid w:val="00B07F67"/>
    <w:rsid w:val="00B07FE2"/>
    <w:rsid w:val="00B105D1"/>
    <w:rsid w:val="00B1122D"/>
    <w:rsid w:val="00B1135A"/>
    <w:rsid w:val="00B127EC"/>
    <w:rsid w:val="00B12CB8"/>
    <w:rsid w:val="00B13761"/>
    <w:rsid w:val="00B138DD"/>
    <w:rsid w:val="00B13AAA"/>
    <w:rsid w:val="00B16789"/>
    <w:rsid w:val="00B16BDE"/>
    <w:rsid w:val="00B16BE4"/>
    <w:rsid w:val="00B16D6F"/>
    <w:rsid w:val="00B17328"/>
    <w:rsid w:val="00B20179"/>
    <w:rsid w:val="00B202E9"/>
    <w:rsid w:val="00B207F9"/>
    <w:rsid w:val="00B218B3"/>
    <w:rsid w:val="00B21E9B"/>
    <w:rsid w:val="00B23423"/>
    <w:rsid w:val="00B236C0"/>
    <w:rsid w:val="00B236E1"/>
    <w:rsid w:val="00B2413F"/>
    <w:rsid w:val="00B244F3"/>
    <w:rsid w:val="00B24E27"/>
    <w:rsid w:val="00B25A54"/>
    <w:rsid w:val="00B2628C"/>
    <w:rsid w:val="00B26395"/>
    <w:rsid w:val="00B27319"/>
    <w:rsid w:val="00B276A2"/>
    <w:rsid w:val="00B279F2"/>
    <w:rsid w:val="00B279FD"/>
    <w:rsid w:val="00B300E2"/>
    <w:rsid w:val="00B301E9"/>
    <w:rsid w:val="00B305F4"/>
    <w:rsid w:val="00B30B9D"/>
    <w:rsid w:val="00B30D01"/>
    <w:rsid w:val="00B3118E"/>
    <w:rsid w:val="00B31554"/>
    <w:rsid w:val="00B32D34"/>
    <w:rsid w:val="00B33749"/>
    <w:rsid w:val="00B33BD7"/>
    <w:rsid w:val="00B34481"/>
    <w:rsid w:val="00B3483B"/>
    <w:rsid w:val="00B3486F"/>
    <w:rsid w:val="00B34E10"/>
    <w:rsid w:val="00B3501F"/>
    <w:rsid w:val="00B355A0"/>
    <w:rsid w:val="00B35E87"/>
    <w:rsid w:val="00B365CD"/>
    <w:rsid w:val="00B36C39"/>
    <w:rsid w:val="00B3758E"/>
    <w:rsid w:val="00B376EA"/>
    <w:rsid w:val="00B37CC1"/>
    <w:rsid w:val="00B37E60"/>
    <w:rsid w:val="00B37FD1"/>
    <w:rsid w:val="00B409E1"/>
    <w:rsid w:val="00B41858"/>
    <w:rsid w:val="00B4225D"/>
    <w:rsid w:val="00B42A3F"/>
    <w:rsid w:val="00B42DE7"/>
    <w:rsid w:val="00B432CA"/>
    <w:rsid w:val="00B43938"/>
    <w:rsid w:val="00B43D6D"/>
    <w:rsid w:val="00B43DAF"/>
    <w:rsid w:val="00B448DB"/>
    <w:rsid w:val="00B457F7"/>
    <w:rsid w:val="00B47C7B"/>
    <w:rsid w:val="00B51241"/>
    <w:rsid w:val="00B51571"/>
    <w:rsid w:val="00B5251F"/>
    <w:rsid w:val="00B531CC"/>
    <w:rsid w:val="00B5369C"/>
    <w:rsid w:val="00B53B99"/>
    <w:rsid w:val="00B53FB2"/>
    <w:rsid w:val="00B54237"/>
    <w:rsid w:val="00B542D7"/>
    <w:rsid w:val="00B5447C"/>
    <w:rsid w:val="00B54A02"/>
    <w:rsid w:val="00B5525F"/>
    <w:rsid w:val="00B55AEE"/>
    <w:rsid w:val="00B55C8B"/>
    <w:rsid w:val="00B576AE"/>
    <w:rsid w:val="00B5789C"/>
    <w:rsid w:val="00B60402"/>
    <w:rsid w:val="00B60A1A"/>
    <w:rsid w:val="00B60FC7"/>
    <w:rsid w:val="00B612DE"/>
    <w:rsid w:val="00B617AB"/>
    <w:rsid w:val="00B61C61"/>
    <w:rsid w:val="00B62C0E"/>
    <w:rsid w:val="00B62C72"/>
    <w:rsid w:val="00B62FA7"/>
    <w:rsid w:val="00B630EC"/>
    <w:rsid w:val="00B6383E"/>
    <w:rsid w:val="00B64523"/>
    <w:rsid w:val="00B657A4"/>
    <w:rsid w:val="00B66969"/>
    <w:rsid w:val="00B673FA"/>
    <w:rsid w:val="00B6746E"/>
    <w:rsid w:val="00B7016E"/>
    <w:rsid w:val="00B70BA0"/>
    <w:rsid w:val="00B70E9C"/>
    <w:rsid w:val="00B72223"/>
    <w:rsid w:val="00B7269C"/>
    <w:rsid w:val="00B734A3"/>
    <w:rsid w:val="00B7376B"/>
    <w:rsid w:val="00B73770"/>
    <w:rsid w:val="00B7417B"/>
    <w:rsid w:val="00B7497F"/>
    <w:rsid w:val="00B7501D"/>
    <w:rsid w:val="00B75957"/>
    <w:rsid w:val="00B75D52"/>
    <w:rsid w:val="00B7602B"/>
    <w:rsid w:val="00B7695A"/>
    <w:rsid w:val="00B775D6"/>
    <w:rsid w:val="00B80493"/>
    <w:rsid w:val="00B8071F"/>
    <w:rsid w:val="00B80FF5"/>
    <w:rsid w:val="00B81C64"/>
    <w:rsid w:val="00B82912"/>
    <w:rsid w:val="00B82B24"/>
    <w:rsid w:val="00B8364F"/>
    <w:rsid w:val="00B83825"/>
    <w:rsid w:val="00B8385F"/>
    <w:rsid w:val="00B859DA"/>
    <w:rsid w:val="00B85A65"/>
    <w:rsid w:val="00B85CB2"/>
    <w:rsid w:val="00B85E28"/>
    <w:rsid w:val="00B8657E"/>
    <w:rsid w:val="00B86A03"/>
    <w:rsid w:val="00B86FF5"/>
    <w:rsid w:val="00B87686"/>
    <w:rsid w:val="00B904C7"/>
    <w:rsid w:val="00B90640"/>
    <w:rsid w:val="00B919E3"/>
    <w:rsid w:val="00B91D53"/>
    <w:rsid w:val="00B92A46"/>
    <w:rsid w:val="00B94EC3"/>
    <w:rsid w:val="00B95C1D"/>
    <w:rsid w:val="00B9623F"/>
    <w:rsid w:val="00B97BD6"/>
    <w:rsid w:val="00BA01BB"/>
    <w:rsid w:val="00BA0467"/>
    <w:rsid w:val="00BA0C4F"/>
    <w:rsid w:val="00BA144E"/>
    <w:rsid w:val="00BA15CC"/>
    <w:rsid w:val="00BA1D15"/>
    <w:rsid w:val="00BA22D2"/>
    <w:rsid w:val="00BA39C0"/>
    <w:rsid w:val="00BA3C50"/>
    <w:rsid w:val="00BA468A"/>
    <w:rsid w:val="00BA6412"/>
    <w:rsid w:val="00BA67EA"/>
    <w:rsid w:val="00BA698C"/>
    <w:rsid w:val="00BA69A8"/>
    <w:rsid w:val="00BA6FE2"/>
    <w:rsid w:val="00BA7A19"/>
    <w:rsid w:val="00BA7F52"/>
    <w:rsid w:val="00BB0250"/>
    <w:rsid w:val="00BB0FA6"/>
    <w:rsid w:val="00BB128F"/>
    <w:rsid w:val="00BB1365"/>
    <w:rsid w:val="00BB139C"/>
    <w:rsid w:val="00BB1840"/>
    <w:rsid w:val="00BB1DAE"/>
    <w:rsid w:val="00BB22F1"/>
    <w:rsid w:val="00BB30E4"/>
    <w:rsid w:val="00BB3BCA"/>
    <w:rsid w:val="00BB3C8A"/>
    <w:rsid w:val="00BB4465"/>
    <w:rsid w:val="00BB4575"/>
    <w:rsid w:val="00BB53A0"/>
    <w:rsid w:val="00BB55DE"/>
    <w:rsid w:val="00BB64F3"/>
    <w:rsid w:val="00BB676C"/>
    <w:rsid w:val="00BB67B5"/>
    <w:rsid w:val="00BB7388"/>
    <w:rsid w:val="00BB7391"/>
    <w:rsid w:val="00BC0472"/>
    <w:rsid w:val="00BC0E32"/>
    <w:rsid w:val="00BC19A8"/>
    <w:rsid w:val="00BC28A7"/>
    <w:rsid w:val="00BC2A1B"/>
    <w:rsid w:val="00BC3F8B"/>
    <w:rsid w:val="00BC4310"/>
    <w:rsid w:val="00BC477E"/>
    <w:rsid w:val="00BC523C"/>
    <w:rsid w:val="00BC55C0"/>
    <w:rsid w:val="00BC5783"/>
    <w:rsid w:val="00BC57BB"/>
    <w:rsid w:val="00BC597F"/>
    <w:rsid w:val="00BC6143"/>
    <w:rsid w:val="00BC6AB5"/>
    <w:rsid w:val="00BC7322"/>
    <w:rsid w:val="00BC77D5"/>
    <w:rsid w:val="00BC7D22"/>
    <w:rsid w:val="00BD019B"/>
    <w:rsid w:val="00BD04BE"/>
    <w:rsid w:val="00BD0B60"/>
    <w:rsid w:val="00BD0F75"/>
    <w:rsid w:val="00BD15D6"/>
    <w:rsid w:val="00BD1C7F"/>
    <w:rsid w:val="00BD20F6"/>
    <w:rsid w:val="00BD237F"/>
    <w:rsid w:val="00BD2734"/>
    <w:rsid w:val="00BD2746"/>
    <w:rsid w:val="00BD2A97"/>
    <w:rsid w:val="00BD2D5E"/>
    <w:rsid w:val="00BD419E"/>
    <w:rsid w:val="00BD425A"/>
    <w:rsid w:val="00BD499C"/>
    <w:rsid w:val="00BD4B77"/>
    <w:rsid w:val="00BD4FD9"/>
    <w:rsid w:val="00BD5529"/>
    <w:rsid w:val="00BD5A57"/>
    <w:rsid w:val="00BD65C5"/>
    <w:rsid w:val="00BD6ACC"/>
    <w:rsid w:val="00BD6CF0"/>
    <w:rsid w:val="00BD73E6"/>
    <w:rsid w:val="00BE0576"/>
    <w:rsid w:val="00BE0B34"/>
    <w:rsid w:val="00BE0C86"/>
    <w:rsid w:val="00BE19CA"/>
    <w:rsid w:val="00BE2677"/>
    <w:rsid w:val="00BE309E"/>
    <w:rsid w:val="00BE311F"/>
    <w:rsid w:val="00BE3B93"/>
    <w:rsid w:val="00BE3EDE"/>
    <w:rsid w:val="00BE437F"/>
    <w:rsid w:val="00BE55A4"/>
    <w:rsid w:val="00BE5658"/>
    <w:rsid w:val="00BE5A15"/>
    <w:rsid w:val="00BE5B54"/>
    <w:rsid w:val="00BE5FFC"/>
    <w:rsid w:val="00BE62E4"/>
    <w:rsid w:val="00BE6B3B"/>
    <w:rsid w:val="00BE6D37"/>
    <w:rsid w:val="00BE7309"/>
    <w:rsid w:val="00BE73E1"/>
    <w:rsid w:val="00BF032F"/>
    <w:rsid w:val="00BF0469"/>
    <w:rsid w:val="00BF063E"/>
    <w:rsid w:val="00BF0B20"/>
    <w:rsid w:val="00BF0C4A"/>
    <w:rsid w:val="00BF1186"/>
    <w:rsid w:val="00BF13AD"/>
    <w:rsid w:val="00BF152A"/>
    <w:rsid w:val="00BF201C"/>
    <w:rsid w:val="00BF38E3"/>
    <w:rsid w:val="00BF4134"/>
    <w:rsid w:val="00BF4221"/>
    <w:rsid w:val="00BF439D"/>
    <w:rsid w:val="00BF4405"/>
    <w:rsid w:val="00BF55BA"/>
    <w:rsid w:val="00BF593C"/>
    <w:rsid w:val="00BF5A2A"/>
    <w:rsid w:val="00BF5A7D"/>
    <w:rsid w:val="00BF5F69"/>
    <w:rsid w:val="00BF604F"/>
    <w:rsid w:val="00BF6641"/>
    <w:rsid w:val="00BF713B"/>
    <w:rsid w:val="00C00890"/>
    <w:rsid w:val="00C01A46"/>
    <w:rsid w:val="00C01C02"/>
    <w:rsid w:val="00C022B3"/>
    <w:rsid w:val="00C02DDE"/>
    <w:rsid w:val="00C0347D"/>
    <w:rsid w:val="00C03620"/>
    <w:rsid w:val="00C038DF"/>
    <w:rsid w:val="00C03A6B"/>
    <w:rsid w:val="00C03F2C"/>
    <w:rsid w:val="00C0403C"/>
    <w:rsid w:val="00C040A8"/>
    <w:rsid w:val="00C0456D"/>
    <w:rsid w:val="00C04751"/>
    <w:rsid w:val="00C05450"/>
    <w:rsid w:val="00C05A42"/>
    <w:rsid w:val="00C05DAE"/>
    <w:rsid w:val="00C0617F"/>
    <w:rsid w:val="00C0659F"/>
    <w:rsid w:val="00C06B61"/>
    <w:rsid w:val="00C07225"/>
    <w:rsid w:val="00C07229"/>
    <w:rsid w:val="00C1001A"/>
    <w:rsid w:val="00C10932"/>
    <w:rsid w:val="00C10B97"/>
    <w:rsid w:val="00C116D0"/>
    <w:rsid w:val="00C1202F"/>
    <w:rsid w:val="00C12406"/>
    <w:rsid w:val="00C12ABB"/>
    <w:rsid w:val="00C12F34"/>
    <w:rsid w:val="00C13535"/>
    <w:rsid w:val="00C135F0"/>
    <w:rsid w:val="00C13902"/>
    <w:rsid w:val="00C143AB"/>
    <w:rsid w:val="00C14681"/>
    <w:rsid w:val="00C14F1F"/>
    <w:rsid w:val="00C16E4B"/>
    <w:rsid w:val="00C21350"/>
    <w:rsid w:val="00C22174"/>
    <w:rsid w:val="00C22D2F"/>
    <w:rsid w:val="00C23157"/>
    <w:rsid w:val="00C24175"/>
    <w:rsid w:val="00C254B6"/>
    <w:rsid w:val="00C25519"/>
    <w:rsid w:val="00C25A2B"/>
    <w:rsid w:val="00C25BF3"/>
    <w:rsid w:val="00C25BFD"/>
    <w:rsid w:val="00C26DB7"/>
    <w:rsid w:val="00C27B6F"/>
    <w:rsid w:val="00C30B7B"/>
    <w:rsid w:val="00C30F50"/>
    <w:rsid w:val="00C318D1"/>
    <w:rsid w:val="00C32DAB"/>
    <w:rsid w:val="00C32ED8"/>
    <w:rsid w:val="00C33344"/>
    <w:rsid w:val="00C333E8"/>
    <w:rsid w:val="00C34442"/>
    <w:rsid w:val="00C347E9"/>
    <w:rsid w:val="00C34D1C"/>
    <w:rsid w:val="00C35447"/>
    <w:rsid w:val="00C354A8"/>
    <w:rsid w:val="00C35BA2"/>
    <w:rsid w:val="00C363F3"/>
    <w:rsid w:val="00C36600"/>
    <w:rsid w:val="00C36B75"/>
    <w:rsid w:val="00C36FF1"/>
    <w:rsid w:val="00C378B3"/>
    <w:rsid w:val="00C379E6"/>
    <w:rsid w:val="00C406E1"/>
    <w:rsid w:val="00C41925"/>
    <w:rsid w:val="00C428E9"/>
    <w:rsid w:val="00C42B7D"/>
    <w:rsid w:val="00C4421E"/>
    <w:rsid w:val="00C448A3"/>
    <w:rsid w:val="00C44D4E"/>
    <w:rsid w:val="00C44D8B"/>
    <w:rsid w:val="00C44E2C"/>
    <w:rsid w:val="00C4556F"/>
    <w:rsid w:val="00C456B1"/>
    <w:rsid w:val="00C46268"/>
    <w:rsid w:val="00C4676C"/>
    <w:rsid w:val="00C46879"/>
    <w:rsid w:val="00C47198"/>
    <w:rsid w:val="00C474A1"/>
    <w:rsid w:val="00C4765B"/>
    <w:rsid w:val="00C47A1E"/>
    <w:rsid w:val="00C500AC"/>
    <w:rsid w:val="00C505A1"/>
    <w:rsid w:val="00C52014"/>
    <w:rsid w:val="00C52861"/>
    <w:rsid w:val="00C52D59"/>
    <w:rsid w:val="00C54F94"/>
    <w:rsid w:val="00C55191"/>
    <w:rsid w:val="00C5599F"/>
    <w:rsid w:val="00C55AD4"/>
    <w:rsid w:val="00C55BA2"/>
    <w:rsid w:val="00C56CC8"/>
    <w:rsid w:val="00C571F8"/>
    <w:rsid w:val="00C57262"/>
    <w:rsid w:val="00C57991"/>
    <w:rsid w:val="00C603CC"/>
    <w:rsid w:val="00C604FD"/>
    <w:rsid w:val="00C60985"/>
    <w:rsid w:val="00C60C5D"/>
    <w:rsid w:val="00C60D53"/>
    <w:rsid w:val="00C6151D"/>
    <w:rsid w:val="00C6293E"/>
    <w:rsid w:val="00C631B0"/>
    <w:rsid w:val="00C6398D"/>
    <w:rsid w:val="00C6556E"/>
    <w:rsid w:val="00C6580A"/>
    <w:rsid w:val="00C65AB4"/>
    <w:rsid w:val="00C65D6A"/>
    <w:rsid w:val="00C66172"/>
    <w:rsid w:val="00C6692D"/>
    <w:rsid w:val="00C669FA"/>
    <w:rsid w:val="00C70303"/>
    <w:rsid w:val="00C70996"/>
    <w:rsid w:val="00C7141F"/>
    <w:rsid w:val="00C71D80"/>
    <w:rsid w:val="00C7204F"/>
    <w:rsid w:val="00C720CD"/>
    <w:rsid w:val="00C729A8"/>
    <w:rsid w:val="00C737EF"/>
    <w:rsid w:val="00C73AFA"/>
    <w:rsid w:val="00C746AC"/>
    <w:rsid w:val="00C756B6"/>
    <w:rsid w:val="00C76E4F"/>
    <w:rsid w:val="00C775EB"/>
    <w:rsid w:val="00C777DC"/>
    <w:rsid w:val="00C77AFE"/>
    <w:rsid w:val="00C81260"/>
    <w:rsid w:val="00C81428"/>
    <w:rsid w:val="00C81980"/>
    <w:rsid w:val="00C8347D"/>
    <w:rsid w:val="00C8380F"/>
    <w:rsid w:val="00C8466C"/>
    <w:rsid w:val="00C84CC6"/>
    <w:rsid w:val="00C8528B"/>
    <w:rsid w:val="00C85722"/>
    <w:rsid w:val="00C85C29"/>
    <w:rsid w:val="00C86262"/>
    <w:rsid w:val="00C863D8"/>
    <w:rsid w:val="00C867C2"/>
    <w:rsid w:val="00C867EB"/>
    <w:rsid w:val="00C86CBE"/>
    <w:rsid w:val="00C870C9"/>
    <w:rsid w:val="00C87651"/>
    <w:rsid w:val="00C90188"/>
    <w:rsid w:val="00C90C9E"/>
    <w:rsid w:val="00C91714"/>
    <w:rsid w:val="00C91750"/>
    <w:rsid w:val="00C919A9"/>
    <w:rsid w:val="00C91B6C"/>
    <w:rsid w:val="00C92779"/>
    <w:rsid w:val="00C9328E"/>
    <w:rsid w:val="00C93860"/>
    <w:rsid w:val="00C93AC6"/>
    <w:rsid w:val="00C93DFA"/>
    <w:rsid w:val="00C94E5A"/>
    <w:rsid w:val="00C95677"/>
    <w:rsid w:val="00C95844"/>
    <w:rsid w:val="00C959CE"/>
    <w:rsid w:val="00C95A7D"/>
    <w:rsid w:val="00C95D79"/>
    <w:rsid w:val="00C96124"/>
    <w:rsid w:val="00C96A51"/>
    <w:rsid w:val="00C96FFF"/>
    <w:rsid w:val="00CA002C"/>
    <w:rsid w:val="00CA1035"/>
    <w:rsid w:val="00CA1955"/>
    <w:rsid w:val="00CA25EF"/>
    <w:rsid w:val="00CA5A89"/>
    <w:rsid w:val="00CA5F8B"/>
    <w:rsid w:val="00CA65D1"/>
    <w:rsid w:val="00CA663D"/>
    <w:rsid w:val="00CA6664"/>
    <w:rsid w:val="00CA6D5D"/>
    <w:rsid w:val="00CA7247"/>
    <w:rsid w:val="00CB0576"/>
    <w:rsid w:val="00CB1203"/>
    <w:rsid w:val="00CB289B"/>
    <w:rsid w:val="00CB29A4"/>
    <w:rsid w:val="00CB304A"/>
    <w:rsid w:val="00CB33BE"/>
    <w:rsid w:val="00CB3EC4"/>
    <w:rsid w:val="00CB457D"/>
    <w:rsid w:val="00CB4FB1"/>
    <w:rsid w:val="00CB51AD"/>
    <w:rsid w:val="00CB51AE"/>
    <w:rsid w:val="00CC05D2"/>
    <w:rsid w:val="00CC10D8"/>
    <w:rsid w:val="00CC1C20"/>
    <w:rsid w:val="00CC1EE7"/>
    <w:rsid w:val="00CC2F30"/>
    <w:rsid w:val="00CC2FA2"/>
    <w:rsid w:val="00CC4BEC"/>
    <w:rsid w:val="00CC5547"/>
    <w:rsid w:val="00CC6FC9"/>
    <w:rsid w:val="00CC7CA5"/>
    <w:rsid w:val="00CC7F78"/>
    <w:rsid w:val="00CD0182"/>
    <w:rsid w:val="00CD0851"/>
    <w:rsid w:val="00CD0B8D"/>
    <w:rsid w:val="00CD1638"/>
    <w:rsid w:val="00CD1D63"/>
    <w:rsid w:val="00CD1DE3"/>
    <w:rsid w:val="00CD2343"/>
    <w:rsid w:val="00CD3D09"/>
    <w:rsid w:val="00CD42BE"/>
    <w:rsid w:val="00CD6150"/>
    <w:rsid w:val="00CD61C9"/>
    <w:rsid w:val="00CD6775"/>
    <w:rsid w:val="00CD6F2B"/>
    <w:rsid w:val="00CD7171"/>
    <w:rsid w:val="00CD7CE2"/>
    <w:rsid w:val="00CE0723"/>
    <w:rsid w:val="00CE1975"/>
    <w:rsid w:val="00CE22DF"/>
    <w:rsid w:val="00CE2445"/>
    <w:rsid w:val="00CE2792"/>
    <w:rsid w:val="00CE34EE"/>
    <w:rsid w:val="00CE3B51"/>
    <w:rsid w:val="00CE3D2C"/>
    <w:rsid w:val="00CE3FE5"/>
    <w:rsid w:val="00CE42BA"/>
    <w:rsid w:val="00CE4633"/>
    <w:rsid w:val="00CE4639"/>
    <w:rsid w:val="00CE46BB"/>
    <w:rsid w:val="00CE4A0C"/>
    <w:rsid w:val="00CE4C7A"/>
    <w:rsid w:val="00CE512F"/>
    <w:rsid w:val="00CE5EAA"/>
    <w:rsid w:val="00CE7269"/>
    <w:rsid w:val="00CE75BD"/>
    <w:rsid w:val="00CE7B9C"/>
    <w:rsid w:val="00CF0063"/>
    <w:rsid w:val="00CF02C8"/>
    <w:rsid w:val="00CF037C"/>
    <w:rsid w:val="00CF05A1"/>
    <w:rsid w:val="00CF0B4B"/>
    <w:rsid w:val="00CF0E95"/>
    <w:rsid w:val="00CF165E"/>
    <w:rsid w:val="00CF18B4"/>
    <w:rsid w:val="00CF233B"/>
    <w:rsid w:val="00CF238D"/>
    <w:rsid w:val="00CF240A"/>
    <w:rsid w:val="00CF293A"/>
    <w:rsid w:val="00CF2C55"/>
    <w:rsid w:val="00CF31A5"/>
    <w:rsid w:val="00CF3369"/>
    <w:rsid w:val="00CF3BDD"/>
    <w:rsid w:val="00CF3C62"/>
    <w:rsid w:val="00CF4980"/>
    <w:rsid w:val="00CF599F"/>
    <w:rsid w:val="00CF7526"/>
    <w:rsid w:val="00D00A42"/>
    <w:rsid w:val="00D010F0"/>
    <w:rsid w:val="00D010F8"/>
    <w:rsid w:val="00D015BC"/>
    <w:rsid w:val="00D01681"/>
    <w:rsid w:val="00D01863"/>
    <w:rsid w:val="00D01C15"/>
    <w:rsid w:val="00D027CA"/>
    <w:rsid w:val="00D04C30"/>
    <w:rsid w:val="00D04F09"/>
    <w:rsid w:val="00D0518A"/>
    <w:rsid w:val="00D06161"/>
    <w:rsid w:val="00D07120"/>
    <w:rsid w:val="00D071A8"/>
    <w:rsid w:val="00D07F96"/>
    <w:rsid w:val="00D11281"/>
    <w:rsid w:val="00D112FD"/>
    <w:rsid w:val="00D121AB"/>
    <w:rsid w:val="00D12906"/>
    <w:rsid w:val="00D12A81"/>
    <w:rsid w:val="00D12AA9"/>
    <w:rsid w:val="00D130E1"/>
    <w:rsid w:val="00D132BF"/>
    <w:rsid w:val="00D145AF"/>
    <w:rsid w:val="00D14C0A"/>
    <w:rsid w:val="00D14E0C"/>
    <w:rsid w:val="00D14EAB"/>
    <w:rsid w:val="00D1570D"/>
    <w:rsid w:val="00D157A9"/>
    <w:rsid w:val="00D15915"/>
    <w:rsid w:val="00D15981"/>
    <w:rsid w:val="00D16400"/>
    <w:rsid w:val="00D1696E"/>
    <w:rsid w:val="00D16B02"/>
    <w:rsid w:val="00D16CD3"/>
    <w:rsid w:val="00D200E1"/>
    <w:rsid w:val="00D20CD5"/>
    <w:rsid w:val="00D223F1"/>
    <w:rsid w:val="00D230A6"/>
    <w:rsid w:val="00D23137"/>
    <w:rsid w:val="00D237D0"/>
    <w:rsid w:val="00D23C1E"/>
    <w:rsid w:val="00D23ED4"/>
    <w:rsid w:val="00D2447C"/>
    <w:rsid w:val="00D24F85"/>
    <w:rsid w:val="00D2644F"/>
    <w:rsid w:val="00D2788B"/>
    <w:rsid w:val="00D30621"/>
    <w:rsid w:val="00D30F29"/>
    <w:rsid w:val="00D329FD"/>
    <w:rsid w:val="00D32BE8"/>
    <w:rsid w:val="00D33108"/>
    <w:rsid w:val="00D3427C"/>
    <w:rsid w:val="00D34A4D"/>
    <w:rsid w:val="00D34DD7"/>
    <w:rsid w:val="00D34FC1"/>
    <w:rsid w:val="00D35676"/>
    <w:rsid w:val="00D35AC9"/>
    <w:rsid w:val="00D35CA6"/>
    <w:rsid w:val="00D36297"/>
    <w:rsid w:val="00D36579"/>
    <w:rsid w:val="00D366EC"/>
    <w:rsid w:val="00D3690F"/>
    <w:rsid w:val="00D37925"/>
    <w:rsid w:val="00D411E1"/>
    <w:rsid w:val="00D412EB"/>
    <w:rsid w:val="00D41654"/>
    <w:rsid w:val="00D41ADA"/>
    <w:rsid w:val="00D41EC7"/>
    <w:rsid w:val="00D41F37"/>
    <w:rsid w:val="00D422C5"/>
    <w:rsid w:val="00D42A05"/>
    <w:rsid w:val="00D42DF3"/>
    <w:rsid w:val="00D42FAE"/>
    <w:rsid w:val="00D4377E"/>
    <w:rsid w:val="00D440FD"/>
    <w:rsid w:val="00D4465E"/>
    <w:rsid w:val="00D44C12"/>
    <w:rsid w:val="00D456A1"/>
    <w:rsid w:val="00D45CAD"/>
    <w:rsid w:val="00D46318"/>
    <w:rsid w:val="00D463E3"/>
    <w:rsid w:val="00D4725E"/>
    <w:rsid w:val="00D47751"/>
    <w:rsid w:val="00D50463"/>
    <w:rsid w:val="00D50DD9"/>
    <w:rsid w:val="00D51531"/>
    <w:rsid w:val="00D5310D"/>
    <w:rsid w:val="00D5380C"/>
    <w:rsid w:val="00D543FE"/>
    <w:rsid w:val="00D55260"/>
    <w:rsid w:val="00D55C36"/>
    <w:rsid w:val="00D562B1"/>
    <w:rsid w:val="00D572CE"/>
    <w:rsid w:val="00D577F0"/>
    <w:rsid w:val="00D57CEF"/>
    <w:rsid w:val="00D57E54"/>
    <w:rsid w:val="00D6094E"/>
    <w:rsid w:val="00D60C5E"/>
    <w:rsid w:val="00D60E40"/>
    <w:rsid w:val="00D613C8"/>
    <w:rsid w:val="00D61F68"/>
    <w:rsid w:val="00D61F76"/>
    <w:rsid w:val="00D6219D"/>
    <w:rsid w:val="00D62217"/>
    <w:rsid w:val="00D62A65"/>
    <w:rsid w:val="00D62F96"/>
    <w:rsid w:val="00D63122"/>
    <w:rsid w:val="00D63C4A"/>
    <w:rsid w:val="00D63FB5"/>
    <w:rsid w:val="00D64482"/>
    <w:rsid w:val="00D669C9"/>
    <w:rsid w:val="00D66D97"/>
    <w:rsid w:val="00D66DB3"/>
    <w:rsid w:val="00D70125"/>
    <w:rsid w:val="00D70ED9"/>
    <w:rsid w:val="00D710E3"/>
    <w:rsid w:val="00D71108"/>
    <w:rsid w:val="00D71936"/>
    <w:rsid w:val="00D71C10"/>
    <w:rsid w:val="00D71EF7"/>
    <w:rsid w:val="00D72CC7"/>
    <w:rsid w:val="00D72D94"/>
    <w:rsid w:val="00D734B2"/>
    <w:rsid w:val="00D736FA"/>
    <w:rsid w:val="00D738D9"/>
    <w:rsid w:val="00D73AB0"/>
    <w:rsid w:val="00D73FDC"/>
    <w:rsid w:val="00D740ED"/>
    <w:rsid w:val="00D74AB8"/>
    <w:rsid w:val="00D74CB8"/>
    <w:rsid w:val="00D76977"/>
    <w:rsid w:val="00D77283"/>
    <w:rsid w:val="00D81B08"/>
    <w:rsid w:val="00D81DA8"/>
    <w:rsid w:val="00D82398"/>
    <w:rsid w:val="00D825B2"/>
    <w:rsid w:val="00D828B3"/>
    <w:rsid w:val="00D82A99"/>
    <w:rsid w:val="00D8387E"/>
    <w:rsid w:val="00D83A7F"/>
    <w:rsid w:val="00D83DC3"/>
    <w:rsid w:val="00D8414F"/>
    <w:rsid w:val="00D846FF"/>
    <w:rsid w:val="00D856A6"/>
    <w:rsid w:val="00D8692F"/>
    <w:rsid w:val="00D86A40"/>
    <w:rsid w:val="00D86DE9"/>
    <w:rsid w:val="00D86F2E"/>
    <w:rsid w:val="00D875DD"/>
    <w:rsid w:val="00D87B6A"/>
    <w:rsid w:val="00D87C40"/>
    <w:rsid w:val="00D87D02"/>
    <w:rsid w:val="00D87D68"/>
    <w:rsid w:val="00D90826"/>
    <w:rsid w:val="00D91238"/>
    <w:rsid w:val="00D91635"/>
    <w:rsid w:val="00D91818"/>
    <w:rsid w:val="00D920FA"/>
    <w:rsid w:val="00D92F0A"/>
    <w:rsid w:val="00D93628"/>
    <w:rsid w:val="00D937C1"/>
    <w:rsid w:val="00D93922"/>
    <w:rsid w:val="00D939B9"/>
    <w:rsid w:val="00D93DCC"/>
    <w:rsid w:val="00D94326"/>
    <w:rsid w:val="00D9463B"/>
    <w:rsid w:val="00D94847"/>
    <w:rsid w:val="00D94D37"/>
    <w:rsid w:val="00D94E8B"/>
    <w:rsid w:val="00D95691"/>
    <w:rsid w:val="00D95C9A"/>
    <w:rsid w:val="00D95D2F"/>
    <w:rsid w:val="00D95E9D"/>
    <w:rsid w:val="00D961D7"/>
    <w:rsid w:val="00D96A69"/>
    <w:rsid w:val="00D96E23"/>
    <w:rsid w:val="00D96F56"/>
    <w:rsid w:val="00DA0B89"/>
    <w:rsid w:val="00DA13CA"/>
    <w:rsid w:val="00DA14AE"/>
    <w:rsid w:val="00DA1BB6"/>
    <w:rsid w:val="00DA2589"/>
    <w:rsid w:val="00DA27BA"/>
    <w:rsid w:val="00DA3336"/>
    <w:rsid w:val="00DA3404"/>
    <w:rsid w:val="00DA3B51"/>
    <w:rsid w:val="00DA49E9"/>
    <w:rsid w:val="00DA4E72"/>
    <w:rsid w:val="00DA5047"/>
    <w:rsid w:val="00DA5AAB"/>
    <w:rsid w:val="00DA60A8"/>
    <w:rsid w:val="00DA6170"/>
    <w:rsid w:val="00DA6952"/>
    <w:rsid w:val="00DA69D2"/>
    <w:rsid w:val="00DA6B4D"/>
    <w:rsid w:val="00DA6DEF"/>
    <w:rsid w:val="00DA7D1D"/>
    <w:rsid w:val="00DB01E9"/>
    <w:rsid w:val="00DB0373"/>
    <w:rsid w:val="00DB0377"/>
    <w:rsid w:val="00DB14F2"/>
    <w:rsid w:val="00DB16E3"/>
    <w:rsid w:val="00DB1EB4"/>
    <w:rsid w:val="00DB2448"/>
    <w:rsid w:val="00DB2FCE"/>
    <w:rsid w:val="00DB3D42"/>
    <w:rsid w:val="00DB3D78"/>
    <w:rsid w:val="00DB402D"/>
    <w:rsid w:val="00DB42EE"/>
    <w:rsid w:val="00DB466B"/>
    <w:rsid w:val="00DB6A94"/>
    <w:rsid w:val="00DB6D20"/>
    <w:rsid w:val="00DB6DF4"/>
    <w:rsid w:val="00DC0B69"/>
    <w:rsid w:val="00DC0C21"/>
    <w:rsid w:val="00DC1568"/>
    <w:rsid w:val="00DC2261"/>
    <w:rsid w:val="00DC2D76"/>
    <w:rsid w:val="00DC3026"/>
    <w:rsid w:val="00DC3113"/>
    <w:rsid w:val="00DC43DC"/>
    <w:rsid w:val="00DC4B9D"/>
    <w:rsid w:val="00DC4CDC"/>
    <w:rsid w:val="00DC4D68"/>
    <w:rsid w:val="00DC6FAA"/>
    <w:rsid w:val="00DC721D"/>
    <w:rsid w:val="00DC7238"/>
    <w:rsid w:val="00DC7A9F"/>
    <w:rsid w:val="00DD05AF"/>
    <w:rsid w:val="00DD0829"/>
    <w:rsid w:val="00DD09EE"/>
    <w:rsid w:val="00DD0F58"/>
    <w:rsid w:val="00DD18AE"/>
    <w:rsid w:val="00DD1A3A"/>
    <w:rsid w:val="00DD1F10"/>
    <w:rsid w:val="00DD22CF"/>
    <w:rsid w:val="00DD2656"/>
    <w:rsid w:val="00DD29A0"/>
    <w:rsid w:val="00DD2A7C"/>
    <w:rsid w:val="00DD565D"/>
    <w:rsid w:val="00DD5E45"/>
    <w:rsid w:val="00DD5FC2"/>
    <w:rsid w:val="00DD628C"/>
    <w:rsid w:val="00DD6E73"/>
    <w:rsid w:val="00DD6EDA"/>
    <w:rsid w:val="00DD777C"/>
    <w:rsid w:val="00DD7A04"/>
    <w:rsid w:val="00DD7A57"/>
    <w:rsid w:val="00DD7CE5"/>
    <w:rsid w:val="00DE004E"/>
    <w:rsid w:val="00DE021A"/>
    <w:rsid w:val="00DE1CB3"/>
    <w:rsid w:val="00DE1D57"/>
    <w:rsid w:val="00DE21AF"/>
    <w:rsid w:val="00DE27EB"/>
    <w:rsid w:val="00DE307E"/>
    <w:rsid w:val="00DE3BAF"/>
    <w:rsid w:val="00DE4530"/>
    <w:rsid w:val="00DE487F"/>
    <w:rsid w:val="00DE49B0"/>
    <w:rsid w:val="00DE54A7"/>
    <w:rsid w:val="00DE630C"/>
    <w:rsid w:val="00DE6A3C"/>
    <w:rsid w:val="00DE7150"/>
    <w:rsid w:val="00DE7775"/>
    <w:rsid w:val="00DE7E00"/>
    <w:rsid w:val="00DE7ED8"/>
    <w:rsid w:val="00DF0D1F"/>
    <w:rsid w:val="00DF0FB4"/>
    <w:rsid w:val="00DF1377"/>
    <w:rsid w:val="00DF18BC"/>
    <w:rsid w:val="00DF1938"/>
    <w:rsid w:val="00DF2CC6"/>
    <w:rsid w:val="00DF2F92"/>
    <w:rsid w:val="00DF3BEE"/>
    <w:rsid w:val="00DF5E99"/>
    <w:rsid w:val="00DF67A4"/>
    <w:rsid w:val="00DF6BB6"/>
    <w:rsid w:val="00DF72F5"/>
    <w:rsid w:val="00DF7387"/>
    <w:rsid w:val="00E000ED"/>
    <w:rsid w:val="00E01293"/>
    <w:rsid w:val="00E015EF"/>
    <w:rsid w:val="00E02345"/>
    <w:rsid w:val="00E03D3C"/>
    <w:rsid w:val="00E04905"/>
    <w:rsid w:val="00E04ECB"/>
    <w:rsid w:val="00E05312"/>
    <w:rsid w:val="00E05963"/>
    <w:rsid w:val="00E06861"/>
    <w:rsid w:val="00E0710B"/>
    <w:rsid w:val="00E0735A"/>
    <w:rsid w:val="00E07D02"/>
    <w:rsid w:val="00E109BA"/>
    <w:rsid w:val="00E109D2"/>
    <w:rsid w:val="00E10F4D"/>
    <w:rsid w:val="00E11098"/>
    <w:rsid w:val="00E1158C"/>
    <w:rsid w:val="00E11717"/>
    <w:rsid w:val="00E11833"/>
    <w:rsid w:val="00E11BEE"/>
    <w:rsid w:val="00E12ED8"/>
    <w:rsid w:val="00E1361D"/>
    <w:rsid w:val="00E13FF8"/>
    <w:rsid w:val="00E14125"/>
    <w:rsid w:val="00E1443C"/>
    <w:rsid w:val="00E14C29"/>
    <w:rsid w:val="00E154A5"/>
    <w:rsid w:val="00E15F92"/>
    <w:rsid w:val="00E16780"/>
    <w:rsid w:val="00E168FE"/>
    <w:rsid w:val="00E17083"/>
    <w:rsid w:val="00E174A7"/>
    <w:rsid w:val="00E179AE"/>
    <w:rsid w:val="00E17B1F"/>
    <w:rsid w:val="00E17B56"/>
    <w:rsid w:val="00E17DDE"/>
    <w:rsid w:val="00E17FC1"/>
    <w:rsid w:val="00E2046B"/>
    <w:rsid w:val="00E21462"/>
    <w:rsid w:val="00E21FBE"/>
    <w:rsid w:val="00E24DDD"/>
    <w:rsid w:val="00E25599"/>
    <w:rsid w:val="00E26F8E"/>
    <w:rsid w:val="00E27DE1"/>
    <w:rsid w:val="00E27FA6"/>
    <w:rsid w:val="00E30023"/>
    <w:rsid w:val="00E30E11"/>
    <w:rsid w:val="00E30FB4"/>
    <w:rsid w:val="00E314CC"/>
    <w:rsid w:val="00E31B85"/>
    <w:rsid w:val="00E31CC6"/>
    <w:rsid w:val="00E3312F"/>
    <w:rsid w:val="00E33A61"/>
    <w:rsid w:val="00E33EF5"/>
    <w:rsid w:val="00E34252"/>
    <w:rsid w:val="00E3453F"/>
    <w:rsid w:val="00E34C87"/>
    <w:rsid w:val="00E3533A"/>
    <w:rsid w:val="00E3549C"/>
    <w:rsid w:val="00E361CF"/>
    <w:rsid w:val="00E37F5E"/>
    <w:rsid w:val="00E400CF"/>
    <w:rsid w:val="00E4057B"/>
    <w:rsid w:val="00E41758"/>
    <w:rsid w:val="00E41976"/>
    <w:rsid w:val="00E419AB"/>
    <w:rsid w:val="00E41A80"/>
    <w:rsid w:val="00E41B1B"/>
    <w:rsid w:val="00E41C48"/>
    <w:rsid w:val="00E4219C"/>
    <w:rsid w:val="00E43005"/>
    <w:rsid w:val="00E43A02"/>
    <w:rsid w:val="00E43BCB"/>
    <w:rsid w:val="00E45039"/>
    <w:rsid w:val="00E45132"/>
    <w:rsid w:val="00E45D9E"/>
    <w:rsid w:val="00E45FD3"/>
    <w:rsid w:val="00E46038"/>
    <w:rsid w:val="00E46A39"/>
    <w:rsid w:val="00E473ED"/>
    <w:rsid w:val="00E477F5"/>
    <w:rsid w:val="00E479AA"/>
    <w:rsid w:val="00E50D4F"/>
    <w:rsid w:val="00E51147"/>
    <w:rsid w:val="00E51311"/>
    <w:rsid w:val="00E516A1"/>
    <w:rsid w:val="00E524AC"/>
    <w:rsid w:val="00E5270E"/>
    <w:rsid w:val="00E52D29"/>
    <w:rsid w:val="00E53A2F"/>
    <w:rsid w:val="00E54792"/>
    <w:rsid w:val="00E54B60"/>
    <w:rsid w:val="00E54E69"/>
    <w:rsid w:val="00E54F1D"/>
    <w:rsid w:val="00E56E04"/>
    <w:rsid w:val="00E57100"/>
    <w:rsid w:val="00E5733E"/>
    <w:rsid w:val="00E577C1"/>
    <w:rsid w:val="00E57915"/>
    <w:rsid w:val="00E57EE4"/>
    <w:rsid w:val="00E60C9E"/>
    <w:rsid w:val="00E61091"/>
    <w:rsid w:val="00E61571"/>
    <w:rsid w:val="00E61D6C"/>
    <w:rsid w:val="00E6293A"/>
    <w:rsid w:val="00E630DC"/>
    <w:rsid w:val="00E63760"/>
    <w:rsid w:val="00E64731"/>
    <w:rsid w:val="00E64808"/>
    <w:rsid w:val="00E64A8D"/>
    <w:rsid w:val="00E64F89"/>
    <w:rsid w:val="00E652FD"/>
    <w:rsid w:val="00E65C00"/>
    <w:rsid w:val="00E65DAA"/>
    <w:rsid w:val="00E66351"/>
    <w:rsid w:val="00E6651C"/>
    <w:rsid w:val="00E66B65"/>
    <w:rsid w:val="00E7069A"/>
    <w:rsid w:val="00E708B6"/>
    <w:rsid w:val="00E70900"/>
    <w:rsid w:val="00E72736"/>
    <w:rsid w:val="00E73252"/>
    <w:rsid w:val="00E73B18"/>
    <w:rsid w:val="00E73EA9"/>
    <w:rsid w:val="00E73EBC"/>
    <w:rsid w:val="00E74A6A"/>
    <w:rsid w:val="00E74D81"/>
    <w:rsid w:val="00E74FDF"/>
    <w:rsid w:val="00E759D4"/>
    <w:rsid w:val="00E75EF5"/>
    <w:rsid w:val="00E76687"/>
    <w:rsid w:val="00E76BB7"/>
    <w:rsid w:val="00E76E41"/>
    <w:rsid w:val="00E77DF9"/>
    <w:rsid w:val="00E77F0D"/>
    <w:rsid w:val="00E800B5"/>
    <w:rsid w:val="00E800F5"/>
    <w:rsid w:val="00E81114"/>
    <w:rsid w:val="00E82441"/>
    <w:rsid w:val="00E825BA"/>
    <w:rsid w:val="00E837BC"/>
    <w:rsid w:val="00E84A7D"/>
    <w:rsid w:val="00E851A7"/>
    <w:rsid w:val="00E85D59"/>
    <w:rsid w:val="00E866A2"/>
    <w:rsid w:val="00E87740"/>
    <w:rsid w:val="00E877A1"/>
    <w:rsid w:val="00E879FB"/>
    <w:rsid w:val="00E87D84"/>
    <w:rsid w:val="00E9033E"/>
    <w:rsid w:val="00E91816"/>
    <w:rsid w:val="00E92370"/>
    <w:rsid w:val="00E92385"/>
    <w:rsid w:val="00E9351C"/>
    <w:rsid w:val="00E937D7"/>
    <w:rsid w:val="00E9400E"/>
    <w:rsid w:val="00E94259"/>
    <w:rsid w:val="00E94D59"/>
    <w:rsid w:val="00E9520B"/>
    <w:rsid w:val="00E9580F"/>
    <w:rsid w:val="00E960C5"/>
    <w:rsid w:val="00E960CB"/>
    <w:rsid w:val="00E9758E"/>
    <w:rsid w:val="00E97784"/>
    <w:rsid w:val="00E977BC"/>
    <w:rsid w:val="00E978BF"/>
    <w:rsid w:val="00EA0544"/>
    <w:rsid w:val="00EA10C0"/>
    <w:rsid w:val="00EA162F"/>
    <w:rsid w:val="00EA18B2"/>
    <w:rsid w:val="00EA2AB8"/>
    <w:rsid w:val="00EA2BE6"/>
    <w:rsid w:val="00EA2C06"/>
    <w:rsid w:val="00EA2D74"/>
    <w:rsid w:val="00EA315D"/>
    <w:rsid w:val="00EA37E1"/>
    <w:rsid w:val="00EA3AD7"/>
    <w:rsid w:val="00EA3BBE"/>
    <w:rsid w:val="00EA3EEA"/>
    <w:rsid w:val="00EA515D"/>
    <w:rsid w:val="00EA5753"/>
    <w:rsid w:val="00EA5BC5"/>
    <w:rsid w:val="00EA5CA8"/>
    <w:rsid w:val="00EA6709"/>
    <w:rsid w:val="00EA68BB"/>
    <w:rsid w:val="00EA73D1"/>
    <w:rsid w:val="00EA7B94"/>
    <w:rsid w:val="00EA7D4A"/>
    <w:rsid w:val="00EB073B"/>
    <w:rsid w:val="00EB0A49"/>
    <w:rsid w:val="00EB0BB9"/>
    <w:rsid w:val="00EB0BF1"/>
    <w:rsid w:val="00EB1813"/>
    <w:rsid w:val="00EB1AAA"/>
    <w:rsid w:val="00EB2C6D"/>
    <w:rsid w:val="00EB2D0E"/>
    <w:rsid w:val="00EB2E3A"/>
    <w:rsid w:val="00EB3423"/>
    <w:rsid w:val="00EB4E5B"/>
    <w:rsid w:val="00EB5A05"/>
    <w:rsid w:val="00EB5CB7"/>
    <w:rsid w:val="00EB5EC6"/>
    <w:rsid w:val="00EB6C6F"/>
    <w:rsid w:val="00EB6EDA"/>
    <w:rsid w:val="00EB7702"/>
    <w:rsid w:val="00EC0AD8"/>
    <w:rsid w:val="00EC0E0F"/>
    <w:rsid w:val="00EC19F4"/>
    <w:rsid w:val="00EC2385"/>
    <w:rsid w:val="00EC32B2"/>
    <w:rsid w:val="00EC3751"/>
    <w:rsid w:val="00EC3924"/>
    <w:rsid w:val="00EC3E9D"/>
    <w:rsid w:val="00EC4294"/>
    <w:rsid w:val="00EC456E"/>
    <w:rsid w:val="00EC4B06"/>
    <w:rsid w:val="00EC4D43"/>
    <w:rsid w:val="00EC5D7D"/>
    <w:rsid w:val="00EC5F18"/>
    <w:rsid w:val="00EC63AE"/>
    <w:rsid w:val="00EC6741"/>
    <w:rsid w:val="00EC676D"/>
    <w:rsid w:val="00EC6D4B"/>
    <w:rsid w:val="00EC719E"/>
    <w:rsid w:val="00EC73FE"/>
    <w:rsid w:val="00EC7F64"/>
    <w:rsid w:val="00ED0099"/>
    <w:rsid w:val="00ED019E"/>
    <w:rsid w:val="00ED05A2"/>
    <w:rsid w:val="00ED127F"/>
    <w:rsid w:val="00ED181D"/>
    <w:rsid w:val="00ED1AA7"/>
    <w:rsid w:val="00ED1ABF"/>
    <w:rsid w:val="00ED1CEB"/>
    <w:rsid w:val="00ED3C85"/>
    <w:rsid w:val="00ED3D4F"/>
    <w:rsid w:val="00ED4A74"/>
    <w:rsid w:val="00ED607A"/>
    <w:rsid w:val="00ED67AC"/>
    <w:rsid w:val="00ED7599"/>
    <w:rsid w:val="00ED7B4F"/>
    <w:rsid w:val="00ED7C79"/>
    <w:rsid w:val="00EE0BC3"/>
    <w:rsid w:val="00EE1F6A"/>
    <w:rsid w:val="00EE3316"/>
    <w:rsid w:val="00EE34FA"/>
    <w:rsid w:val="00EE368F"/>
    <w:rsid w:val="00EE38DB"/>
    <w:rsid w:val="00EE47A0"/>
    <w:rsid w:val="00EE4908"/>
    <w:rsid w:val="00EE4D0E"/>
    <w:rsid w:val="00EE514B"/>
    <w:rsid w:val="00EE5322"/>
    <w:rsid w:val="00EE54A1"/>
    <w:rsid w:val="00EE6030"/>
    <w:rsid w:val="00EE6B86"/>
    <w:rsid w:val="00EE6F4F"/>
    <w:rsid w:val="00EE7412"/>
    <w:rsid w:val="00EE78E4"/>
    <w:rsid w:val="00EE7DEB"/>
    <w:rsid w:val="00EF01DC"/>
    <w:rsid w:val="00EF0237"/>
    <w:rsid w:val="00EF02BC"/>
    <w:rsid w:val="00EF048B"/>
    <w:rsid w:val="00EF12E1"/>
    <w:rsid w:val="00EF1489"/>
    <w:rsid w:val="00EF2A7B"/>
    <w:rsid w:val="00EF31B4"/>
    <w:rsid w:val="00EF37BA"/>
    <w:rsid w:val="00EF3BC8"/>
    <w:rsid w:val="00EF4B33"/>
    <w:rsid w:val="00EF4C9E"/>
    <w:rsid w:val="00EF5035"/>
    <w:rsid w:val="00EF51EC"/>
    <w:rsid w:val="00EF5410"/>
    <w:rsid w:val="00EF588E"/>
    <w:rsid w:val="00EF5CFC"/>
    <w:rsid w:val="00EF5E81"/>
    <w:rsid w:val="00EF68F9"/>
    <w:rsid w:val="00EF7AF1"/>
    <w:rsid w:val="00EF7CE5"/>
    <w:rsid w:val="00F008E0"/>
    <w:rsid w:val="00F00BED"/>
    <w:rsid w:val="00F01847"/>
    <w:rsid w:val="00F021FF"/>
    <w:rsid w:val="00F025AB"/>
    <w:rsid w:val="00F026E6"/>
    <w:rsid w:val="00F0277C"/>
    <w:rsid w:val="00F02B32"/>
    <w:rsid w:val="00F032FD"/>
    <w:rsid w:val="00F03550"/>
    <w:rsid w:val="00F03644"/>
    <w:rsid w:val="00F04B04"/>
    <w:rsid w:val="00F053F0"/>
    <w:rsid w:val="00F06749"/>
    <w:rsid w:val="00F069F7"/>
    <w:rsid w:val="00F06EE1"/>
    <w:rsid w:val="00F071A5"/>
    <w:rsid w:val="00F0729E"/>
    <w:rsid w:val="00F07C1B"/>
    <w:rsid w:val="00F07DA8"/>
    <w:rsid w:val="00F10C47"/>
    <w:rsid w:val="00F10C5D"/>
    <w:rsid w:val="00F10EBF"/>
    <w:rsid w:val="00F11E50"/>
    <w:rsid w:val="00F12DAB"/>
    <w:rsid w:val="00F134E0"/>
    <w:rsid w:val="00F1355E"/>
    <w:rsid w:val="00F13DD3"/>
    <w:rsid w:val="00F14289"/>
    <w:rsid w:val="00F150E8"/>
    <w:rsid w:val="00F1557B"/>
    <w:rsid w:val="00F1584C"/>
    <w:rsid w:val="00F1594A"/>
    <w:rsid w:val="00F15A1D"/>
    <w:rsid w:val="00F15BBF"/>
    <w:rsid w:val="00F15E7E"/>
    <w:rsid w:val="00F16035"/>
    <w:rsid w:val="00F163F6"/>
    <w:rsid w:val="00F164C2"/>
    <w:rsid w:val="00F17E0C"/>
    <w:rsid w:val="00F201B1"/>
    <w:rsid w:val="00F203D2"/>
    <w:rsid w:val="00F208FC"/>
    <w:rsid w:val="00F211EF"/>
    <w:rsid w:val="00F21526"/>
    <w:rsid w:val="00F216D7"/>
    <w:rsid w:val="00F21BE3"/>
    <w:rsid w:val="00F22831"/>
    <w:rsid w:val="00F23E23"/>
    <w:rsid w:val="00F24202"/>
    <w:rsid w:val="00F249F8"/>
    <w:rsid w:val="00F250F2"/>
    <w:rsid w:val="00F27651"/>
    <w:rsid w:val="00F2784A"/>
    <w:rsid w:val="00F2791F"/>
    <w:rsid w:val="00F27CDB"/>
    <w:rsid w:val="00F306FA"/>
    <w:rsid w:val="00F3119B"/>
    <w:rsid w:val="00F316CC"/>
    <w:rsid w:val="00F3255D"/>
    <w:rsid w:val="00F327B5"/>
    <w:rsid w:val="00F329CA"/>
    <w:rsid w:val="00F32EA4"/>
    <w:rsid w:val="00F331E2"/>
    <w:rsid w:val="00F335E0"/>
    <w:rsid w:val="00F33657"/>
    <w:rsid w:val="00F34152"/>
    <w:rsid w:val="00F34955"/>
    <w:rsid w:val="00F35DC0"/>
    <w:rsid w:val="00F3634A"/>
    <w:rsid w:val="00F365E1"/>
    <w:rsid w:val="00F3709F"/>
    <w:rsid w:val="00F37624"/>
    <w:rsid w:val="00F40432"/>
    <w:rsid w:val="00F404C2"/>
    <w:rsid w:val="00F40BB7"/>
    <w:rsid w:val="00F411B0"/>
    <w:rsid w:val="00F41BE9"/>
    <w:rsid w:val="00F42DBB"/>
    <w:rsid w:val="00F42F1B"/>
    <w:rsid w:val="00F4362D"/>
    <w:rsid w:val="00F4397C"/>
    <w:rsid w:val="00F43FB7"/>
    <w:rsid w:val="00F44303"/>
    <w:rsid w:val="00F4434C"/>
    <w:rsid w:val="00F4466B"/>
    <w:rsid w:val="00F44C8C"/>
    <w:rsid w:val="00F4606E"/>
    <w:rsid w:val="00F503EF"/>
    <w:rsid w:val="00F50B9B"/>
    <w:rsid w:val="00F524AA"/>
    <w:rsid w:val="00F5250B"/>
    <w:rsid w:val="00F52571"/>
    <w:rsid w:val="00F52BC0"/>
    <w:rsid w:val="00F52BCE"/>
    <w:rsid w:val="00F53997"/>
    <w:rsid w:val="00F54381"/>
    <w:rsid w:val="00F54488"/>
    <w:rsid w:val="00F547A9"/>
    <w:rsid w:val="00F549F5"/>
    <w:rsid w:val="00F54D38"/>
    <w:rsid w:val="00F5568F"/>
    <w:rsid w:val="00F563EC"/>
    <w:rsid w:val="00F564DD"/>
    <w:rsid w:val="00F56D33"/>
    <w:rsid w:val="00F56EE0"/>
    <w:rsid w:val="00F57012"/>
    <w:rsid w:val="00F601A3"/>
    <w:rsid w:val="00F60B99"/>
    <w:rsid w:val="00F60D53"/>
    <w:rsid w:val="00F60D68"/>
    <w:rsid w:val="00F60E63"/>
    <w:rsid w:val="00F6116F"/>
    <w:rsid w:val="00F61276"/>
    <w:rsid w:val="00F612AD"/>
    <w:rsid w:val="00F62DF8"/>
    <w:rsid w:val="00F64886"/>
    <w:rsid w:val="00F648C0"/>
    <w:rsid w:val="00F64B5F"/>
    <w:rsid w:val="00F65145"/>
    <w:rsid w:val="00F6540F"/>
    <w:rsid w:val="00F66116"/>
    <w:rsid w:val="00F661AD"/>
    <w:rsid w:val="00F66C86"/>
    <w:rsid w:val="00F66EF2"/>
    <w:rsid w:val="00F671DF"/>
    <w:rsid w:val="00F70066"/>
    <w:rsid w:val="00F70630"/>
    <w:rsid w:val="00F70BC1"/>
    <w:rsid w:val="00F70C5E"/>
    <w:rsid w:val="00F71C15"/>
    <w:rsid w:val="00F72AAC"/>
    <w:rsid w:val="00F73488"/>
    <w:rsid w:val="00F73D1C"/>
    <w:rsid w:val="00F744FE"/>
    <w:rsid w:val="00F748D6"/>
    <w:rsid w:val="00F74AEC"/>
    <w:rsid w:val="00F76471"/>
    <w:rsid w:val="00F76620"/>
    <w:rsid w:val="00F76742"/>
    <w:rsid w:val="00F76F47"/>
    <w:rsid w:val="00F7722C"/>
    <w:rsid w:val="00F775CA"/>
    <w:rsid w:val="00F778AE"/>
    <w:rsid w:val="00F77E28"/>
    <w:rsid w:val="00F80217"/>
    <w:rsid w:val="00F8052F"/>
    <w:rsid w:val="00F80BB8"/>
    <w:rsid w:val="00F81D7A"/>
    <w:rsid w:val="00F824D0"/>
    <w:rsid w:val="00F82F92"/>
    <w:rsid w:val="00F83BE0"/>
    <w:rsid w:val="00F83DD9"/>
    <w:rsid w:val="00F84414"/>
    <w:rsid w:val="00F84D67"/>
    <w:rsid w:val="00F868F2"/>
    <w:rsid w:val="00F87450"/>
    <w:rsid w:val="00F87F7D"/>
    <w:rsid w:val="00F90541"/>
    <w:rsid w:val="00F90F1A"/>
    <w:rsid w:val="00F915C1"/>
    <w:rsid w:val="00F925DE"/>
    <w:rsid w:val="00F93583"/>
    <w:rsid w:val="00F93600"/>
    <w:rsid w:val="00F9403C"/>
    <w:rsid w:val="00F94463"/>
    <w:rsid w:val="00F9471B"/>
    <w:rsid w:val="00F94F6E"/>
    <w:rsid w:val="00F9536E"/>
    <w:rsid w:val="00F95828"/>
    <w:rsid w:val="00F95C9F"/>
    <w:rsid w:val="00F96949"/>
    <w:rsid w:val="00F96B2A"/>
    <w:rsid w:val="00F96CB2"/>
    <w:rsid w:val="00F96E4C"/>
    <w:rsid w:val="00F970F1"/>
    <w:rsid w:val="00F97284"/>
    <w:rsid w:val="00F975EF"/>
    <w:rsid w:val="00F97639"/>
    <w:rsid w:val="00F97662"/>
    <w:rsid w:val="00F97A9B"/>
    <w:rsid w:val="00F97F1E"/>
    <w:rsid w:val="00FA0B60"/>
    <w:rsid w:val="00FA153E"/>
    <w:rsid w:val="00FA181A"/>
    <w:rsid w:val="00FA1C2B"/>
    <w:rsid w:val="00FA2B24"/>
    <w:rsid w:val="00FA2D86"/>
    <w:rsid w:val="00FA3244"/>
    <w:rsid w:val="00FA38B5"/>
    <w:rsid w:val="00FA39C5"/>
    <w:rsid w:val="00FA3A1D"/>
    <w:rsid w:val="00FA3B8A"/>
    <w:rsid w:val="00FA3FD9"/>
    <w:rsid w:val="00FA409C"/>
    <w:rsid w:val="00FA4426"/>
    <w:rsid w:val="00FA4F12"/>
    <w:rsid w:val="00FA5159"/>
    <w:rsid w:val="00FA586D"/>
    <w:rsid w:val="00FA5A0E"/>
    <w:rsid w:val="00FA5D9B"/>
    <w:rsid w:val="00FA5DDC"/>
    <w:rsid w:val="00FA6373"/>
    <w:rsid w:val="00FA6BD1"/>
    <w:rsid w:val="00FA768C"/>
    <w:rsid w:val="00FA7A1D"/>
    <w:rsid w:val="00FA7AB6"/>
    <w:rsid w:val="00FB031F"/>
    <w:rsid w:val="00FB0C4C"/>
    <w:rsid w:val="00FB0FA8"/>
    <w:rsid w:val="00FB2426"/>
    <w:rsid w:val="00FB2A08"/>
    <w:rsid w:val="00FB49CD"/>
    <w:rsid w:val="00FB4C77"/>
    <w:rsid w:val="00FB4D6E"/>
    <w:rsid w:val="00FB4DD0"/>
    <w:rsid w:val="00FB4E4E"/>
    <w:rsid w:val="00FB6896"/>
    <w:rsid w:val="00FB696C"/>
    <w:rsid w:val="00FB6A1B"/>
    <w:rsid w:val="00FB6CBA"/>
    <w:rsid w:val="00FB76A7"/>
    <w:rsid w:val="00FB792D"/>
    <w:rsid w:val="00FC0113"/>
    <w:rsid w:val="00FC06C6"/>
    <w:rsid w:val="00FC0C58"/>
    <w:rsid w:val="00FC1F9D"/>
    <w:rsid w:val="00FC28CE"/>
    <w:rsid w:val="00FC3353"/>
    <w:rsid w:val="00FC4483"/>
    <w:rsid w:val="00FC4AC3"/>
    <w:rsid w:val="00FC5411"/>
    <w:rsid w:val="00FC5431"/>
    <w:rsid w:val="00FC549A"/>
    <w:rsid w:val="00FC5849"/>
    <w:rsid w:val="00FC5CFF"/>
    <w:rsid w:val="00FC5F3E"/>
    <w:rsid w:val="00FC5F73"/>
    <w:rsid w:val="00FC5F93"/>
    <w:rsid w:val="00FC7437"/>
    <w:rsid w:val="00FC7AC4"/>
    <w:rsid w:val="00FD00C3"/>
    <w:rsid w:val="00FD036D"/>
    <w:rsid w:val="00FD13E9"/>
    <w:rsid w:val="00FD27E6"/>
    <w:rsid w:val="00FD37C0"/>
    <w:rsid w:val="00FD4C14"/>
    <w:rsid w:val="00FD59B9"/>
    <w:rsid w:val="00FD61E6"/>
    <w:rsid w:val="00FD63B9"/>
    <w:rsid w:val="00FD660B"/>
    <w:rsid w:val="00FD6D37"/>
    <w:rsid w:val="00FD70FE"/>
    <w:rsid w:val="00FD72F0"/>
    <w:rsid w:val="00FD7ACC"/>
    <w:rsid w:val="00FE002A"/>
    <w:rsid w:val="00FE05A8"/>
    <w:rsid w:val="00FE0AE7"/>
    <w:rsid w:val="00FE0FF4"/>
    <w:rsid w:val="00FE10D2"/>
    <w:rsid w:val="00FE1B47"/>
    <w:rsid w:val="00FE1C9C"/>
    <w:rsid w:val="00FE1F02"/>
    <w:rsid w:val="00FE1F1E"/>
    <w:rsid w:val="00FE2D68"/>
    <w:rsid w:val="00FE2EC9"/>
    <w:rsid w:val="00FE32C8"/>
    <w:rsid w:val="00FE338E"/>
    <w:rsid w:val="00FE49BA"/>
    <w:rsid w:val="00FE55E6"/>
    <w:rsid w:val="00FE5904"/>
    <w:rsid w:val="00FE5BF3"/>
    <w:rsid w:val="00FE5DDA"/>
    <w:rsid w:val="00FE5F7B"/>
    <w:rsid w:val="00FE6560"/>
    <w:rsid w:val="00FE69EB"/>
    <w:rsid w:val="00FE7199"/>
    <w:rsid w:val="00FE76BB"/>
    <w:rsid w:val="00FF17E0"/>
    <w:rsid w:val="00FF18A3"/>
    <w:rsid w:val="00FF18F9"/>
    <w:rsid w:val="00FF1A91"/>
    <w:rsid w:val="00FF1B1E"/>
    <w:rsid w:val="00FF2125"/>
    <w:rsid w:val="00FF3385"/>
    <w:rsid w:val="00FF3592"/>
    <w:rsid w:val="00FF430B"/>
    <w:rsid w:val="00FF4438"/>
    <w:rsid w:val="00FF49C3"/>
    <w:rsid w:val="00FF5165"/>
    <w:rsid w:val="00FF66BF"/>
    <w:rsid w:val="00FF75E1"/>
    <w:rsid w:val="011A09ED"/>
    <w:rsid w:val="03DCF3B7"/>
    <w:rsid w:val="04BF5860"/>
    <w:rsid w:val="06693734"/>
    <w:rsid w:val="08A5CA89"/>
    <w:rsid w:val="10F4025C"/>
    <w:rsid w:val="149EC67F"/>
    <w:rsid w:val="1BC74033"/>
    <w:rsid w:val="1C6E9319"/>
    <w:rsid w:val="1D1D5843"/>
    <w:rsid w:val="1E0F35E1"/>
    <w:rsid w:val="2175C7DC"/>
    <w:rsid w:val="22CAD4AD"/>
    <w:rsid w:val="2321D7FD"/>
    <w:rsid w:val="25D07597"/>
    <w:rsid w:val="2624112C"/>
    <w:rsid w:val="265D07EB"/>
    <w:rsid w:val="289D5B34"/>
    <w:rsid w:val="2ADA6559"/>
    <w:rsid w:val="2BC7050F"/>
    <w:rsid w:val="2D770F3C"/>
    <w:rsid w:val="2E566592"/>
    <w:rsid w:val="2FF1B185"/>
    <w:rsid w:val="300F5964"/>
    <w:rsid w:val="31864B9F"/>
    <w:rsid w:val="3369EA36"/>
    <w:rsid w:val="3559D07C"/>
    <w:rsid w:val="35E2803C"/>
    <w:rsid w:val="38D9A8D6"/>
    <w:rsid w:val="3AF54805"/>
    <w:rsid w:val="3E65ED00"/>
    <w:rsid w:val="3F28339E"/>
    <w:rsid w:val="3F2C5DEC"/>
    <w:rsid w:val="4724DC87"/>
    <w:rsid w:val="47E4DCAD"/>
    <w:rsid w:val="4B7401D4"/>
    <w:rsid w:val="4B7CFA4D"/>
    <w:rsid w:val="4E94EEB4"/>
    <w:rsid w:val="4F7E7164"/>
    <w:rsid w:val="5007D650"/>
    <w:rsid w:val="54E5DDD7"/>
    <w:rsid w:val="55E9DF82"/>
    <w:rsid w:val="56499C5F"/>
    <w:rsid w:val="567D6242"/>
    <w:rsid w:val="57DE5449"/>
    <w:rsid w:val="5868ACC0"/>
    <w:rsid w:val="5D2AAA49"/>
    <w:rsid w:val="5D82FCF6"/>
    <w:rsid w:val="5EE5FBFB"/>
    <w:rsid w:val="5F298948"/>
    <w:rsid w:val="5F68927C"/>
    <w:rsid w:val="5FDD2832"/>
    <w:rsid w:val="5FDE780F"/>
    <w:rsid w:val="61CDB12F"/>
    <w:rsid w:val="61F91463"/>
    <w:rsid w:val="6269B6E9"/>
    <w:rsid w:val="644D092B"/>
    <w:rsid w:val="694B9129"/>
    <w:rsid w:val="6B2B1CB6"/>
    <w:rsid w:val="6B471137"/>
    <w:rsid w:val="6C94ED3F"/>
    <w:rsid w:val="6E81C884"/>
    <w:rsid w:val="6F35FEA1"/>
    <w:rsid w:val="70FAC8D5"/>
    <w:rsid w:val="710CE5CF"/>
    <w:rsid w:val="7150C99C"/>
    <w:rsid w:val="7728B5D1"/>
    <w:rsid w:val="7842BF8A"/>
    <w:rsid w:val="7CF247C7"/>
    <w:rsid w:val="7E0CE1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1A4D0"/>
  <w15:docId w15:val="{B0E65A25-1949-4564-98F0-3A676D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D86"/>
    <w:pPr>
      <w:widowControl w:val="0"/>
      <w:spacing w:line="360" w:lineRule="auto"/>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pacing w:before="480"/>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Nagwek3">
    <w:name w:val="heading 3"/>
    <w:basedOn w:val="Normalny"/>
    <w:next w:val="Normalny"/>
    <w:link w:val="Nagwek3Znak"/>
    <w:qFormat/>
    <w:rsid w:val="00FF5857"/>
    <w:pPr>
      <w:keepNext/>
      <w:widowControl/>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semiHidden/>
    <w:unhideWhenUsed/>
    <w:qFormat/>
    <w:rsid w:val="00641F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qFormat/>
    <w:rsid w:val="004C3F97"/>
    <w:rPr>
      <w:rFonts w:cs="Times New Roman"/>
      <w:vertAlign w:val="superscript"/>
    </w:rPr>
  </w:style>
  <w:style w:type="character" w:customStyle="1" w:styleId="NagwekZnak">
    <w:name w:val="Nagłówek Znak"/>
    <w:link w:val="Nagwek"/>
    <w:uiPriority w:val="99"/>
    <w:qFormat/>
    <w:rsid w:val="00060076"/>
    <w:rPr>
      <w:rFonts w:eastAsiaTheme="minorEastAsia" w:cs="Arial"/>
      <w:kern w:val="2"/>
      <w:sz w:val="20"/>
      <w:szCs w:val="20"/>
      <w:lang w:eastAsia="ar-SA"/>
    </w:rPr>
  </w:style>
  <w:style w:type="character" w:customStyle="1" w:styleId="StopkaZnak">
    <w:name w:val="Stopka Znak"/>
    <w:link w:val="Stopka"/>
    <w:uiPriority w:val="99"/>
    <w:qFormat/>
    <w:rsid w:val="00060076"/>
    <w:rPr>
      <w:rFonts w:eastAsiaTheme="minorEastAsia" w:cs="Arial"/>
      <w:kern w:val="2"/>
      <w:sz w:val="20"/>
      <w:szCs w:val="20"/>
      <w:lang w:eastAsia="ar-SA"/>
    </w:rPr>
  </w:style>
  <w:style w:type="character" w:customStyle="1" w:styleId="TekstdymkaZnak">
    <w:name w:val="Tekst dymka Znak"/>
    <w:link w:val="Tekstdymka"/>
    <w:uiPriority w:val="99"/>
    <w:semiHidden/>
    <w:qFormat/>
    <w:rsid w:val="004C3F97"/>
    <w:rPr>
      <w:rFonts w:ascii="Tahoma" w:eastAsiaTheme="minorEastAsia" w:hAnsi="Tahoma" w:cs="Tahoma"/>
      <w:kern w:val="2"/>
      <w:sz w:val="16"/>
      <w:szCs w:val="16"/>
      <w:lang w:eastAsia="ar-SA"/>
    </w:rPr>
  </w:style>
  <w:style w:type="character" w:customStyle="1" w:styleId="Nagwek1Znak">
    <w:name w:val="Nagłówek 1 Znak"/>
    <w:basedOn w:val="Domylnaczcionkaakapitu"/>
    <w:link w:val="Nagwek1"/>
    <w:qFormat/>
    <w:rsid w:val="004504C0"/>
    <w:rPr>
      <w:rFonts w:asciiTheme="majorHAnsi" w:eastAsiaTheme="majorEastAsia" w:hAnsiTheme="majorHAnsi" w:cstheme="majorBidi"/>
      <w:b/>
      <w:bCs/>
      <w:color w:val="365F91" w:themeColor="accent1" w:themeShade="BF"/>
      <w:kern w:val="2"/>
      <w:sz w:val="28"/>
      <w:szCs w:val="28"/>
      <w:lang w:eastAsia="ar-SA"/>
    </w:rPr>
  </w:style>
  <w:style w:type="character" w:customStyle="1" w:styleId="TekstprzypisudolnegoZnak">
    <w:name w:val="Tekst przypisu dolnego Znak"/>
    <w:basedOn w:val="Domylnaczcionkaakapitu"/>
    <w:link w:val="Tekstprzypisudolnego"/>
    <w:uiPriority w:val="99"/>
    <w:semiHidden/>
    <w:qFormat/>
    <w:rsid w:val="006E0FCC"/>
    <w:rPr>
      <w:sz w:val="20"/>
    </w:rPr>
  </w:style>
  <w:style w:type="character" w:styleId="Odwoaniedokomentarza">
    <w:name w:val="annotation reference"/>
    <w:basedOn w:val="Domylnaczcionkaakapitu"/>
    <w:uiPriority w:val="99"/>
    <w:semiHidden/>
    <w:qFormat/>
    <w:rsid w:val="00023F13"/>
    <w:rPr>
      <w:sz w:val="16"/>
      <w:szCs w:val="16"/>
    </w:rPr>
  </w:style>
  <w:style w:type="character" w:customStyle="1" w:styleId="TekstkomentarzaZnak">
    <w:name w:val="Tekst komentarza Znak"/>
    <w:basedOn w:val="Domylnaczcionkaakapitu"/>
    <w:link w:val="Tekstkomentarza"/>
    <w:uiPriority w:val="99"/>
    <w:qFormat/>
    <w:rsid w:val="004504C0"/>
    <w:rPr>
      <w:sz w:val="20"/>
    </w:rPr>
  </w:style>
  <w:style w:type="character" w:customStyle="1" w:styleId="TematkomentarzaZnak">
    <w:name w:val="Temat komentarza Znak"/>
    <w:basedOn w:val="TekstkomentarzaZnak"/>
    <w:link w:val="Tematkomentarza"/>
    <w:uiPriority w:val="99"/>
    <w:semiHidden/>
    <w:qFormat/>
    <w:rsid w:val="004504C0"/>
    <w:rPr>
      <w:b/>
      <w:bCs/>
      <w:sz w:val="20"/>
    </w:r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99"/>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vertAlign w:val="superscript"/>
    </w:rPr>
  </w:style>
  <w:style w:type="character" w:styleId="Tekstzastpczy">
    <w:name w:val="Placeholder Text"/>
    <w:basedOn w:val="Domylnaczcionkaakapitu"/>
    <w:uiPriority w:val="99"/>
    <w:semiHidden/>
    <w:qFormat/>
    <w:rsid w:val="00341A6A"/>
    <w:rPr>
      <w:color w:val="808080"/>
    </w:rPr>
  </w:style>
  <w:style w:type="character" w:customStyle="1" w:styleId="czeinternetowe">
    <w:name w:val="Łącze internetowe"/>
    <w:basedOn w:val="Domylnaczcionkaakapitu"/>
    <w:uiPriority w:val="99"/>
    <w:unhideWhenUsed/>
    <w:rsid w:val="00E01C5D"/>
    <w:rPr>
      <w:color w:val="0000FF" w:themeColor="hyperlink"/>
      <w:u w:val="single"/>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F4133C"/>
    <w:rPr>
      <w:vertAlign w:val="superscript"/>
    </w:rPr>
  </w:style>
  <w:style w:type="character" w:customStyle="1" w:styleId="Nagwek3Znak">
    <w:name w:val="Nagłówek 3 Znak"/>
    <w:basedOn w:val="Domylnaczcionkaakapitu"/>
    <w:link w:val="Nagwek3"/>
    <w:qFormat/>
    <w:rsid w:val="00FF5857"/>
    <w:rPr>
      <w:rFonts w:ascii="Arial" w:hAnsi="Arial" w:cs="Arial"/>
      <w:b/>
      <w:bCs/>
      <w:sz w:val="26"/>
      <w:szCs w:val="26"/>
    </w:rPr>
  </w:style>
  <w:style w:type="character" w:customStyle="1" w:styleId="TekstkomentarzaZnak1">
    <w:name w:val="Tekst komentarza Znak1"/>
    <w:uiPriority w:val="99"/>
    <w:qFormat/>
    <w:locked/>
    <w:rsid w:val="00FF5857"/>
    <w:rPr>
      <w:sz w:val="20"/>
    </w:rPr>
  </w:style>
  <w:style w:type="character" w:customStyle="1" w:styleId="TekstprzypisukocowegoZnak">
    <w:name w:val="Tekst przypisu końcowego Znak"/>
    <w:basedOn w:val="Domylnaczcionkaakapitu"/>
    <w:link w:val="Tekstprzypisukocowego"/>
    <w:uiPriority w:val="99"/>
    <w:semiHidden/>
    <w:qFormat/>
    <w:rsid w:val="00FF5857"/>
    <w:rPr>
      <w:rFonts w:ascii="Calibri" w:eastAsia="Calibri" w:hAnsi="Calibri"/>
      <w:sz w:val="20"/>
      <w:szCs w:val="20"/>
      <w:lang w:eastAsia="en-US"/>
    </w:rPr>
  </w:style>
  <w:style w:type="character" w:customStyle="1" w:styleId="Odwiedzoneczeinternetowe">
    <w:name w:val="Odwiedzone łącze internetowe"/>
    <w:uiPriority w:val="99"/>
    <w:semiHidden/>
    <w:unhideWhenUsed/>
    <w:rsid w:val="00FF5857"/>
    <w:rPr>
      <w:color w:val="800080"/>
      <w:u w:val="single"/>
    </w:rPr>
  </w:style>
  <w:style w:type="character" w:customStyle="1" w:styleId="m7020199556215851520s1">
    <w:name w:val="m_7020199556215851520s1"/>
    <w:basedOn w:val="Domylnaczcionkaakapitu"/>
    <w:qFormat/>
    <w:rsid w:val="00FF5857"/>
  </w:style>
  <w:style w:type="character" w:customStyle="1" w:styleId="m-3630321746689277748s1">
    <w:name w:val="m_-3630321746689277748s1"/>
    <w:basedOn w:val="Domylnaczcionkaakapitu"/>
    <w:qFormat/>
    <w:rsid w:val="00FF5857"/>
  </w:style>
  <w:style w:type="character" w:customStyle="1" w:styleId="Normalny1">
    <w:name w:val="Normalny1"/>
    <w:basedOn w:val="Domylnaczcionkaakapitu"/>
    <w:qFormat/>
    <w:rsid w:val="00FF5857"/>
  </w:style>
  <w:style w:type="character" w:customStyle="1" w:styleId="Normalny-smallZnak">
    <w:name w:val="Normalny-small Znak"/>
    <w:basedOn w:val="Domylnaczcionkaakapitu"/>
    <w:qFormat/>
    <w:locked/>
    <w:rsid w:val="00FF5857"/>
    <w:rPr>
      <w:rFonts w:ascii="Arial" w:hAnsi="Arial" w:cs="Arial"/>
      <w:sz w:val="16"/>
    </w:rPr>
  </w:style>
  <w:style w:type="character" w:customStyle="1" w:styleId="Znakiprzypiswdolnych">
    <w:name w:val="Znaki przypisów dolnych"/>
    <w:qFormat/>
  </w:style>
  <w:style w:type="character" w:customStyle="1" w:styleId="Mocnewyrnione">
    <w:name w:val="Mocne wyróżnione"/>
    <w:qFormat/>
    <w:rPr>
      <w:b/>
      <w:bCs/>
    </w:rPr>
  </w:style>
  <w:style w:type="paragraph" w:styleId="Nagwek">
    <w:name w:val="header"/>
    <w:basedOn w:val="Normalny"/>
    <w:next w:val="Tekstpodstawowy"/>
    <w:link w:val="NagwekZnak"/>
    <w:uiPriority w:val="99"/>
    <w:rsid w:val="004C3F97"/>
    <w:pPr>
      <w:tabs>
        <w:tab w:val="center" w:pos="4536"/>
        <w:tab w:val="right" w:pos="9072"/>
      </w:tabs>
    </w:pPr>
    <w:rPr>
      <w:rFonts w:ascii="Times" w:eastAsia="Times New Roman" w:hAnsi="Times" w:cs="Times New Roman"/>
      <w:kern w:val="2"/>
      <w:szCs w:val="24"/>
      <w:lang w:eastAsia="ar-SA"/>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uiPriority w:val="35"/>
    <w:qFormat/>
    <w:pPr>
      <w:suppressLineNumbers/>
      <w:spacing w:before="120" w:after="120"/>
    </w:pPr>
    <w:rPr>
      <w:i/>
      <w:iCs/>
      <w:szCs w:val="24"/>
    </w:rPr>
  </w:style>
  <w:style w:type="paragraph" w:customStyle="1" w:styleId="Indeks">
    <w:name w:val="Indeks"/>
    <w:basedOn w:val="Normalny"/>
    <w:qFormat/>
    <w:pPr>
      <w:suppressLineNumbers/>
    </w:pPr>
  </w:style>
  <w:style w:type="paragraph" w:customStyle="1" w:styleId="ZLITwPKTzmlitwpktartykuempunktem">
    <w:name w:val="Z/LIT_w_PKT – zm. lit. w pkt artykułem (punktem)"/>
    <w:basedOn w:val="LITlitera"/>
    <w:uiPriority w:val="32"/>
    <w:qFormat/>
    <w:rsid w:val="006A748A"/>
    <w:pPr>
      <w:ind w:left="1497" w:firstLine="0"/>
    </w:pPr>
  </w:style>
  <w:style w:type="paragraph" w:customStyle="1" w:styleId="ZTIRwPKTzmtirwpktartykuempunktem">
    <w:name w:val="Z/TIR_w_PKT – zm. tir. w pkt artykułem (punktem)"/>
    <w:basedOn w:val="TIRtiret"/>
    <w:uiPriority w:val="33"/>
    <w:qFormat/>
    <w:rsid w:val="006A748A"/>
    <w:pPr>
      <w:ind w:left="1894" w:firstLine="0"/>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firstLine="0"/>
    </w:pPr>
  </w:style>
  <w:style w:type="paragraph" w:customStyle="1" w:styleId="Gwkaistopka">
    <w:name w:val="Główka i stopka"/>
    <w:basedOn w:val="Normalny"/>
    <w:qFormat/>
  </w:style>
  <w:style w:type="paragraph" w:styleId="Stopka">
    <w:name w:val="footer"/>
    <w:basedOn w:val="Normalny"/>
    <w:link w:val="StopkaZnak"/>
    <w:uiPriority w:val="99"/>
    <w:rsid w:val="004C3F97"/>
    <w:pPr>
      <w:tabs>
        <w:tab w:val="center" w:pos="4536"/>
        <w:tab w:val="right" w:pos="9072"/>
      </w:tabs>
    </w:pPr>
    <w:rPr>
      <w:rFonts w:ascii="Times" w:eastAsia="Times New Roman" w:hAnsi="Times" w:cs="Times New Roman"/>
      <w:kern w:val="2"/>
      <w:szCs w:val="24"/>
      <w:lang w:eastAsia="ar-SA"/>
    </w:rPr>
  </w:style>
  <w:style w:type="paragraph" w:styleId="Tekstdymka">
    <w:name w:val="Balloon Text"/>
    <w:basedOn w:val="Normalny"/>
    <w:link w:val="TekstdymkaZnak"/>
    <w:uiPriority w:val="99"/>
    <w:semiHidden/>
    <w:qFormat/>
    <w:rsid w:val="004C3F97"/>
    <w:rPr>
      <w:rFonts w:ascii="Tahoma" w:eastAsia="Times New Roman" w:hAnsi="Tahoma" w:cs="Tahoma"/>
      <w:kern w:val="2"/>
      <w:szCs w:val="16"/>
      <w:lang w:eastAsia="ar-SA"/>
    </w:rPr>
  </w:style>
  <w:style w:type="paragraph" w:customStyle="1" w:styleId="ARTartustawynprozporzdzenia">
    <w:name w:val="ART(§) – art. ustawy (§ np. rozporządzenia)"/>
    <w:uiPriority w:val="11"/>
    <w:qFormat/>
    <w:rsid w:val="006A748A"/>
    <w:pPr>
      <w:spacing w:before="120" w:line="360" w:lineRule="auto"/>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styleId="Bezodstpw">
    <w:name w:val="No Spacing"/>
    <w:uiPriority w:val="99"/>
    <w:semiHidden/>
    <w:qFormat/>
    <w:rsid w:val="004C3F97"/>
    <w:pPr>
      <w:widowControl w:val="0"/>
      <w:spacing w:line="360" w:lineRule="auto"/>
    </w:pPr>
    <w:rPr>
      <w:kern w:val="2"/>
      <w:lang w:eastAsia="ar-SA"/>
    </w:rPr>
  </w:style>
  <w:style w:type="paragraph" w:customStyle="1" w:styleId="ZPKTzmpktartykuempunktem">
    <w:name w:val="Z/PKT – zm. pkt artykułem (punktem)"/>
    <w:basedOn w:val="PKTpunkt"/>
    <w:uiPriority w:val="31"/>
    <w:qFormat/>
    <w:rsid w:val="006A748A"/>
    <w:pPr>
      <w:ind w:left="1020" w:firstLine="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pacing w:before="120" w:after="120" w:line="360" w:lineRule="auto"/>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pacing w:before="120" w:after="360" w:line="360" w:lineRule="auto"/>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pacing w:before="120" w:line="360" w:lineRule="auto"/>
      <w:jc w:val="center"/>
    </w:pPr>
    <w:rPr>
      <w:b/>
      <w:bCs/>
      <w:caps/>
      <w:kern w:val="2"/>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pacing w:after="120" w:line="360" w:lineRule="auto"/>
      <w:jc w:val="center"/>
    </w:pPr>
    <w:rPr>
      <w:b/>
      <w:bCs/>
      <w:caps/>
      <w:spacing w:val="54"/>
      <w:kern w:val="2"/>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pacing w:before="120" w:line="360" w:lineRule="auto"/>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eastAsiaTheme="minorEastAsia" w:cs="Arial"/>
      <w:bCs/>
      <w:caps/>
      <w:kern w:val="2"/>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pacing w:line="360" w:lineRule="auto"/>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pacing w:line="360" w:lineRule="auto"/>
      <w:ind w:left="510"/>
      <w:jc w:val="center"/>
    </w:pPr>
    <w:rPr>
      <w:rFonts w:eastAsiaTheme="minorEastAsia" w:cs="Arial"/>
      <w:bCs/>
      <w:kern w:val="2"/>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paragraph" w:styleId="Tematkomentarza">
    <w:name w:val="annotation subject"/>
    <w:basedOn w:val="Tekstkomentarza"/>
    <w:next w:val="Tekstkomentarza"/>
    <w:link w:val="TematkomentarzaZnak"/>
    <w:uiPriority w:val="99"/>
    <w:semiHidden/>
    <w:qFormat/>
    <w:rsid w:val="00023F13"/>
    <w:rPr>
      <w:b/>
      <w:bCs/>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pacing w:before="120" w:line="360" w:lineRule="auto"/>
      <w:jc w:val="center"/>
    </w:pPr>
    <w:rPr>
      <w:rFonts w:eastAsiaTheme="minorEastAsia" w:cs="Arial"/>
      <w:bCs/>
      <w:kern w:val="2"/>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pacing w:before="120" w:line="360" w:lineRule="auto"/>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paragraph" w:customStyle="1" w:styleId="ODNONIKSPECtreodnonikadoodnonika">
    <w:name w:val="ODNOŚNIK_SPEC – treść odnośnika do odnośnika"/>
    <w:basedOn w:val="Normalny"/>
    <w:uiPriority w:val="19"/>
    <w:qFormat/>
    <w:rsid w:val="00263522"/>
    <w:pPr>
      <w:widowControl/>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ind w:firstLine="510"/>
    </w:pPr>
    <w:rPr>
      <w:rFonts w:ascii="Times" w:hAnsi="Times"/>
      <w:bCs/>
      <w:kern w:val="2"/>
    </w:rPr>
  </w:style>
  <w:style w:type="paragraph" w:customStyle="1" w:styleId="TEKSTwTABELIWYRODKOWANYtekstwyrodkowanywpoziomie">
    <w:name w:val="TEKST_w_TABELI_WYŚRODKOWANY – tekst wyśrodkowany w poziomie"/>
    <w:basedOn w:val="Normalny"/>
    <w:uiPriority w:val="23"/>
    <w:qFormat/>
    <w:rsid w:val="007A789F"/>
    <w:pPr>
      <w:widowControl/>
      <w:jc w:val="center"/>
    </w:pPr>
    <w:rPr>
      <w:rFonts w:ascii="Times" w:hAnsi="Times"/>
      <w:bCs/>
      <w:kern w:val="2"/>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paragraph" w:styleId="Akapitzlist">
    <w:name w:val="List Paragraph"/>
    <w:basedOn w:val="Normalny"/>
    <w:uiPriority w:val="34"/>
    <w:qFormat/>
    <w:rsid w:val="008A0980"/>
    <w:pPr>
      <w:widowControl/>
      <w:ind w:left="720" w:firstLine="567"/>
      <w:contextualSpacing/>
    </w:pPr>
    <w:rPr>
      <w:rFonts w:ascii="Arial" w:eastAsia="Times New Roman" w:hAnsi="Arial" w:cs="Times New Roman"/>
    </w:rPr>
  </w:style>
  <w:style w:type="paragraph" w:customStyle="1" w:styleId="Default">
    <w:name w:val="Default"/>
    <w:qFormat/>
    <w:rsid w:val="00DE4319"/>
    <w:rPr>
      <w:rFonts w:ascii="Times New Roman" w:hAnsi="Times New Roman"/>
      <w:color w:val="000000"/>
    </w:rPr>
  </w:style>
  <w:style w:type="paragraph" w:styleId="Poprawka">
    <w:name w:val="Revision"/>
    <w:uiPriority w:val="99"/>
    <w:semiHidden/>
    <w:qFormat/>
    <w:rsid w:val="006B2C87"/>
    <w:rPr>
      <w:rFonts w:ascii="Times New Roman" w:eastAsiaTheme="minorEastAsia" w:hAnsi="Times New Roman" w:cs="Arial"/>
      <w:szCs w:val="20"/>
    </w:rPr>
  </w:style>
  <w:style w:type="paragraph" w:customStyle="1" w:styleId="ppkt">
    <w:name w:val="p.pkt"/>
    <w:uiPriority w:val="99"/>
    <w:qFormat/>
    <w:rsid w:val="00097109"/>
    <w:pPr>
      <w:widowControl w:val="0"/>
      <w:spacing w:line="40" w:lineRule="atLeast"/>
      <w:ind w:left="240"/>
      <w:jc w:val="both"/>
    </w:pPr>
    <w:rPr>
      <w:rFonts w:ascii="Helvetica" w:eastAsiaTheme="minorEastAsia" w:hAnsi="Helvetica" w:cs="Helvetica"/>
      <w:color w:val="000000"/>
      <w:sz w:val="18"/>
      <w:szCs w:val="18"/>
    </w:rPr>
  </w:style>
  <w:style w:type="paragraph" w:customStyle="1" w:styleId="p">
    <w:name w:val="p"/>
    <w:uiPriority w:val="99"/>
    <w:qFormat/>
    <w:rsid w:val="00097109"/>
    <w:pPr>
      <w:widowControl w:val="0"/>
      <w:spacing w:before="20" w:after="40" w:line="40" w:lineRule="atLeast"/>
      <w:jc w:val="both"/>
    </w:pPr>
    <w:rPr>
      <w:rFonts w:ascii="Helvetica" w:eastAsiaTheme="minorEastAsia" w:hAnsi="Helvetica" w:cs="Helvetica"/>
      <w:color w:val="000000"/>
      <w:sz w:val="18"/>
      <w:szCs w:val="18"/>
    </w:rPr>
  </w:style>
  <w:style w:type="paragraph" w:customStyle="1" w:styleId="changed">
    <w:name w:val="changed"/>
    <w:basedOn w:val="Normalny"/>
    <w:qFormat/>
    <w:rsid w:val="00FF5857"/>
    <w:pPr>
      <w:widowControl/>
      <w:spacing w:beforeAutospacing="1" w:afterAutospacing="1" w:line="240" w:lineRule="auto"/>
    </w:pPr>
    <w:rPr>
      <w:rFonts w:eastAsia="Times New Roman" w:cs="Times New Roman"/>
      <w:szCs w:val="24"/>
    </w:rPr>
  </w:style>
  <w:style w:type="paragraph" w:customStyle="1" w:styleId="Tekstkomentarza1">
    <w:name w:val="Tekst komentarza1"/>
    <w:basedOn w:val="Normalny"/>
    <w:next w:val="Tekstkomentarza"/>
    <w:uiPriority w:val="99"/>
    <w:semiHidden/>
    <w:unhideWhenUsed/>
    <w:qFormat/>
    <w:rsid w:val="00FF5857"/>
    <w:pPr>
      <w:spacing w:line="40" w:lineRule="atLeast"/>
      <w:jc w:val="both"/>
    </w:pPr>
    <w:rPr>
      <w:rFonts w:ascii="Helvetica" w:eastAsia="Times New Roman" w:hAnsi="Helvetica" w:cs="Helvetica"/>
      <w:color w:val="000000"/>
      <w:sz w:val="20"/>
      <w:lang w:eastAsia="en-US"/>
    </w:rPr>
  </w:style>
  <w:style w:type="paragraph" w:customStyle="1" w:styleId="ashowhidebox">
    <w:name w:val="a.showhidebox"/>
    <w:uiPriority w:val="99"/>
    <w:qFormat/>
    <w:rsid w:val="00FF5857"/>
    <w:pPr>
      <w:widowControl w:val="0"/>
      <w:spacing w:line="40" w:lineRule="atLeast"/>
      <w:jc w:val="both"/>
    </w:pPr>
    <w:rPr>
      <w:rFonts w:ascii="Helvetica" w:hAnsi="Helvetica" w:cs="Helvetica"/>
      <w:color w:val="800000"/>
      <w:sz w:val="18"/>
      <w:szCs w:val="18"/>
    </w:rPr>
  </w:style>
  <w:style w:type="paragraph" w:customStyle="1" w:styleId="pakthead1">
    <w:name w:val="p.akthead1"/>
    <w:uiPriority w:val="99"/>
    <w:qFormat/>
    <w:rsid w:val="00FF5857"/>
    <w:pPr>
      <w:widowControl w:val="0"/>
      <w:spacing w:before="120" w:after="120" w:line="40" w:lineRule="atLeast"/>
      <w:jc w:val="center"/>
    </w:pPr>
    <w:rPr>
      <w:rFonts w:ascii="Helvetica" w:hAnsi="Helvetica" w:cs="Helvetica"/>
      <w:b/>
      <w:bCs/>
      <w:color w:val="000000"/>
      <w:sz w:val="20"/>
      <w:szCs w:val="20"/>
    </w:rPr>
  </w:style>
  <w:style w:type="paragraph" w:customStyle="1" w:styleId="divpkt">
    <w:name w:val="div.pkt"/>
    <w:uiPriority w:val="99"/>
    <w:qFormat/>
    <w:rsid w:val="00FF5857"/>
    <w:pPr>
      <w:widowControl w:val="0"/>
      <w:spacing w:line="40" w:lineRule="atLeast"/>
      <w:ind w:left="460"/>
      <w:jc w:val="both"/>
    </w:pPr>
    <w:rPr>
      <w:rFonts w:ascii="Helvetica" w:hAnsi="Helvetica" w:cs="Helvetica"/>
      <w:color w:val="000000"/>
      <w:sz w:val="18"/>
      <w:szCs w:val="18"/>
    </w:rPr>
  </w:style>
  <w:style w:type="paragraph" w:customStyle="1" w:styleId="divquotblock">
    <w:name w:val="div.quotblock"/>
    <w:uiPriority w:val="99"/>
    <w:qFormat/>
    <w:rsid w:val="00FF5857"/>
    <w:pPr>
      <w:widowControl w:val="0"/>
      <w:spacing w:before="180" w:after="180" w:line="40" w:lineRule="atLeast"/>
      <w:ind w:left="180" w:right="180"/>
      <w:jc w:val="both"/>
    </w:pPr>
    <w:rPr>
      <w:rFonts w:ascii="Helvetica" w:hAnsi="Helvetica" w:cs="Helvetica"/>
      <w:color w:val="00FF00"/>
      <w:sz w:val="18"/>
      <w:szCs w:val="18"/>
    </w:rPr>
  </w:style>
  <w:style w:type="paragraph" w:styleId="NormalnyWeb">
    <w:name w:val="Normal (Web)"/>
    <w:basedOn w:val="Normalny"/>
    <w:uiPriority w:val="99"/>
    <w:unhideWhenUsed/>
    <w:qFormat/>
    <w:rsid w:val="00FF5857"/>
    <w:pPr>
      <w:widowControl/>
      <w:spacing w:beforeAutospacing="1" w:afterAutospacing="1" w:line="240" w:lineRule="auto"/>
    </w:pPr>
    <w:rPr>
      <w:rFonts w:eastAsia="Times New Roman" w:cs="Times New Roman"/>
      <w:szCs w:val="24"/>
    </w:rPr>
  </w:style>
  <w:style w:type="paragraph" w:customStyle="1" w:styleId="pchangedpkt">
    <w:name w:val="p.changedpkt"/>
    <w:uiPriority w:val="99"/>
    <w:qFormat/>
    <w:rsid w:val="00FF5857"/>
    <w:pPr>
      <w:widowControl w:val="0"/>
      <w:spacing w:line="40" w:lineRule="atLeast"/>
      <w:ind w:left="240"/>
      <w:jc w:val="both"/>
    </w:pPr>
    <w:rPr>
      <w:rFonts w:ascii="Helvetica" w:eastAsiaTheme="minorEastAsia" w:hAnsi="Helvetica" w:cs="Helvetica"/>
      <w:color w:val="FF0000"/>
      <w:sz w:val="18"/>
      <w:szCs w:val="18"/>
    </w:rPr>
  </w:style>
  <w:style w:type="paragraph" w:styleId="Tekstprzypisukocowego">
    <w:name w:val="endnote text"/>
    <w:basedOn w:val="Normalny"/>
    <w:link w:val="TekstprzypisukocowegoZnak"/>
    <w:uiPriority w:val="99"/>
    <w:semiHidden/>
    <w:unhideWhenUsed/>
    <w:rsid w:val="00FF5857"/>
    <w:pPr>
      <w:widowControl/>
      <w:spacing w:line="240" w:lineRule="auto"/>
    </w:pPr>
    <w:rPr>
      <w:rFonts w:ascii="Calibri" w:eastAsia="Calibri" w:hAnsi="Calibri" w:cs="Times New Roman"/>
      <w:sz w:val="20"/>
      <w:lang w:eastAsia="en-US"/>
    </w:rPr>
  </w:style>
  <w:style w:type="paragraph" w:customStyle="1" w:styleId="m7020199556215851520p1">
    <w:name w:val="m_7020199556215851520p1"/>
    <w:basedOn w:val="Normalny"/>
    <w:qFormat/>
    <w:rsid w:val="00FF5857"/>
    <w:pPr>
      <w:widowControl/>
      <w:spacing w:beforeAutospacing="1" w:afterAutospacing="1" w:line="240" w:lineRule="auto"/>
    </w:pPr>
    <w:rPr>
      <w:rFonts w:eastAsia="Times New Roman" w:cs="Times New Roman"/>
      <w:szCs w:val="24"/>
    </w:rPr>
  </w:style>
  <w:style w:type="paragraph" w:customStyle="1" w:styleId="m-3630321746689277748p2">
    <w:name w:val="m_-3630321746689277748p2"/>
    <w:basedOn w:val="Normalny"/>
    <w:qFormat/>
    <w:rsid w:val="00FF5857"/>
    <w:pPr>
      <w:widowControl/>
      <w:spacing w:beforeAutospacing="1" w:afterAutospacing="1" w:line="240" w:lineRule="auto"/>
    </w:pPr>
    <w:rPr>
      <w:rFonts w:eastAsia="Times New Roman" w:cs="Times New Roman"/>
      <w:szCs w:val="24"/>
    </w:rPr>
  </w:style>
  <w:style w:type="paragraph" w:customStyle="1" w:styleId="ppub">
    <w:name w:val="p.pub"/>
    <w:uiPriority w:val="99"/>
    <w:qFormat/>
    <w:rsid w:val="00FF5857"/>
    <w:pPr>
      <w:widowControl w:val="0"/>
      <w:spacing w:before="120" w:after="120" w:line="40" w:lineRule="atLeast"/>
      <w:jc w:val="center"/>
    </w:pPr>
    <w:rPr>
      <w:rFonts w:ascii="Helvetica" w:eastAsiaTheme="minorEastAsia" w:hAnsi="Helvetica" w:cs="Helvetica"/>
      <w:b/>
      <w:bCs/>
      <w:color w:val="000000"/>
      <w:sz w:val="18"/>
      <w:szCs w:val="18"/>
    </w:rPr>
  </w:style>
  <w:style w:type="paragraph" w:customStyle="1" w:styleId="ptytaktniesam">
    <w:name w:val="p.tytaktniesam"/>
    <w:uiPriority w:val="99"/>
    <w:qFormat/>
    <w:rsid w:val="00FF5857"/>
    <w:pPr>
      <w:widowControl w:val="0"/>
      <w:spacing w:before="120" w:after="120" w:line="40" w:lineRule="atLeast"/>
      <w:jc w:val="center"/>
    </w:pPr>
    <w:rPr>
      <w:rFonts w:ascii="Helvetica" w:eastAsiaTheme="minorEastAsia" w:hAnsi="Helvetica" w:cs="Helvetica"/>
      <w:b/>
      <w:bCs/>
      <w:color w:val="6E6E6E"/>
      <w:sz w:val="22"/>
      <w:szCs w:val="22"/>
    </w:rPr>
  </w:style>
  <w:style w:type="paragraph" w:customStyle="1" w:styleId="tytakt">
    <w:name w:val="tytakt"/>
    <w:basedOn w:val="Normalny"/>
    <w:qFormat/>
    <w:rsid w:val="00FF5857"/>
    <w:pPr>
      <w:widowControl/>
      <w:spacing w:beforeAutospacing="1" w:afterAutospacing="1" w:line="240" w:lineRule="auto"/>
    </w:pPr>
    <w:rPr>
      <w:rFonts w:eastAsia="Times New Roman" w:cs="Times New Roman"/>
      <w:szCs w:val="24"/>
    </w:rPr>
  </w:style>
  <w:style w:type="paragraph" w:customStyle="1" w:styleId="pub">
    <w:name w:val="pub"/>
    <w:basedOn w:val="Normalny"/>
    <w:qFormat/>
    <w:rsid w:val="00FF5857"/>
    <w:pPr>
      <w:widowControl/>
      <w:spacing w:beforeAutospacing="1" w:afterAutospacing="1" w:line="240" w:lineRule="auto"/>
    </w:pPr>
    <w:rPr>
      <w:rFonts w:eastAsia="Times New Roman" w:cs="Times New Roman"/>
      <w:szCs w:val="24"/>
    </w:rPr>
  </w:style>
  <w:style w:type="paragraph" w:customStyle="1" w:styleId="Normalny-small">
    <w:name w:val="Normalny-small"/>
    <w:basedOn w:val="Normalny"/>
    <w:qFormat/>
    <w:rsid w:val="00FF5857"/>
    <w:pPr>
      <w:widowControl/>
      <w:spacing w:line="240" w:lineRule="auto"/>
      <w:jc w:val="both"/>
    </w:pPr>
    <w:rPr>
      <w:rFonts w:ascii="Arial" w:eastAsia="Times New Roman" w:hAnsi="Arial"/>
      <w:sz w:val="16"/>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1952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table" w:customStyle="1" w:styleId="Siatkatabelijasna1">
    <w:name w:val="Siatka tabeli — jasna1"/>
    <w:basedOn w:val="Standardowy"/>
    <w:uiPriority w:val="40"/>
    <w:rsid w:val="00E01C5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Odwoanieprzypisukocowego">
    <w:name w:val="endnote reference"/>
    <w:basedOn w:val="Domylnaczcionkaakapitu"/>
    <w:uiPriority w:val="99"/>
    <w:semiHidden/>
    <w:unhideWhenUsed/>
    <w:rsid w:val="00931084"/>
    <w:rPr>
      <w:vertAlign w:val="superscript"/>
    </w:rPr>
  </w:style>
  <w:style w:type="character" w:styleId="Hipercze">
    <w:name w:val="Hyperlink"/>
    <w:basedOn w:val="Domylnaczcionkaakapitu"/>
    <w:uiPriority w:val="99"/>
    <w:unhideWhenUsed/>
    <w:rsid w:val="00D130E1"/>
    <w:rPr>
      <w:color w:val="0000FF" w:themeColor="hyperlink"/>
      <w:u w:val="single"/>
    </w:rPr>
  </w:style>
  <w:style w:type="character" w:customStyle="1" w:styleId="Nierozpoznanawzmianka1">
    <w:name w:val="Nierozpoznana wzmianka1"/>
    <w:basedOn w:val="Domylnaczcionkaakapitu"/>
    <w:uiPriority w:val="99"/>
    <w:semiHidden/>
    <w:unhideWhenUsed/>
    <w:rsid w:val="00D130E1"/>
    <w:rPr>
      <w:color w:val="605E5C"/>
      <w:shd w:val="clear" w:color="auto" w:fill="E1DFDD"/>
    </w:rPr>
  </w:style>
  <w:style w:type="character" w:customStyle="1" w:styleId="Nierozpoznanawzmianka2">
    <w:name w:val="Nierozpoznana wzmianka2"/>
    <w:basedOn w:val="Domylnaczcionkaakapitu"/>
    <w:uiPriority w:val="99"/>
    <w:semiHidden/>
    <w:unhideWhenUsed/>
    <w:rsid w:val="00426E1A"/>
    <w:rPr>
      <w:color w:val="605E5C"/>
      <w:shd w:val="clear" w:color="auto" w:fill="E1DFDD"/>
    </w:rPr>
  </w:style>
  <w:style w:type="character" w:styleId="Odwoanieprzypisudolnego">
    <w:name w:val="footnote reference"/>
    <w:basedOn w:val="Domylnaczcionkaakapitu"/>
    <w:uiPriority w:val="99"/>
    <w:semiHidden/>
    <w:unhideWhenUsed/>
    <w:rsid w:val="00ED3C85"/>
    <w:rPr>
      <w:vertAlign w:val="superscript"/>
    </w:rPr>
  </w:style>
  <w:style w:type="table" w:styleId="Siatkatabelijasna">
    <w:name w:val="Grid Table Light"/>
    <w:basedOn w:val="Standardowy"/>
    <w:uiPriority w:val="40"/>
    <w:rsid w:val="004A37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39"/>
    <w:rsid w:val="000854A4"/>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rtustawynprozporzdzenia0">
    <w:name w:val="artartustawynprozporzdzenia"/>
    <w:basedOn w:val="Normalny"/>
    <w:rsid w:val="007D7513"/>
    <w:pPr>
      <w:widowControl/>
      <w:suppressAutoHyphens w:val="0"/>
      <w:spacing w:before="100" w:beforeAutospacing="1" w:after="100" w:afterAutospacing="1" w:line="240" w:lineRule="auto"/>
    </w:pPr>
    <w:rPr>
      <w:rFonts w:eastAsia="Times New Roman" w:cs="Times New Roman"/>
      <w:szCs w:val="24"/>
      <w:lang w:val="en-US" w:eastAsia="en-US"/>
    </w:rPr>
  </w:style>
  <w:style w:type="character" w:customStyle="1" w:styleId="ppogrubienie0">
    <w:name w:val="ppogrubienie"/>
    <w:basedOn w:val="Domylnaczcionkaakapitu"/>
    <w:rsid w:val="007D7513"/>
  </w:style>
  <w:style w:type="paragraph" w:customStyle="1" w:styleId="pktpunkt0">
    <w:name w:val="pktpunkt"/>
    <w:basedOn w:val="Normalny"/>
    <w:rsid w:val="007D7513"/>
    <w:pPr>
      <w:widowControl/>
      <w:suppressAutoHyphens w:val="0"/>
      <w:spacing w:before="100" w:beforeAutospacing="1" w:after="100" w:afterAutospacing="1" w:line="240" w:lineRule="auto"/>
    </w:pPr>
    <w:rPr>
      <w:rFonts w:eastAsia="Times New Roman" w:cs="Times New Roman"/>
      <w:szCs w:val="24"/>
      <w:lang w:val="en-US" w:eastAsia="en-US"/>
    </w:rPr>
  </w:style>
  <w:style w:type="character" w:styleId="UyteHipercze">
    <w:name w:val="FollowedHyperlink"/>
    <w:basedOn w:val="Domylnaczcionkaakapitu"/>
    <w:uiPriority w:val="99"/>
    <w:semiHidden/>
    <w:unhideWhenUsed/>
    <w:rsid w:val="004371A5"/>
    <w:rPr>
      <w:color w:val="800080" w:themeColor="followedHyperlink"/>
      <w:u w:val="single"/>
    </w:rPr>
  </w:style>
  <w:style w:type="character" w:customStyle="1" w:styleId="normaltextrun">
    <w:name w:val="normaltextrun"/>
    <w:basedOn w:val="Domylnaczcionkaakapitu"/>
    <w:rsid w:val="00791CC1"/>
  </w:style>
  <w:style w:type="character" w:customStyle="1" w:styleId="Nierozpoznanawzmianka3">
    <w:name w:val="Nierozpoznana wzmianka3"/>
    <w:basedOn w:val="Domylnaczcionkaakapitu"/>
    <w:uiPriority w:val="99"/>
    <w:semiHidden/>
    <w:unhideWhenUsed/>
    <w:rsid w:val="001D49F7"/>
    <w:rPr>
      <w:color w:val="605E5C"/>
      <w:shd w:val="clear" w:color="auto" w:fill="E1DFDD"/>
    </w:rPr>
  </w:style>
  <w:style w:type="character" w:customStyle="1" w:styleId="Nierozpoznanawzmianka4">
    <w:name w:val="Nierozpoznana wzmianka4"/>
    <w:basedOn w:val="Domylnaczcionkaakapitu"/>
    <w:uiPriority w:val="99"/>
    <w:semiHidden/>
    <w:unhideWhenUsed/>
    <w:rsid w:val="00FE0AE7"/>
    <w:rPr>
      <w:color w:val="605E5C"/>
      <w:shd w:val="clear" w:color="auto" w:fill="E1DFDD"/>
    </w:rPr>
  </w:style>
  <w:style w:type="character" w:customStyle="1" w:styleId="Nagwek4Znak">
    <w:name w:val="Nagłówek 4 Znak"/>
    <w:basedOn w:val="Domylnaczcionkaakapitu"/>
    <w:link w:val="Nagwek4"/>
    <w:uiPriority w:val="99"/>
    <w:semiHidden/>
    <w:rsid w:val="00641F9A"/>
    <w:rPr>
      <w:rFonts w:asciiTheme="majorHAnsi" w:eastAsiaTheme="majorEastAsia" w:hAnsiTheme="majorHAnsi" w:cstheme="majorBidi"/>
      <w:i/>
      <w:iCs/>
      <w:color w:val="365F91" w:themeColor="accent1" w:themeShade="BF"/>
      <w:szCs w:val="20"/>
    </w:rPr>
  </w:style>
  <w:style w:type="character" w:styleId="Nierozpoznanawzmianka">
    <w:name w:val="Unresolved Mention"/>
    <w:basedOn w:val="Domylnaczcionkaakapitu"/>
    <w:uiPriority w:val="99"/>
    <w:semiHidden/>
    <w:unhideWhenUsed/>
    <w:rsid w:val="00112CB2"/>
    <w:rPr>
      <w:color w:val="605E5C"/>
      <w:shd w:val="clear" w:color="auto" w:fill="E1DFDD"/>
    </w:rPr>
  </w:style>
  <w:style w:type="character" w:customStyle="1" w:styleId="cf01">
    <w:name w:val="cf01"/>
    <w:basedOn w:val="Domylnaczcionkaakapitu"/>
    <w:rsid w:val="00A834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9131">
      <w:bodyDiv w:val="1"/>
      <w:marLeft w:val="0"/>
      <w:marRight w:val="0"/>
      <w:marTop w:val="0"/>
      <w:marBottom w:val="0"/>
      <w:divBdr>
        <w:top w:val="none" w:sz="0" w:space="0" w:color="auto"/>
        <w:left w:val="none" w:sz="0" w:space="0" w:color="auto"/>
        <w:bottom w:val="none" w:sz="0" w:space="0" w:color="auto"/>
        <w:right w:val="none" w:sz="0" w:space="0" w:color="auto"/>
      </w:divBdr>
    </w:div>
    <w:div w:id="108165872">
      <w:bodyDiv w:val="1"/>
      <w:marLeft w:val="0"/>
      <w:marRight w:val="0"/>
      <w:marTop w:val="0"/>
      <w:marBottom w:val="0"/>
      <w:divBdr>
        <w:top w:val="none" w:sz="0" w:space="0" w:color="auto"/>
        <w:left w:val="none" w:sz="0" w:space="0" w:color="auto"/>
        <w:bottom w:val="none" w:sz="0" w:space="0" w:color="auto"/>
        <w:right w:val="none" w:sz="0" w:space="0" w:color="auto"/>
      </w:divBdr>
    </w:div>
    <w:div w:id="148838054">
      <w:bodyDiv w:val="1"/>
      <w:marLeft w:val="0"/>
      <w:marRight w:val="0"/>
      <w:marTop w:val="0"/>
      <w:marBottom w:val="0"/>
      <w:divBdr>
        <w:top w:val="none" w:sz="0" w:space="0" w:color="auto"/>
        <w:left w:val="none" w:sz="0" w:space="0" w:color="auto"/>
        <w:bottom w:val="none" w:sz="0" w:space="0" w:color="auto"/>
        <w:right w:val="none" w:sz="0" w:space="0" w:color="auto"/>
      </w:divBdr>
    </w:div>
    <w:div w:id="151265499">
      <w:bodyDiv w:val="1"/>
      <w:marLeft w:val="0"/>
      <w:marRight w:val="0"/>
      <w:marTop w:val="0"/>
      <w:marBottom w:val="0"/>
      <w:divBdr>
        <w:top w:val="none" w:sz="0" w:space="0" w:color="auto"/>
        <w:left w:val="none" w:sz="0" w:space="0" w:color="auto"/>
        <w:bottom w:val="none" w:sz="0" w:space="0" w:color="auto"/>
        <w:right w:val="none" w:sz="0" w:space="0" w:color="auto"/>
      </w:divBdr>
    </w:div>
    <w:div w:id="181625062">
      <w:bodyDiv w:val="1"/>
      <w:marLeft w:val="0"/>
      <w:marRight w:val="0"/>
      <w:marTop w:val="0"/>
      <w:marBottom w:val="0"/>
      <w:divBdr>
        <w:top w:val="none" w:sz="0" w:space="0" w:color="auto"/>
        <w:left w:val="none" w:sz="0" w:space="0" w:color="auto"/>
        <w:bottom w:val="none" w:sz="0" w:space="0" w:color="auto"/>
        <w:right w:val="none" w:sz="0" w:space="0" w:color="auto"/>
      </w:divBdr>
    </w:div>
    <w:div w:id="216629222">
      <w:bodyDiv w:val="1"/>
      <w:marLeft w:val="0"/>
      <w:marRight w:val="0"/>
      <w:marTop w:val="0"/>
      <w:marBottom w:val="0"/>
      <w:divBdr>
        <w:top w:val="none" w:sz="0" w:space="0" w:color="auto"/>
        <w:left w:val="none" w:sz="0" w:space="0" w:color="auto"/>
        <w:bottom w:val="none" w:sz="0" w:space="0" w:color="auto"/>
        <w:right w:val="none" w:sz="0" w:space="0" w:color="auto"/>
      </w:divBdr>
    </w:div>
    <w:div w:id="291981830">
      <w:bodyDiv w:val="1"/>
      <w:marLeft w:val="0"/>
      <w:marRight w:val="0"/>
      <w:marTop w:val="0"/>
      <w:marBottom w:val="0"/>
      <w:divBdr>
        <w:top w:val="none" w:sz="0" w:space="0" w:color="auto"/>
        <w:left w:val="none" w:sz="0" w:space="0" w:color="auto"/>
        <w:bottom w:val="none" w:sz="0" w:space="0" w:color="auto"/>
        <w:right w:val="none" w:sz="0" w:space="0" w:color="auto"/>
      </w:divBdr>
    </w:div>
    <w:div w:id="313722168">
      <w:bodyDiv w:val="1"/>
      <w:marLeft w:val="0"/>
      <w:marRight w:val="0"/>
      <w:marTop w:val="0"/>
      <w:marBottom w:val="0"/>
      <w:divBdr>
        <w:top w:val="none" w:sz="0" w:space="0" w:color="auto"/>
        <w:left w:val="none" w:sz="0" w:space="0" w:color="auto"/>
        <w:bottom w:val="none" w:sz="0" w:space="0" w:color="auto"/>
        <w:right w:val="none" w:sz="0" w:space="0" w:color="auto"/>
      </w:divBdr>
    </w:div>
    <w:div w:id="371148386">
      <w:bodyDiv w:val="1"/>
      <w:marLeft w:val="0"/>
      <w:marRight w:val="0"/>
      <w:marTop w:val="0"/>
      <w:marBottom w:val="0"/>
      <w:divBdr>
        <w:top w:val="none" w:sz="0" w:space="0" w:color="auto"/>
        <w:left w:val="none" w:sz="0" w:space="0" w:color="auto"/>
        <w:bottom w:val="none" w:sz="0" w:space="0" w:color="auto"/>
        <w:right w:val="none" w:sz="0" w:space="0" w:color="auto"/>
      </w:divBdr>
    </w:div>
    <w:div w:id="427772763">
      <w:bodyDiv w:val="1"/>
      <w:marLeft w:val="0"/>
      <w:marRight w:val="0"/>
      <w:marTop w:val="0"/>
      <w:marBottom w:val="0"/>
      <w:divBdr>
        <w:top w:val="none" w:sz="0" w:space="0" w:color="auto"/>
        <w:left w:val="none" w:sz="0" w:space="0" w:color="auto"/>
        <w:bottom w:val="none" w:sz="0" w:space="0" w:color="auto"/>
        <w:right w:val="none" w:sz="0" w:space="0" w:color="auto"/>
      </w:divBdr>
    </w:div>
    <w:div w:id="458454312">
      <w:bodyDiv w:val="1"/>
      <w:marLeft w:val="0"/>
      <w:marRight w:val="0"/>
      <w:marTop w:val="0"/>
      <w:marBottom w:val="0"/>
      <w:divBdr>
        <w:top w:val="none" w:sz="0" w:space="0" w:color="auto"/>
        <w:left w:val="none" w:sz="0" w:space="0" w:color="auto"/>
        <w:bottom w:val="none" w:sz="0" w:space="0" w:color="auto"/>
        <w:right w:val="none" w:sz="0" w:space="0" w:color="auto"/>
      </w:divBdr>
    </w:div>
    <w:div w:id="651563584">
      <w:bodyDiv w:val="1"/>
      <w:marLeft w:val="0"/>
      <w:marRight w:val="0"/>
      <w:marTop w:val="0"/>
      <w:marBottom w:val="0"/>
      <w:divBdr>
        <w:top w:val="none" w:sz="0" w:space="0" w:color="auto"/>
        <w:left w:val="none" w:sz="0" w:space="0" w:color="auto"/>
        <w:bottom w:val="none" w:sz="0" w:space="0" w:color="auto"/>
        <w:right w:val="none" w:sz="0" w:space="0" w:color="auto"/>
      </w:divBdr>
    </w:div>
    <w:div w:id="660932988">
      <w:bodyDiv w:val="1"/>
      <w:marLeft w:val="0"/>
      <w:marRight w:val="0"/>
      <w:marTop w:val="0"/>
      <w:marBottom w:val="0"/>
      <w:divBdr>
        <w:top w:val="none" w:sz="0" w:space="0" w:color="auto"/>
        <w:left w:val="none" w:sz="0" w:space="0" w:color="auto"/>
        <w:bottom w:val="none" w:sz="0" w:space="0" w:color="auto"/>
        <w:right w:val="none" w:sz="0" w:space="0" w:color="auto"/>
      </w:divBdr>
    </w:div>
    <w:div w:id="736629303">
      <w:bodyDiv w:val="1"/>
      <w:marLeft w:val="0"/>
      <w:marRight w:val="0"/>
      <w:marTop w:val="0"/>
      <w:marBottom w:val="0"/>
      <w:divBdr>
        <w:top w:val="none" w:sz="0" w:space="0" w:color="auto"/>
        <w:left w:val="none" w:sz="0" w:space="0" w:color="auto"/>
        <w:bottom w:val="none" w:sz="0" w:space="0" w:color="auto"/>
        <w:right w:val="none" w:sz="0" w:space="0" w:color="auto"/>
      </w:divBdr>
    </w:div>
    <w:div w:id="822308565">
      <w:bodyDiv w:val="1"/>
      <w:marLeft w:val="0"/>
      <w:marRight w:val="0"/>
      <w:marTop w:val="0"/>
      <w:marBottom w:val="0"/>
      <w:divBdr>
        <w:top w:val="none" w:sz="0" w:space="0" w:color="auto"/>
        <w:left w:val="none" w:sz="0" w:space="0" w:color="auto"/>
        <w:bottom w:val="none" w:sz="0" w:space="0" w:color="auto"/>
        <w:right w:val="none" w:sz="0" w:space="0" w:color="auto"/>
      </w:divBdr>
    </w:div>
    <w:div w:id="829977278">
      <w:bodyDiv w:val="1"/>
      <w:marLeft w:val="0"/>
      <w:marRight w:val="0"/>
      <w:marTop w:val="0"/>
      <w:marBottom w:val="0"/>
      <w:divBdr>
        <w:top w:val="none" w:sz="0" w:space="0" w:color="auto"/>
        <w:left w:val="none" w:sz="0" w:space="0" w:color="auto"/>
        <w:bottom w:val="none" w:sz="0" w:space="0" w:color="auto"/>
        <w:right w:val="none" w:sz="0" w:space="0" w:color="auto"/>
      </w:divBdr>
    </w:div>
    <w:div w:id="830371259">
      <w:bodyDiv w:val="1"/>
      <w:marLeft w:val="0"/>
      <w:marRight w:val="0"/>
      <w:marTop w:val="0"/>
      <w:marBottom w:val="0"/>
      <w:divBdr>
        <w:top w:val="none" w:sz="0" w:space="0" w:color="auto"/>
        <w:left w:val="none" w:sz="0" w:space="0" w:color="auto"/>
        <w:bottom w:val="none" w:sz="0" w:space="0" w:color="auto"/>
        <w:right w:val="none" w:sz="0" w:space="0" w:color="auto"/>
      </w:divBdr>
    </w:div>
    <w:div w:id="831795779">
      <w:bodyDiv w:val="1"/>
      <w:marLeft w:val="0"/>
      <w:marRight w:val="0"/>
      <w:marTop w:val="0"/>
      <w:marBottom w:val="0"/>
      <w:divBdr>
        <w:top w:val="none" w:sz="0" w:space="0" w:color="auto"/>
        <w:left w:val="none" w:sz="0" w:space="0" w:color="auto"/>
        <w:bottom w:val="none" w:sz="0" w:space="0" w:color="auto"/>
        <w:right w:val="none" w:sz="0" w:space="0" w:color="auto"/>
      </w:divBdr>
    </w:div>
    <w:div w:id="960262645">
      <w:bodyDiv w:val="1"/>
      <w:marLeft w:val="0"/>
      <w:marRight w:val="0"/>
      <w:marTop w:val="0"/>
      <w:marBottom w:val="0"/>
      <w:divBdr>
        <w:top w:val="none" w:sz="0" w:space="0" w:color="auto"/>
        <w:left w:val="none" w:sz="0" w:space="0" w:color="auto"/>
        <w:bottom w:val="none" w:sz="0" w:space="0" w:color="auto"/>
        <w:right w:val="none" w:sz="0" w:space="0" w:color="auto"/>
      </w:divBdr>
    </w:div>
    <w:div w:id="998847963">
      <w:bodyDiv w:val="1"/>
      <w:marLeft w:val="0"/>
      <w:marRight w:val="0"/>
      <w:marTop w:val="0"/>
      <w:marBottom w:val="0"/>
      <w:divBdr>
        <w:top w:val="none" w:sz="0" w:space="0" w:color="auto"/>
        <w:left w:val="none" w:sz="0" w:space="0" w:color="auto"/>
        <w:bottom w:val="none" w:sz="0" w:space="0" w:color="auto"/>
        <w:right w:val="none" w:sz="0" w:space="0" w:color="auto"/>
      </w:divBdr>
    </w:div>
    <w:div w:id="1006397969">
      <w:bodyDiv w:val="1"/>
      <w:marLeft w:val="0"/>
      <w:marRight w:val="0"/>
      <w:marTop w:val="0"/>
      <w:marBottom w:val="0"/>
      <w:divBdr>
        <w:top w:val="none" w:sz="0" w:space="0" w:color="auto"/>
        <w:left w:val="none" w:sz="0" w:space="0" w:color="auto"/>
        <w:bottom w:val="none" w:sz="0" w:space="0" w:color="auto"/>
        <w:right w:val="none" w:sz="0" w:space="0" w:color="auto"/>
      </w:divBdr>
    </w:div>
    <w:div w:id="1067612219">
      <w:bodyDiv w:val="1"/>
      <w:marLeft w:val="0"/>
      <w:marRight w:val="0"/>
      <w:marTop w:val="0"/>
      <w:marBottom w:val="0"/>
      <w:divBdr>
        <w:top w:val="none" w:sz="0" w:space="0" w:color="auto"/>
        <w:left w:val="none" w:sz="0" w:space="0" w:color="auto"/>
        <w:bottom w:val="none" w:sz="0" w:space="0" w:color="auto"/>
        <w:right w:val="none" w:sz="0" w:space="0" w:color="auto"/>
      </w:divBdr>
    </w:div>
    <w:div w:id="1214999906">
      <w:bodyDiv w:val="1"/>
      <w:marLeft w:val="0"/>
      <w:marRight w:val="0"/>
      <w:marTop w:val="0"/>
      <w:marBottom w:val="0"/>
      <w:divBdr>
        <w:top w:val="none" w:sz="0" w:space="0" w:color="auto"/>
        <w:left w:val="none" w:sz="0" w:space="0" w:color="auto"/>
        <w:bottom w:val="none" w:sz="0" w:space="0" w:color="auto"/>
        <w:right w:val="none" w:sz="0" w:space="0" w:color="auto"/>
      </w:divBdr>
    </w:div>
    <w:div w:id="1466005521">
      <w:bodyDiv w:val="1"/>
      <w:marLeft w:val="0"/>
      <w:marRight w:val="0"/>
      <w:marTop w:val="0"/>
      <w:marBottom w:val="0"/>
      <w:divBdr>
        <w:top w:val="none" w:sz="0" w:space="0" w:color="auto"/>
        <w:left w:val="none" w:sz="0" w:space="0" w:color="auto"/>
        <w:bottom w:val="none" w:sz="0" w:space="0" w:color="auto"/>
        <w:right w:val="none" w:sz="0" w:space="0" w:color="auto"/>
      </w:divBdr>
    </w:div>
    <w:div w:id="1546332784">
      <w:bodyDiv w:val="1"/>
      <w:marLeft w:val="0"/>
      <w:marRight w:val="0"/>
      <w:marTop w:val="0"/>
      <w:marBottom w:val="0"/>
      <w:divBdr>
        <w:top w:val="none" w:sz="0" w:space="0" w:color="auto"/>
        <w:left w:val="none" w:sz="0" w:space="0" w:color="auto"/>
        <w:bottom w:val="none" w:sz="0" w:space="0" w:color="auto"/>
        <w:right w:val="none" w:sz="0" w:space="0" w:color="auto"/>
      </w:divBdr>
    </w:div>
    <w:div w:id="1692803443">
      <w:bodyDiv w:val="1"/>
      <w:marLeft w:val="0"/>
      <w:marRight w:val="0"/>
      <w:marTop w:val="0"/>
      <w:marBottom w:val="0"/>
      <w:divBdr>
        <w:top w:val="none" w:sz="0" w:space="0" w:color="auto"/>
        <w:left w:val="none" w:sz="0" w:space="0" w:color="auto"/>
        <w:bottom w:val="none" w:sz="0" w:space="0" w:color="auto"/>
        <w:right w:val="none" w:sz="0" w:space="0" w:color="auto"/>
      </w:divBdr>
    </w:div>
    <w:div w:id="1703550030">
      <w:bodyDiv w:val="1"/>
      <w:marLeft w:val="0"/>
      <w:marRight w:val="0"/>
      <w:marTop w:val="0"/>
      <w:marBottom w:val="0"/>
      <w:divBdr>
        <w:top w:val="none" w:sz="0" w:space="0" w:color="auto"/>
        <w:left w:val="none" w:sz="0" w:space="0" w:color="auto"/>
        <w:bottom w:val="none" w:sz="0" w:space="0" w:color="auto"/>
        <w:right w:val="none" w:sz="0" w:space="0" w:color="auto"/>
      </w:divBdr>
    </w:div>
    <w:div w:id="1744984610">
      <w:bodyDiv w:val="1"/>
      <w:marLeft w:val="0"/>
      <w:marRight w:val="0"/>
      <w:marTop w:val="0"/>
      <w:marBottom w:val="0"/>
      <w:divBdr>
        <w:top w:val="none" w:sz="0" w:space="0" w:color="auto"/>
        <w:left w:val="none" w:sz="0" w:space="0" w:color="auto"/>
        <w:bottom w:val="none" w:sz="0" w:space="0" w:color="auto"/>
        <w:right w:val="none" w:sz="0" w:space="0" w:color="auto"/>
      </w:divBdr>
    </w:div>
    <w:div w:id="1859732557">
      <w:bodyDiv w:val="1"/>
      <w:marLeft w:val="0"/>
      <w:marRight w:val="0"/>
      <w:marTop w:val="0"/>
      <w:marBottom w:val="0"/>
      <w:divBdr>
        <w:top w:val="none" w:sz="0" w:space="0" w:color="auto"/>
        <w:left w:val="none" w:sz="0" w:space="0" w:color="auto"/>
        <w:bottom w:val="none" w:sz="0" w:space="0" w:color="auto"/>
        <w:right w:val="none" w:sz="0" w:space="0" w:color="auto"/>
      </w:divBdr>
    </w:div>
    <w:div w:id="1880587523">
      <w:bodyDiv w:val="1"/>
      <w:marLeft w:val="0"/>
      <w:marRight w:val="0"/>
      <w:marTop w:val="0"/>
      <w:marBottom w:val="0"/>
      <w:divBdr>
        <w:top w:val="none" w:sz="0" w:space="0" w:color="auto"/>
        <w:left w:val="none" w:sz="0" w:space="0" w:color="auto"/>
        <w:bottom w:val="none" w:sz="0" w:space="0" w:color="auto"/>
        <w:right w:val="none" w:sz="0" w:space="0" w:color="auto"/>
      </w:divBdr>
    </w:div>
    <w:div w:id="1907715114">
      <w:bodyDiv w:val="1"/>
      <w:marLeft w:val="0"/>
      <w:marRight w:val="0"/>
      <w:marTop w:val="0"/>
      <w:marBottom w:val="0"/>
      <w:divBdr>
        <w:top w:val="none" w:sz="0" w:space="0" w:color="auto"/>
        <w:left w:val="none" w:sz="0" w:space="0" w:color="auto"/>
        <w:bottom w:val="none" w:sz="0" w:space="0" w:color="auto"/>
        <w:right w:val="none" w:sz="0" w:space="0" w:color="auto"/>
      </w:divBdr>
    </w:div>
    <w:div w:id="1923643462">
      <w:bodyDiv w:val="1"/>
      <w:marLeft w:val="0"/>
      <w:marRight w:val="0"/>
      <w:marTop w:val="0"/>
      <w:marBottom w:val="0"/>
      <w:divBdr>
        <w:top w:val="none" w:sz="0" w:space="0" w:color="auto"/>
        <w:left w:val="none" w:sz="0" w:space="0" w:color="auto"/>
        <w:bottom w:val="none" w:sz="0" w:space="0" w:color="auto"/>
        <w:right w:val="none" w:sz="0" w:space="0" w:color="auto"/>
      </w:divBdr>
    </w:div>
    <w:div w:id="1955013224">
      <w:bodyDiv w:val="1"/>
      <w:marLeft w:val="0"/>
      <w:marRight w:val="0"/>
      <w:marTop w:val="0"/>
      <w:marBottom w:val="0"/>
      <w:divBdr>
        <w:top w:val="none" w:sz="0" w:space="0" w:color="auto"/>
        <w:left w:val="none" w:sz="0" w:space="0" w:color="auto"/>
        <w:bottom w:val="none" w:sz="0" w:space="0" w:color="auto"/>
        <w:right w:val="none" w:sz="0" w:space="0" w:color="auto"/>
      </w:divBdr>
    </w:div>
    <w:div w:id="1990204695">
      <w:bodyDiv w:val="1"/>
      <w:marLeft w:val="0"/>
      <w:marRight w:val="0"/>
      <w:marTop w:val="0"/>
      <w:marBottom w:val="0"/>
      <w:divBdr>
        <w:top w:val="none" w:sz="0" w:space="0" w:color="auto"/>
        <w:left w:val="none" w:sz="0" w:space="0" w:color="auto"/>
        <w:bottom w:val="none" w:sz="0" w:space="0" w:color="auto"/>
        <w:right w:val="none" w:sz="0" w:space="0" w:color="auto"/>
      </w:divBdr>
    </w:div>
    <w:div w:id="1997222815">
      <w:bodyDiv w:val="1"/>
      <w:marLeft w:val="0"/>
      <w:marRight w:val="0"/>
      <w:marTop w:val="0"/>
      <w:marBottom w:val="0"/>
      <w:divBdr>
        <w:top w:val="none" w:sz="0" w:space="0" w:color="auto"/>
        <w:left w:val="none" w:sz="0" w:space="0" w:color="auto"/>
        <w:bottom w:val="none" w:sz="0" w:space="0" w:color="auto"/>
        <w:right w:val="none" w:sz="0" w:space="0" w:color="auto"/>
      </w:divBdr>
    </w:div>
    <w:div w:id="2011985750">
      <w:bodyDiv w:val="1"/>
      <w:marLeft w:val="0"/>
      <w:marRight w:val="0"/>
      <w:marTop w:val="0"/>
      <w:marBottom w:val="0"/>
      <w:divBdr>
        <w:top w:val="none" w:sz="0" w:space="0" w:color="auto"/>
        <w:left w:val="none" w:sz="0" w:space="0" w:color="auto"/>
        <w:bottom w:val="none" w:sz="0" w:space="0" w:color="auto"/>
        <w:right w:val="none" w:sz="0" w:space="0" w:color="auto"/>
      </w:divBdr>
    </w:div>
    <w:div w:id="205010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jestry.ure.gov.pl/o/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activ.com/section/agriculture-food/news/oil-will-still-drive-europes-cars-by-2030-data-sho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kub.Kowalski@klimat.gov.pl" TargetMode="External"/><Relationship Id="rId4" Type="http://schemas.openxmlformats.org/officeDocument/2006/relationships/styles" Target="styles.xml"/><Relationship Id="rId9" Type="http://schemas.openxmlformats.org/officeDocument/2006/relationships/hyperlink" Target="mailto:Marek.Kosicki@klimat.gov.p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spa.com.pl/tag/licznik-elektromobilnosci/" TargetMode="External"/><Relationship Id="rId2" Type="http://schemas.openxmlformats.org/officeDocument/2006/relationships/hyperlink" Target="https://www.money.pl/gospodarka/szybko-rosnie-liczba-e-autobusow-w-polsce-tempo-spadnie-przez-ceny-pradu-6854353613081152a.html" TargetMode="External"/><Relationship Id="rId1" Type="http://schemas.openxmlformats.org/officeDocument/2006/relationships/hyperlink" Target="https://rejestry.ure.gov.pl/o/17" TargetMode="External"/><Relationship Id="rId5" Type="http://schemas.openxmlformats.org/officeDocument/2006/relationships/hyperlink" Target="http://orka.sejm.gov.pl/proc9.nsf/ustawy/2541_u.htm" TargetMode="External"/><Relationship Id="rId4" Type="http://schemas.openxmlformats.org/officeDocument/2006/relationships/hyperlink" Target="https://energy.ec.europa.eu/topics/renewable-energy/renewable-energy-directive-targets-and-rules/renewable-energy-directive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1FFAC3-F08E-4196-AAB5-DA5ECE3E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13168</Words>
  <Characters>79009</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Natalia</dc:creator>
  <cp:keywords/>
  <dc:description/>
  <cp:lastModifiedBy>Kobyliński Michał</cp:lastModifiedBy>
  <cp:revision>16</cp:revision>
  <dcterms:created xsi:type="dcterms:W3CDTF">2024-04-23T15:09:00Z</dcterms:created>
  <dcterms:modified xsi:type="dcterms:W3CDTF">2024-05-15T15:15:00Z</dcterms:modified>
  <dc:language/>
</cp:coreProperties>
</file>