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9FD1" w14:textId="60D8E3CA" w:rsidR="00C95BA0" w:rsidRPr="008374D0" w:rsidRDefault="00C95BA0" w:rsidP="00214ED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4D0">
        <w:rPr>
          <w:rFonts w:ascii="Times New Roman" w:hAnsi="Times New Roman" w:cs="Times New Roman"/>
          <w:sz w:val="24"/>
          <w:szCs w:val="24"/>
        </w:rPr>
        <w:t xml:space="preserve">Projekt z dnia </w:t>
      </w:r>
      <w:r w:rsidR="00450741">
        <w:rPr>
          <w:rFonts w:ascii="Times New Roman" w:hAnsi="Times New Roman" w:cs="Times New Roman"/>
          <w:sz w:val="24"/>
          <w:szCs w:val="24"/>
        </w:rPr>
        <w:t>24</w:t>
      </w:r>
      <w:r w:rsidR="007E33A1">
        <w:rPr>
          <w:rFonts w:ascii="Times New Roman" w:hAnsi="Times New Roman" w:cs="Times New Roman"/>
          <w:sz w:val="24"/>
          <w:szCs w:val="24"/>
        </w:rPr>
        <w:t>.0</w:t>
      </w:r>
      <w:r w:rsidR="0074312B">
        <w:rPr>
          <w:rFonts w:ascii="Times New Roman" w:hAnsi="Times New Roman" w:cs="Times New Roman"/>
          <w:sz w:val="24"/>
          <w:szCs w:val="24"/>
        </w:rPr>
        <w:t>5</w:t>
      </w:r>
      <w:r w:rsidR="00AE55A8" w:rsidRPr="008374D0">
        <w:rPr>
          <w:rFonts w:ascii="Times New Roman" w:hAnsi="Times New Roman" w:cs="Times New Roman"/>
          <w:sz w:val="24"/>
          <w:szCs w:val="24"/>
        </w:rPr>
        <w:t>.202</w:t>
      </w:r>
      <w:r w:rsidR="00AB5D25">
        <w:rPr>
          <w:rFonts w:ascii="Times New Roman" w:hAnsi="Times New Roman" w:cs="Times New Roman"/>
          <w:sz w:val="24"/>
          <w:szCs w:val="24"/>
        </w:rPr>
        <w:t>4</w:t>
      </w:r>
      <w:r w:rsidR="00AE55A8" w:rsidRPr="008374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50CF99" w14:textId="77777777" w:rsidR="00C95BA0" w:rsidRPr="006D2734" w:rsidRDefault="00C95BA0" w:rsidP="00214EDA">
      <w:pPr>
        <w:pStyle w:val="Tekstpodstawowywcity3"/>
        <w:ind w:left="0"/>
        <w:jc w:val="center"/>
        <w:rPr>
          <w:b/>
          <w:smallCaps/>
          <w:color w:val="000000"/>
          <w:spacing w:val="8"/>
          <w:sz w:val="24"/>
          <w:szCs w:val="24"/>
        </w:rPr>
      </w:pPr>
    </w:p>
    <w:p w14:paraId="7A38DCAC" w14:textId="77777777" w:rsidR="00C95BA0" w:rsidRPr="006D2734" w:rsidRDefault="00C95BA0" w:rsidP="00214EDA">
      <w:pPr>
        <w:pStyle w:val="Tekstpodstawowywcity3"/>
        <w:ind w:left="0"/>
        <w:jc w:val="center"/>
        <w:rPr>
          <w:b/>
          <w:smallCaps/>
          <w:color w:val="000000"/>
          <w:spacing w:val="8"/>
          <w:sz w:val="24"/>
          <w:szCs w:val="24"/>
        </w:rPr>
      </w:pPr>
      <w:r w:rsidRPr="006D2734">
        <w:rPr>
          <w:b/>
          <w:smallCaps/>
          <w:color w:val="000000"/>
          <w:spacing w:val="8"/>
          <w:sz w:val="24"/>
          <w:szCs w:val="24"/>
        </w:rPr>
        <w:t>Uzasadnienie</w:t>
      </w:r>
    </w:p>
    <w:p w14:paraId="7276A63F" w14:textId="77777777" w:rsidR="00644D8B" w:rsidRPr="006D2734" w:rsidRDefault="00644D8B" w:rsidP="00214EDA">
      <w:pPr>
        <w:pStyle w:val="Tekstpodstawowywcity3"/>
        <w:ind w:left="0"/>
        <w:jc w:val="center"/>
        <w:rPr>
          <w:b/>
          <w:smallCaps/>
          <w:color w:val="000000"/>
          <w:spacing w:val="8"/>
          <w:sz w:val="24"/>
          <w:szCs w:val="24"/>
        </w:rPr>
      </w:pPr>
    </w:p>
    <w:p w14:paraId="4CD4B127" w14:textId="1E9F6192" w:rsidR="00D333B7" w:rsidRDefault="00D333B7" w:rsidP="00214ED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273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D27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Potrzeba i cel wydania </w:t>
      </w:r>
      <w:r w:rsidR="0054149B">
        <w:rPr>
          <w:rFonts w:ascii="Times New Roman" w:hAnsi="Times New Roman" w:cs="Times New Roman"/>
          <w:b/>
          <w:bCs/>
          <w:sz w:val="24"/>
          <w:szCs w:val="24"/>
        </w:rPr>
        <w:t>rozporządzenia</w:t>
      </w:r>
    </w:p>
    <w:p w14:paraId="2F346DB7" w14:textId="4790ACD4" w:rsidR="00E04D93" w:rsidRPr="00B1249B" w:rsidRDefault="00B1249B" w:rsidP="007E33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Projektowane rozporządzenie </w:t>
      </w:r>
      <w:r w:rsidRPr="00B1249B">
        <w:rPr>
          <w:rFonts w:ascii="Times New Roman" w:hAnsi="Times New Roman" w:cs="Times New Roman"/>
          <w:sz w:val="24"/>
          <w:szCs w:val="24"/>
        </w:rPr>
        <w:t>stanowi wypełnienie upoważnienia ustawowego zawartego w art. 34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9B">
        <w:rPr>
          <w:rFonts w:ascii="Times New Roman" w:hAnsi="Times New Roman" w:cs="Times New Roman"/>
          <w:sz w:val="24"/>
          <w:szCs w:val="24"/>
        </w:rPr>
        <w:t>ustawy z dnia 8 grudnia 2017 r. o rynku mocy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4312B" w:rsidRPr="0074312B">
        <w:rPr>
          <w:rFonts w:ascii="Times New Roman" w:hAnsi="Times New Roman" w:cs="Times New Roman"/>
          <w:sz w:val="24"/>
          <w:szCs w:val="24"/>
        </w:rPr>
        <w:t>Dz. U. z 2023 r. poz. 2131</w:t>
      </w:r>
      <w:r w:rsidRPr="00B124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zwanej dalej „ustawą”</w:t>
      </w:r>
      <w:r w:rsidR="00E04D93">
        <w:rPr>
          <w:rFonts w:ascii="Times New Roman" w:hAnsi="Times New Roman" w:cs="Times New Roman"/>
          <w:sz w:val="24"/>
          <w:szCs w:val="24"/>
        </w:rPr>
        <w:t xml:space="preserve">. Zgodnie z przedmiotowym przepisem, </w:t>
      </w:r>
      <w:r w:rsidR="00E04D93" w:rsidRPr="00194536">
        <w:rPr>
          <w:rFonts w:ascii="Times New Roman" w:hAnsi="Times New Roman" w:cs="Times New Roman"/>
          <w:sz w:val="24"/>
          <w:szCs w:val="24"/>
        </w:rPr>
        <w:t>Minister Klimatu</w:t>
      </w:r>
      <w:r w:rsidR="00E04D93">
        <w:rPr>
          <w:rFonts w:ascii="Times New Roman" w:hAnsi="Times New Roman" w:cs="Times New Roman"/>
          <w:sz w:val="24"/>
          <w:szCs w:val="24"/>
        </w:rPr>
        <w:t xml:space="preserve"> i</w:t>
      </w:r>
      <w:r w:rsidR="00E84C35">
        <w:rPr>
          <w:rFonts w:ascii="Times New Roman" w:hAnsi="Times New Roman" w:cs="Times New Roman"/>
          <w:sz w:val="24"/>
          <w:szCs w:val="24"/>
        </w:rPr>
        <w:t> </w:t>
      </w:r>
      <w:r w:rsidR="00E04D93">
        <w:rPr>
          <w:rFonts w:ascii="Times New Roman" w:hAnsi="Times New Roman" w:cs="Times New Roman"/>
          <w:sz w:val="24"/>
          <w:szCs w:val="24"/>
        </w:rPr>
        <w:t>Środowiska</w:t>
      </w:r>
      <w:r w:rsidR="00E04D93" w:rsidRPr="00194536">
        <w:rPr>
          <w:rFonts w:ascii="Times New Roman" w:hAnsi="Times New Roman" w:cs="Times New Roman"/>
          <w:sz w:val="24"/>
          <w:szCs w:val="24"/>
        </w:rPr>
        <w:t>, po zasięgnięciu opinii Prezesa Urzędu Regulacji Energetyki</w:t>
      </w:r>
      <w:r w:rsidR="001A04C1">
        <w:rPr>
          <w:rFonts w:ascii="Times New Roman" w:hAnsi="Times New Roman" w:cs="Times New Roman"/>
          <w:sz w:val="24"/>
          <w:szCs w:val="24"/>
        </w:rPr>
        <w:t>, zwan</w:t>
      </w:r>
      <w:r w:rsidR="003514A3">
        <w:rPr>
          <w:rFonts w:ascii="Times New Roman" w:hAnsi="Times New Roman" w:cs="Times New Roman"/>
          <w:sz w:val="24"/>
          <w:szCs w:val="24"/>
        </w:rPr>
        <w:t>ego</w:t>
      </w:r>
      <w:r w:rsidR="001A04C1">
        <w:rPr>
          <w:rFonts w:ascii="Times New Roman" w:hAnsi="Times New Roman" w:cs="Times New Roman"/>
          <w:sz w:val="24"/>
          <w:szCs w:val="24"/>
        </w:rPr>
        <w:t xml:space="preserve"> dalej „Prezes</w:t>
      </w:r>
      <w:r w:rsidR="003514A3">
        <w:rPr>
          <w:rFonts w:ascii="Times New Roman" w:hAnsi="Times New Roman" w:cs="Times New Roman"/>
          <w:sz w:val="24"/>
          <w:szCs w:val="24"/>
        </w:rPr>
        <w:t>em</w:t>
      </w:r>
      <w:r w:rsidR="001A04C1">
        <w:rPr>
          <w:rFonts w:ascii="Times New Roman" w:hAnsi="Times New Roman" w:cs="Times New Roman"/>
          <w:sz w:val="24"/>
          <w:szCs w:val="24"/>
        </w:rPr>
        <w:t xml:space="preserve"> URE”</w:t>
      </w:r>
      <w:r w:rsidR="00E04D93" w:rsidRPr="00194536">
        <w:rPr>
          <w:rFonts w:ascii="Times New Roman" w:hAnsi="Times New Roman" w:cs="Times New Roman"/>
          <w:sz w:val="24"/>
          <w:szCs w:val="24"/>
        </w:rPr>
        <w:t xml:space="preserve">, </w:t>
      </w:r>
      <w:r w:rsidR="00E04D93" w:rsidRPr="00E04D93">
        <w:rPr>
          <w:rFonts w:ascii="Times New Roman" w:hAnsi="Times New Roman" w:cs="Times New Roman"/>
          <w:sz w:val="24"/>
          <w:szCs w:val="24"/>
        </w:rPr>
        <w:t>określa, w drodze rozporządzenia, parametry najbliższej aukcji głównej i najbliższych aukcji dodatkowych</w:t>
      </w:r>
      <w:r w:rsidR="00E04D93" w:rsidRPr="00194536">
        <w:rPr>
          <w:rFonts w:ascii="Times New Roman" w:hAnsi="Times New Roman" w:cs="Times New Roman"/>
          <w:sz w:val="24"/>
          <w:szCs w:val="24"/>
        </w:rPr>
        <w:t>, biorąc pod uwagę m.in. politykę energetyczną państwa, adekwatność stosowanych parametrów do potrzeb systemu, zapewnienie bezpieczeństwa systemu, równoprawne i niedyskryminacyjne traktowanie dostawców mocy oraz mając na względzie przewidywaną dostępność zdolności przesyłowych oraz ich udział w zapewnieniu bezpieczeństwa dostaw energii elektrycznej.</w:t>
      </w:r>
    </w:p>
    <w:p w14:paraId="636EE572" w14:textId="4F4ED492" w:rsidR="00B1249B" w:rsidRDefault="00B1249B" w:rsidP="009F15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9B">
        <w:rPr>
          <w:rFonts w:ascii="Times New Roman" w:hAnsi="Times New Roman" w:cs="Times New Roman"/>
          <w:sz w:val="24"/>
          <w:szCs w:val="24"/>
        </w:rPr>
        <w:t xml:space="preserve">Rozporządzenie określające parametry aukcji jest aktem prawnym, który zgodnie </w:t>
      </w:r>
      <w:r w:rsidR="00E04D93">
        <w:rPr>
          <w:rFonts w:ascii="Times New Roman" w:hAnsi="Times New Roman" w:cs="Times New Roman"/>
          <w:sz w:val="24"/>
          <w:szCs w:val="24"/>
        </w:rPr>
        <w:t>z</w:t>
      </w:r>
      <w:r w:rsidR="00E84C35">
        <w:rPr>
          <w:rFonts w:ascii="Times New Roman" w:hAnsi="Times New Roman" w:cs="Times New Roman"/>
          <w:sz w:val="24"/>
          <w:szCs w:val="24"/>
        </w:rPr>
        <w:t> </w:t>
      </w:r>
      <w:r w:rsidR="00853282">
        <w:rPr>
          <w:rFonts w:ascii="Times New Roman" w:hAnsi="Times New Roman" w:cs="Times New Roman"/>
          <w:sz w:val="24"/>
          <w:szCs w:val="24"/>
        </w:rPr>
        <w:t>art.</w:t>
      </w:r>
      <w:r w:rsidR="00E84C35">
        <w:rPr>
          <w:rFonts w:ascii="Times New Roman" w:hAnsi="Times New Roman" w:cs="Times New Roman"/>
          <w:sz w:val="24"/>
          <w:szCs w:val="24"/>
        </w:rPr>
        <w:t> </w:t>
      </w:r>
      <w:r w:rsidR="00853282">
        <w:rPr>
          <w:rFonts w:ascii="Times New Roman" w:hAnsi="Times New Roman" w:cs="Times New Roman"/>
          <w:sz w:val="24"/>
          <w:szCs w:val="24"/>
        </w:rPr>
        <w:t>34 ust. 2 ustawy</w:t>
      </w:r>
      <w:r w:rsidRPr="00B1249B">
        <w:rPr>
          <w:rFonts w:ascii="Times New Roman" w:hAnsi="Times New Roman" w:cs="Times New Roman"/>
          <w:sz w:val="24"/>
          <w:szCs w:val="24"/>
        </w:rPr>
        <w:t xml:space="preserve"> wydawany </w:t>
      </w:r>
      <w:r w:rsidR="009F1593">
        <w:rPr>
          <w:rFonts w:ascii="Times New Roman" w:hAnsi="Times New Roman" w:cs="Times New Roman"/>
          <w:sz w:val="24"/>
          <w:szCs w:val="24"/>
        </w:rPr>
        <w:t xml:space="preserve">jest </w:t>
      </w:r>
      <w:r w:rsidRPr="00B1249B">
        <w:rPr>
          <w:rFonts w:ascii="Times New Roman" w:hAnsi="Times New Roman" w:cs="Times New Roman"/>
          <w:sz w:val="24"/>
          <w:szCs w:val="24"/>
        </w:rPr>
        <w:t>cyklicznie, nie później niż na 18 tygodni przed rozpoczęciem aukcji głównej</w:t>
      </w:r>
      <w:r w:rsidR="008532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Projektowane rozporządzenie ma na celu </w:t>
      </w:r>
      <w:r w:rsidRPr="00B1249B">
        <w:rPr>
          <w:rFonts w:ascii="Times New Roman" w:hAnsi="Times New Roman" w:cs="Times New Roman"/>
          <w:sz w:val="24"/>
          <w:szCs w:val="24"/>
        </w:rPr>
        <w:t>określeni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1249B">
        <w:rPr>
          <w:rFonts w:ascii="Times New Roman" w:hAnsi="Times New Roman" w:cs="Times New Roman"/>
          <w:sz w:val="24"/>
          <w:szCs w:val="24"/>
        </w:rPr>
        <w:t xml:space="preserve"> parametrów aukcji głównej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9B">
        <w:rPr>
          <w:rFonts w:ascii="Times New Roman" w:hAnsi="Times New Roman" w:cs="Times New Roman"/>
          <w:sz w:val="24"/>
          <w:szCs w:val="24"/>
        </w:rPr>
        <w:t>roku dostaw 202</w:t>
      </w:r>
      <w:r w:rsidR="00AB5D25">
        <w:rPr>
          <w:rFonts w:ascii="Times New Roman" w:hAnsi="Times New Roman" w:cs="Times New Roman"/>
          <w:sz w:val="24"/>
          <w:szCs w:val="24"/>
        </w:rPr>
        <w:t>9</w:t>
      </w:r>
      <w:r w:rsidRPr="00B1249B">
        <w:rPr>
          <w:rFonts w:ascii="Times New Roman" w:hAnsi="Times New Roman" w:cs="Times New Roman"/>
          <w:sz w:val="24"/>
          <w:szCs w:val="24"/>
        </w:rPr>
        <w:t>, która zostanie przeprowadzona w 202</w:t>
      </w:r>
      <w:r w:rsidR="00AB5D25">
        <w:rPr>
          <w:rFonts w:ascii="Times New Roman" w:hAnsi="Times New Roman" w:cs="Times New Roman"/>
          <w:sz w:val="24"/>
          <w:szCs w:val="24"/>
        </w:rPr>
        <w:t>4</w:t>
      </w:r>
      <w:r w:rsidRPr="00B1249B">
        <w:rPr>
          <w:rFonts w:ascii="Times New Roman" w:hAnsi="Times New Roman" w:cs="Times New Roman"/>
          <w:sz w:val="24"/>
          <w:szCs w:val="24"/>
        </w:rPr>
        <w:t xml:space="preserve"> r. oraz parametrów aukcji dodatkowych dla roku dostaw 202</w:t>
      </w:r>
      <w:r w:rsidR="00AB5D25">
        <w:rPr>
          <w:rFonts w:ascii="Times New Roman" w:hAnsi="Times New Roman" w:cs="Times New Roman"/>
          <w:sz w:val="24"/>
          <w:szCs w:val="24"/>
        </w:rPr>
        <w:t>6</w:t>
      </w:r>
      <w:r w:rsidRPr="00B124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924">
        <w:rPr>
          <w:rFonts w:ascii="Times New Roman" w:hAnsi="Times New Roman" w:cs="Times New Roman"/>
          <w:sz w:val="24"/>
          <w:szCs w:val="24"/>
        </w:rPr>
        <w:t>które zostaną przeprowadzone</w:t>
      </w:r>
      <w:r w:rsidRPr="00B1249B">
        <w:rPr>
          <w:rFonts w:ascii="Times New Roman" w:hAnsi="Times New Roman" w:cs="Times New Roman"/>
          <w:sz w:val="24"/>
          <w:szCs w:val="24"/>
        </w:rPr>
        <w:t xml:space="preserve"> w</w:t>
      </w:r>
      <w:r w:rsidR="00E84C35">
        <w:rPr>
          <w:rFonts w:ascii="Times New Roman" w:hAnsi="Times New Roman" w:cs="Times New Roman"/>
          <w:sz w:val="24"/>
          <w:szCs w:val="24"/>
        </w:rPr>
        <w:t> </w:t>
      </w:r>
      <w:r w:rsidRPr="00B1249B">
        <w:rPr>
          <w:rFonts w:ascii="Times New Roman" w:hAnsi="Times New Roman" w:cs="Times New Roman"/>
          <w:sz w:val="24"/>
          <w:szCs w:val="24"/>
        </w:rPr>
        <w:t>202</w:t>
      </w:r>
      <w:r w:rsidR="00AB5D25">
        <w:rPr>
          <w:rFonts w:ascii="Times New Roman" w:hAnsi="Times New Roman" w:cs="Times New Roman"/>
          <w:sz w:val="24"/>
          <w:szCs w:val="24"/>
        </w:rPr>
        <w:t>5</w:t>
      </w:r>
      <w:r w:rsidR="00E84C35">
        <w:rPr>
          <w:rFonts w:ascii="Times New Roman" w:hAnsi="Times New Roman" w:cs="Times New Roman"/>
          <w:sz w:val="24"/>
          <w:szCs w:val="24"/>
        </w:rPr>
        <w:t> </w:t>
      </w:r>
      <w:r w:rsidRPr="00B1249B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A980657" w14:textId="2B3AA595" w:rsidR="00194536" w:rsidRDefault="00194536" w:rsidP="009F15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36">
        <w:rPr>
          <w:rFonts w:ascii="Times New Roman" w:hAnsi="Times New Roman" w:cs="Times New Roman"/>
          <w:sz w:val="24"/>
          <w:szCs w:val="24"/>
        </w:rPr>
        <w:t>Operator Systemu Przesyłowego, zwany dalej „OSP” lub „PSE”, ogłasza corocznie do dnia 1 marca datę przeprowadzenia aukcji głównej</w:t>
      </w:r>
      <w:r w:rsidR="00853282">
        <w:rPr>
          <w:rFonts w:ascii="Times New Roman" w:hAnsi="Times New Roman" w:cs="Times New Roman"/>
          <w:sz w:val="24"/>
          <w:szCs w:val="24"/>
        </w:rPr>
        <w:t>,</w:t>
      </w:r>
      <w:r w:rsidRPr="00194536">
        <w:rPr>
          <w:rFonts w:ascii="Times New Roman" w:hAnsi="Times New Roman" w:cs="Times New Roman"/>
          <w:sz w:val="24"/>
          <w:szCs w:val="24"/>
        </w:rPr>
        <w:t xml:space="preserve"> </w:t>
      </w:r>
      <w:r w:rsidR="00853282" w:rsidRPr="00B1249B">
        <w:rPr>
          <w:rFonts w:ascii="Times New Roman" w:hAnsi="Times New Roman" w:cs="Times New Roman"/>
          <w:sz w:val="24"/>
          <w:szCs w:val="24"/>
        </w:rPr>
        <w:t>która jest organizowana w okresie pomiędzy 1 a 22 grudnia każdego roku</w:t>
      </w:r>
      <w:r w:rsidR="00853282">
        <w:rPr>
          <w:rFonts w:ascii="Times New Roman" w:hAnsi="Times New Roman" w:cs="Times New Roman"/>
          <w:sz w:val="24"/>
          <w:szCs w:val="24"/>
        </w:rPr>
        <w:t xml:space="preserve">, </w:t>
      </w:r>
      <w:r w:rsidRPr="00194536">
        <w:rPr>
          <w:rFonts w:ascii="Times New Roman" w:hAnsi="Times New Roman" w:cs="Times New Roman"/>
          <w:sz w:val="24"/>
          <w:szCs w:val="24"/>
        </w:rPr>
        <w:t>oraz aukcji dodatkowych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B886F" w14:textId="56102987" w:rsidR="00B1249B" w:rsidRPr="007925E3" w:rsidRDefault="00EE32D4" w:rsidP="007925E3">
      <w:pPr>
        <w:pStyle w:val="ARTartustawynprozporzdzenia"/>
        <w:spacing w:before="0" w:after="120" w:line="240" w:lineRule="auto"/>
        <w:rPr>
          <w:b/>
        </w:rPr>
      </w:pPr>
      <w:r w:rsidRPr="00280FA0">
        <w:t xml:space="preserve">Zgodnie z wymogami </w:t>
      </w:r>
      <w:r>
        <w:t>ustawy, OSP przedstawił</w:t>
      </w:r>
      <w:r w:rsidRPr="00280FA0">
        <w:t xml:space="preserve"> Ministrowi </w:t>
      </w:r>
      <w:r>
        <w:t>Klimatu</w:t>
      </w:r>
      <w:r w:rsidR="003E4C2E">
        <w:t xml:space="preserve"> i Środowiska</w:t>
      </w:r>
      <w:r>
        <w:t xml:space="preserve"> i Prezesowi URE</w:t>
      </w:r>
      <w:r w:rsidRPr="00280FA0">
        <w:t xml:space="preserve"> propozycj</w:t>
      </w:r>
      <w:r w:rsidR="009F1593">
        <w:t>e</w:t>
      </w:r>
      <w:r w:rsidRPr="00280FA0">
        <w:t xml:space="preserve"> par</w:t>
      </w:r>
      <w:r>
        <w:t>ametrów dla aukcji głównej przeprowadzanej w 202</w:t>
      </w:r>
      <w:r w:rsidR="00AB5D25">
        <w:t>4</w:t>
      </w:r>
      <w:r>
        <w:t> r. oraz aukcji dodatkowych przeprowadzanych w 202</w:t>
      </w:r>
      <w:r w:rsidR="00AB5D25">
        <w:t>5</w:t>
      </w:r>
      <w:r>
        <w:t xml:space="preserve"> r. Projekt rozporządzenia określający parametry aukcji głównej na rok dostaw 202</w:t>
      </w:r>
      <w:r w:rsidR="00AB5D25">
        <w:t>9</w:t>
      </w:r>
      <w:r>
        <w:t xml:space="preserve"> oraz aukcji dodatkowych na rok dostaw 202</w:t>
      </w:r>
      <w:r w:rsidR="00AB5D25">
        <w:t>6</w:t>
      </w:r>
      <w:r>
        <w:t xml:space="preserve"> został sporządzony na podstawie </w:t>
      </w:r>
      <w:r w:rsidR="007925E3">
        <w:t>d</w:t>
      </w:r>
      <w:r>
        <w:t>ecyzj</w:t>
      </w:r>
      <w:r w:rsidR="007925E3">
        <w:t>i</w:t>
      </w:r>
      <w:r>
        <w:t xml:space="preserve"> Komisji Europejskiej – „</w:t>
      </w:r>
      <w:r w:rsidRPr="003269BA">
        <w:t>State aid No. SA.46100 (2017/N) – Poland – Pl</w:t>
      </w:r>
      <w:r>
        <w:t xml:space="preserve">anned Polish capacity mechanism” </w:t>
      </w:r>
      <w:r w:rsidRPr="003269BA">
        <w:t>z dnia 7 lutego 2018 r.</w:t>
      </w:r>
    </w:p>
    <w:p w14:paraId="47E97CF6" w14:textId="77777777" w:rsidR="00FE08B0" w:rsidRPr="00FE08B0" w:rsidRDefault="00FE08B0" w:rsidP="007925E3">
      <w:pPr>
        <w:pStyle w:val="ARTartustawynprozporzdzenia"/>
        <w:spacing w:before="0" w:after="120" w:line="240" w:lineRule="auto"/>
        <w:ind w:firstLine="0"/>
      </w:pPr>
    </w:p>
    <w:p w14:paraId="750E4040" w14:textId="636BC740" w:rsidR="00EE32D4" w:rsidRDefault="008012F0" w:rsidP="00214ED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2F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012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149B" w:rsidRPr="0054149B">
        <w:rPr>
          <w:rFonts w:ascii="Times New Roman" w:hAnsi="Times New Roman" w:cs="Times New Roman"/>
          <w:b/>
          <w:bCs/>
          <w:sz w:val="24"/>
          <w:szCs w:val="24"/>
        </w:rPr>
        <w:t>Szczegółowe uzasadnienie przyjętych parametrów</w:t>
      </w:r>
    </w:p>
    <w:p w14:paraId="367D5FAC" w14:textId="001504E1" w:rsidR="00EE32D4" w:rsidRDefault="00EE32D4" w:rsidP="00214EDA">
      <w:pPr>
        <w:pStyle w:val="ARTartustawynprozporzdzenia"/>
        <w:spacing w:before="0" w:after="120" w:line="240" w:lineRule="auto"/>
      </w:pPr>
      <w:r>
        <w:t>Zapotrzebowanie na moc w aukcji to wolumen mocy, jaki powinien zostać zakupiony na dany okres dostaw tak, aby spełniony był standard bezpieczeństwa dostaw energii elektrycznej, określony w rozporządzeniu Ministra Energii z dnia 18 lipca 2018 r. w sprawie wykonania obowiązku mocowego, jego rozliczania i demonstrowania oraz zawierania transakcji na rynku wtórnym (Dz. U. poz. 1455). Standard ten, rozumiany jako dopuszczalny oczekiwany czas braku pokrycia zapotrzebowania na moc elektryczną odbiorców końcowych, powiększonego o</w:t>
      </w:r>
      <w:r w:rsidR="00E84C35">
        <w:t> </w:t>
      </w:r>
      <w:r>
        <w:t>wymaganą rezerwę mocy, został określony na 3 godziny w roku. Generalnie wyliczone zapotrzebowanie na moc w danym roku, które powinno być zakontraktowane na rynku mocy dla bezpieczeństwa dostaw, zakupywane jest na pięciu aukcjach: aukcji głównej na pięć lat prze</w:t>
      </w:r>
      <w:r w:rsidR="0019636F">
        <w:t>d</w:t>
      </w:r>
      <w:r>
        <w:t xml:space="preserve"> fizyczną dostawą mocy oraz na czterech kwartalnych aukcjach dodatkowych na rok przed fizyczną dostawą.</w:t>
      </w:r>
    </w:p>
    <w:p w14:paraId="02CC1876" w14:textId="7AA0FC6C" w:rsidR="00EE32D4" w:rsidRDefault="00EE32D4" w:rsidP="00214EDA">
      <w:pPr>
        <w:pStyle w:val="ARTartustawynprozporzdzenia"/>
        <w:spacing w:before="0" w:after="120" w:line="240" w:lineRule="auto"/>
      </w:pPr>
      <w:r>
        <w:t xml:space="preserve">W celu określenia wielkości zapotrzebowania na moc w aukcji, dokonano obliczeń historycznego krajowego zapotrzebowania sieci (zapotrzebowania odbiorców), które nie </w:t>
      </w:r>
      <w:r>
        <w:lastRenderedPageBreak/>
        <w:t>uwzględnia potrzeb własnych jednostek wytwórczych. Następnie opracowano prognozy zapotrzebowania sieci na rok 202</w:t>
      </w:r>
      <w:r w:rsidR="00AB5D25">
        <w:t>9</w:t>
      </w:r>
      <w:r>
        <w:t>.</w:t>
      </w:r>
      <w:r w:rsidR="006C1452" w:rsidRPr="006C1452">
        <w:t xml:space="preserve"> Prognoza zapotrzebowania została przygotowana </w:t>
      </w:r>
      <w:r w:rsidR="006C1452">
        <w:t>na podstawie modelu dobowego zużycia energii opracowanego na podstawie zmian historycznego zużycia sprowadzonego do wspólnego kalendarza oraz roku klimatycznego</w:t>
      </w:r>
      <w:r w:rsidR="006C1452" w:rsidRPr="006C1452">
        <w:t>. W ostatecznych wynikach uwzględniono dodatkowo rozwój rynku pomp ciepła</w:t>
      </w:r>
      <w:r w:rsidR="006C1452">
        <w:t xml:space="preserve">, </w:t>
      </w:r>
      <w:r w:rsidR="006C1452" w:rsidRPr="006C1452">
        <w:t>pojazdów elektrycznych</w:t>
      </w:r>
      <w:r w:rsidR="006C1452">
        <w:t>, data center i zapotrzebowania na energię elektryczną do produkcji wodoru.</w:t>
      </w:r>
    </w:p>
    <w:p w14:paraId="6AD32B93" w14:textId="6D1B6C5A" w:rsidR="00EE32D4" w:rsidRDefault="00EE32D4" w:rsidP="00214EDA">
      <w:pPr>
        <w:pStyle w:val="ARTartustawynprozporzdzenia"/>
        <w:spacing w:before="0" w:after="120" w:line="240" w:lineRule="auto"/>
      </w:pPr>
      <w:r>
        <w:t>Zapotrzebowanie sieci, którego prognozy na rok 202</w:t>
      </w:r>
      <w:r w:rsidR="00AB5D25">
        <w:t>9</w:t>
      </w:r>
      <w:r>
        <w:t xml:space="preserve"> wskazano powyżej, nie jest tożsame z zapotrzebowaniem brutto Krajowego Systemu Elektroenergetycznego</w:t>
      </w:r>
      <w:r w:rsidR="00853282">
        <w:t>, zwanego dalej „KSE”</w:t>
      </w:r>
      <w:r>
        <w:t>, które</w:t>
      </w:r>
      <w:r w:rsidRPr="007414C3">
        <w:t xml:space="preserve"> określone jest na podstawie sumy pomiarów generacji jednostek wytwórczych w KSE, z</w:t>
      </w:r>
      <w:r w:rsidR="00E84C35">
        <w:t> </w:t>
      </w:r>
      <w:r w:rsidRPr="007414C3">
        <w:t>uwzględnieniem salda wymiany międzynarodowej.</w:t>
      </w:r>
      <w:r>
        <w:t xml:space="preserve"> Zatem porównywanie ww. wielkości z</w:t>
      </w:r>
      <w:r w:rsidR="00E84C35">
        <w:t> </w:t>
      </w:r>
      <w:r>
        <w:t>publikowanymi przez OSP na stronie internetowej zapotrzebowaniem KSE może prowadzić do błędnych wniosków.</w:t>
      </w:r>
    </w:p>
    <w:p w14:paraId="423B95E6" w14:textId="5ABA37EE" w:rsidR="00EE32D4" w:rsidRDefault="00EE32D4" w:rsidP="00214EDA">
      <w:pPr>
        <w:pStyle w:val="ARTartustawynprozporzdzenia"/>
        <w:spacing w:before="0" w:after="120" w:line="240" w:lineRule="auto"/>
      </w:pPr>
      <w:r>
        <w:t>Zapotrzebowanie sieci w roku 202</w:t>
      </w:r>
      <w:r w:rsidR="00AB5D25">
        <w:t>9</w:t>
      </w:r>
      <w:r>
        <w:t xml:space="preserve"> wyliczone przez PSE wyniosło dla poszczególnych kwartałów w wariancie przyjętym w projekcie rozporządzenia:</w:t>
      </w:r>
    </w:p>
    <w:p w14:paraId="070BD4F2" w14:textId="26704C85" w:rsidR="00EE32D4" w:rsidRDefault="00FE08B0" w:rsidP="004526BA">
      <w:pPr>
        <w:pStyle w:val="ARTartustawynprozporzdzenia"/>
        <w:numPr>
          <w:ilvl w:val="0"/>
          <w:numId w:val="11"/>
        </w:numPr>
        <w:spacing w:before="0" w:after="120" w:line="240" w:lineRule="auto"/>
      </w:pPr>
      <w:r>
        <w:t xml:space="preserve">I </w:t>
      </w:r>
      <w:r w:rsidR="00EE32D4">
        <w:t xml:space="preserve">kwartał – </w:t>
      </w:r>
      <w:r w:rsidR="00AB5D25" w:rsidRPr="00AB5D25">
        <w:t>27</w:t>
      </w:r>
      <w:r w:rsidR="00AB5D25">
        <w:t> </w:t>
      </w:r>
      <w:r w:rsidR="00AB5D25" w:rsidRPr="00AB5D25">
        <w:t>610</w:t>
      </w:r>
      <w:r w:rsidR="00AB5D25">
        <w:t xml:space="preserve"> </w:t>
      </w:r>
      <w:r w:rsidR="00EE32D4">
        <w:t>MW</w:t>
      </w:r>
      <w:r w:rsidR="00BB2C4C">
        <w:t>,</w:t>
      </w:r>
    </w:p>
    <w:p w14:paraId="6BF50E58" w14:textId="5037DF4D" w:rsidR="00EE32D4" w:rsidRDefault="00EE32D4" w:rsidP="004526BA">
      <w:pPr>
        <w:pStyle w:val="ARTartustawynprozporzdzenia"/>
        <w:numPr>
          <w:ilvl w:val="0"/>
          <w:numId w:val="11"/>
        </w:numPr>
        <w:spacing w:before="0" w:after="120" w:line="240" w:lineRule="auto"/>
      </w:pPr>
      <w:r>
        <w:t xml:space="preserve">II kwartał – </w:t>
      </w:r>
      <w:r w:rsidR="00AB5D25" w:rsidRPr="00AB5D25">
        <w:t>22</w:t>
      </w:r>
      <w:r w:rsidR="00AB5D25">
        <w:t> </w:t>
      </w:r>
      <w:r w:rsidR="00AB5D25" w:rsidRPr="00AB5D25">
        <w:t>805</w:t>
      </w:r>
      <w:r w:rsidR="00AB5D25">
        <w:t xml:space="preserve"> </w:t>
      </w:r>
      <w:r>
        <w:t>MW</w:t>
      </w:r>
      <w:r w:rsidR="00BB2C4C">
        <w:t>,</w:t>
      </w:r>
    </w:p>
    <w:p w14:paraId="33343C48" w14:textId="7BDC7A59" w:rsidR="00EE32D4" w:rsidRDefault="00EE32D4" w:rsidP="004526BA">
      <w:pPr>
        <w:pStyle w:val="ARTartustawynprozporzdzenia"/>
        <w:numPr>
          <w:ilvl w:val="0"/>
          <w:numId w:val="11"/>
        </w:numPr>
        <w:spacing w:before="0" w:after="120" w:line="240" w:lineRule="auto"/>
      </w:pPr>
      <w:r>
        <w:t xml:space="preserve">III kwartał – </w:t>
      </w:r>
      <w:r w:rsidR="00AB5D25" w:rsidRPr="00AB5D25">
        <w:t>23</w:t>
      </w:r>
      <w:r w:rsidR="00AB5D25">
        <w:t> </w:t>
      </w:r>
      <w:r w:rsidR="00AB5D25" w:rsidRPr="00AB5D25">
        <w:t>363</w:t>
      </w:r>
      <w:r w:rsidR="00AB5D25">
        <w:t xml:space="preserve"> </w:t>
      </w:r>
      <w:r>
        <w:t>MW</w:t>
      </w:r>
      <w:r w:rsidR="00BB2C4C">
        <w:t>,</w:t>
      </w:r>
    </w:p>
    <w:p w14:paraId="75F968CD" w14:textId="794A0E90" w:rsidR="00EE32D4" w:rsidRDefault="00EE32D4" w:rsidP="004526BA">
      <w:pPr>
        <w:pStyle w:val="ARTartustawynprozporzdzenia"/>
        <w:numPr>
          <w:ilvl w:val="0"/>
          <w:numId w:val="11"/>
        </w:numPr>
        <w:spacing w:before="0" w:after="120" w:line="240" w:lineRule="auto"/>
      </w:pPr>
      <w:r>
        <w:t xml:space="preserve">IV kwartał – </w:t>
      </w:r>
      <w:r w:rsidR="00AB5D25" w:rsidRPr="00AB5D25">
        <w:t>31</w:t>
      </w:r>
      <w:r w:rsidR="00AB5D25">
        <w:t> </w:t>
      </w:r>
      <w:r w:rsidR="00AB5D25" w:rsidRPr="00AB5D25">
        <w:t>573</w:t>
      </w:r>
      <w:r w:rsidR="00AB5D25">
        <w:t xml:space="preserve"> </w:t>
      </w:r>
      <w:r>
        <w:t>MW</w:t>
      </w:r>
      <w:r w:rsidR="00BB2C4C">
        <w:t>.</w:t>
      </w:r>
    </w:p>
    <w:p w14:paraId="7F24177F" w14:textId="72FD29DE" w:rsidR="00EE32D4" w:rsidRDefault="00EE32D4" w:rsidP="00214EDA">
      <w:pPr>
        <w:pStyle w:val="ARTartustawynprozporzdzenia"/>
        <w:spacing w:before="0" w:after="120" w:line="240" w:lineRule="auto"/>
        <w:ind w:firstLine="708"/>
      </w:pPr>
      <w:r>
        <w:t>Rynek mocy jest bardzo ważnym elementem polskiego systemu elektroenergetycznego, mającego na celu zapewnienie bezpieczeństwa dostaw energii elektrycznej do odbiorców w horyzoncie długoterminowym. Sytuacją oczywistą jest, że i</w:t>
      </w:r>
      <w:r w:rsidRPr="00F95D7E">
        <w:t>m więcej mocy zostanie zakupione na aukcji mocy, tym wystąpi mniejsze zagrożenie</w:t>
      </w:r>
      <w:r>
        <w:t xml:space="preserve"> dla poprawności bilansu mocy w </w:t>
      </w:r>
      <w:r w:rsidR="00853282">
        <w:t>KSE</w:t>
      </w:r>
      <w:r w:rsidRPr="00F95D7E">
        <w:t>. Niemniej jednak rynek mocy nie może prowadzić do przewymiarowania KSE, a tym samym przenosić nadmiarowych kosztów funkcjonowania tego mechanizmu na odbiorców energii e</w:t>
      </w:r>
      <w:r w:rsidR="005C5C6F">
        <w:t xml:space="preserve">lektrycznej w kraju. Oznacza to </w:t>
      </w:r>
      <w:r w:rsidRPr="00F95D7E">
        <w:t>m.in., że przy określaniu parametrów aukcji</w:t>
      </w:r>
      <w:r>
        <w:t>, szczególnie aukcji głównej,</w:t>
      </w:r>
      <w:r w:rsidRPr="00F95D7E">
        <w:t xml:space="preserve"> należy </w:t>
      </w:r>
      <w:r>
        <w:t>prawidłowo uwzględnić</w:t>
      </w:r>
      <w:r w:rsidRPr="00F95D7E">
        <w:t xml:space="preserve"> rozwój źródeł wytwórczych korzystających z innych systemów wsparcia.</w:t>
      </w:r>
      <w:r>
        <w:t xml:space="preserve"> </w:t>
      </w:r>
    </w:p>
    <w:p w14:paraId="26A6637E" w14:textId="77777777" w:rsidR="00EE32D4" w:rsidRDefault="00EE32D4" w:rsidP="00214EDA">
      <w:pPr>
        <w:pStyle w:val="ARTartustawynprozporzdzenia"/>
        <w:spacing w:before="0" w:after="120" w:line="240" w:lineRule="auto"/>
      </w:pPr>
      <w:r>
        <w:t>Zapotrzebowanie na moc w aukcji głównej zostało wyznaczone na podstawie wyników probabilistycznej oceny wystarczalności, w ramach której przeprowadzone zostały analizy określonych wariantów założeń oraz zadanych scenariuszy w ramach tych wariantów.</w:t>
      </w:r>
    </w:p>
    <w:p w14:paraId="58439218" w14:textId="77777777" w:rsidR="00EE32D4" w:rsidRDefault="00EE32D4" w:rsidP="00214EDA">
      <w:pPr>
        <w:pStyle w:val="ARTartustawynprozporzdzenia"/>
        <w:spacing w:before="0" w:after="120" w:line="240" w:lineRule="auto"/>
      </w:pPr>
      <w:r>
        <w:t>Warianty założeń obejmują:</w:t>
      </w:r>
    </w:p>
    <w:p w14:paraId="33487AD6" w14:textId="77777777" w:rsidR="00EE32D4" w:rsidRDefault="00EE32D4" w:rsidP="00214EDA">
      <w:pPr>
        <w:pStyle w:val="ARTartustawynprozporzdzenia"/>
        <w:numPr>
          <w:ilvl w:val="0"/>
          <w:numId w:val="7"/>
        </w:numPr>
        <w:spacing w:before="0" w:after="120" w:line="240" w:lineRule="auto"/>
        <w:ind w:left="567"/>
      </w:pPr>
      <w:r>
        <w:t>moc osiągalną źródeł wytwórczych niebiorących udziału w rynku mocy,</w:t>
      </w:r>
    </w:p>
    <w:p w14:paraId="0F18C622" w14:textId="3C201C8D" w:rsidR="0086262B" w:rsidRDefault="00EE32D4" w:rsidP="005A3D28">
      <w:pPr>
        <w:pStyle w:val="ARTartustawynprozporzdzenia"/>
        <w:numPr>
          <w:ilvl w:val="0"/>
          <w:numId w:val="7"/>
        </w:numPr>
        <w:spacing w:before="0" w:after="120" w:line="240" w:lineRule="auto"/>
        <w:ind w:left="567"/>
      </w:pPr>
      <w:r>
        <w:t>występowanie strukturalnych ubytków mocy dyspozycyjnej w wyniku ograniczeń pracy sieci lub trwałych niedyspozycyjności źródeł wytwórczych.</w:t>
      </w:r>
    </w:p>
    <w:p w14:paraId="6F1168AA" w14:textId="7A4823EF" w:rsidR="00EE32D4" w:rsidRDefault="00EE32D4" w:rsidP="00214EDA">
      <w:pPr>
        <w:pStyle w:val="ARTartustawynprozporzdzenia"/>
        <w:spacing w:before="0" w:after="120" w:line="240" w:lineRule="auto"/>
        <w:ind w:left="360" w:hanging="360"/>
      </w:pPr>
      <w:r>
        <w:t>Scenariusze w ramach wariantów dotyczą występowania lat klimatycznych i obejmują:</w:t>
      </w:r>
    </w:p>
    <w:p w14:paraId="09E92DE2" w14:textId="77777777" w:rsidR="00EE32D4" w:rsidRDefault="00EE32D4" w:rsidP="00214EDA">
      <w:pPr>
        <w:pStyle w:val="ARTartustawynprozporzdzenia"/>
        <w:numPr>
          <w:ilvl w:val="0"/>
          <w:numId w:val="8"/>
        </w:numPr>
        <w:spacing w:before="0" w:after="120" w:line="240" w:lineRule="auto"/>
        <w:ind w:left="567"/>
      </w:pPr>
      <w:r>
        <w:t>roczny, godzinowy profil temperatury i związaną z tym sensytywność termiczną zapotrzebowania na moc i energię elektryczną,</w:t>
      </w:r>
    </w:p>
    <w:p w14:paraId="5191EEC6" w14:textId="77777777" w:rsidR="00EE32D4" w:rsidRDefault="00EE32D4" w:rsidP="00214EDA">
      <w:pPr>
        <w:pStyle w:val="ARTartustawynprozporzdzenia"/>
        <w:numPr>
          <w:ilvl w:val="0"/>
          <w:numId w:val="8"/>
        </w:numPr>
        <w:spacing w:before="0" w:after="120" w:line="240" w:lineRule="auto"/>
        <w:ind w:left="567"/>
      </w:pPr>
      <w:r>
        <w:t>roczny, godzinowy profil współczynników wykorzystania mocy źródeł niesterowalnych, takich jak: elektrownie wiatrowe lądowe i morskie, elektrownie fotowoltaiczne.</w:t>
      </w:r>
    </w:p>
    <w:p w14:paraId="19E06ED3" w14:textId="77777777" w:rsidR="001D2589" w:rsidRDefault="00E90B08" w:rsidP="00214EDA">
      <w:pPr>
        <w:pStyle w:val="ARTartustawynprozporzdzenia"/>
        <w:spacing w:before="0" w:after="120" w:line="240" w:lineRule="auto"/>
      </w:pPr>
      <w:r w:rsidRPr="00E90B08">
        <w:t xml:space="preserve">Prognozowane zapotrzebowanie na moc w aukcji zostało wyznaczone odrębnie dla każdego kwartału roku dostaw. Kwartał o najniższym zapotrzebowaniu na moc wyznaczył zapotrzebowanie na moc w aukcji głównej. Otrzymane zapotrzebowanie na moc w aukcji głównej zostało pomniejszone o </w:t>
      </w:r>
      <w:r>
        <w:t xml:space="preserve">wielkość </w:t>
      </w:r>
      <w:r w:rsidRPr="00E90B08">
        <w:t xml:space="preserve">umów zawartych na aukcjach głównych przeprowadzonych </w:t>
      </w:r>
      <w:r>
        <w:t>do</w:t>
      </w:r>
      <w:r w:rsidRPr="00E90B08">
        <w:t xml:space="preserve"> 20</w:t>
      </w:r>
      <w:r>
        <w:t>2</w:t>
      </w:r>
      <w:r w:rsidR="00AB5D25">
        <w:t>3</w:t>
      </w:r>
      <w:r w:rsidRPr="00E90B08">
        <w:t xml:space="preserve"> roku, które obejmują rok dostaw 202</w:t>
      </w:r>
      <w:r w:rsidR="00AB5D25">
        <w:t>9</w:t>
      </w:r>
      <w:r w:rsidRPr="00E90B08">
        <w:t xml:space="preserve"> – na poziomie </w:t>
      </w:r>
      <w:r w:rsidR="00AB5D25" w:rsidRPr="00AB5D25">
        <w:t>12</w:t>
      </w:r>
      <w:r w:rsidR="00AB5D25">
        <w:t> </w:t>
      </w:r>
      <w:r w:rsidR="00AB5D25" w:rsidRPr="00AB5D25">
        <w:t>170</w:t>
      </w:r>
      <w:r w:rsidR="00AB5D25">
        <w:t xml:space="preserve"> </w:t>
      </w:r>
      <w:r w:rsidRPr="00E90B08">
        <w:t>MW.</w:t>
      </w:r>
      <w:r>
        <w:t xml:space="preserve"> Następnie zapotrzebowanie zostało obniżone o s</w:t>
      </w:r>
      <w:r w:rsidRPr="00E90B08">
        <w:t xml:space="preserve">zacowana moc jednostek </w:t>
      </w:r>
      <w:r>
        <w:t>nie spełniających limitu 550 gCO</w:t>
      </w:r>
      <w:r w:rsidRPr="00E90B08">
        <w:rPr>
          <w:vertAlign w:val="subscript"/>
        </w:rPr>
        <w:t>2</w:t>
      </w:r>
      <w:r>
        <w:t xml:space="preserve">/kWh </w:t>
      </w:r>
      <w:r w:rsidRPr="00E90B08">
        <w:t>dostępnych</w:t>
      </w:r>
      <w:r>
        <w:t xml:space="preserve"> w roku dostaw</w:t>
      </w:r>
      <w:r w:rsidRPr="00E90B08">
        <w:t xml:space="preserve"> poza rynkiem mocy</w:t>
      </w:r>
      <w:r>
        <w:t xml:space="preserve">, a których moc została oszacowana na </w:t>
      </w:r>
      <w:r w:rsidR="00AB5D25" w:rsidRPr="00AB5D25">
        <w:t>5</w:t>
      </w:r>
      <w:r w:rsidR="00AB5D25">
        <w:t> </w:t>
      </w:r>
      <w:r w:rsidR="00AB5D25" w:rsidRPr="00AB5D25">
        <w:t>793</w:t>
      </w:r>
      <w:r w:rsidR="00AB5D25">
        <w:t xml:space="preserve"> </w:t>
      </w:r>
      <w:r>
        <w:t>MW</w:t>
      </w:r>
      <w:r w:rsidR="00AB5D25">
        <w:t xml:space="preserve">, szacowaną niepewność wynikającą z dostaw magazynów energii elektrycznej </w:t>
      </w:r>
      <w:r w:rsidR="00AB5D25" w:rsidRPr="00AB5D25">
        <w:t>682</w:t>
      </w:r>
      <w:r>
        <w:t xml:space="preserve"> oraz wolumen minimalny mocy, który będzie przedmiotem aukcji dodatkowej – 100 MW</w:t>
      </w:r>
      <w:r w:rsidR="00EE32D4">
        <w:t xml:space="preserve">. </w:t>
      </w:r>
      <w:r w:rsidR="00EE32D4" w:rsidRPr="00DD74AC">
        <w:t xml:space="preserve">W efekcie </w:t>
      </w:r>
      <w:r w:rsidR="00FB20F1">
        <w:t xml:space="preserve">ww. analiz </w:t>
      </w:r>
      <w:r w:rsidR="00EE32D4">
        <w:t>zapotrzebowanie na moc w aukcji głównej na rok dostaw 202</w:t>
      </w:r>
      <w:r w:rsidR="00AB5D25">
        <w:t>9</w:t>
      </w:r>
      <w:r w:rsidR="00EE32D4">
        <w:t xml:space="preserve"> wynosi </w:t>
      </w:r>
      <w:r w:rsidR="00AB5D25" w:rsidRPr="00AB5D25">
        <w:rPr>
          <w:b/>
        </w:rPr>
        <w:t>5</w:t>
      </w:r>
      <w:r w:rsidR="00AB5D25">
        <w:rPr>
          <w:b/>
        </w:rPr>
        <w:t> </w:t>
      </w:r>
      <w:r w:rsidR="00AB5D25" w:rsidRPr="00AB5D25">
        <w:rPr>
          <w:b/>
        </w:rPr>
        <w:t>424</w:t>
      </w:r>
      <w:r w:rsidR="00AB5D25">
        <w:rPr>
          <w:b/>
        </w:rPr>
        <w:t xml:space="preserve"> </w:t>
      </w:r>
      <w:r w:rsidR="00EE32D4" w:rsidRPr="00FC5632">
        <w:rPr>
          <w:b/>
        </w:rPr>
        <w:t>MW.</w:t>
      </w:r>
      <w:r w:rsidR="00EE32D4">
        <w:rPr>
          <w:b/>
        </w:rPr>
        <w:t xml:space="preserve"> </w:t>
      </w:r>
    </w:p>
    <w:p w14:paraId="21C6F70B" w14:textId="2998A418" w:rsidR="001D2589" w:rsidRDefault="001D2589" w:rsidP="001D2589">
      <w:pPr>
        <w:pStyle w:val="ARTartustawynprozporzdzenia"/>
        <w:spacing w:before="0" w:after="120" w:line="240" w:lineRule="auto"/>
        <w:ind w:firstLine="0"/>
      </w:pPr>
      <w:r w:rsidRPr="001D2589">
        <w:t>Zapotrzebowanie na moc w ramach rynku mocy w poszczególnych kwartałach 2026 roku uwzględnia wyniki aukcji głównej</w:t>
      </w:r>
      <w:r w:rsidR="009413F5">
        <w:t xml:space="preserve"> oraz s</w:t>
      </w:r>
      <w:r w:rsidR="009413F5" w:rsidRPr="009413F5">
        <w:t>zacowan</w:t>
      </w:r>
      <w:r w:rsidR="009413F5">
        <w:t>ą</w:t>
      </w:r>
      <w:r w:rsidR="009413F5" w:rsidRPr="009413F5">
        <w:t xml:space="preserve"> moc jednostek konwencjonalnych dostępnych poza rynkiem mocy</w:t>
      </w:r>
      <w:r w:rsidR="009413F5">
        <w:t xml:space="preserve"> (</w:t>
      </w:r>
      <w:r w:rsidR="009413F5" w:rsidRPr="009413F5">
        <w:t>4</w:t>
      </w:r>
      <w:r w:rsidR="009413F5">
        <w:t> </w:t>
      </w:r>
      <w:r w:rsidR="009413F5" w:rsidRPr="009413F5">
        <w:t>958</w:t>
      </w:r>
      <w:r w:rsidR="009413F5">
        <w:t xml:space="preserve"> MW)</w:t>
      </w:r>
      <w:r w:rsidRPr="001D2589">
        <w:t xml:space="preserve"> i kształtuje się następująco: 3 520 MW dla I kwartału, 1 131 MW dla II kwartału, 500 MW dla III kwartału, 842 MW dla IV kwartału;</w:t>
      </w:r>
    </w:p>
    <w:p w14:paraId="66DF3203" w14:textId="52084189" w:rsidR="00EE32D4" w:rsidRDefault="00EE32D4" w:rsidP="00214EDA">
      <w:pPr>
        <w:pStyle w:val="ARTartustawynprozporzdzenia"/>
        <w:spacing w:before="0" w:after="120" w:line="240" w:lineRule="auto"/>
      </w:pPr>
      <w:r>
        <w:t xml:space="preserve">Pozostałe współczynniki </w:t>
      </w:r>
      <w:r w:rsidR="00A01A7F">
        <w:t xml:space="preserve">zostały wyznaczone przy użyciu </w:t>
      </w:r>
      <w:r>
        <w:t>metody</w:t>
      </w:r>
      <w:r w:rsidR="00A01A7F">
        <w:t>ki</w:t>
      </w:r>
      <w:r>
        <w:t xml:space="preserve"> przyjętej przy przyjmowaniu poprzednich </w:t>
      </w:r>
      <w:r w:rsidR="00A01A7F">
        <w:t>rozporządzeń dotyczących</w:t>
      </w:r>
      <w:r w:rsidR="00A01A7F" w:rsidRPr="00AB29C5">
        <w:t xml:space="preserve"> parametrów aukcji głównej oraz parametrów aukcji dodatkowych </w:t>
      </w:r>
      <w:r w:rsidR="003C5095">
        <w:t>–</w:t>
      </w:r>
      <w:r w:rsidR="00A01A7F">
        <w:t xml:space="preserve"> </w:t>
      </w:r>
      <w:r w:rsidR="00A01A7F" w:rsidRPr="00AB29C5">
        <w:t xml:space="preserve">dla </w:t>
      </w:r>
      <w:r w:rsidR="00A01A7F">
        <w:t xml:space="preserve">określonego </w:t>
      </w:r>
      <w:r w:rsidR="00A01A7F" w:rsidRPr="00AB29C5">
        <w:t>roku dostaw</w:t>
      </w:r>
      <w:r w:rsidR="00A01A7F">
        <w:rPr>
          <w:rStyle w:val="Odwoanieprzypisudolnego"/>
        </w:rPr>
        <w:footnoteReference w:id="1"/>
      </w:r>
      <w:r>
        <w:t>:</w:t>
      </w:r>
    </w:p>
    <w:p w14:paraId="5610BB49" w14:textId="5C535134" w:rsidR="000B49E5" w:rsidRDefault="00EE32D4" w:rsidP="00177267">
      <w:pPr>
        <w:pStyle w:val="ARTartustawynprozporzdzenia"/>
        <w:numPr>
          <w:ilvl w:val="0"/>
          <w:numId w:val="9"/>
        </w:numPr>
        <w:spacing w:before="0" w:after="120" w:line="240" w:lineRule="auto"/>
        <w:ind w:left="567"/>
      </w:pPr>
      <w:r>
        <w:t xml:space="preserve">Zgodnie z metodyką przyjętą przy przyjmowaniu poprzednich </w:t>
      </w:r>
      <w:r w:rsidR="00453627">
        <w:t>rozporządzeń</w:t>
      </w:r>
      <w:r>
        <w:t xml:space="preserve"> cena wejścia</w:t>
      </w:r>
      <w:r w:rsidR="00A01A7F">
        <w:t xml:space="preserve">, zwana dalej </w:t>
      </w:r>
      <w:r w:rsidR="007F4F8F">
        <w:t>„</w:t>
      </w:r>
      <w:r w:rsidR="00A01A7F">
        <w:t>CeWe</w:t>
      </w:r>
      <w:r w:rsidR="007F4F8F">
        <w:t>”</w:t>
      </w:r>
      <w:r w:rsidR="00BB2C4C">
        <w:t>,</w:t>
      </w:r>
      <w:r w:rsidR="00A01A7F">
        <w:t xml:space="preserve"> </w:t>
      </w:r>
      <w:r>
        <w:t>nowej jednostki wytwórczej nie została powiększona o</w:t>
      </w:r>
      <w:r w:rsidR="00E84C35">
        <w:t> </w:t>
      </w:r>
      <w:r>
        <w:t xml:space="preserve">inflację. </w:t>
      </w:r>
      <w:r w:rsidR="00F836CB">
        <w:t>Przyjęto bowiem, że koszty kapitałowe są ponoszone przez dostawcę mocy przed rozpoczęciem dostaw, a kontrakty mogą być zawierane już w 202</w:t>
      </w:r>
      <w:r w:rsidR="009413F5">
        <w:t>4</w:t>
      </w:r>
      <w:r w:rsidR="00F836CB">
        <w:t xml:space="preserve"> roku. </w:t>
      </w:r>
      <w:r>
        <w:t>OSP</w:t>
      </w:r>
      <w:r w:rsidRPr="00C1135E">
        <w:t xml:space="preserve"> przeanalizowa</w:t>
      </w:r>
      <w:r>
        <w:t xml:space="preserve">ł inwestycje w podobne źródła w </w:t>
      </w:r>
      <w:r w:rsidRPr="00C1135E">
        <w:t xml:space="preserve">Polsce </w:t>
      </w:r>
      <w:r>
        <w:t>i</w:t>
      </w:r>
      <w:r w:rsidRPr="00C1135E">
        <w:t xml:space="preserve"> na świecie, </w:t>
      </w:r>
      <w:r w:rsidR="00260366">
        <w:t>a koszty operacyjne</w:t>
      </w:r>
      <w:r w:rsidRPr="00C1135E">
        <w:t xml:space="preserve"> oparł </w:t>
      </w:r>
      <w:r w:rsidR="00260366">
        <w:t xml:space="preserve">m.in. </w:t>
      </w:r>
      <w:r>
        <w:t xml:space="preserve">na danych pochodzących z World Energy Outlook. </w:t>
      </w:r>
      <w:r w:rsidR="00A01A7F">
        <w:t>CeWe</w:t>
      </w:r>
      <w:r>
        <w:t xml:space="preserve"> ustalono na poziomie </w:t>
      </w:r>
      <w:r w:rsidR="006C144E">
        <w:t>4</w:t>
      </w:r>
      <w:r w:rsidR="00F16E81">
        <w:t>88</w:t>
      </w:r>
      <w:r>
        <w:t xml:space="preserve"> zł/kW;</w:t>
      </w:r>
    </w:p>
    <w:tbl>
      <w:tblPr>
        <w:tblW w:w="8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1"/>
        <w:gridCol w:w="1656"/>
        <w:gridCol w:w="1665"/>
        <w:gridCol w:w="1690"/>
      </w:tblGrid>
      <w:tr w:rsidR="00E90B08" w:rsidRPr="00E90B08" w14:paraId="2BCA623F" w14:textId="77777777" w:rsidTr="00F12DCC">
        <w:trPr>
          <w:trHeight w:val="839"/>
        </w:trPr>
        <w:tc>
          <w:tcPr>
            <w:tcW w:w="19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9DC3A" w14:textId="77777777" w:rsidR="00E90B08" w:rsidRPr="00E90B08" w:rsidRDefault="00E90B08" w:rsidP="00E90B08">
            <w:pPr>
              <w:pStyle w:val="ARTartustawynprozporzdzenia"/>
              <w:spacing w:after="120"/>
              <w:ind w:firstLine="0"/>
              <w:rPr>
                <w:rFonts w:cs="Times"/>
                <w:szCs w:val="24"/>
              </w:rPr>
            </w:pPr>
            <w:r w:rsidRPr="00E90B08">
              <w:rPr>
                <w:rFonts w:cs="Times"/>
                <w:b/>
                <w:bCs/>
                <w:szCs w:val="24"/>
              </w:rPr>
              <w:t>Parametr</w:t>
            </w:r>
          </w:p>
        </w:tc>
        <w:tc>
          <w:tcPr>
            <w:tcW w:w="15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63BB" w14:textId="77777777" w:rsidR="00E90B08" w:rsidRPr="00E90B08" w:rsidRDefault="00E90B08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b/>
                <w:bCs/>
                <w:szCs w:val="24"/>
              </w:rPr>
              <w:t>Jednostka</w:t>
            </w:r>
          </w:p>
        </w:tc>
        <w:tc>
          <w:tcPr>
            <w:tcW w:w="332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8BB6D" w14:textId="77777777" w:rsidR="00E90B08" w:rsidRPr="00E90B08" w:rsidRDefault="00E90B08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b/>
                <w:bCs/>
                <w:szCs w:val="24"/>
              </w:rPr>
              <w:t>Turbina gazowa w układzie prostym lub silnik tłokowy</w:t>
            </w:r>
          </w:p>
        </w:tc>
        <w:tc>
          <w:tcPr>
            <w:tcW w:w="16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B0ACE" w14:textId="77777777" w:rsidR="00E90B08" w:rsidRPr="00E90B08" w:rsidRDefault="00E90B08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b/>
                <w:bCs/>
                <w:szCs w:val="24"/>
              </w:rPr>
              <w:t>Blok gazowo-parowy</w:t>
            </w:r>
          </w:p>
        </w:tc>
      </w:tr>
      <w:tr w:rsidR="00F12DCC" w:rsidRPr="00E90B08" w14:paraId="635342BD" w14:textId="77777777" w:rsidTr="00F12DCC">
        <w:trPr>
          <w:trHeight w:val="416"/>
        </w:trPr>
        <w:tc>
          <w:tcPr>
            <w:tcW w:w="19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7C376" w14:textId="77777777" w:rsidR="00E90B08" w:rsidRPr="00E90B08" w:rsidRDefault="00E90B08" w:rsidP="00E90B08">
            <w:pPr>
              <w:pStyle w:val="ARTartustawynprozporzdzenia"/>
              <w:spacing w:after="120"/>
              <w:ind w:firstLine="0"/>
              <w:rPr>
                <w:rFonts w:cs="Times"/>
                <w:szCs w:val="24"/>
              </w:rPr>
            </w:pPr>
            <w:r w:rsidRPr="00E90B08">
              <w:rPr>
                <w:rFonts w:cs="Times"/>
                <w:b/>
                <w:bCs/>
                <w:szCs w:val="24"/>
              </w:rPr>
              <w:t>Rodzaj paliwa</w:t>
            </w:r>
          </w:p>
        </w:tc>
        <w:tc>
          <w:tcPr>
            <w:tcW w:w="156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3EAA" w14:textId="77777777" w:rsidR="00E90B08" w:rsidRPr="00E90B08" w:rsidRDefault="00E90B08" w:rsidP="00F12DCC">
            <w:pPr>
              <w:pStyle w:val="ARTartustawynprozporzdzenia"/>
              <w:spacing w:before="0" w:after="120" w:line="240" w:lineRule="auto"/>
              <w:ind w:left="207"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ACD75" w14:textId="77777777" w:rsidR="00E90B08" w:rsidRPr="00E90B08" w:rsidRDefault="00E90B08" w:rsidP="00F12DCC">
            <w:pPr>
              <w:pStyle w:val="ARTartustawynprozporzdzenia"/>
              <w:spacing w:before="0" w:after="120" w:line="240" w:lineRule="auto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szCs w:val="24"/>
              </w:rPr>
              <w:t>ciekłe</w:t>
            </w:r>
          </w:p>
        </w:tc>
        <w:tc>
          <w:tcPr>
            <w:tcW w:w="166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8E934" w14:textId="77777777" w:rsidR="00E90B08" w:rsidRPr="00E90B08" w:rsidRDefault="00E90B08" w:rsidP="00F12DCC">
            <w:pPr>
              <w:pStyle w:val="ARTartustawynprozporzdzenia"/>
              <w:spacing w:before="0" w:after="120" w:line="240" w:lineRule="auto"/>
              <w:ind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szCs w:val="24"/>
              </w:rPr>
              <w:t>gazowe</w:t>
            </w:r>
          </w:p>
        </w:tc>
        <w:tc>
          <w:tcPr>
            <w:tcW w:w="169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758B8" w14:textId="77777777" w:rsidR="00E90B08" w:rsidRPr="00E90B08" w:rsidRDefault="00E90B08" w:rsidP="00F12DCC">
            <w:pPr>
              <w:pStyle w:val="ARTartustawynprozporzdzenia"/>
              <w:spacing w:before="0" w:after="120" w:line="240" w:lineRule="auto"/>
              <w:ind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szCs w:val="24"/>
              </w:rPr>
              <w:t>gazowe</w:t>
            </w:r>
          </w:p>
        </w:tc>
      </w:tr>
      <w:tr w:rsidR="00E90B08" w:rsidRPr="00E90B08" w14:paraId="17F9075E" w14:textId="77777777" w:rsidTr="009413F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439D6" w14:textId="77777777" w:rsidR="00E90B08" w:rsidRPr="00E90B08" w:rsidRDefault="00E90B08" w:rsidP="00E90B08">
            <w:pPr>
              <w:pStyle w:val="ARTartustawynprozporzdzenia"/>
              <w:spacing w:after="120"/>
              <w:ind w:firstLine="0"/>
              <w:rPr>
                <w:rFonts w:cs="Times"/>
                <w:szCs w:val="24"/>
              </w:rPr>
            </w:pPr>
            <w:r w:rsidRPr="00E90B08">
              <w:rPr>
                <w:rFonts w:cs="Times"/>
                <w:b/>
                <w:bCs/>
                <w:szCs w:val="24"/>
              </w:rPr>
              <w:t>Nakłady inwestycyjne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B6CCE" w14:textId="77777777" w:rsidR="00E90B08" w:rsidRPr="00E90B08" w:rsidRDefault="00E90B08" w:rsidP="00F12DCC">
            <w:pPr>
              <w:pStyle w:val="ARTartustawynprozporzdzenia"/>
              <w:spacing w:after="120"/>
              <w:ind w:left="207"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szCs w:val="24"/>
              </w:rPr>
              <w:t>mln zł/MW netto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9FF2A" w14:textId="30F1D8A3" w:rsidR="00E90B08" w:rsidRPr="00E90B08" w:rsidRDefault="00F12DCC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F12DCC">
              <w:rPr>
                <w:rFonts w:cs="Times"/>
                <w:szCs w:val="24"/>
              </w:rPr>
              <w:t>3,24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D06A" w14:textId="040C7B80" w:rsidR="00E90B08" w:rsidRPr="00E90B08" w:rsidRDefault="00F12DCC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F12DCC">
              <w:rPr>
                <w:rFonts w:cs="Times"/>
                <w:szCs w:val="24"/>
              </w:rPr>
              <w:t>3,24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E4A66" w14:textId="0FE72C3C" w:rsidR="00E90B08" w:rsidRPr="00E90B08" w:rsidRDefault="00F12DCC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F12DCC">
              <w:rPr>
                <w:rFonts w:cs="Times"/>
                <w:szCs w:val="24"/>
              </w:rPr>
              <w:t>6,48</w:t>
            </w:r>
          </w:p>
        </w:tc>
      </w:tr>
      <w:tr w:rsidR="00F12DCC" w:rsidRPr="00E90B08" w14:paraId="3BC457B5" w14:textId="77777777" w:rsidTr="009413F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C7298" w14:textId="77777777" w:rsidR="00E90B08" w:rsidRPr="00E90B08" w:rsidRDefault="00E90B08" w:rsidP="00F12DCC">
            <w:pPr>
              <w:pStyle w:val="ARTartustawynprozporzdzenia"/>
              <w:spacing w:after="120"/>
              <w:ind w:firstLine="0"/>
              <w:rPr>
                <w:rFonts w:cs="Times"/>
                <w:szCs w:val="24"/>
              </w:rPr>
            </w:pPr>
            <w:r w:rsidRPr="00E90B08">
              <w:rPr>
                <w:rFonts w:cs="Times"/>
                <w:b/>
                <w:bCs/>
                <w:szCs w:val="24"/>
              </w:rPr>
              <w:t>WACC realny, pre-tax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1C11" w14:textId="77777777" w:rsidR="00E90B08" w:rsidRPr="00E90B08" w:rsidRDefault="00E90B08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szCs w:val="24"/>
              </w:rPr>
              <w:t>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92C5" w14:textId="3320AFB3" w:rsidR="00E90B08" w:rsidRPr="00E90B08" w:rsidRDefault="009413F5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413F5">
              <w:rPr>
                <w:rFonts w:cs="Times"/>
                <w:szCs w:val="24"/>
              </w:rPr>
              <w:t>9,4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533D5" w14:textId="71EE2BC5" w:rsidR="00E90B08" w:rsidRPr="00E90B08" w:rsidRDefault="009413F5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413F5">
              <w:rPr>
                <w:rFonts w:cs="Times"/>
                <w:szCs w:val="24"/>
              </w:rPr>
              <w:t>9,4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248EC" w14:textId="1FA10A46" w:rsidR="00E90B08" w:rsidRPr="00E90B08" w:rsidRDefault="009413F5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413F5">
              <w:rPr>
                <w:rFonts w:cs="Times"/>
                <w:szCs w:val="24"/>
              </w:rPr>
              <w:t>9,4</w:t>
            </w:r>
          </w:p>
        </w:tc>
      </w:tr>
      <w:tr w:rsidR="00E90B08" w:rsidRPr="00E90B08" w14:paraId="5F83FD62" w14:textId="77777777" w:rsidTr="009413F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589A7" w14:textId="77777777" w:rsidR="00E90B08" w:rsidRPr="00E90B08" w:rsidRDefault="00E90B08" w:rsidP="00F12DCC">
            <w:pPr>
              <w:pStyle w:val="ARTartustawynprozporzdzenia"/>
              <w:spacing w:after="120"/>
              <w:ind w:firstLine="0"/>
              <w:rPr>
                <w:rFonts w:cs="Times"/>
                <w:szCs w:val="24"/>
              </w:rPr>
            </w:pPr>
            <w:r w:rsidRPr="00E90B08">
              <w:rPr>
                <w:rFonts w:cs="Times"/>
                <w:b/>
                <w:bCs/>
                <w:szCs w:val="24"/>
              </w:rPr>
              <w:t>Czas życia jednostki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EAFC6" w14:textId="77777777" w:rsidR="00E90B08" w:rsidRPr="00E90B08" w:rsidRDefault="00E90B08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szCs w:val="24"/>
              </w:rPr>
              <w:t>lata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A0C2E" w14:textId="77777777" w:rsidR="00E90B08" w:rsidRPr="00E90B08" w:rsidRDefault="00E90B08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szCs w:val="24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224F7" w14:textId="77777777" w:rsidR="00E90B08" w:rsidRPr="00E90B08" w:rsidRDefault="00E90B08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szCs w:val="24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0F2EA" w14:textId="77777777" w:rsidR="00E90B08" w:rsidRPr="00E90B08" w:rsidRDefault="00E90B08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szCs w:val="24"/>
              </w:rPr>
              <w:t>25</w:t>
            </w:r>
          </w:p>
        </w:tc>
      </w:tr>
      <w:tr w:rsidR="00F12DCC" w:rsidRPr="00E90B08" w14:paraId="383A3500" w14:textId="77777777" w:rsidTr="00F12DC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C7489" w14:textId="77777777" w:rsidR="00E90B08" w:rsidRPr="00E90B08" w:rsidRDefault="00E90B08" w:rsidP="00F12DCC">
            <w:pPr>
              <w:pStyle w:val="ARTartustawynprozporzdzenia"/>
              <w:spacing w:after="120"/>
              <w:ind w:firstLine="0"/>
              <w:rPr>
                <w:rFonts w:cs="Times"/>
                <w:szCs w:val="24"/>
              </w:rPr>
            </w:pPr>
            <w:r w:rsidRPr="00E90B08">
              <w:rPr>
                <w:rFonts w:cs="Times"/>
                <w:b/>
                <w:bCs/>
                <w:szCs w:val="24"/>
              </w:rPr>
              <w:t>Koszty stałe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FA71A" w14:textId="77777777" w:rsidR="00E90B08" w:rsidRPr="00E90B08" w:rsidRDefault="00E90B08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szCs w:val="24"/>
              </w:rPr>
              <w:t>zł/MW-rok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A6989" w14:textId="62024A2A" w:rsidR="00E90B08" w:rsidRPr="00E90B08" w:rsidRDefault="00F12DCC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F12DCC">
              <w:rPr>
                <w:rFonts w:cs="Times"/>
                <w:szCs w:val="24"/>
              </w:rPr>
              <w:t>88 000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F857D" w14:textId="7BDCE871" w:rsidR="00E90B08" w:rsidRPr="00E90B08" w:rsidRDefault="009413F5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413F5">
              <w:rPr>
                <w:rFonts w:cs="Times"/>
                <w:szCs w:val="24"/>
              </w:rPr>
              <w:t>331 600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0C248" w14:textId="7BA304DB" w:rsidR="00E90B08" w:rsidRPr="00E90B08" w:rsidRDefault="009413F5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413F5">
              <w:rPr>
                <w:rFonts w:cs="Times"/>
                <w:szCs w:val="24"/>
              </w:rPr>
              <w:t>266 200</w:t>
            </w:r>
          </w:p>
        </w:tc>
      </w:tr>
      <w:tr w:rsidR="009413F5" w:rsidRPr="00E90B08" w14:paraId="3385DF54" w14:textId="77777777" w:rsidTr="00080B5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0099B" w14:textId="77777777" w:rsidR="009413F5" w:rsidRPr="00E90B08" w:rsidRDefault="009413F5" w:rsidP="009413F5">
            <w:pPr>
              <w:pStyle w:val="ARTartustawynprozporzdzenia"/>
              <w:spacing w:after="120"/>
              <w:ind w:firstLine="0"/>
              <w:rPr>
                <w:rFonts w:cs="Times"/>
                <w:szCs w:val="24"/>
              </w:rPr>
            </w:pPr>
            <w:r w:rsidRPr="00E90B08">
              <w:rPr>
                <w:rFonts w:cs="Times"/>
                <w:b/>
                <w:bCs/>
                <w:szCs w:val="24"/>
              </w:rPr>
              <w:t>Koszty kapitałowe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D5985" w14:textId="227A325A" w:rsidR="009413F5" w:rsidRPr="00E90B08" w:rsidRDefault="009413F5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szCs w:val="24"/>
              </w:rPr>
              <w:t>zł/MW</w:t>
            </w:r>
            <w:r>
              <w:rPr>
                <w:rFonts w:cs="Times"/>
                <w:szCs w:val="24"/>
              </w:rPr>
              <w:t>/</w:t>
            </w:r>
            <w:r w:rsidRPr="00E90B08">
              <w:rPr>
                <w:rFonts w:cs="Times"/>
                <w:szCs w:val="24"/>
              </w:rPr>
              <w:t>rok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7037D4" w14:textId="03F901FF" w:rsidR="009413F5" w:rsidRPr="00E90B08" w:rsidRDefault="009413F5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7F4109">
              <w:t>366 000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1AAB3E" w14:textId="3EE9D0F1" w:rsidR="009413F5" w:rsidRPr="00E90B08" w:rsidRDefault="009413F5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7F4109">
              <w:t>366 000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281A4E" w14:textId="182B924D" w:rsidR="009413F5" w:rsidRPr="00E90B08" w:rsidRDefault="009413F5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413F5">
              <w:t>683 100</w:t>
            </w:r>
          </w:p>
        </w:tc>
      </w:tr>
      <w:tr w:rsidR="009413F5" w:rsidRPr="00E90B08" w14:paraId="55F93D3F" w14:textId="77777777" w:rsidTr="00D33F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56DD0" w14:textId="77777777" w:rsidR="009413F5" w:rsidRPr="00E90B08" w:rsidRDefault="009413F5" w:rsidP="009413F5">
            <w:pPr>
              <w:pStyle w:val="ARTartustawynprozporzdzenia"/>
              <w:spacing w:after="120"/>
              <w:ind w:firstLine="0"/>
              <w:rPr>
                <w:rFonts w:cs="Times"/>
                <w:szCs w:val="24"/>
              </w:rPr>
            </w:pPr>
            <w:r w:rsidRPr="00E90B08">
              <w:rPr>
                <w:rFonts w:cs="Times"/>
                <w:b/>
                <w:bCs/>
                <w:szCs w:val="24"/>
              </w:rPr>
              <w:t>Marża z rynku energii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2854C" w14:textId="30D87352" w:rsidR="009413F5" w:rsidRPr="00E90B08" w:rsidRDefault="009413F5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szCs w:val="24"/>
              </w:rPr>
              <w:t>zł/MW</w:t>
            </w:r>
            <w:r>
              <w:rPr>
                <w:rFonts w:cs="Times"/>
                <w:szCs w:val="24"/>
              </w:rPr>
              <w:t>/rok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20B26B" w14:textId="74CF7B65" w:rsidR="009413F5" w:rsidRPr="00E90B08" w:rsidRDefault="009413F5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57292E"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69655F" w14:textId="6A52ADB0" w:rsidR="009413F5" w:rsidRPr="00E90B08" w:rsidRDefault="009413F5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413F5">
              <w:t>67 050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62D7AF" w14:textId="1D05B099" w:rsidR="009413F5" w:rsidRPr="00E90B08" w:rsidRDefault="009413F5" w:rsidP="009413F5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413F5">
              <w:t>409 900</w:t>
            </w:r>
          </w:p>
        </w:tc>
      </w:tr>
      <w:tr w:rsidR="00F12DCC" w:rsidRPr="00E90B08" w14:paraId="4E002F0D" w14:textId="77777777" w:rsidTr="00F12DC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F9092" w14:textId="77777777" w:rsidR="00E90B08" w:rsidRPr="00E90B08" w:rsidRDefault="00E90B08" w:rsidP="00F12DCC">
            <w:pPr>
              <w:pStyle w:val="ARTartustawynprozporzdzenia"/>
              <w:spacing w:after="120"/>
              <w:ind w:firstLine="0"/>
              <w:rPr>
                <w:rFonts w:cs="Times"/>
                <w:szCs w:val="24"/>
              </w:rPr>
            </w:pPr>
            <w:r w:rsidRPr="00E90B08">
              <w:rPr>
                <w:rFonts w:cs="Times"/>
                <w:b/>
                <w:bCs/>
                <w:szCs w:val="24"/>
              </w:rPr>
              <w:t>CeWe bez KWD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A2674" w14:textId="705AFB95" w:rsidR="00E90B08" w:rsidRPr="00E90B08" w:rsidRDefault="00E90B08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szCs w:val="24"/>
              </w:rPr>
              <w:t>zł/kWe</w:t>
            </w:r>
            <w:r w:rsidR="00F12DCC">
              <w:rPr>
                <w:rFonts w:cs="Times"/>
                <w:szCs w:val="24"/>
              </w:rPr>
              <w:t>/</w:t>
            </w:r>
            <w:r w:rsidRPr="00E90B08">
              <w:rPr>
                <w:rFonts w:cs="Times"/>
                <w:szCs w:val="24"/>
              </w:rPr>
              <w:t>rok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1FBD1" w14:textId="4EC948F4" w:rsidR="00E90B08" w:rsidRPr="00E90B08" w:rsidRDefault="009413F5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413F5">
              <w:rPr>
                <w:rFonts w:cs="Times"/>
                <w:szCs w:val="24"/>
              </w:rPr>
              <w:t>454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66C4D" w14:textId="3C481E68" w:rsidR="00E90B08" w:rsidRPr="00E90B08" w:rsidRDefault="009413F5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413F5">
              <w:rPr>
                <w:rFonts w:cs="Times"/>
                <w:szCs w:val="24"/>
              </w:rPr>
              <w:t>631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584AF" w14:textId="086E3FD4" w:rsidR="00E90B08" w:rsidRPr="00E90B08" w:rsidRDefault="009413F5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413F5">
              <w:rPr>
                <w:rFonts w:cs="Times"/>
                <w:szCs w:val="24"/>
              </w:rPr>
              <w:t>539</w:t>
            </w:r>
          </w:p>
        </w:tc>
      </w:tr>
      <w:tr w:rsidR="00F12DCC" w:rsidRPr="00E90B08" w14:paraId="78D903B1" w14:textId="77777777" w:rsidTr="00F12DC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E62857" w14:textId="2BED8B03" w:rsidR="00F12DCC" w:rsidRPr="00E90B08" w:rsidRDefault="00F12DCC" w:rsidP="00F12DCC">
            <w:pPr>
              <w:pStyle w:val="ARTartustawynprozporzdzenia"/>
              <w:spacing w:after="120"/>
              <w:ind w:firstLine="0"/>
              <w:rPr>
                <w:rFonts w:cs="Times"/>
                <w:b/>
                <w:bCs/>
                <w:szCs w:val="24"/>
              </w:rPr>
            </w:pPr>
            <w:r>
              <w:rPr>
                <w:rFonts w:cs="Times"/>
                <w:b/>
                <w:bCs/>
                <w:szCs w:val="24"/>
              </w:rPr>
              <w:t>KWD</w:t>
            </w:r>
            <w:r w:rsidR="0070401D">
              <w:rPr>
                <w:rFonts w:cs="Times"/>
                <w:b/>
                <w:bCs/>
                <w:szCs w:val="24"/>
              </w:rPr>
              <w:t xml:space="preserve"> (na 202</w:t>
            </w:r>
            <w:r w:rsidR="00F16E81">
              <w:rPr>
                <w:rFonts w:cs="Times"/>
                <w:b/>
                <w:bCs/>
                <w:szCs w:val="24"/>
              </w:rPr>
              <w:t>9</w:t>
            </w:r>
            <w:r w:rsidR="0070401D">
              <w:rPr>
                <w:rFonts w:cs="Times"/>
                <w:b/>
                <w:bCs/>
                <w:szCs w:val="24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A64D2C" w14:textId="309F0419" w:rsidR="00F12DCC" w:rsidRPr="00E90B08" w:rsidRDefault="00F12DCC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>
              <w:rPr>
                <w:rFonts w:cs="Times"/>
                <w:szCs w:val="24"/>
              </w:rPr>
              <w:t>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EB7A56" w14:textId="3605A4BE" w:rsidR="00F12DCC" w:rsidRPr="00F12DCC" w:rsidRDefault="009413F5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413F5">
              <w:rPr>
                <w:rFonts w:cs="Times"/>
                <w:szCs w:val="24"/>
              </w:rPr>
              <w:t>93,10</w:t>
            </w:r>
            <w:r>
              <w:rPr>
                <w:rFonts w:cs="Times"/>
                <w:szCs w:val="24"/>
              </w:rPr>
              <w:t>%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C0F78E" w14:textId="679410A5" w:rsidR="00F12DCC" w:rsidRPr="00F12DCC" w:rsidRDefault="009413F5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413F5">
              <w:rPr>
                <w:rFonts w:cs="Times"/>
                <w:szCs w:val="24"/>
              </w:rPr>
              <w:t>93,10</w:t>
            </w:r>
            <w:r>
              <w:rPr>
                <w:rFonts w:cs="Times"/>
                <w:szCs w:val="24"/>
              </w:rPr>
              <w:t>%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E5D2E9" w14:textId="47417A82" w:rsidR="00F12DCC" w:rsidRPr="00F12DCC" w:rsidRDefault="009413F5" w:rsidP="00F12DCC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413F5">
              <w:t>93,79</w:t>
            </w:r>
            <w:r w:rsidR="00F12DCC" w:rsidRPr="00A44EDF">
              <w:t>%</w:t>
            </w:r>
          </w:p>
        </w:tc>
      </w:tr>
      <w:tr w:rsidR="00F16E81" w:rsidRPr="00E90B08" w14:paraId="52413425" w14:textId="77777777" w:rsidTr="00B4231A"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8A1C5B" w14:textId="42551720" w:rsidR="00F16E81" w:rsidRDefault="00F16E81" w:rsidP="00F16E81">
            <w:pPr>
              <w:pStyle w:val="ARTartustawynprozporzdzenia"/>
              <w:spacing w:after="120"/>
              <w:ind w:firstLine="0"/>
              <w:rPr>
                <w:rFonts w:cs="Times"/>
                <w:b/>
                <w:bCs/>
                <w:szCs w:val="24"/>
              </w:rPr>
            </w:pPr>
            <w:r>
              <w:rPr>
                <w:rFonts w:cs="Times"/>
                <w:b/>
                <w:bCs/>
                <w:szCs w:val="24"/>
              </w:rPr>
              <w:t>CeWe z KWD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6E7E31" w14:textId="20FD4DD1" w:rsidR="00F16E81" w:rsidRPr="00E90B08" w:rsidRDefault="00F16E81" w:rsidP="00F16E81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E90B08">
              <w:rPr>
                <w:rFonts w:cs="Times"/>
                <w:szCs w:val="24"/>
              </w:rPr>
              <w:t>zł/kWe</w:t>
            </w:r>
            <w:r>
              <w:rPr>
                <w:rFonts w:cs="Times"/>
                <w:szCs w:val="24"/>
              </w:rPr>
              <w:t>/</w:t>
            </w:r>
            <w:r w:rsidRPr="00E90B08">
              <w:rPr>
                <w:rFonts w:cs="Times"/>
                <w:szCs w:val="24"/>
              </w:rPr>
              <w:t>rok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EBDAF2" w14:textId="2865EF40" w:rsidR="00F16E81" w:rsidRPr="00F12DCC" w:rsidRDefault="00F16E81" w:rsidP="00F16E81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36E06">
              <w:t>488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3B31C9" w14:textId="0CF56C05" w:rsidR="00F16E81" w:rsidRPr="00F12DCC" w:rsidRDefault="00F16E81" w:rsidP="00F16E81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36E06">
              <w:t>678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F1A483" w14:textId="60779689" w:rsidR="00F16E81" w:rsidRPr="00F12DCC" w:rsidRDefault="00F16E81" w:rsidP="00F16E81">
            <w:pPr>
              <w:pStyle w:val="ARTartustawynprozporzdzenia"/>
              <w:spacing w:after="120"/>
              <w:ind w:firstLine="0"/>
              <w:jc w:val="center"/>
              <w:rPr>
                <w:rFonts w:cs="Times"/>
                <w:szCs w:val="24"/>
              </w:rPr>
            </w:pPr>
            <w:r w:rsidRPr="00936E06">
              <w:t>575</w:t>
            </w:r>
          </w:p>
        </w:tc>
      </w:tr>
    </w:tbl>
    <w:p w14:paraId="04AE5B79" w14:textId="559E5766" w:rsidR="00EE32D4" w:rsidRDefault="00EE32D4" w:rsidP="0017411D">
      <w:pPr>
        <w:pStyle w:val="ARTartustawynprozporzdzenia"/>
        <w:numPr>
          <w:ilvl w:val="0"/>
          <w:numId w:val="9"/>
        </w:numPr>
        <w:spacing w:before="0" w:after="120" w:line="240" w:lineRule="auto"/>
        <w:ind w:left="567"/>
      </w:pPr>
      <w:r>
        <w:t>Określenie współczynnika wyznaczającego cenę maksymalną w aukcji głównej oraz w</w:t>
      </w:r>
      <w:r w:rsidR="00E84C35">
        <w:t> </w:t>
      </w:r>
      <w:r>
        <w:t>aukcjach dodatkowych należy do kompetencji Ministra Klimatu</w:t>
      </w:r>
      <w:r w:rsidR="00853282">
        <w:t xml:space="preserve"> i Środowiska</w:t>
      </w:r>
      <w:r>
        <w:t xml:space="preserve">. </w:t>
      </w:r>
      <w:r w:rsidR="00F16E81">
        <w:t>W celu ograniczenia kosztów rynku mocy dla odbiorców przyjęto współczynnik na poziomie 1.0 dla aukcji głównej na rok 2029.</w:t>
      </w:r>
      <w:r w:rsidR="0017411D">
        <w:rPr>
          <w:rFonts w:ascii="Times New Roman" w:hAnsi="Times New Roman" w:cs="Times New Roman"/>
        </w:rPr>
        <w:t xml:space="preserve"> </w:t>
      </w:r>
      <w:r w:rsidR="00F16E81">
        <w:rPr>
          <w:rFonts w:ascii="Times New Roman" w:hAnsi="Times New Roman" w:cs="Times New Roman"/>
        </w:rPr>
        <w:t>W aukcjach dodatkowych na rok 2026</w:t>
      </w:r>
      <w:r w:rsidR="009B4EDB">
        <w:rPr>
          <w:rFonts w:ascii="Times New Roman" w:hAnsi="Times New Roman" w:cs="Times New Roman"/>
        </w:rPr>
        <w:t xml:space="preserve"> przyjęto </w:t>
      </w:r>
      <w:r w:rsidR="00F16E81">
        <w:rPr>
          <w:rFonts w:ascii="Times New Roman" w:hAnsi="Times New Roman" w:cs="Times New Roman"/>
        </w:rPr>
        <w:t xml:space="preserve">również </w:t>
      </w:r>
      <w:r w:rsidR="009B4EDB">
        <w:rPr>
          <w:rFonts w:ascii="Times New Roman" w:hAnsi="Times New Roman" w:cs="Times New Roman"/>
        </w:rPr>
        <w:t>współczynnik na poziomie</w:t>
      </w:r>
      <w:r w:rsidR="00F16E81">
        <w:rPr>
          <w:rFonts w:ascii="Times New Roman" w:hAnsi="Times New Roman" w:cs="Times New Roman"/>
        </w:rPr>
        <w:t xml:space="preserve"> 1.0, tak jak w dotychczasowych</w:t>
      </w:r>
      <w:r w:rsidR="009B4EDB">
        <w:rPr>
          <w:rFonts w:ascii="Times New Roman" w:hAnsi="Times New Roman" w:cs="Times New Roman"/>
        </w:rPr>
        <w:t xml:space="preserve"> aukcj</w:t>
      </w:r>
      <w:r w:rsidR="00F16E81">
        <w:rPr>
          <w:rFonts w:ascii="Times New Roman" w:hAnsi="Times New Roman" w:cs="Times New Roman"/>
        </w:rPr>
        <w:t>ach dodatkowych;</w:t>
      </w:r>
    </w:p>
    <w:p w14:paraId="26BA6BAC" w14:textId="1C0EA24B" w:rsidR="00EE32D4" w:rsidRDefault="00EE32D4" w:rsidP="00214EDA">
      <w:pPr>
        <w:pStyle w:val="ARTartustawynprozporzdzenia"/>
        <w:numPr>
          <w:ilvl w:val="0"/>
          <w:numId w:val="9"/>
        </w:numPr>
        <w:spacing w:before="0" w:after="120" w:line="240" w:lineRule="auto"/>
        <w:ind w:left="567"/>
        <w:rPr>
          <w:rStyle w:val="Ppogrubienie"/>
          <w:b w:val="0"/>
        </w:rPr>
      </w:pPr>
      <w:r w:rsidRPr="00EE32D4">
        <w:rPr>
          <w:rStyle w:val="Ppogrubienie"/>
          <w:b w:val="0"/>
          <w:bCs/>
        </w:rPr>
        <w:t xml:space="preserve">Proponowane wartości parametru </w:t>
      </w:r>
      <w:bookmarkStart w:id="0" w:name="_Hlk132207295"/>
      <w:r w:rsidRPr="00EE32D4">
        <w:rPr>
          <w:rStyle w:val="Ppogrubienie"/>
          <w:b w:val="0"/>
          <w:bCs/>
        </w:rPr>
        <w:t>wyznaczającego wielkość mocy, dla której cena osiąga odpowiednio wartość minimalną</w:t>
      </w:r>
      <w:bookmarkEnd w:id="0"/>
      <w:r w:rsidRPr="00EE32D4">
        <w:rPr>
          <w:rStyle w:val="Ppogrubienie"/>
          <w:b w:val="0"/>
          <w:bCs/>
        </w:rPr>
        <w:t xml:space="preserve"> albo maksymalną </w:t>
      </w:r>
      <w:r w:rsidR="006C144E">
        <w:rPr>
          <w:rStyle w:val="Ppogrubienie"/>
          <w:b w:val="0"/>
          <w:bCs/>
        </w:rPr>
        <w:t xml:space="preserve">w aukcjach dodatkowych </w:t>
      </w:r>
      <w:r w:rsidRPr="00EE32D4">
        <w:rPr>
          <w:rStyle w:val="Ppogrubienie"/>
          <w:b w:val="0"/>
          <w:bCs/>
        </w:rPr>
        <w:t>wyznaczono w oparciu o analizę elastyczności cenowej zapotrzebowania</w:t>
      </w:r>
      <w:r w:rsidRPr="00762500">
        <w:rPr>
          <w:rStyle w:val="Ppogrubienie"/>
          <w:b w:val="0"/>
        </w:rPr>
        <w:t xml:space="preserve"> na moc. W ramach analizy badano elastyczność cenową popytu na moc przy założeniu, że zakup mocy odbywa się po cenie maksymalnej. Przy danej stałej cenie, redukcja popytu powoduje obniżenie kosztów zakupu mocy o</w:t>
      </w:r>
      <w:r w:rsidR="00E84C35">
        <w:rPr>
          <w:rStyle w:val="Ppogrubienie"/>
          <w:b w:val="0"/>
        </w:rPr>
        <w:t> </w:t>
      </w:r>
      <w:r w:rsidRPr="00762500">
        <w:rPr>
          <w:rStyle w:val="Ppogrubienie"/>
          <w:b w:val="0"/>
        </w:rPr>
        <w:t>iloczyn tej ceny i wielkości redukcji. Z drugiej strony, redukcja popytu (w</w:t>
      </w:r>
      <w:r w:rsidR="00E84C35">
        <w:rPr>
          <w:rStyle w:val="Ppogrubienie"/>
          <w:b w:val="0"/>
        </w:rPr>
        <w:t> </w:t>
      </w:r>
      <w:r w:rsidRPr="00762500">
        <w:rPr>
          <w:rStyle w:val="Ppogrubienie"/>
          <w:b w:val="0"/>
        </w:rPr>
        <w:t>rozpatrywanym przypadku zapotrzebowania na moc w aukcji) zwiększa wartość oczekiwaną niedostarczonej energii, a tym samym jej koszt. W ramach analiz wyznaczono punkt równowagi, w którym zysk wynikający z redukcji kosztów zakupu mocy równoważony jest przez stratę w postaci kosztu niedostarczonej energii;</w:t>
      </w:r>
    </w:p>
    <w:p w14:paraId="7874D5F5" w14:textId="1903404E" w:rsidR="00F12DCC" w:rsidRPr="00CD2389" w:rsidRDefault="00F12DCC" w:rsidP="00FF7DEE">
      <w:pPr>
        <w:pStyle w:val="ARTartustawynprozporzdzenia"/>
        <w:numPr>
          <w:ilvl w:val="0"/>
          <w:numId w:val="9"/>
        </w:numPr>
        <w:spacing w:before="0" w:after="120" w:line="240" w:lineRule="auto"/>
        <w:ind w:left="567"/>
        <w:rPr>
          <w:rStyle w:val="Ppogrubienie"/>
          <w:b w:val="0"/>
        </w:rPr>
      </w:pPr>
      <w:r w:rsidRPr="00CD2389">
        <w:rPr>
          <w:rStyle w:val="Ppogrubienie"/>
          <w:b w:val="0"/>
        </w:rPr>
        <w:t xml:space="preserve">W przypadku aukcji głównej przyjęto wartość </w:t>
      </w:r>
      <w:r w:rsidR="00CD2389" w:rsidRPr="00CD2389">
        <w:rPr>
          <w:rStyle w:val="Ppogrubienie"/>
          <w:b w:val="0"/>
        </w:rPr>
        <w:t xml:space="preserve">parametru wyznaczającego wielkość mocy, dla której cena osiąga odpowiednio wartość minimalną </w:t>
      </w:r>
      <w:r w:rsidR="00F16E81">
        <w:rPr>
          <w:rStyle w:val="Ppogrubienie"/>
          <w:b w:val="0"/>
        </w:rPr>
        <w:t xml:space="preserve">i maksymalną </w:t>
      </w:r>
      <w:r w:rsidR="00CD2389" w:rsidRPr="00CD2389">
        <w:rPr>
          <w:rStyle w:val="Ppogrubienie"/>
          <w:b w:val="0"/>
        </w:rPr>
        <w:t>na poziomie 10%</w:t>
      </w:r>
      <w:r w:rsidR="00CD2389">
        <w:t>.</w:t>
      </w:r>
    </w:p>
    <w:p w14:paraId="1424799C" w14:textId="1A7C50B6" w:rsidR="00F0540F" w:rsidRDefault="00EE32D4" w:rsidP="005A3D28">
      <w:pPr>
        <w:pStyle w:val="ARTartustawynprozporzdzenia"/>
        <w:numPr>
          <w:ilvl w:val="0"/>
          <w:numId w:val="9"/>
        </w:numPr>
        <w:spacing w:before="0" w:after="120" w:line="240" w:lineRule="auto"/>
        <w:ind w:left="567"/>
        <w:rPr>
          <w:rFonts w:ascii="Times New Roman" w:hAnsi="Times New Roman" w:cs="Times New Roman"/>
          <w:szCs w:val="24"/>
        </w:rPr>
      </w:pPr>
      <w:r>
        <w:t>Maksymalna cena dla cenobiorcy</w:t>
      </w:r>
      <w:r w:rsidR="00955FA7">
        <w:t>, zwana dalej „</w:t>
      </w:r>
      <w:r>
        <w:t>CeCe</w:t>
      </w:r>
      <w:r w:rsidR="00955FA7">
        <w:t>”</w:t>
      </w:r>
      <w:r>
        <w:t xml:space="preserve"> odzwierciedla koszty stałe istniejących jednostek wytwórczych. Cena ta wyznaczana jest na podstawie danych statystycznych publikowanych przez Agencję Rynku Energii. Przy obliczaniu CeCe uwzględniono następujące koszty: amortyzację; materiały (koszty materiałów, których wielkość nie jest uzależniona od rozmiarów produkcji); koszty pracy; pozostałe koszty działalności podstawowej (koszty wydziałów pomocniczych, podatki i opłaty oraz pozostałe koszty); usługi obce. </w:t>
      </w:r>
      <w:r w:rsidR="0024535C">
        <w:t>W</w:t>
      </w:r>
      <w:r w:rsidRPr="0024535C">
        <w:rPr>
          <w:rFonts w:ascii="Times New Roman" w:hAnsi="Times New Roman" w:cs="Times New Roman"/>
          <w:szCs w:val="24"/>
        </w:rPr>
        <w:t xml:space="preserve"> roku dostaw 202</w:t>
      </w:r>
      <w:r w:rsidR="00F16E81">
        <w:rPr>
          <w:rFonts w:ascii="Times New Roman" w:hAnsi="Times New Roman" w:cs="Times New Roman"/>
          <w:szCs w:val="24"/>
        </w:rPr>
        <w:t>9</w:t>
      </w:r>
      <w:r w:rsidRPr="0024535C">
        <w:rPr>
          <w:rFonts w:ascii="Times New Roman" w:hAnsi="Times New Roman" w:cs="Times New Roman"/>
          <w:szCs w:val="24"/>
        </w:rPr>
        <w:t xml:space="preserve"> </w:t>
      </w:r>
      <w:r w:rsidR="0024535C">
        <w:rPr>
          <w:rFonts w:ascii="Times New Roman" w:hAnsi="Times New Roman" w:cs="Times New Roman"/>
          <w:szCs w:val="24"/>
        </w:rPr>
        <w:t>obowiązują</w:t>
      </w:r>
      <w:r w:rsidRPr="0024535C">
        <w:rPr>
          <w:rFonts w:ascii="Times New Roman" w:hAnsi="Times New Roman" w:cs="Times New Roman"/>
          <w:szCs w:val="24"/>
        </w:rPr>
        <w:t xml:space="preserve"> wymogi Rozporządzenia </w:t>
      </w:r>
      <w:r w:rsidR="00955FA7" w:rsidRPr="0024535C">
        <w:rPr>
          <w:rFonts w:ascii="Times New Roman" w:hAnsi="Times New Roman" w:cs="Times New Roman"/>
          <w:szCs w:val="24"/>
          <w:shd w:val="clear" w:color="auto" w:fill="FFFFFF"/>
        </w:rPr>
        <w:t>Parlamentu Europejskiego i Rady (UE) 2019/943 z dnia 5 czerwca 2019 r. w sprawie rynku wewnętrznego energii elektrycznej (Dz. Urz. UE L 158 z 14.06.2019, str. 54)</w:t>
      </w:r>
      <w:r w:rsidR="0024535C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955FA7" w:rsidRPr="0024535C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24535C">
        <w:rPr>
          <w:rFonts w:ascii="Times New Roman" w:hAnsi="Times New Roman" w:cs="Times New Roman"/>
          <w:szCs w:val="24"/>
          <w:shd w:val="clear" w:color="auto" w:fill="FFFFFF"/>
        </w:rPr>
        <w:t xml:space="preserve">Dlatego też </w:t>
      </w:r>
      <w:r w:rsidRPr="0024535C">
        <w:rPr>
          <w:rFonts w:ascii="Times New Roman" w:hAnsi="Times New Roman" w:cs="Times New Roman"/>
          <w:szCs w:val="24"/>
        </w:rPr>
        <w:t xml:space="preserve">przyjęto, że limitów emisji nie spełnią jednostki, w którym paliwem podstawowym jest węgiel kamienny lub brunatny. </w:t>
      </w:r>
      <w:r w:rsidR="0024535C">
        <w:rPr>
          <w:rFonts w:ascii="Times New Roman" w:hAnsi="Times New Roman" w:cs="Times New Roman"/>
          <w:szCs w:val="24"/>
        </w:rPr>
        <w:t>W związku z tym p</w:t>
      </w:r>
      <w:r w:rsidRPr="0024535C">
        <w:rPr>
          <w:rFonts w:ascii="Times New Roman" w:hAnsi="Times New Roman" w:cs="Times New Roman"/>
          <w:szCs w:val="24"/>
        </w:rPr>
        <w:t>arametr CeCe dla aukcji na rok 202</w:t>
      </w:r>
      <w:r w:rsidR="00F16E81">
        <w:rPr>
          <w:rFonts w:ascii="Times New Roman" w:hAnsi="Times New Roman" w:cs="Times New Roman"/>
          <w:szCs w:val="24"/>
        </w:rPr>
        <w:t>9</w:t>
      </w:r>
      <w:r w:rsidR="0024535C">
        <w:rPr>
          <w:rFonts w:ascii="Times New Roman" w:hAnsi="Times New Roman" w:cs="Times New Roman"/>
          <w:szCs w:val="24"/>
        </w:rPr>
        <w:t xml:space="preserve"> </w:t>
      </w:r>
      <w:r w:rsidRPr="0024535C">
        <w:rPr>
          <w:rFonts w:ascii="Times New Roman" w:hAnsi="Times New Roman" w:cs="Times New Roman"/>
          <w:szCs w:val="24"/>
        </w:rPr>
        <w:t>wyznaczono w oparciu o koszty dla jednostek, w których paliwem podstawowym są paliwa gazowe, czyli elektrociepłownie zawodowe gazowe;</w:t>
      </w:r>
    </w:p>
    <w:tbl>
      <w:tblPr>
        <w:tblW w:w="75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1257"/>
        <w:gridCol w:w="953"/>
        <w:gridCol w:w="992"/>
      </w:tblGrid>
      <w:tr w:rsidR="0070401D" w:rsidRPr="0070401D" w14:paraId="079E5D5D" w14:textId="77777777" w:rsidTr="0070401D">
        <w:trPr>
          <w:trHeight w:val="649"/>
          <w:jc w:val="center"/>
        </w:trPr>
        <w:tc>
          <w:tcPr>
            <w:tcW w:w="431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449FE" w14:textId="77777777" w:rsidR="0070401D" w:rsidRPr="0070401D" w:rsidRDefault="0070401D" w:rsidP="0070401D">
            <w:pPr>
              <w:pStyle w:val="ARTartustawynprozporzdzenia"/>
              <w:spacing w:after="12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0401D">
              <w:rPr>
                <w:rFonts w:ascii="Times New Roman" w:hAnsi="Times New Roman" w:cs="Times New Roman"/>
                <w:b/>
                <w:bCs/>
                <w:szCs w:val="24"/>
              </w:rPr>
              <w:t>Parametr</w:t>
            </w:r>
          </w:p>
        </w:tc>
        <w:tc>
          <w:tcPr>
            <w:tcW w:w="125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4526" w14:textId="77777777" w:rsidR="0070401D" w:rsidRPr="0070401D" w:rsidRDefault="0070401D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01D">
              <w:rPr>
                <w:rFonts w:ascii="Times New Roman" w:hAnsi="Times New Roman" w:cs="Times New Roman"/>
                <w:b/>
                <w:bCs/>
                <w:szCs w:val="24"/>
              </w:rPr>
              <w:t>Jednostka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4C5A1" w14:textId="155D5A1E" w:rsidR="0070401D" w:rsidRPr="0070401D" w:rsidRDefault="0070401D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01D">
              <w:rPr>
                <w:rFonts w:ascii="Times New Roman" w:hAnsi="Times New Roman" w:cs="Times New Roman"/>
                <w:b/>
                <w:bCs/>
                <w:szCs w:val="24"/>
              </w:rPr>
              <w:t>202</w:t>
            </w:r>
            <w:r w:rsidR="003257FF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E9105" w14:textId="4D1675CF" w:rsidR="0070401D" w:rsidRPr="0070401D" w:rsidRDefault="003257FF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2029</w:t>
            </w:r>
          </w:p>
        </w:tc>
      </w:tr>
      <w:tr w:rsidR="0070401D" w:rsidRPr="0070401D" w14:paraId="05FFEF31" w14:textId="77777777" w:rsidTr="0070401D">
        <w:trPr>
          <w:trHeight w:val="909"/>
          <w:jc w:val="center"/>
        </w:trPr>
        <w:tc>
          <w:tcPr>
            <w:tcW w:w="43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06584" w14:textId="4988081B" w:rsidR="0070401D" w:rsidRPr="0070401D" w:rsidRDefault="0070401D" w:rsidP="0070401D">
            <w:pPr>
              <w:pStyle w:val="ARTartustawynprozporzdzenia"/>
              <w:spacing w:after="12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0401D">
              <w:rPr>
                <w:rFonts w:ascii="Times New Roman" w:hAnsi="Times New Roman" w:cs="Times New Roman"/>
                <w:b/>
                <w:bCs/>
                <w:szCs w:val="24"/>
              </w:rPr>
              <w:t xml:space="preserve">Jednostkowe koszty stałe </w:t>
            </w:r>
            <w:r w:rsidR="00C63E60">
              <w:rPr>
                <w:rFonts w:ascii="Times New Roman" w:hAnsi="Times New Roman" w:cs="Times New Roman"/>
                <w:b/>
                <w:bCs/>
                <w:szCs w:val="24"/>
              </w:rPr>
              <w:t xml:space="preserve">bez </w:t>
            </w:r>
            <w:r w:rsidRPr="0070401D">
              <w:rPr>
                <w:rFonts w:ascii="Times New Roman" w:hAnsi="Times New Roman" w:cs="Times New Roman"/>
                <w:b/>
                <w:bCs/>
                <w:szCs w:val="24"/>
              </w:rPr>
              <w:t>amortyzacj</w:t>
            </w:r>
            <w:r w:rsidR="00C63E60">
              <w:rPr>
                <w:rFonts w:ascii="Times New Roman" w:hAnsi="Times New Roman" w:cs="Times New Roman"/>
                <w:b/>
                <w:bCs/>
                <w:szCs w:val="24"/>
              </w:rPr>
              <w:t>i</w:t>
            </w:r>
          </w:p>
        </w:tc>
        <w:tc>
          <w:tcPr>
            <w:tcW w:w="125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363A7" w14:textId="77777777" w:rsidR="0070401D" w:rsidRPr="0070401D" w:rsidRDefault="0070401D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01D">
              <w:rPr>
                <w:rFonts w:ascii="Times New Roman" w:hAnsi="Times New Roman" w:cs="Times New Roman"/>
                <w:szCs w:val="24"/>
              </w:rPr>
              <w:t>zł/kW/rok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2CA52" w14:textId="2F5A52FC" w:rsidR="0070401D" w:rsidRPr="0070401D" w:rsidRDefault="00C63E60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E60">
              <w:rPr>
                <w:rFonts w:ascii="Times New Roman" w:hAnsi="Times New Roman" w:cs="Times New Roman"/>
                <w:szCs w:val="24"/>
              </w:rPr>
              <w:t>119,31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87EA9" w14:textId="11094800" w:rsidR="0070401D" w:rsidRPr="0070401D" w:rsidRDefault="00C63E60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E60">
              <w:rPr>
                <w:rFonts w:ascii="Times New Roman" w:hAnsi="Times New Roman" w:cs="Times New Roman"/>
                <w:szCs w:val="24"/>
              </w:rPr>
              <w:t>119,31</w:t>
            </w:r>
          </w:p>
        </w:tc>
      </w:tr>
      <w:tr w:rsidR="0070401D" w:rsidRPr="0070401D" w14:paraId="2B26169C" w14:textId="77777777" w:rsidTr="0070401D">
        <w:trPr>
          <w:trHeight w:val="303"/>
          <w:jc w:val="center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DD74" w14:textId="77777777" w:rsidR="0070401D" w:rsidRPr="0070401D" w:rsidRDefault="0070401D" w:rsidP="0070401D">
            <w:pPr>
              <w:pStyle w:val="ARTartustawynprozporzdzenia"/>
              <w:spacing w:after="12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0401D">
              <w:rPr>
                <w:rFonts w:ascii="Times New Roman" w:hAnsi="Times New Roman" w:cs="Times New Roman"/>
                <w:b/>
                <w:bCs/>
                <w:szCs w:val="24"/>
              </w:rPr>
              <w:t>Jednostkowe koszty stałe z amortyzacją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77CE3" w14:textId="77777777" w:rsidR="0070401D" w:rsidRPr="0070401D" w:rsidRDefault="0070401D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01D">
              <w:rPr>
                <w:rFonts w:ascii="Times New Roman" w:hAnsi="Times New Roman" w:cs="Times New Roman"/>
                <w:szCs w:val="24"/>
              </w:rPr>
              <w:t>zł/kW/rok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EF0D4" w14:textId="2636FB4E" w:rsidR="0070401D" w:rsidRPr="0070401D" w:rsidRDefault="00C63E60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E60">
              <w:rPr>
                <w:rFonts w:ascii="Times New Roman" w:hAnsi="Times New Roman" w:cs="Times New Roman"/>
                <w:szCs w:val="24"/>
              </w:rPr>
              <w:t>147,31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998C2" w14:textId="7116F181" w:rsidR="0070401D" w:rsidRPr="0070401D" w:rsidRDefault="00C63E60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E60">
              <w:rPr>
                <w:rFonts w:ascii="Times New Roman" w:hAnsi="Times New Roman" w:cs="Times New Roman"/>
                <w:szCs w:val="24"/>
              </w:rPr>
              <w:t>147,31</w:t>
            </w:r>
          </w:p>
        </w:tc>
      </w:tr>
      <w:tr w:rsidR="0070401D" w:rsidRPr="0070401D" w14:paraId="3273EC4A" w14:textId="77777777" w:rsidTr="0070401D">
        <w:trPr>
          <w:trHeight w:val="606"/>
          <w:jc w:val="center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E17C4" w14:textId="77777777" w:rsidR="0070401D" w:rsidRPr="0070401D" w:rsidRDefault="0070401D" w:rsidP="0070401D">
            <w:pPr>
              <w:pStyle w:val="ARTartustawynprozporzdzenia"/>
              <w:spacing w:after="12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0401D">
              <w:rPr>
                <w:rFonts w:ascii="Times New Roman" w:hAnsi="Times New Roman" w:cs="Times New Roman"/>
                <w:b/>
                <w:bCs/>
                <w:szCs w:val="24"/>
              </w:rPr>
              <w:t>KWD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2A3C7" w14:textId="77777777" w:rsidR="0070401D" w:rsidRPr="0070401D" w:rsidRDefault="0070401D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01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1E096" w14:textId="729CBA16" w:rsidR="0070401D" w:rsidRPr="0070401D" w:rsidRDefault="00C63E60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E60">
              <w:rPr>
                <w:rFonts w:ascii="Times New Roman" w:hAnsi="Times New Roman" w:cs="Times New Roman"/>
                <w:szCs w:val="24"/>
              </w:rPr>
              <w:t>93,40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1A56C" w14:textId="019DA023" w:rsidR="0070401D" w:rsidRPr="0070401D" w:rsidRDefault="00C63E60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E60">
              <w:rPr>
                <w:rFonts w:ascii="Times New Roman" w:hAnsi="Times New Roman" w:cs="Times New Roman"/>
                <w:szCs w:val="24"/>
              </w:rPr>
              <w:t>93,79</w:t>
            </w:r>
          </w:p>
        </w:tc>
      </w:tr>
      <w:tr w:rsidR="0070401D" w:rsidRPr="0070401D" w14:paraId="00CA55D0" w14:textId="77777777" w:rsidTr="0070401D">
        <w:trPr>
          <w:trHeight w:val="606"/>
          <w:jc w:val="center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C945F" w14:textId="7383464B" w:rsidR="0070401D" w:rsidRPr="0070401D" w:rsidRDefault="0070401D" w:rsidP="0070401D">
            <w:pPr>
              <w:pStyle w:val="ARTartustawynprozporzdzenia"/>
              <w:spacing w:after="12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0401D">
              <w:rPr>
                <w:rFonts w:ascii="Times New Roman" w:hAnsi="Times New Roman" w:cs="Times New Roman"/>
                <w:b/>
                <w:bCs/>
                <w:szCs w:val="24"/>
              </w:rPr>
              <w:t>CeCe - wartość odniesienia z 202</w:t>
            </w:r>
            <w:r w:rsidR="00C63E60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  <w:r w:rsidRPr="0070401D">
              <w:rPr>
                <w:rFonts w:ascii="Times New Roman" w:hAnsi="Times New Roman" w:cs="Times New Roman"/>
                <w:b/>
                <w:bCs/>
                <w:szCs w:val="24"/>
              </w:rPr>
              <w:t xml:space="preserve"> r.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4D0E9" w14:textId="77777777" w:rsidR="0070401D" w:rsidRPr="0070401D" w:rsidRDefault="0070401D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01D">
              <w:rPr>
                <w:rFonts w:ascii="Times New Roman" w:hAnsi="Times New Roman" w:cs="Times New Roman"/>
                <w:szCs w:val="24"/>
              </w:rPr>
              <w:t>zł/kW/rok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F50AA" w14:textId="267C85E6" w:rsidR="0070401D" w:rsidRPr="0070401D" w:rsidRDefault="00C63E60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E60">
              <w:rPr>
                <w:rFonts w:ascii="Times New Roman" w:hAnsi="Times New Roman" w:cs="Times New Roman"/>
                <w:szCs w:val="24"/>
              </w:rPr>
              <w:t>157,72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5150" w14:textId="795517CB" w:rsidR="0070401D" w:rsidRPr="0070401D" w:rsidRDefault="00C63E60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E60">
              <w:rPr>
                <w:rFonts w:ascii="Times New Roman" w:hAnsi="Times New Roman" w:cs="Times New Roman"/>
                <w:szCs w:val="24"/>
              </w:rPr>
              <w:t>157,07</w:t>
            </w:r>
          </w:p>
        </w:tc>
      </w:tr>
      <w:tr w:rsidR="0070401D" w:rsidRPr="0070401D" w14:paraId="5E509FA9" w14:textId="77777777" w:rsidTr="0070401D">
        <w:trPr>
          <w:trHeight w:val="606"/>
          <w:jc w:val="center"/>
        </w:trPr>
        <w:tc>
          <w:tcPr>
            <w:tcW w:w="43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2937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C7AE" w14:textId="77777777" w:rsidR="0070401D" w:rsidRPr="0070401D" w:rsidRDefault="0070401D" w:rsidP="0070401D">
            <w:pPr>
              <w:pStyle w:val="ARTartustawynprozporzdzenia"/>
              <w:spacing w:after="12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0401D">
              <w:rPr>
                <w:rFonts w:ascii="Times New Roman" w:hAnsi="Times New Roman" w:cs="Times New Roman"/>
                <w:b/>
                <w:bCs/>
                <w:szCs w:val="24"/>
              </w:rPr>
              <w:t>CeCe dla roku dostaw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B441D" w14:textId="77777777" w:rsidR="0070401D" w:rsidRPr="0070401D" w:rsidRDefault="0070401D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01D">
              <w:rPr>
                <w:rFonts w:ascii="Times New Roman" w:hAnsi="Times New Roman" w:cs="Times New Roman"/>
                <w:szCs w:val="24"/>
              </w:rPr>
              <w:t>zł/kW/rok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0F31D" w14:textId="6CC44F17" w:rsidR="0070401D" w:rsidRPr="0070401D" w:rsidRDefault="00C63E60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E60">
              <w:rPr>
                <w:rFonts w:ascii="Times New Roman" w:hAnsi="Times New Roman" w:cs="Times New Roman"/>
                <w:szCs w:val="24"/>
              </w:rPr>
              <w:t>169,28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B6C8F" w14:textId="73EFE43C" w:rsidR="0070401D" w:rsidRPr="0070401D" w:rsidRDefault="00C63E60" w:rsidP="0070401D">
            <w:pPr>
              <w:pStyle w:val="ARTartustawynprozporzdzenia"/>
              <w:spacing w:after="12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E60">
              <w:rPr>
                <w:rFonts w:ascii="Times New Roman" w:hAnsi="Times New Roman" w:cs="Times New Roman"/>
                <w:szCs w:val="24"/>
              </w:rPr>
              <w:t>181,54</w:t>
            </w:r>
          </w:p>
        </w:tc>
      </w:tr>
    </w:tbl>
    <w:p w14:paraId="27E7FB44" w14:textId="77777777" w:rsidR="0070401D" w:rsidRPr="005A3D28" w:rsidRDefault="0070401D" w:rsidP="0070401D">
      <w:pPr>
        <w:pStyle w:val="ARTartustawynprozporzdzenia"/>
        <w:spacing w:before="0" w:after="120" w:line="240" w:lineRule="auto"/>
        <w:ind w:left="567" w:firstLine="0"/>
        <w:rPr>
          <w:rFonts w:ascii="Times New Roman" w:hAnsi="Times New Roman" w:cs="Times New Roman"/>
          <w:szCs w:val="24"/>
        </w:rPr>
      </w:pPr>
    </w:p>
    <w:p w14:paraId="439936C4" w14:textId="3C4A959F" w:rsidR="00EE32D4" w:rsidRPr="00B940C1" w:rsidRDefault="00EE32D4" w:rsidP="00214EDA">
      <w:pPr>
        <w:pStyle w:val="ARTartustawynprozporzdzenia"/>
        <w:numPr>
          <w:ilvl w:val="0"/>
          <w:numId w:val="9"/>
        </w:numPr>
        <w:spacing w:before="0" w:after="120" w:line="240" w:lineRule="auto"/>
        <w:ind w:left="567"/>
      </w:pPr>
      <w:r>
        <w:t>Mając na uwadze doświadczenia zebrane podczas organizacji dotychczasowych aukcji mocy oraz z</w:t>
      </w:r>
      <w:r w:rsidRPr="00804762">
        <w:t>e względu na konieczność zapewnienia niezbęd</w:t>
      </w:r>
      <w:r>
        <w:t>nych działań dla prawidłowego oraz </w:t>
      </w:r>
      <w:r w:rsidRPr="00804762">
        <w:t>bezpiecznego przebiegu</w:t>
      </w:r>
      <w:r>
        <w:t xml:space="preserve"> aukcji zalecane przez OSP są jednodniowe aukcje mocy. </w:t>
      </w:r>
      <w:r w:rsidR="006C144E">
        <w:t>Od</w:t>
      </w:r>
      <w:r>
        <w:t> 2018 </w:t>
      </w:r>
      <w:r w:rsidRPr="00804762">
        <w:t>r. w Polsce aukcje główne przeprowadzane były w ci</w:t>
      </w:r>
      <w:r>
        <w:t>ągu jednego dnia, ze względu na </w:t>
      </w:r>
      <w:r w:rsidRPr="00804762">
        <w:t xml:space="preserve">przewidziany w ustawie harmonogram. Według opinii </w:t>
      </w:r>
      <w:r w:rsidR="0012303B">
        <w:t>OSP</w:t>
      </w:r>
      <w:r w:rsidRPr="00804762">
        <w:t xml:space="preserve"> taki czas na przeprowadzenie procesów aukcyjnych był wystarczający.</w:t>
      </w:r>
      <w:r>
        <w:t xml:space="preserve"> Mając powyższe na uwadze</w:t>
      </w:r>
      <w:r w:rsidR="0019636F">
        <w:t>,</w:t>
      </w:r>
      <w:r>
        <w:t xml:space="preserve"> maksymalną liczbę rund zarówno dla aukcji głównej jak i dla aukcji dodatkowych utrzymano obowiązujące w zeszłym roku 12 rund;</w:t>
      </w:r>
    </w:p>
    <w:p w14:paraId="67D6C415" w14:textId="48500E4C" w:rsidR="00EE32D4" w:rsidRDefault="00EE32D4" w:rsidP="00214EDA">
      <w:pPr>
        <w:pStyle w:val="ARTartustawynprozporzdzenia"/>
        <w:numPr>
          <w:ilvl w:val="0"/>
          <w:numId w:val="9"/>
        </w:numPr>
        <w:spacing w:before="0" w:after="120" w:line="240" w:lineRule="auto"/>
        <w:ind w:left="567"/>
      </w:pPr>
      <w:r>
        <w:t xml:space="preserve">Zebrane przez </w:t>
      </w:r>
      <w:r w:rsidR="0012303B">
        <w:t>OSP</w:t>
      </w:r>
      <w:r>
        <w:t xml:space="preserve"> informacje odnośnie do jednostkowych nakładów inwestycyjnych dla wybranych nowych projektów energetycznych w Polsce wskazują, że istotne znaczenie w przypadku spełnienia określonego poziomu nakładów ma wielkość jednostek oraz to, czy są jednostkami kogeneracyjnymi. Utrzymanie w bieżącym roku jednostkowych nakładów inwestycyjnych na poziomie 2,4 mln zł/MW netto powinno umożliwić ubieganie się o umowę 15-letnią wszystkim jednostkom analogicznie do roku poprzedniego. Zakłada się, że wartość jednostkowych nakładów inwestycyjnych uprawniających do umów mocowych 5-letnich na poziomie 0,4 mln zł/MW netto pozytywnie wpływa na oczekiwania inwestorów, zachęcając ich do modernizacji jednostek wytwórczych;</w:t>
      </w:r>
    </w:p>
    <w:p w14:paraId="352D5363" w14:textId="66964936" w:rsidR="00EE32D4" w:rsidRDefault="00EE32D4" w:rsidP="00214EDA">
      <w:pPr>
        <w:pStyle w:val="ARTartustawynprozporzdzenia"/>
        <w:numPr>
          <w:ilvl w:val="0"/>
          <w:numId w:val="9"/>
        </w:numPr>
        <w:spacing w:before="0" w:after="120" w:line="240" w:lineRule="auto"/>
        <w:ind w:left="567"/>
      </w:pPr>
      <w:r>
        <w:t>Korekcyjne współczynniki dyspozycyjności służą</w:t>
      </w:r>
      <w:r w:rsidRPr="00550AFD">
        <w:t xml:space="preserve"> do wyznaczenia maksymalnej wielkości obowiązku mocowego danej jednostki </w:t>
      </w:r>
      <w:r>
        <w:t>rynku mocy</w:t>
      </w:r>
      <w:r w:rsidRPr="00550AFD">
        <w:t>,</w:t>
      </w:r>
      <w:r>
        <w:t xml:space="preserve"> możliwego do zaoferowania na aukcji mocy oraz rynku wtórnym</w:t>
      </w:r>
      <w:r w:rsidRPr="00550AFD">
        <w:t>.</w:t>
      </w:r>
      <w:r>
        <w:t xml:space="preserve"> W rozporządzeniu proponuje się podział na grupy technologii, dla których korekcyjne współczynniki będą określone odrębnie</w:t>
      </w:r>
      <w:r w:rsidR="00C63E60">
        <w:t xml:space="preserve">, </w:t>
      </w:r>
      <w:r>
        <w:t>wyznaczone analogiczne do obowiązujących w roku dostaw 202</w:t>
      </w:r>
      <w:r w:rsidR="003257FF">
        <w:t>9</w:t>
      </w:r>
      <w:r w:rsidR="00C63E60">
        <w:t>. Wyjątek stanowią magazyny energii, w przypadku których uwzględniono, w porównaniu do poprzedniego roku, wpływ ich dostępności na możliwość ich wykorzystania w przypadku powtarzających się okresów przywołania</w:t>
      </w:r>
      <w:r>
        <w:t>;</w:t>
      </w:r>
    </w:p>
    <w:p w14:paraId="26E4DD2D" w14:textId="49751D58" w:rsidR="00EE32D4" w:rsidRDefault="00EE32D4" w:rsidP="00214EDA">
      <w:pPr>
        <w:pStyle w:val="ARTartustawynprozporzdzenia"/>
        <w:numPr>
          <w:ilvl w:val="0"/>
          <w:numId w:val="9"/>
        </w:numPr>
        <w:spacing w:before="0" w:after="120" w:line="240" w:lineRule="auto"/>
        <w:ind w:left="567"/>
      </w:pPr>
      <w:r>
        <w:t>W</w:t>
      </w:r>
      <w:r w:rsidR="00E84C35">
        <w:t> </w:t>
      </w:r>
      <w:r>
        <w:t>rozporządzeniu określono prognozowane maksymalne wolumeny obowiązków mocowych dla poszczególnych stref na potrzeby aukcji głównej dla roku dostaw 202</w:t>
      </w:r>
      <w:r w:rsidR="00C63E60">
        <w:t xml:space="preserve">9 </w:t>
      </w:r>
      <w:r w:rsidR="008E0A7D">
        <w:t>i</w:t>
      </w:r>
      <w:r w:rsidR="00E84C35">
        <w:t> </w:t>
      </w:r>
      <w:r w:rsidR="008E0A7D">
        <w:t>aukcji dodatkowych na rok 202</w:t>
      </w:r>
      <w:r w:rsidR="00C63E60">
        <w:t>6</w:t>
      </w:r>
      <w:r>
        <w:t>, określone w oparciu analizy prognostyczne.</w:t>
      </w:r>
      <w:r w:rsidR="0070401D">
        <w:t xml:space="preserve">  Do analiz </w:t>
      </w:r>
      <w:r w:rsidR="00DA2C21">
        <w:t>wykorzystano zgodnie z metodyką wydaną przez ACER</w:t>
      </w:r>
      <w:r w:rsidR="0070401D" w:rsidRPr="0070401D">
        <w:t xml:space="preserve"> próbki Monte Carlo otrzymane w ramach obliczeń ERAA 202</w:t>
      </w:r>
      <w:r w:rsidR="00C63E60">
        <w:t>3</w:t>
      </w:r>
      <w:r w:rsidR="0070401D" w:rsidRPr="0070401D">
        <w:t xml:space="preserve">. Wynikiem każdej próbki </w:t>
      </w:r>
      <w:r w:rsidR="00DA2C21">
        <w:t>był</w:t>
      </w:r>
      <w:r w:rsidR="0070401D" w:rsidRPr="0070401D">
        <w:t xml:space="preserve"> fizyczny przepływ na połączeniu albo profilu transgranicznym między strefami</w:t>
      </w:r>
      <w:r w:rsidR="00DA2C21">
        <w:t xml:space="preserve"> w poszczególnych godzinach. Jako wolumeny obowiązków mocowych dla poszczególnych stref przyjęto średni wolumen przepływu </w:t>
      </w:r>
      <w:r w:rsidR="007F5FF4">
        <w:t>energii na</w:t>
      </w:r>
      <w:r w:rsidR="00DA2C21">
        <w:t xml:space="preserve"> połączeniu z daną strefą, w godzinach, w których poziom rezerw w KSE byłby niższy od 9%.</w:t>
      </w:r>
    </w:p>
    <w:p w14:paraId="7AD902F8" w14:textId="78F1FDAB" w:rsidR="00644D8B" w:rsidRPr="00687ADA" w:rsidRDefault="008012F0" w:rsidP="00214E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AD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87A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7868" w:rsidRPr="00687ADA">
        <w:rPr>
          <w:rFonts w:ascii="Times New Roman" w:hAnsi="Times New Roman" w:cs="Times New Roman"/>
          <w:b/>
          <w:sz w:val="24"/>
          <w:szCs w:val="24"/>
        </w:rPr>
        <w:t xml:space="preserve">Wejście </w:t>
      </w:r>
      <w:r w:rsidR="00577492" w:rsidRPr="00687ADA">
        <w:rPr>
          <w:rFonts w:ascii="Times New Roman" w:hAnsi="Times New Roman" w:cs="Times New Roman"/>
          <w:b/>
          <w:sz w:val="24"/>
          <w:szCs w:val="24"/>
        </w:rPr>
        <w:t xml:space="preserve">w życie </w:t>
      </w:r>
    </w:p>
    <w:p w14:paraId="4F830C84" w14:textId="72ECCC23" w:rsidR="00AE55A8" w:rsidRPr="000867EB" w:rsidRDefault="00687ADA" w:rsidP="00214EDA">
      <w:pPr>
        <w:pStyle w:val="ARTartustawynprozporzdzenia"/>
        <w:spacing w:before="0" w:after="120" w:line="240" w:lineRule="auto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pacing w:val="-2"/>
        </w:rPr>
        <w:t>W</w:t>
      </w:r>
      <w:r w:rsidR="00AE55A8">
        <w:rPr>
          <w:rFonts w:ascii="Times New Roman" w:hAnsi="Times New Roman"/>
          <w:spacing w:val="-2"/>
        </w:rPr>
        <w:t xml:space="preserve">ejście w życie przedmiotowego rozporządzenia </w:t>
      </w:r>
      <w:r>
        <w:rPr>
          <w:rFonts w:ascii="Times New Roman" w:hAnsi="Times New Roman"/>
          <w:spacing w:val="-2"/>
        </w:rPr>
        <w:t>planowane jest na</w:t>
      </w:r>
      <w:r w:rsidR="00AE55A8" w:rsidRPr="00500E02">
        <w:rPr>
          <w:rFonts w:ascii="Times New Roman" w:hAnsi="Times New Roman"/>
          <w:spacing w:val="-2"/>
        </w:rPr>
        <w:t xml:space="preserve"> d</w:t>
      </w:r>
      <w:r>
        <w:rPr>
          <w:rFonts w:ascii="Times New Roman" w:hAnsi="Times New Roman"/>
          <w:spacing w:val="-2"/>
        </w:rPr>
        <w:t>zień</w:t>
      </w:r>
      <w:r w:rsidR="00AE55A8" w:rsidRPr="00500E02">
        <w:rPr>
          <w:rFonts w:ascii="Times New Roman" w:hAnsi="Times New Roman"/>
          <w:spacing w:val="-2"/>
        </w:rPr>
        <w:t xml:space="preserve"> następując</w:t>
      </w:r>
      <w:r>
        <w:rPr>
          <w:rFonts w:ascii="Times New Roman" w:hAnsi="Times New Roman"/>
          <w:spacing w:val="-2"/>
        </w:rPr>
        <w:t>y</w:t>
      </w:r>
      <w:r w:rsidR="00AE55A8" w:rsidRPr="00500E02">
        <w:rPr>
          <w:rFonts w:ascii="Times New Roman" w:hAnsi="Times New Roman"/>
          <w:spacing w:val="-2"/>
        </w:rPr>
        <w:t xml:space="preserve"> po dniu ogłoszenia. Termin ten wynika z konieczności możliwie wczesnego wejścia w życie </w:t>
      </w:r>
      <w:r w:rsidR="007F5FF4" w:rsidRPr="00500E02">
        <w:rPr>
          <w:rFonts w:ascii="Times New Roman" w:hAnsi="Times New Roman"/>
          <w:spacing w:val="-2"/>
        </w:rPr>
        <w:t>regulacji</w:t>
      </w:r>
      <w:r w:rsidR="00AE55A8" w:rsidRPr="00500E02">
        <w:rPr>
          <w:rFonts w:ascii="Times New Roman" w:hAnsi="Times New Roman"/>
          <w:spacing w:val="-2"/>
        </w:rPr>
        <w:t xml:space="preserve"> jako aktu prawnego niezbędnego do prawidłowego przeprowadzenia aukcji mocy</w:t>
      </w:r>
      <w:r w:rsidR="00805ED8">
        <w:rPr>
          <w:rFonts w:ascii="Times New Roman" w:hAnsi="Times New Roman"/>
          <w:spacing w:val="-2"/>
        </w:rPr>
        <w:t>, czego wymaga ważny interes państwa,</w:t>
      </w:r>
      <w:r w:rsidR="00291B48">
        <w:rPr>
          <w:rFonts w:ascii="Times New Roman" w:hAnsi="Times New Roman"/>
          <w:spacing w:val="-2"/>
        </w:rPr>
        <w:t xml:space="preserve"> a</w:t>
      </w:r>
      <w:r w:rsidR="00805ED8">
        <w:rPr>
          <w:rFonts w:ascii="Times New Roman" w:hAnsi="Times New Roman"/>
          <w:spacing w:val="-2"/>
        </w:rPr>
        <w:t xml:space="preserve"> zasady demokratycznego państwa prawnego nie stoją temu na przeszkodzie. </w:t>
      </w:r>
      <w:r w:rsidR="00AE55A8" w:rsidRPr="00500E02">
        <w:rPr>
          <w:rFonts w:ascii="Times New Roman" w:hAnsi="Times New Roman"/>
          <w:spacing w:val="-2"/>
        </w:rPr>
        <w:t xml:space="preserve">Zgodnie z art. 34 ust. 2 ustawy, projektowane rozporządzenie powinno zostać wydane przez Ministra </w:t>
      </w:r>
      <w:r w:rsidR="00AE55A8">
        <w:rPr>
          <w:rFonts w:ascii="Times New Roman" w:hAnsi="Times New Roman"/>
          <w:spacing w:val="-2"/>
        </w:rPr>
        <w:t>Klimatu i Środowiska</w:t>
      </w:r>
      <w:r w:rsidR="00AE55A8" w:rsidRPr="00500E02">
        <w:rPr>
          <w:rFonts w:ascii="Times New Roman" w:hAnsi="Times New Roman"/>
          <w:spacing w:val="-2"/>
        </w:rPr>
        <w:t xml:space="preserve"> nie później niż 18</w:t>
      </w:r>
      <w:r w:rsidR="00B1043C">
        <w:rPr>
          <w:rFonts w:ascii="Times New Roman" w:hAnsi="Times New Roman"/>
          <w:spacing w:val="-2"/>
        </w:rPr>
        <w:t> </w:t>
      </w:r>
      <w:r w:rsidR="00AE55A8" w:rsidRPr="00500E02">
        <w:rPr>
          <w:rFonts w:ascii="Times New Roman" w:hAnsi="Times New Roman"/>
          <w:spacing w:val="-2"/>
        </w:rPr>
        <w:t>tygodni przed rozpoczęciem aukcji głównej</w:t>
      </w:r>
      <w:r w:rsidR="001506C1">
        <w:rPr>
          <w:rFonts w:ascii="Times New Roman" w:hAnsi="Times New Roman"/>
          <w:spacing w:val="-2"/>
        </w:rPr>
        <w:t>.</w:t>
      </w:r>
      <w:r w:rsidR="00805ED8">
        <w:rPr>
          <w:rFonts w:ascii="Times New Roman" w:hAnsi="Times New Roman"/>
          <w:spacing w:val="-2"/>
        </w:rPr>
        <w:t xml:space="preserve"> </w:t>
      </w:r>
      <w:r w:rsidR="00AE55A8" w:rsidRPr="00500E02">
        <w:rPr>
          <w:rFonts w:ascii="Times New Roman" w:hAnsi="Times New Roman"/>
          <w:spacing w:val="-2"/>
        </w:rPr>
        <w:t xml:space="preserve"> </w:t>
      </w:r>
    </w:p>
    <w:p w14:paraId="43FAB6FC" w14:textId="12BB9D25" w:rsidR="000867EB" w:rsidRPr="008012F0" w:rsidRDefault="0054149B" w:rsidP="00214EDA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4</w:t>
      </w:r>
      <w:r w:rsidR="000867EB" w:rsidRPr="008012F0">
        <w:rPr>
          <w:rFonts w:ascii="Times New Roman" w:hAnsi="Times New Roman" w:cs="Times New Roman"/>
          <w:b/>
          <w:bCs/>
          <w:szCs w:val="24"/>
        </w:rPr>
        <w:t>.</w:t>
      </w:r>
      <w:r w:rsidR="000867EB" w:rsidRPr="008012F0">
        <w:rPr>
          <w:rFonts w:ascii="Times New Roman" w:hAnsi="Times New Roman" w:cs="Times New Roman"/>
          <w:b/>
          <w:bCs/>
          <w:szCs w:val="24"/>
        </w:rPr>
        <w:tab/>
        <w:t>Zgodność z prawem Unii Europejskiej</w:t>
      </w:r>
    </w:p>
    <w:p w14:paraId="68B353E8" w14:textId="6FDA2459" w:rsidR="00BB7868" w:rsidRPr="000867EB" w:rsidRDefault="00BB7868" w:rsidP="00214EDA">
      <w:pPr>
        <w:pStyle w:val="ARTartustawynprozporzdzenia"/>
        <w:spacing w:before="0" w:after="120" w:line="240" w:lineRule="auto"/>
        <w:ind w:firstLine="567"/>
        <w:rPr>
          <w:rFonts w:ascii="Times New Roman" w:hAnsi="Times New Roman" w:cs="Times New Roman"/>
          <w:szCs w:val="24"/>
        </w:rPr>
      </w:pPr>
      <w:r w:rsidRPr="000867EB">
        <w:rPr>
          <w:rFonts w:ascii="Times New Roman" w:hAnsi="Times New Roman" w:cs="Times New Roman"/>
          <w:szCs w:val="24"/>
        </w:rPr>
        <w:t>Projekt rozporządzenia jest zgodny z prawem Unii Europejskiej.</w:t>
      </w:r>
    </w:p>
    <w:p w14:paraId="14A6E92C" w14:textId="03BB8939" w:rsidR="00577492" w:rsidRPr="000867EB" w:rsidRDefault="00214EDA" w:rsidP="00214ED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333B7" w:rsidRPr="000867EB">
        <w:rPr>
          <w:rFonts w:ascii="Times New Roman" w:hAnsi="Times New Roman" w:cs="Times New Roman"/>
          <w:b/>
          <w:sz w:val="24"/>
          <w:szCs w:val="24"/>
        </w:rPr>
        <w:t>.</w:t>
      </w:r>
      <w:r w:rsidR="00D333B7" w:rsidRPr="000867EB">
        <w:rPr>
          <w:rFonts w:ascii="Times New Roman" w:hAnsi="Times New Roman" w:cs="Times New Roman"/>
          <w:b/>
          <w:sz w:val="24"/>
          <w:szCs w:val="24"/>
        </w:rPr>
        <w:tab/>
      </w:r>
      <w:r w:rsidR="00577492" w:rsidRPr="000867EB">
        <w:rPr>
          <w:rFonts w:ascii="Times New Roman" w:hAnsi="Times New Roman" w:cs="Times New Roman"/>
          <w:b/>
          <w:sz w:val="24"/>
          <w:szCs w:val="24"/>
        </w:rPr>
        <w:t>Notyfikacja</w:t>
      </w:r>
    </w:p>
    <w:p w14:paraId="2AAB7F12" w14:textId="451C0B04" w:rsidR="00FE08B0" w:rsidRDefault="000867EB" w:rsidP="00FE08B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7EB">
        <w:rPr>
          <w:rFonts w:ascii="Times New Roman" w:hAnsi="Times New Roman" w:cs="Times New Roman"/>
          <w:sz w:val="24"/>
          <w:szCs w:val="24"/>
        </w:rPr>
        <w:t>Projekt rozporządzenia nie podlega procedurze notyfikacji aktów prawnych, określonej w przepisach rozporządzenia Rady Ministrów z dnia 23 grudnia 2002 r. w sprawie sposobu funkcjonowania krajowego systemu notyfikacji norm i aktów prawnych (Dz. U. poz. 2039</w:t>
      </w:r>
      <w:r w:rsidR="008B3617">
        <w:rPr>
          <w:rFonts w:ascii="Times New Roman" w:hAnsi="Times New Roman" w:cs="Times New Roman"/>
          <w:sz w:val="24"/>
          <w:szCs w:val="24"/>
        </w:rPr>
        <w:t xml:space="preserve"> </w:t>
      </w:r>
      <w:r w:rsidR="00291B48">
        <w:rPr>
          <w:rFonts w:ascii="Times New Roman" w:hAnsi="Times New Roman" w:cs="Times New Roman"/>
          <w:sz w:val="24"/>
          <w:szCs w:val="24"/>
        </w:rPr>
        <w:t>oraz </w:t>
      </w:r>
      <w:r w:rsidR="008B3617">
        <w:rPr>
          <w:rFonts w:ascii="Times New Roman" w:hAnsi="Times New Roman" w:cs="Times New Roman"/>
          <w:sz w:val="24"/>
          <w:szCs w:val="24"/>
        </w:rPr>
        <w:t>z</w:t>
      </w:r>
      <w:r w:rsidR="00121A27">
        <w:rPr>
          <w:rFonts w:ascii="Times New Roman" w:hAnsi="Times New Roman" w:cs="Times New Roman"/>
          <w:sz w:val="24"/>
          <w:szCs w:val="24"/>
        </w:rPr>
        <w:t> </w:t>
      </w:r>
      <w:r w:rsidR="008B3617">
        <w:rPr>
          <w:rFonts w:ascii="Times New Roman" w:hAnsi="Times New Roman" w:cs="Times New Roman"/>
          <w:sz w:val="24"/>
          <w:szCs w:val="24"/>
        </w:rPr>
        <w:t>2004 r. poz. 2039</w:t>
      </w:r>
      <w:r w:rsidRPr="000867EB">
        <w:rPr>
          <w:rFonts w:ascii="Times New Roman" w:hAnsi="Times New Roman" w:cs="Times New Roman"/>
          <w:sz w:val="24"/>
          <w:szCs w:val="24"/>
        </w:rPr>
        <w:t>).</w:t>
      </w:r>
    </w:p>
    <w:p w14:paraId="4CE0B90B" w14:textId="5FFA7B4A" w:rsidR="000867EB" w:rsidRDefault="000867EB" w:rsidP="00FE08B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0A">
        <w:rPr>
          <w:rFonts w:ascii="Times New Roman" w:hAnsi="Times New Roman" w:cs="Times New Roman"/>
          <w:sz w:val="24"/>
          <w:szCs w:val="24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39D397CE" w14:textId="05D4941C" w:rsidR="00C01373" w:rsidRPr="00774A7E" w:rsidRDefault="00C01373" w:rsidP="00C01373">
      <w:pPr>
        <w:pStyle w:val="ARTartustawynprozporzdzenia"/>
        <w:spacing w:before="0" w:line="240" w:lineRule="auto"/>
      </w:pPr>
      <w:r w:rsidRPr="00291B48">
        <w:t>Projekt aktu nie zawiera wymogów nakładanych na usługodawców, podlegających notyfikacji</w:t>
      </w:r>
      <w:r w:rsidRPr="00C01373">
        <w:t>, o której mowa w art. 15 ust. 7 i art. 39 ust. 5 dyrektywy 2006/123/WE Parlamentu Europejskiego i Rady z dnia 12 grudnia 2006 r. dotyczącej usług na rynku wewnętrznym (Dz. Urz. UE L 376 z 27.12.2006, str. 36).</w:t>
      </w:r>
    </w:p>
    <w:p w14:paraId="2758C171" w14:textId="77777777" w:rsidR="00C01373" w:rsidRPr="000867EB" w:rsidRDefault="00C01373" w:rsidP="00FE08B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3C2E60" w14:textId="313DC0F0" w:rsidR="000867EB" w:rsidRPr="000867EB" w:rsidRDefault="00214EDA" w:rsidP="00214ED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333B7" w:rsidRPr="000867EB">
        <w:rPr>
          <w:rFonts w:ascii="Times New Roman" w:hAnsi="Times New Roman" w:cs="Times New Roman"/>
          <w:b/>
          <w:sz w:val="24"/>
          <w:szCs w:val="24"/>
        </w:rPr>
        <w:t>.</w:t>
      </w:r>
      <w:r w:rsidR="00D333B7" w:rsidRPr="000867EB">
        <w:rPr>
          <w:rFonts w:ascii="Times New Roman" w:hAnsi="Times New Roman" w:cs="Times New Roman"/>
          <w:b/>
          <w:sz w:val="24"/>
          <w:szCs w:val="24"/>
        </w:rPr>
        <w:tab/>
      </w:r>
      <w:r w:rsidR="000867EB" w:rsidRPr="000867EB">
        <w:rPr>
          <w:rFonts w:ascii="Times New Roman" w:hAnsi="Times New Roman" w:cs="Times New Roman"/>
          <w:b/>
          <w:sz w:val="24"/>
          <w:szCs w:val="24"/>
        </w:rPr>
        <w:t>Wpływ na mikroprzedsiębiorców oraz małych i średnich przedsiębiorców</w:t>
      </w:r>
    </w:p>
    <w:p w14:paraId="4C0FC7A1" w14:textId="0BD2BE41" w:rsidR="00254E1D" w:rsidRPr="00254E1D" w:rsidRDefault="00254E1D" w:rsidP="00214EDA">
      <w:pPr>
        <w:pStyle w:val="NIEARTTEKSTtekstnieartykuowanynppodstprawnarozplubpreambua"/>
        <w:spacing w:before="0" w:after="120"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Projekt rozporządzenia</w:t>
      </w:r>
      <w:r w:rsidR="000867EB" w:rsidRPr="00F55D0A">
        <w:rPr>
          <w:rFonts w:ascii="Times New Roman" w:hAnsi="Times New Roman" w:cs="Times New Roman"/>
          <w:szCs w:val="24"/>
        </w:rPr>
        <w:t xml:space="preserve"> </w:t>
      </w:r>
      <w:r w:rsidR="0085034C">
        <w:rPr>
          <w:rFonts w:ascii="Times New Roman" w:hAnsi="Times New Roman" w:cs="Times New Roman"/>
          <w:szCs w:val="24"/>
        </w:rPr>
        <w:t>wpływa</w:t>
      </w:r>
      <w:r w:rsidR="000867EB" w:rsidRPr="00F55D0A">
        <w:rPr>
          <w:rFonts w:ascii="Times New Roman" w:hAnsi="Times New Roman" w:cs="Times New Roman"/>
          <w:szCs w:val="24"/>
        </w:rPr>
        <w:t xml:space="preserve"> na działalność mikroprzedsiębiorców oraz małych i</w:t>
      </w:r>
      <w:r w:rsidR="007E31B7">
        <w:rPr>
          <w:rFonts w:ascii="Times New Roman" w:hAnsi="Times New Roman" w:cs="Times New Roman"/>
          <w:szCs w:val="24"/>
        </w:rPr>
        <w:t> </w:t>
      </w:r>
      <w:r w:rsidR="000867EB" w:rsidRPr="00F55D0A">
        <w:rPr>
          <w:rFonts w:ascii="Times New Roman" w:hAnsi="Times New Roman" w:cs="Times New Roman"/>
          <w:szCs w:val="24"/>
        </w:rPr>
        <w:t>średnich przedsiębiorców.</w:t>
      </w:r>
      <w:r>
        <w:rPr>
          <w:rFonts w:ascii="Times New Roman" w:hAnsi="Times New Roman" w:cs="Times New Roman"/>
          <w:szCs w:val="24"/>
        </w:rPr>
        <w:t xml:space="preserve"> </w:t>
      </w:r>
      <w:r w:rsidR="007F5FF4" w:rsidRPr="00254E1D">
        <w:rPr>
          <w:rFonts w:ascii="Times New Roman" w:hAnsi="Times New Roman" w:cs="Times New Roman"/>
          <w:szCs w:val="24"/>
        </w:rPr>
        <w:t>Przepisy</w:t>
      </w:r>
      <w:r w:rsidRPr="00254E1D">
        <w:rPr>
          <w:rFonts w:ascii="Times New Roman" w:hAnsi="Times New Roman" w:cs="Times New Roman"/>
          <w:szCs w:val="24"/>
        </w:rPr>
        <w:t xml:space="preserve"> jako określające parametry aukcji mocy</w:t>
      </w:r>
      <w:r w:rsidR="00B1043C">
        <w:rPr>
          <w:rFonts w:ascii="Times New Roman" w:hAnsi="Times New Roman" w:cs="Times New Roman"/>
          <w:szCs w:val="24"/>
        </w:rPr>
        <w:t>,</w:t>
      </w:r>
      <w:r w:rsidRPr="00254E1D">
        <w:rPr>
          <w:rFonts w:ascii="Times New Roman" w:hAnsi="Times New Roman" w:cs="Times New Roman"/>
          <w:szCs w:val="24"/>
        </w:rPr>
        <w:t xml:space="preserve"> będą miały wpływ na decyzję o udziale w aukcji głównej, aukcjach dodatkowych oraz o wysokości zgłaszanej oferty na aukcji, zarówno cenowej, jak i wolumenowej</w:t>
      </w:r>
      <w:r>
        <w:rPr>
          <w:rFonts w:ascii="Times New Roman" w:hAnsi="Times New Roman" w:cs="Times New Roman"/>
          <w:szCs w:val="24"/>
        </w:rPr>
        <w:t xml:space="preserve">. </w:t>
      </w:r>
      <w:r w:rsidR="007E515C">
        <w:rPr>
          <w:rFonts w:ascii="Times New Roman" w:hAnsi="Times New Roman" w:cs="Times New Roman"/>
          <w:szCs w:val="24"/>
        </w:rPr>
        <w:t xml:space="preserve">Projekt jest </w:t>
      </w:r>
      <w:r w:rsidRPr="00254E1D">
        <w:t>zgodn</w:t>
      </w:r>
      <w:r w:rsidR="007E515C">
        <w:t>y</w:t>
      </w:r>
      <w:r w:rsidRPr="00254E1D">
        <w:t xml:space="preserve"> z</w:t>
      </w:r>
      <w:r w:rsidR="00E84C35">
        <w:t> </w:t>
      </w:r>
      <w:r w:rsidRPr="00254E1D">
        <w:t>przepisami ustawy z dnia 6 marca 2018 r. – Prawo przedsiębiorców (</w:t>
      </w:r>
      <w:r w:rsidR="001E2843" w:rsidRPr="001E2843">
        <w:t>Dz.U. 2024 poz. 236</w:t>
      </w:r>
      <w:r w:rsidR="001E2843">
        <w:t>).</w:t>
      </w:r>
    </w:p>
    <w:p w14:paraId="19C448F8" w14:textId="3ABB0ED6" w:rsidR="00577492" w:rsidRPr="000867EB" w:rsidRDefault="00214EDA" w:rsidP="00214ED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867EB">
        <w:rPr>
          <w:rFonts w:ascii="Times New Roman" w:hAnsi="Times New Roman" w:cs="Times New Roman"/>
          <w:b/>
          <w:sz w:val="24"/>
          <w:szCs w:val="24"/>
        </w:rPr>
        <w:t>.</w:t>
      </w:r>
      <w:r w:rsidR="000867EB">
        <w:rPr>
          <w:rFonts w:ascii="Times New Roman" w:hAnsi="Times New Roman" w:cs="Times New Roman"/>
          <w:b/>
          <w:sz w:val="24"/>
          <w:szCs w:val="24"/>
        </w:rPr>
        <w:tab/>
      </w:r>
      <w:r w:rsidR="00577492" w:rsidRPr="000867EB">
        <w:rPr>
          <w:rFonts w:ascii="Times New Roman" w:hAnsi="Times New Roman" w:cs="Times New Roman"/>
          <w:b/>
          <w:sz w:val="24"/>
          <w:szCs w:val="24"/>
        </w:rPr>
        <w:t>Konsultacje projektu</w:t>
      </w:r>
    </w:p>
    <w:p w14:paraId="79DB7A64" w14:textId="424CBE82" w:rsidR="008B3F38" w:rsidRDefault="000867EB" w:rsidP="00214E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0A">
        <w:rPr>
          <w:rFonts w:ascii="Times New Roman" w:hAnsi="Times New Roman" w:cs="Times New Roman"/>
          <w:sz w:val="24"/>
          <w:szCs w:val="24"/>
        </w:rPr>
        <w:t>Projekt przedmiotowej regulacji, zgodnie z wymogami określonymi w art. 5 ustawy z</w:t>
      </w:r>
      <w:r w:rsidR="00E84C35">
        <w:rPr>
          <w:rFonts w:ascii="Times New Roman" w:hAnsi="Times New Roman" w:cs="Times New Roman"/>
          <w:sz w:val="24"/>
          <w:szCs w:val="24"/>
        </w:rPr>
        <w:t> </w:t>
      </w:r>
      <w:r w:rsidRPr="00F55D0A">
        <w:rPr>
          <w:rFonts w:ascii="Times New Roman" w:hAnsi="Times New Roman" w:cs="Times New Roman"/>
          <w:sz w:val="24"/>
          <w:szCs w:val="24"/>
        </w:rPr>
        <w:t xml:space="preserve">dnia 7 lipca 2005 o </w:t>
      </w:r>
      <w:r w:rsidRPr="00B1043C">
        <w:rPr>
          <w:rFonts w:ascii="Times New Roman" w:hAnsi="Times New Roman" w:cs="Times New Roman"/>
          <w:sz w:val="24"/>
          <w:szCs w:val="24"/>
        </w:rPr>
        <w:t>działalności lobbingowej w procesie stosowania prawa (Dz. U. z 2017 r. poz. 248), zosta</w:t>
      </w:r>
      <w:r w:rsidR="008F546C">
        <w:rPr>
          <w:rFonts w:ascii="Times New Roman" w:hAnsi="Times New Roman" w:cs="Times New Roman"/>
          <w:sz w:val="24"/>
          <w:szCs w:val="24"/>
        </w:rPr>
        <w:t>ł</w:t>
      </w:r>
      <w:r w:rsidRPr="00B1043C">
        <w:rPr>
          <w:rFonts w:ascii="Times New Roman" w:hAnsi="Times New Roman" w:cs="Times New Roman"/>
          <w:sz w:val="24"/>
          <w:szCs w:val="24"/>
        </w:rPr>
        <w:t xml:space="preserve"> udostępniony w Biuletynie Informacji Publicznej na stronie podmiotowej Rządowego Centrum Legislacji, w serwisie Rządowy Proces Legislacyjny</w:t>
      </w:r>
      <w:r w:rsidR="008B3F38" w:rsidRPr="00B1043C">
        <w:rPr>
          <w:rFonts w:ascii="Times New Roman" w:hAnsi="Times New Roman" w:cs="Times New Roman"/>
          <w:sz w:val="24"/>
          <w:szCs w:val="24"/>
        </w:rPr>
        <w:t>.</w:t>
      </w:r>
    </w:p>
    <w:p w14:paraId="754F0CB9" w14:textId="1CCA5020" w:rsidR="00525519" w:rsidRPr="00525519" w:rsidRDefault="00525519" w:rsidP="00525519">
      <w:pPr>
        <w:pStyle w:val="ARTartustawynprozporzdzenia"/>
        <w:spacing w:before="0" w:line="240" w:lineRule="auto"/>
        <w:ind w:firstLine="426"/>
        <w:rPr>
          <w:rFonts w:ascii="Times New Roman" w:hAnsi="Times New Roman" w:cs="Times New Roman"/>
          <w:szCs w:val="24"/>
        </w:rPr>
      </w:pPr>
      <w:r w:rsidRPr="00525519">
        <w:rPr>
          <w:rFonts w:ascii="Times New Roman" w:hAnsi="Times New Roman" w:cs="Times New Roman"/>
          <w:szCs w:val="24"/>
        </w:rPr>
        <w:t>Do projektowanego rozporządzenia nie wpłynęły zgłoszenia podmiotów zainteresowanych pracami nad projektem w trybie przepisów o działalności lobbingowej w procesie stanowienia prawa.</w:t>
      </w:r>
    </w:p>
    <w:p w14:paraId="2F005E42" w14:textId="77777777" w:rsidR="00525519" w:rsidRPr="00B1043C" w:rsidRDefault="00525519" w:rsidP="005255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69B67" w14:textId="7C89354A" w:rsidR="000867EB" w:rsidRPr="00B1043C" w:rsidRDefault="008B3F38" w:rsidP="00214E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3C">
        <w:rPr>
          <w:rFonts w:ascii="Times New Roman" w:hAnsi="Times New Roman" w:cs="Times New Roman"/>
          <w:sz w:val="24"/>
          <w:szCs w:val="24"/>
        </w:rPr>
        <w:t>Z</w:t>
      </w:r>
      <w:r w:rsidR="007E515C" w:rsidRPr="00B1043C">
        <w:rPr>
          <w:rFonts w:ascii="Times New Roman" w:hAnsi="Times New Roman" w:cs="Times New Roman"/>
          <w:sz w:val="24"/>
          <w:szCs w:val="24"/>
        </w:rPr>
        <w:t>godnie z art. 34 ust. 1 ustawy</w:t>
      </w:r>
      <w:r w:rsidR="00B1043C" w:rsidRPr="0022404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A0817" w:rsidRPr="00B1043C">
        <w:rPr>
          <w:rFonts w:ascii="Times New Roman" w:hAnsi="Times New Roman" w:cs="Times New Roman"/>
          <w:sz w:val="24"/>
          <w:szCs w:val="24"/>
        </w:rPr>
        <w:t>zosta</w:t>
      </w:r>
      <w:r w:rsidR="008F546C">
        <w:rPr>
          <w:rFonts w:ascii="Times New Roman" w:hAnsi="Times New Roman" w:cs="Times New Roman"/>
          <w:sz w:val="24"/>
          <w:szCs w:val="24"/>
        </w:rPr>
        <w:t>ła</w:t>
      </w:r>
      <w:r w:rsidR="005A0817" w:rsidRPr="00B1043C">
        <w:rPr>
          <w:rFonts w:ascii="Times New Roman" w:hAnsi="Times New Roman" w:cs="Times New Roman"/>
          <w:sz w:val="24"/>
          <w:szCs w:val="24"/>
        </w:rPr>
        <w:t xml:space="preserve"> </w:t>
      </w:r>
      <w:r w:rsidR="007E515C" w:rsidRPr="00B1043C">
        <w:rPr>
          <w:rFonts w:ascii="Times New Roman" w:hAnsi="Times New Roman" w:cs="Times New Roman"/>
          <w:sz w:val="24"/>
          <w:szCs w:val="24"/>
        </w:rPr>
        <w:t>zasięgnięta opinia Prezesa URE.</w:t>
      </w:r>
    </w:p>
    <w:sectPr w:rsidR="000867EB" w:rsidRPr="00B1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8905" w14:textId="77777777" w:rsidR="00166CAC" w:rsidRDefault="00166CAC" w:rsidP="00A01A7F">
      <w:pPr>
        <w:spacing w:after="0" w:line="240" w:lineRule="auto"/>
      </w:pPr>
      <w:r>
        <w:separator/>
      </w:r>
    </w:p>
  </w:endnote>
  <w:endnote w:type="continuationSeparator" w:id="0">
    <w:p w14:paraId="6B043F9A" w14:textId="77777777" w:rsidR="00166CAC" w:rsidRDefault="00166CAC" w:rsidP="00A0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758C" w14:textId="77777777" w:rsidR="00166CAC" w:rsidRDefault="00166CAC" w:rsidP="00A01A7F">
      <w:pPr>
        <w:spacing w:after="0" w:line="240" w:lineRule="auto"/>
      </w:pPr>
      <w:r>
        <w:separator/>
      </w:r>
    </w:p>
  </w:footnote>
  <w:footnote w:type="continuationSeparator" w:id="0">
    <w:p w14:paraId="26CF0003" w14:textId="77777777" w:rsidR="00166CAC" w:rsidRDefault="00166CAC" w:rsidP="00A01A7F">
      <w:pPr>
        <w:spacing w:after="0" w:line="240" w:lineRule="auto"/>
      </w:pPr>
      <w:r>
        <w:continuationSeparator/>
      </w:r>
    </w:p>
  </w:footnote>
  <w:footnote w:id="1">
    <w:p w14:paraId="10CEE49A" w14:textId="77777777" w:rsidR="00BB2C4C" w:rsidRDefault="00A01A7F" w:rsidP="007F4F8F">
      <w:pPr>
        <w:pStyle w:val="Tekstprzypisudolnego"/>
        <w:jc w:val="both"/>
        <w:rPr>
          <w:rFonts w:ascii="Times New Roman" w:hAnsi="Times New Roman" w:cs="Times New Roman"/>
        </w:rPr>
      </w:pPr>
      <w:r w:rsidRPr="007F4F8F">
        <w:rPr>
          <w:rStyle w:val="Odwoanieprzypisudolnego"/>
          <w:rFonts w:ascii="Times New Roman" w:hAnsi="Times New Roman" w:cs="Times New Roman"/>
        </w:rPr>
        <w:footnoteRef/>
      </w:r>
      <w:r w:rsidRPr="007F4F8F">
        <w:rPr>
          <w:rFonts w:ascii="Times New Roman" w:hAnsi="Times New Roman" w:cs="Times New Roman"/>
        </w:rPr>
        <w:t xml:space="preserve"> Rozporządzenie </w:t>
      </w:r>
      <w:r w:rsidR="007F4F8F" w:rsidRPr="007F4F8F">
        <w:rPr>
          <w:rFonts w:ascii="Times New Roman" w:hAnsi="Times New Roman" w:cs="Times New Roman"/>
        </w:rPr>
        <w:t xml:space="preserve">Ministra Energii z dnia 22 sierpnia 2018 r. w sprawie parametrów aukcji głównych dla okresów dostaw przypadających na lata 2021-2023 (Dz. U. poz. 1632), </w:t>
      </w:r>
    </w:p>
    <w:p w14:paraId="4E424E52" w14:textId="14226613" w:rsidR="00BB2C4C" w:rsidRDefault="007F4F8F" w:rsidP="007F4F8F">
      <w:pPr>
        <w:pStyle w:val="Tekstprzypisudolnego"/>
        <w:jc w:val="both"/>
        <w:rPr>
          <w:rFonts w:ascii="Times New Roman" w:hAnsi="Times New Roman" w:cs="Times New Roman"/>
        </w:rPr>
      </w:pPr>
      <w:r w:rsidRPr="007F4F8F">
        <w:rPr>
          <w:rFonts w:ascii="Times New Roman" w:hAnsi="Times New Roman" w:cs="Times New Roman"/>
        </w:rPr>
        <w:t>rozporządzenie Ministra Energii z dnia 2 sierpnia 2019 r. w sprawie parametrów aukcji głównej dla roku dostaw 2024 oraz parametrów aukcji dodatkowych dla roku dostaw 2021 (Dz. U. poz. 1457)</w:t>
      </w:r>
      <w:r w:rsidR="00BB2C4C">
        <w:rPr>
          <w:rFonts w:ascii="Times New Roman" w:hAnsi="Times New Roman" w:cs="Times New Roman"/>
        </w:rPr>
        <w:t xml:space="preserve">, </w:t>
      </w:r>
    </w:p>
    <w:p w14:paraId="51A42FA5" w14:textId="74B80037" w:rsidR="00A01A7F" w:rsidRDefault="007F4F8F" w:rsidP="007F4F8F">
      <w:pPr>
        <w:pStyle w:val="Tekstprzypisudolnego"/>
        <w:jc w:val="both"/>
        <w:rPr>
          <w:rFonts w:ascii="Times New Roman" w:hAnsi="Times New Roman" w:cs="Times New Roman"/>
        </w:rPr>
      </w:pPr>
      <w:r w:rsidRPr="007F4F8F">
        <w:rPr>
          <w:rFonts w:ascii="Times New Roman" w:hAnsi="Times New Roman" w:cs="Times New Roman"/>
        </w:rPr>
        <w:t>rozporządzenie Ministra Klimatu z dnia 6 sierpnia 2020 r. w sprawie parametrów aukcji głównej dla roku dostaw 2025 oraz parametrów aukcji dodatkowych dla roku dostaw 2022 (Dz. U. po</w:t>
      </w:r>
      <w:r>
        <w:rPr>
          <w:rFonts w:ascii="Times New Roman" w:hAnsi="Times New Roman" w:cs="Times New Roman"/>
        </w:rPr>
        <w:t>z</w:t>
      </w:r>
      <w:r w:rsidRPr="007F4F8F">
        <w:rPr>
          <w:rFonts w:ascii="Times New Roman" w:hAnsi="Times New Roman" w:cs="Times New Roman"/>
        </w:rPr>
        <w:t>. 1355)</w:t>
      </w:r>
      <w:r w:rsidR="00855A14">
        <w:rPr>
          <w:rFonts w:ascii="Times New Roman" w:hAnsi="Times New Roman" w:cs="Times New Roman"/>
        </w:rPr>
        <w:t>,</w:t>
      </w:r>
    </w:p>
    <w:p w14:paraId="689CB0AC" w14:textId="69EE30F2" w:rsidR="003C5095" w:rsidRDefault="003C5095" w:rsidP="007F4F8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3C5095">
        <w:rPr>
          <w:rFonts w:ascii="Times New Roman" w:hAnsi="Times New Roman" w:cs="Times New Roman"/>
        </w:rPr>
        <w:t>ozporządzenie Ministra Klimatu i Środowiska z dnia 12 sierpnia 2021 r. w sprawie parametrów aukcji głównej dla roku dostaw 2026 oraz parametrów aukcji dodatkowych dla roku dostaw 2023</w:t>
      </w:r>
      <w:r>
        <w:rPr>
          <w:rFonts w:ascii="Times New Roman" w:hAnsi="Times New Roman" w:cs="Times New Roman"/>
        </w:rPr>
        <w:t xml:space="preserve"> (Dz. U. poz. 1480)</w:t>
      </w:r>
      <w:r w:rsidR="00F16E81">
        <w:rPr>
          <w:rFonts w:ascii="Times New Roman" w:hAnsi="Times New Roman" w:cs="Times New Roman"/>
        </w:rPr>
        <w:t>,</w:t>
      </w:r>
    </w:p>
    <w:p w14:paraId="4DC47F0E" w14:textId="77777777" w:rsidR="00F16E81" w:rsidRDefault="00855A14" w:rsidP="007F4F8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855A14">
        <w:rPr>
          <w:rFonts w:ascii="Times New Roman" w:hAnsi="Times New Roman" w:cs="Times New Roman"/>
        </w:rPr>
        <w:t>ozporządzenie Ministra Klimatu i Środowiska z dnia 10 sierpnia 2022 r. w sprawie parametrów aukcji głównej dla roku dostaw 2027 oraz parametrów aukcji dodatkowych dla roku dostaw 2024</w:t>
      </w:r>
      <w:r>
        <w:rPr>
          <w:rFonts w:ascii="Times New Roman" w:hAnsi="Times New Roman" w:cs="Times New Roman"/>
        </w:rPr>
        <w:t xml:space="preserve"> (</w:t>
      </w:r>
      <w:r w:rsidRPr="00855A14">
        <w:rPr>
          <w:rFonts w:ascii="Times New Roman" w:hAnsi="Times New Roman" w:cs="Times New Roman"/>
        </w:rPr>
        <w:t>Dz.U. 2022 poz. 1690</w:t>
      </w:r>
      <w:r>
        <w:rPr>
          <w:rFonts w:ascii="Times New Roman" w:hAnsi="Times New Roman" w:cs="Times New Roman"/>
        </w:rPr>
        <w:t>)</w:t>
      </w:r>
      <w:r w:rsidR="00F16E81">
        <w:rPr>
          <w:rFonts w:ascii="Times New Roman" w:hAnsi="Times New Roman" w:cs="Times New Roman"/>
        </w:rPr>
        <w:t xml:space="preserve">, oraz </w:t>
      </w:r>
    </w:p>
    <w:p w14:paraId="697011C8" w14:textId="11B72442" w:rsidR="00855A14" w:rsidRPr="007F4F8F" w:rsidRDefault="00F16E81" w:rsidP="007F4F8F">
      <w:pPr>
        <w:pStyle w:val="Tekstprzypisudolnego"/>
        <w:jc w:val="both"/>
        <w:rPr>
          <w:rFonts w:ascii="Times New Roman" w:hAnsi="Times New Roman" w:cs="Times New Roman"/>
        </w:rPr>
      </w:pPr>
      <w:r w:rsidRPr="00F16E81">
        <w:rPr>
          <w:rFonts w:ascii="Times New Roman" w:hAnsi="Times New Roman" w:cs="Times New Roman"/>
        </w:rPr>
        <w:t>Rozporządzenie Ministra Klimatu i Środowiska z dnia 4 sierpnia 2023 r. w sprawie parametrów aukcji głównej dla roku dostaw 2028 oraz parametrów aukcji dodatkowych dla roku dostaw 2025</w:t>
      </w:r>
      <w:r>
        <w:rPr>
          <w:rFonts w:ascii="Times New Roman" w:hAnsi="Times New Roman" w:cs="Times New Roman"/>
        </w:rPr>
        <w:t xml:space="preserve"> (</w:t>
      </w:r>
      <w:r w:rsidRPr="00F16E81">
        <w:rPr>
          <w:rFonts w:ascii="Times New Roman" w:hAnsi="Times New Roman" w:cs="Times New Roman"/>
        </w:rPr>
        <w:t>Dz.U. 2023 poz. 1561</w:t>
      </w:r>
      <w:r>
        <w:rPr>
          <w:rFonts w:ascii="Times New Roman" w:hAnsi="Times New Roman" w:cs="Times New Roman"/>
        </w:rPr>
        <w:t>)</w:t>
      </w:r>
      <w:r w:rsidR="00855A1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263"/>
    <w:multiLevelType w:val="hybridMultilevel"/>
    <w:tmpl w:val="9152A05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44F70A51"/>
    <w:multiLevelType w:val="hybridMultilevel"/>
    <w:tmpl w:val="E2CC4B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A60A3A"/>
    <w:multiLevelType w:val="hybridMultilevel"/>
    <w:tmpl w:val="E48ED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C3037"/>
    <w:multiLevelType w:val="hybridMultilevel"/>
    <w:tmpl w:val="F99E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A6130"/>
    <w:multiLevelType w:val="hybridMultilevel"/>
    <w:tmpl w:val="7542C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407A6"/>
    <w:multiLevelType w:val="hybridMultilevel"/>
    <w:tmpl w:val="448C0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E0163"/>
    <w:multiLevelType w:val="hybridMultilevel"/>
    <w:tmpl w:val="00EA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0C34"/>
    <w:multiLevelType w:val="hybridMultilevel"/>
    <w:tmpl w:val="28EC4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352AF"/>
    <w:multiLevelType w:val="hybridMultilevel"/>
    <w:tmpl w:val="134A436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6FFC67C1"/>
    <w:multiLevelType w:val="multilevel"/>
    <w:tmpl w:val="7FEC1F4E"/>
    <w:name w:val="Heading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pStyle w:val="Nagwek2"/>
      <w:isLgl/>
      <w:lvlText w:val="(%2)"/>
      <w:lvlJc w:val="left"/>
      <w:pPr>
        <w:tabs>
          <w:tab w:val="num" w:pos="0"/>
        </w:tabs>
        <w:ind w:left="709" w:hanging="720"/>
      </w:pPr>
      <w:rPr>
        <w:rFonts w:ascii="Times New Roman" w:eastAsia="Calibri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 w:color="000000"/>
        <w:effect w:val="none"/>
        <w:vertAlign w:val="baseline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0"/>
        </w:tabs>
        <w:ind w:left="1417" w:hanging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0"/>
        </w:tabs>
        <w:ind w:left="212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0" w15:restartNumberingAfterBreak="0">
    <w:nsid w:val="7364185D"/>
    <w:multiLevelType w:val="hybridMultilevel"/>
    <w:tmpl w:val="33D86596"/>
    <w:lvl w:ilvl="0" w:tplc="6D4A0F88">
      <w:start w:val="1"/>
      <w:numFmt w:val="decimal"/>
      <w:lvlText w:val="%1)"/>
      <w:lvlJc w:val="left"/>
      <w:pPr>
        <w:ind w:left="93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068648172">
    <w:abstractNumId w:val="9"/>
  </w:num>
  <w:num w:numId="2" w16cid:durableId="1243949104">
    <w:abstractNumId w:val="8"/>
  </w:num>
  <w:num w:numId="3" w16cid:durableId="511528910">
    <w:abstractNumId w:val="2"/>
  </w:num>
  <w:num w:numId="4" w16cid:durableId="522019952">
    <w:abstractNumId w:val="6"/>
  </w:num>
  <w:num w:numId="5" w16cid:durableId="615604389">
    <w:abstractNumId w:val="3"/>
  </w:num>
  <w:num w:numId="6" w16cid:durableId="1380133775">
    <w:abstractNumId w:val="10"/>
  </w:num>
  <w:num w:numId="7" w16cid:durableId="1156651101">
    <w:abstractNumId w:val="7"/>
  </w:num>
  <w:num w:numId="8" w16cid:durableId="43064266">
    <w:abstractNumId w:val="4"/>
  </w:num>
  <w:num w:numId="9" w16cid:durableId="1110516320">
    <w:abstractNumId w:val="0"/>
  </w:num>
  <w:num w:numId="10" w16cid:durableId="1481968401">
    <w:abstractNumId w:val="1"/>
  </w:num>
  <w:num w:numId="11" w16cid:durableId="185947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A0"/>
    <w:rsid w:val="00037A18"/>
    <w:rsid w:val="00041FA5"/>
    <w:rsid w:val="000804D0"/>
    <w:rsid w:val="000867EB"/>
    <w:rsid w:val="000A2996"/>
    <w:rsid w:val="000B1503"/>
    <w:rsid w:val="000B2522"/>
    <w:rsid w:val="000B49E5"/>
    <w:rsid w:val="000C05DE"/>
    <w:rsid w:val="000C6D2B"/>
    <w:rsid w:val="000D2FD3"/>
    <w:rsid w:val="000E4325"/>
    <w:rsid w:val="000F2FF9"/>
    <w:rsid w:val="00121A27"/>
    <w:rsid w:val="0012303B"/>
    <w:rsid w:val="00125D6F"/>
    <w:rsid w:val="00143540"/>
    <w:rsid w:val="001506C1"/>
    <w:rsid w:val="00166472"/>
    <w:rsid w:val="00166CAC"/>
    <w:rsid w:val="0017411D"/>
    <w:rsid w:val="00176A1D"/>
    <w:rsid w:val="00177267"/>
    <w:rsid w:val="00194536"/>
    <w:rsid w:val="0019636F"/>
    <w:rsid w:val="001A04C1"/>
    <w:rsid w:val="001A3DD7"/>
    <w:rsid w:val="001A403D"/>
    <w:rsid w:val="001A583F"/>
    <w:rsid w:val="001B625F"/>
    <w:rsid w:val="001D2589"/>
    <w:rsid w:val="001D7BD3"/>
    <w:rsid w:val="001E12D2"/>
    <w:rsid w:val="001E1FEE"/>
    <w:rsid w:val="001E2843"/>
    <w:rsid w:val="00204C44"/>
    <w:rsid w:val="00207611"/>
    <w:rsid w:val="00214EDA"/>
    <w:rsid w:val="00224048"/>
    <w:rsid w:val="00235609"/>
    <w:rsid w:val="0024205C"/>
    <w:rsid w:val="0024535C"/>
    <w:rsid w:val="0024554D"/>
    <w:rsid w:val="00254E1D"/>
    <w:rsid w:val="00260366"/>
    <w:rsid w:val="002635A4"/>
    <w:rsid w:val="00276F7B"/>
    <w:rsid w:val="00291B48"/>
    <w:rsid w:val="0029524C"/>
    <w:rsid w:val="00295555"/>
    <w:rsid w:val="002D013E"/>
    <w:rsid w:val="002F1440"/>
    <w:rsid w:val="002F23BD"/>
    <w:rsid w:val="00302AB2"/>
    <w:rsid w:val="00306FC5"/>
    <w:rsid w:val="003140CD"/>
    <w:rsid w:val="003257FF"/>
    <w:rsid w:val="00344BB5"/>
    <w:rsid w:val="00350F74"/>
    <w:rsid w:val="00350F9B"/>
    <w:rsid w:val="003514A3"/>
    <w:rsid w:val="00385167"/>
    <w:rsid w:val="003C2F84"/>
    <w:rsid w:val="003C5095"/>
    <w:rsid w:val="003C523C"/>
    <w:rsid w:val="003D07A3"/>
    <w:rsid w:val="003E4C2E"/>
    <w:rsid w:val="003E7139"/>
    <w:rsid w:val="00433841"/>
    <w:rsid w:val="00450741"/>
    <w:rsid w:val="004526BA"/>
    <w:rsid w:val="00453627"/>
    <w:rsid w:val="00453646"/>
    <w:rsid w:val="00462D3B"/>
    <w:rsid w:val="00472022"/>
    <w:rsid w:val="00477364"/>
    <w:rsid w:val="00483811"/>
    <w:rsid w:val="004B23C9"/>
    <w:rsid w:val="004C180A"/>
    <w:rsid w:val="004D6EBA"/>
    <w:rsid w:val="004D7BE2"/>
    <w:rsid w:val="004F1090"/>
    <w:rsid w:val="00525519"/>
    <w:rsid w:val="00540C1B"/>
    <w:rsid w:val="0054149B"/>
    <w:rsid w:val="00543ABA"/>
    <w:rsid w:val="005448AA"/>
    <w:rsid w:val="00552A5E"/>
    <w:rsid w:val="005570CF"/>
    <w:rsid w:val="00574905"/>
    <w:rsid w:val="00577492"/>
    <w:rsid w:val="00585132"/>
    <w:rsid w:val="0059360A"/>
    <w:rsid w:val="005A0817"/>
    <w:rsid w:val="005A3AEE"/>
    <w:rsid w:val="005A3D28"/>
    <w:rsid w:val="005C5C6F"/>
    <w:rsid w:val="005E00B0"/>
    <w:rsid w:val="005E4F0F"/>
    <w:rsid w:val="005F4083"/>
    <w:rsid w:val="00604F06"/>
    <w:rsid w:val="00625F8C"/>
    <w:rsid w:val="00644D8B"/>
    <w:rsid w:val="00644F72"/>
    <w:rsid w:val="00664987"/>
    <w:rsid w:val="00676B0A"/>
    <w:rsid w:val="00682A83"/>
    <w:rsid w:val="00682D65"/>
    <w:rsid w:val="00687ADA"/>
    <w:rsid w:val="006A3C91"/>
    <w:rsid w:val="006B44FF"/>
    <w:rsid w:val="006C144E"/>
    <w:rsid w:val="006C1452"/>
    <w:rsid w:val="006D2734"/>
    <w:rsid w:val="006E5463"/>
    <w:rsid w:val="007000D4"/>
    <w:rsid w:val="0070401D"/>
    <w:rsid w:val="007109A9"/>
    <w:rsid w:val="00712CC6"/>
    <w:rsid w:val="00721DF9"/>
    <w:rsid w:val="0073602F"/>
    <w:rsid w:val="0074312B"/>
    <w:rsid w:val="00764A5F"/>
    <w:rsid w:val="0076509A"/>
    <w:rsid w:val="007925E3"/>
    <w:rsid w:val="007A662B"/>
    <w:rsid w:val="007B6B43"/>
    <w:rsid w:val="007C5CB3"/>
    <w:rsid w:val="007C721B"/>
    <w:rsid w:val="007E31B7"/>
    <w:rsid w:val="007E33A1"/>
    <w:rsid w:val="007E515C"/>
    <w:rsid w:val="007F4A50"/>
    <w:rsid w:val="007F4F8F"/>
    <w:rsid w:val="007F5FF4"/>
    <w:rsid w:val="008012F0"/>
    <w:rsid w:val="00801A05"/>
    <w:rsid w:val="00805ED8"/>
    <w:rsid w:val="00830145"/>
    <w:rsid w:val="008374D0"/>
    <w:rsid w:val="008501C8"/>
    <w:rsid w:val="0085034C"/>
    <w:rsid w:val="00853282"/>
    <w:rsid w:val="00855A14"/>
    <w:rsid w:val="00856A01"/>
    <w:rsid w:val="0086262B"/>
    <w:rsid w:val="008767FE"/>
    <w:rsid w:val="008931A7"/>
    <w:rsid w:val="008B3617"/>
    <w:rsid w:val="008B3F38"/>
    <w:rsid w:val="008E0A7D"/>
    <w:rsid w:val="008F546C"/>
    <w:rsid w:val="0093135F"/>
    <w:rsid w:val="009413F5"/>
    <w:rsid w:val="00955FA7"/>
    <w:rsid w:val="009B0475"/>
    <w:rsid w:val="009B2B11"/>
    <w:rsid w:val="009B4EDB"/>
    <w:rsid w:val="009E62E9"/>
    <w:rsid w:val="009F1593"/>
    <w:rsid w:val="00A01A7F"/>
    <w:rsid w:val="00A152ED"/>
    <w:rsid w:val="00A26ADD"/>
    <w:rsid w:val="00A47F77"/>
    <w:rsid w:val="00A538E1"/>
    <w:rsid w:val="00A63FB5"/>
    <w:rsid w:val="00A9298D"/>
    <w:rsid w:val="00A92CB4"/>
    <w:rsid w:val="00AB53D8"/>
    <w:rsid w:val="00AB5D25"/>
    <w:rsid w:val="00AC09D7"/>
    <w:rsid w:val="00AC10F3"/>
    <w:rsid w:val="00AE0FF7"/>
    <w:rsid w:val="00AE55A8"/>
    <w:rsid w:val="00AF527C"/>
    <w:rsid w:val="00B1043C"/>
    <w:rsid w:val="00B122C2"/>
    <w:rsid w:val="00B1249B"/>
    <w:rsid w:val="00B13AB1"/>
    <w:rsid w:val="00B41918"/>
    <w:rsid w:val="00B613D9"/>
    <w:rsid w:val="00B72814"/>
    <w:rsid w:val="00B7742B"/>
    <w:rsid w:val="00BA3924"/>
    <w:rsid w:val="00BB2C4C"/>
    <w:rsid w:val="00BB7868"/>
    <w:rsid w:val="00BD515D"/>
    <w:rsid w:val="00BE56DA"/>
    <w:rsid w:val="00C01373"/>
    <w:rsid w:val="00C17D1C"/>
    <w:rsid w:val="00C21572"/>
    <w:rsid w:val="00C342C7"/>
    <w:rsid w:val="00C44B3E"/>
    <w:rsid w:val="00C63E60"/>
    <w:rsid w:val="00C95BA0"/>
    <w:rsid w:val="00CB13E3"/>
    <w:rsid w:val="00CB3646"/>
    <w:rsid w:val="00CD1098"/>
    <w:rsid w:val="00CD2389"/>
    <w:rsid w:val="00CD2E05"/>
    <w:rsid w:val="00CD2E17"/>
    <w:rsid w:val="00CD322C"/>
    <w:rsid w:val="00CD7633"/>
    <w:rsid w:val="00D01E5C"/>
    <w:rsid w:val="00D12980"/>
    <w:rsid w:val="00D12EE9"/>
    <w:rsid w:val="00D255DB"/>
    <w:rsid w:val="00D31E95"/>
    <w:rsid w:val="00D325A4"/>
    <w:rsid w:val="00D333B7"/>
    <w:rsid w:val="00D46E93"/>
    <w:rsid w:val="00D92EF3"/>
    <w:rsid w:val="00DA2C21"/>
    <w:rsid w:val="00DC1D55"/>
    <w:rsid w:val="00DC38AF"/>
    <w:rsid w:val="00DF09F1"/>
    <w:rsid w:val="00E04D93"/>
    <w:rsid w:val="00E10923"/>
    <w:rsid w:val="00E6715C"/>
    <w:rsid w:val="00E84C35"/>
    <w:rsid w:val="00E869E5"/>
    <w:rsid w:val="00E86A94"/>
    <w:rsid w:val="00E90B08"/>
    <w:rsid w:val="00E92C81"/>
    <w:rsid w:val="00EA3B90"/>
    <w:rsid w:val="00ED3040"/>
    <w:rsid w:val="00EE2EC3"/>
    <w:rsid w:val="00EE32D4"/>
    <w:rsid w:val="00F0540F"/>
    <w:rsid w:val="00F05A2D"/>
    <w:rsid w:val="00F12DCC"/>
    <w:rsid w:val="00F16E81"/>
    <w:rsid w:val="00F1733F"/>
    <w:rsid w:val="00F453E8"/>
    <w:rsid w:val="00F66787"/>
    <w:rsid w:val="00F7445A"/>
    <w:rsid w:val="00F77C8B"/>
    <w:rsid w:val="00F811D1"/>
    <w:rsid w:val="00F836CB"/>
    <w:rsid w:val="00FB20F1"/>
    <w:rsid w:val="00FB6BC9"/>
    <w:rsid w:val="00FD0402"/>
    <w:rsid w:val="00FD74F4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37C6"/>
  <w15:chartTrackingRefBased/>
  <w15:docId w15:val="{09276DFE-2759-4EC8-B999-103DC5CD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C95BA0"/>
    <w:pPr>
      <w:keepNext/>
      <w:numPr>
        <w:numId w:val="1"/>
      </w:numPr>
      <w:tabs>
        <w:tab w:val="clear" w:pos="0"/>
        <w:tab w:val="left" w:pos="567"/>
      </w:tabs>
      <w:spacing w:before="480" w:after="120" w:line="288" w:lineRule="auto"/>
      <w:ind w:left="567" w:hanging="567"/>
      <w:outlineLvl w:val="0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C95BA0"/>
    <w:pPr>
      <w:numPr>
        <w:ilvl w:val="1"/>
        <w:numId w:val="1"/>
      </w:numPr>
      <w:tabs>
        <w:tab w:val="clear" w:pos="0"/>
        <w:tab w:val="left" w:pos="567"/>
      </w:tabs>
      <w:spacing w:before="480" w:after="240" w:line="288" w:lineRule="auto"/>
      <w:ind w:left="567" w:hanging="578"/>
      <w:jc w:val="both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link w:val="Nagwek3Znak"/>
    <w:qFormat/>
    <w:rsid w:val="00C95BA0"/>
    <w:pPr>
      <w:numPr>
        <w:ilvl w:val="2"/>
        <w:numId w:val="1"/>
      </w:numPr>
      <w:tabs>
        <w:tab w:val="left" w:pos="1420"/>
      </w:tabs>
      <w:spacing w:before="120" w:after="120" w:line="288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C95BA0"/>
    <w:pPr>
      <w:numPr>
        <w:ilvl w:val="3"/>
        <w:numId w:val="1"/>
      </w:numPr>
      <w:tabs>
        <w:tab w:val="clear" w:pos="0"/>
        <w:tab w:val="left" w:pos="2120"/>
      </w:tabs>
      <w:spacing w:before="120" w:after="120" w:line="288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C95BA0"/>
    <w:pPr>
      <w:widowControl w:val="0"/>
      <w:numPr>
        <w:ilvl w:val="4"/>
        <w:numId w:val="1"/>
      </w:numPr>
      <w:tabs>
        <w:tab w:val="clear" w:pos="0"/>
        <w:tab w:val="num" w:pos="1000"/>
      </w:tabs>
      <w:spacing w:after="24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eastAsia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C95BA0"/>
    <w:pPr>
      <w:widowControl w:val="0"/>
      <w:numPr>
        <w:ilvl w:val="5"/>
        <w:numId w:val="1"/>
      </w:numPr>
      <w:tabs>
        <w:tab w:val="clear" w:pos="0"/>
        <w:tab w:val="num" w:pos="1160"/>
      </w:tabs>
      <w:spacing w:after="240" w:line="240" w:lineRule="auto"/>
      <w:outlineLvl w:val="5"/>
    </w:pPr>
    <w:rPr>
      <w:rFonts w:ascii="Times New Roman" w:eastAsia="Times New Roman" w:hAnsi="Times New Roman" w:cs="Times New Roman"/>
      <w:bCs/>
      <w:sz w:val="24"/>
      <w:lang w:eastAsia="pl-PL"/>
    </w:rPr>
  </w:style>
  <w:style w:type="paragraph" w:styleId="Nagwek7">
    <w:name w:val="heading 7"/>
    <w:basedOn w:val="Normalny"/>
    <w:next w:val="Tekstpodstawowy"/>
    <w:link w:val="Nagwek7Znak"/>
    <w:uiPriority w:val="9"/>
    <w:semiHidden/>
    <w:unhideWhenUsed/>
    <w:qFormat/>
    <w:rsid w:val="00C95BA0"/>
    <w:pPr>
      <w:numPr>
        <w:ilvl w:val="6"/>
        <w:numId w:val="1"/>
      </w:numPr>
      <w:tabs>
        <w:tab w:val="clear" w:pos="0"/>
      </w:tabs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Tekstpodstawowy"/>
    <w:link w:val="Nagwek8Znak"/>
    <w:uiPriority w:val="9"/>
    <w:semiHidden/>
    <w:unhideWhenUsed/>
    <w:qFormat/>
    <w:rsid w:val="00C95BA0"/>
    <w:pPr>
      <w:numPr>
        <w:ilvl w:val="7"/>
        <w:numId w:val="1"/>
      </w:numPr>
      <w:tabs>
        <w:tab w:val="clear" w:pos="0"/>
      </w:tabs>
      <w:spacing w:after="24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"/>
    <w:semiHidden/>
    <w:unhideWhenUsed/>
    <w:qFormat/>
    <w:rsid w:val="00C95BA0"/>
    <w:pPr>
      <w:numPr>
        <w:ilvl w:val="8"/>
        <w:numId w:val="1"/>
      </w:numPr>
      <w:tabs>
        <w:tab w:val="clear" w:pos="0"/>
      </w:tabs>
      <w:spacing w:before="240" w:after="60" w:line="240" w:lineRule="auto"/>
      <w:outlineLvl w:val="8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C95BA0"/>
    <w:pPr>
      <w:spacing w:after="120" w:line="240" w:lineRule="auto"/>
      <w:ind w:left="283" w:right="-36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5B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95BA0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95BA0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C95B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5BA0"/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5BA0"/>
    <w:rPr>
      <w:rFonts w:ascii="Times New Roman" w:eastAsia="Times New Roman" w:hAnsi="Times New Roman" w:cs="Times New Roman"/>
      <w:bCs/>
      <w:iCs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5BA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5B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5BA0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5BA0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95BA0"/>
    <w:pPr>
      <w:spacing w:after="0" w:line="288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BA0"/>
  </w:style>
  <w:style w:type="paragraph" w:customStyle="1" w:styleId="ARTartustawynprozporzdzenia">
    <w:name w:val="ART(§) – art. ustawy (§ np. rozporządzenia)"/>
    <w:uiPriority w:val="14"/>
    <w:qFormat/>
    <w:rsid w:val="0057749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3E3"/>
    <w:rPr>
      <w:b/>
      <w:bCs/>
      <w:sz w:val="20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867EB"/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EE32D4"/>
    <w:rPr>
      <w:b/>
    </w:rPr>
  </w:style>
  <w:style w:type="character" w:styleId="Hipercze">
    <w:name w:val="Hyperlink"/>
    <w:basedOn w:val="Domylnaczcionkaakapitu"/>
    <w:uiPriority w:val="99"/>
    <w:semiHidden/>
    <w:unhideWhenUsed/>
    <w:rsid w:val="00E04D9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A7F"/>
    <w:rPr>
      <w:vertAlign w:val="superscript"/>
    </w:rPr>
  </w:style>
  <w:style w:type="character" w:customStyle="1" w:styleId="BezodstpwZnak">
    <w:name w:val="Bez odstępów Znak"/>
    <w:aliases w:val="Tabela_RM Znak"/>
    <w:link w:val="Bezodstpw"/>
    <w:uiPriority w:val="99"/>
    <w:locked/>
    <w:rsid w:val="0086262B"/>
    <w:rPr>
      <w:rFonts w:ascii="Calibri" w:eastAsia="Times New Roman" w:hAnsi="Calibri" w:cs="Times New Roman"/>
      <w:lang w:eastAsia="pl-PL"/>
    </w:rPr>
  </w:style>
  <w:style w:type="paragraph" w:styleId="Bezodstpw">
    <w:name w:val="No Spacing"/>
    <w:aliases w:val="Tabela_RM"/>
    <w:link w:val="BezodstpwZnak"/>
    <w:uiPriority w:val="99"/>
    <w:qFormat/>
    <w:rsid w:val="0086262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51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E3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5E5E-5FA5-4E54-9568-1223CA67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7</Pages>
  <Words>2321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Magdalena</dc:creator>
  <cp:keywords/>
  <dc:description/>
  <cp:lastModifiedBy>MKIŚ</cp:lastModifiedBy>
  <cp:revision>14</cp:revision>
  <dcterms:created xsi:type="dcterms:W3CDTF">2023-08-01T09:23:00Z</dcterms:created>
  <dcterms:modified xsi:type="dcterms:W3CDTF">2024-05-24T10:35:00Z</dcterms:modified>
</cp:coreProperties>
</file>