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531D" w14:textId="33D82E54" w:rsidR="002B4EB1" w:rsidRDefault="002B4EB1" w:rsidP="002B4EB1">
      <w:pPr>
        <w:pStyle w:val="OZNPROJEKTUwskazaniedatylubwersjiprojektu"/>
      </w:pPr>
      <w:r>
        <w:t>Projekt z dnia 23 maja 2024 r.</w:t>
      </w:r>
    </w:p>
    <w:p w14:paraId="244705AE" w14:textId="10124FE2" w:rsidR="00D57936" w:rsidRPr="00A47EAA" w:rsidRDefault="00D57936" w:rsidP="00D57936">
      <w:pPr>
        <w:pStyle w:val="OZNRODZAKTUtznustawalubrozporzdzenieiorganwydajcy"/>
      </w:pPr>
      <w:r w:rsidRPr="00A47EAA">
        <w:t>ROZPORZĄDZENIE</w:t>
      </w:r>
    </w:p>
    <w:p w14:paraId="53B1BCB3" w14:textId="22517A91" w:rsidR="00D57936" w:rsidRPr="00A47EAA" w:rsidRDefault="00D57936" w:rsidP="00D57936">
      <w:pPr>
        <w:pStyle w:val="OZNRODZAKTUtznustawalubrozporzdzenieiorganwydajcy"/>
        <w:rPr>
          <w:rStyle w:val="IIGindeksgrnyindeksugrnego"/>
        </w:rPr>
      </w:pPr>
      <w:r w:rsidRPr="00A47EAA">
        <w:t>MINISTRA KLIMATU</w:t>
      </w:r>
      <w:r w:rsidR="0018689D" w:rsidRPr="00A47EAA">
        <w:t xml:space="preserve"> </w:t>
      </w:r>
      <w:r w:rsidR="002B14B0" w:rsidRPr="00A47EAA">
        <w:t>I Środowiska</w:t>
      </w:r>
      <w:r w:rsidRPr="008968BD">
        <w:rPr>
          <w:rStyle w:val="IGPindeksgrnyipogrubienie"/>
        </w:rPr>
        <w:footnoteReference w:id="1"/>
      </w:r>
      <w:r w:rsidRPr="008968BD">
        <w:rPr>
          <w:rStyle w:val="IGPindeksgrnyipogrubienie"/>
        </w:rPr>
        <w:t>)</w:t>
      </w:r>
    </w:p>
    <w:p w14:paraId="64A10CB8" w14:textId="6D378768" w:rsidR="00D57936" w:rsidRPr="00A47EAA" w:rsidRDefault="00D57936" w:rsidP="00D57936">
      <w:pPr>
        <w:pStyle w:val="DATAAKTUdatauchwalenialubwydaniaaktu"/>
      </w:pPr>
      <w:r w:rsidRPr="00A47EAA">
        <w:t>z dnia</w:t>
      </w:r>
      <w:r w:rsidR="000A7EC3" w:rsidRPr="00A47EAA">
        <w:t xml:space="preserve"> </w:t>
      </w:r>
      <w:r w:rsidR="002B14B0" w:rsidRPr="00A47EAA">
        <w:t>….</w:t>
      </w:r>
      <w:r w:rsidR="005C4385" w:rsidRPr="00A47EAA">
        <w:t xml:space="preserve"> </w:t>
      </w:r>
      <w:r w:rsidR="00A47EAA">
        <w:t xml:space="preserve">2024 </w:t>
      </w:r>
      <w:r w:rsidR="005C4385" w:rsidRPr="00A47EAA">
        <w:t xml:space="preserve">r. </w:t>
      </w:r>
    </w:p>
    <w:p w14:paraId="1171EC0D" w14:textId="57CD7E62" w:rsidR="00D57936" w:rsidRPr="00A47EAA" w:rsidRDefault="00D57936" w:rsidP="00D57936">
      <w:pPr>
        <w:pStyle w:val="TYTUAKTUprzedmiotregulacjiustawylubrozporzdzenia"/>
      </w:pPr>
      <w:r w:rsidRPr="00A47EAA">
        <w:t>w sprawie sposobu informowania o rodzaju paliwa alternatywnego wykorzystywanego do napędu pojazdu samochodowego oraz oznakowania miejsc tankowania lub ładowania pojazdu samochodowego takim paliwem</w:t>
      </w:r>
      <w:r w:rsidRPr="008968BD">
        <w:rPr>
          <w:rStyle w:val="IGPindeksgrnyipogrubienie"/>
        </w:rPr>
        <w:footnoteReference w:id="2"/>
      </w:r>
      <w:r w:rsidRPr="008968BD">
        <w:rPr>
          <w:rStyle w:val="IGPindeksgrnyipogrubienie"/>
        </w:rPr>
        <w:t>)</w:t>
      </w:r>
      <w:r w:rsidR="00040739" w:rsidRPr="00A47EAA">
        <w:rPr>
          <w:rStyle w:val="IGindeksgrny"/>
        </w:rPr>
        <w:t xml:space="preserve">   </w:t>
      </w:r>
    </w:p>
    <w:p w14:paraId="5A797634" w14:textId="01078830" w:rsidR="00D57936" w:rsidRPr="00A47EAA" w:rsidRDefault="00D57936" w:rsidP="00D57936">
      <w:pPr>
        <w:pStyle w:val="NIEARTTEKSTtekstnieartykuowanynppodstprawnarozplubpreambua"/>
      </w:pPr>
      <w:r w:rsidRPr="00A47EAA">
        <w:t>Na podstawie</w:t>
      </w:r>
      <w:r w:rsidR="002730A7" w:rsidRPr="00A47EAA">
        <w:t xml:space="preserve"> art. </w:t>
      </w:r>
      <w:r w:rsidRPr="00A47EAA">
        <w:t>4</w:t>
      </w:r>
      <w:r w:rsidR="002730A7" w:rsidRPr="00A47EAA">
        <w:t xml:space="preserve">1 ust. 6 </w:t>
      </w:r>
      <w:r w:rsidRPr="00A47EAA">
        <w:t>ustawy z dnia 11 stycznia 2018 r. o elektromobilności i paliwach alternatywnych (</w:t>
      </w:r>
      <w:bookmarkStart w:id="0" w:name="_Hlk37406026"/>
      <w:r w:rsidR="002730A7" w:rsidRPr="00A47EAA">
        <w:t>Dz. U.</w:t>
      </w:r>
      <w:r w:rsidRPr="00A47EAA">
        <w:t xml:space="preserve"> z 20</w:t>
      </w:r>
      <w:r w:rsidR="00276417" w:rsidRPr="00A47EAA">
        <w:t>2</w:t>
      </w:r>
      <w:r w:rsidR="002B14B0" w:rsidRPr="00A47EAA">
        <w:t>3</w:t>
      </w:r>
      <w:r w:rsidRPr="00A47EAA">
        <w:t> r.</w:t>
      </w:r>
      <w:r w:rsidR="002730A7" w:rsidRPr="00A47EAA">
        <w:t xml:space="preserve"> poz.</w:t>
      </w:r>
      <w:r w:rsidR="002B14B0" w:rsidRPr="00A47EAA">
        <w:t xml:space="preserve"> 875, 1394, 1506 i 1681</w:t>
      </w:r>
      <w:bookmarkEnd w:id="0"/>
      <w:r w:rsidRPr="00A47EAA">
        <w:t>) zarządza się, co następuje:</w:t>
      </w:r>
    </w:p>
    <w:p w14:paraId="00B88DAC" w14:textId="6C28D6C6" w:rsidR="00D57936" w:rsidRPr="00A47EAA" w:rsidRDefault="00D57936" w:rsidP="00D57936">
      <w:pPr>
        <w:pStyle w:val="ARTartustawynprozporzdzenia"/>
        <w:keepNext/>
      </w:pPr>
      <w:r w:rsidRPr="00A47EAA">
        <w:rPr>
          <w:rStyle w:val="Ppogrubienie"/>
        </w:rPr>
        <w:t>§ 1.</w:t>
      </w:r>
      <w:r w:rsidRPr="00A47EAA">
        <w:t xml:space="preserve"> Rozporządzenie określa szczegółowy sposób:</w:t>
      </w:r>
    </w:p>
    <w:p w14:paraId="431FBEB9" w14:textId="6BE98C63" w:rsidR="00D57936" w:rsidRPr="00A47EAA" w:rsidRDefault="00D57936" w:rsidP="00D57936">
      <w:pPr>
        <w:pStyle w:val="PKTpunkt"/>
        <w:keepNext/>
      </w:pPr>
      <w:r w:rsidRPr="00A47EAA">
        <w:t>1)</w:t>
      </w:r>
      <w:r w:rsidRPr="00A47EAA">
        <w:tab/>
        <w:t>formułowania i udostępniania informacji o rodzaju paliwa alternatywnego wykorzystywanego do napędu pojazdu samochodowego, umieszczanej:</w:t>
      </w:r>
    </w:p>
    <w:p w14:paraId="33E4A4BD" w14:textId="77777777" w:rsidR="00D57936" w:rsidRPr="00A47EAA" w:rsidRDefault="00D57936" w:rsidP="00D57936">
      <w:pPr>
        <w:pStyle w:val="LITlitera"/>
      </w:pPr>
      <w:bookmarkStart w:id="1" w:name="mip49382140"/>
      <w:bookmarkEnd w:id="1"/>
      <w:r w:rsidRPr="00A47EAA">
        <w:t>a)</w:t>
      </w:r>
      <w:r w:rsidRPr="00A47EAA">
        <w:tab/>
        <w:t>w instrukcji obsługi tego pojazdu,</w:t>
      </w:r>
    </w:p>
    <w:p w14:paraId="6590AA52" w14:textId="5245490F" w:rsidR="00D57936" w:rsidRPr="00A47EAA" w:rsidRDefault="00D57936" w:rsidP="00D57936">
      <w:pPr>
        <w:pStyle w:val="LITlitera"/>
      </w:pPr>
      <w:bookmarkStart w:id="2" w:name="mip49382141"/>
      <w:bookmarkEnd w:id="2"/>
      <w:r w:rsidRPr="00A47EAA">
        <w:t>b)</w:t>
      </w:r>
      <w:r w:rsidRPr="00A47EAA">
        <w:tab/>
        <w:t>na korkach wlewu paliwa lub gniazdach pojazdowych lub w pobliżu tych korków lub tych gniazd,</w:t>
      </w:r>
    </w:p>
    <w:p w14:paraId="79E2E673" w14:textId="77777777" w:rsidR="00D57936" w:rsidRPr="00A47EAA" w:rsidRDefault="00D57936" w:rsidP="00D57936">
      <w:pPr>
        <w:pStyle w:val="LITlitera"/>
      </w:pPr>
      <w:bookmarkStart w:id="3" w:name="mip49382142"/>
      <w:bookmarkEnd w:id="3"/>
      <w:r w:rsidRPr="00A47EAA">
        <w:t>c)</w:t>
      </w:r>
      <w:r w:rsidRPr="00A47EAA">
        <w:tab/>
        <w:t>na terenie placówki handlowej prowadzącej sprzedaż pojazdów silnikowych;</w:t>
      </w:r>
    </w:p>
    <w:p w14:paraId="10AFC1BE" w14:textId="5B109D0D" w:rsidR="00D57936" w:rsidRPr="00A47EAA" w:rsidRDefault="00D57936" w:rsidP="00D57936">
      <w:pPr>
        <w:pStyle w:val="PKTpunkt"/>
      </w:pPr>
      <w:r w:rsidRPr="00A47EAA">
        <w:t>2)</w:t>
      </w:r>
      <w:r w:rsidRPr="00A47EAA">
        <w:tab/>
        <w:t>oznakowania miejsc tankowania lub ładowania pojazdu samochodowego paliwem alternatywnym, w tym urządzeń służących do tankowania lub ładowania.</w:t>
      </w:r>
    </w:p>
    <w:p w14:paraId="41A84228" w14:textId="59A4C0CF" w:rsidR="00D57936" w:rsidRPr="00A47EAA" w:rsidRDefault="00D57936" w:rsidP="00D57936">
      <w:pPr>
        <w:pStyle w:val="ARTartustawynprozporzdzenia"/>
        <w:keepNext/>
      </w:pPr>
      <w:r w:rsidRPr="00A47EAA">
        <w:rPr>
          <w:rStyle w:val="Ppogrubienie"/>
        </w:rPr>
        <w:t>§ 2.</w:t>
      </w:r>
      <w:r w:rsidRPr="00A47EAA">
        <w:t xml:space="preserve"> 1. Do formułowania i udostępniania informacji o rodzaju paliwa typu gazowego wykorzystywanego do napędu pojazdu samochodowego oraz do oznakowania miejsc tankowania paliwem tego rodzaju, w tym stacji gazu ziemnego i znajdujących się na nich punktów tankowania, stosuje się identyfikator w kształcie rombu o kącie 90</w:t>
      </w:r>
      <w:r w:rsidRPr="00A47EAA">
        <w:rPr>
          <w:rStyle w:val="IGindeksgrny"/>
        </w:rPr>
        <w:t>o</w:t>
      </w:r>
      <w:r w:rsidRPr="00A47EAA">
        <w:t xml:space="preserve">, w środku którego </w:t>
      </w:r>
      <w:r w:rsidRPr="00A47EAA">
        <w:lastRenderedPageBreak/>
        <w:t>zamieszcza się symbol w kolorze czarnym na białym albo srebrnym tle, przy czym symbol ten oznacza się, w przypadku:</w:t>
      </w:r>
    </w:p>
    <w:p w14:paraId="6EFED1D8" w14:textId="57EC01BA" w:rsidR="00D57936" w:rsidRPr="00A47EAA" w:rsidRDefault="00D57936" w:rsidP="00D57936">
      <w:pPr>
        <w:pStyle w:val="PKTpunkt"/>
      </w:pPr>
      <w:r w:rsidRPr="00A47EAA">
        <w:t>1)</w:t>
      </w:r>
      <w:r w:rsidRPr="00A47EAA">
        <w:tab/>
        <w:t xml:space="preserve">gazu płynnego </w:t>
      </w:r>
      <w:r w:rsidR="002730A7" w:rsidRPr="00A47EAA">
        <w:noBreakHyphen/>
        <w:t xml:space="preserve"> </w:t>
      </w:r>
      <w:r w:rsidRPr="00A47EAA">
        <w:t>skrótem „LPG”;</w:t>
      </w:r>
    </w:p>
    <w:p w14:paraId="40C53917" w14:textId="0C6C9D85" w:rsidR="00D57936" w:rsidRPr="00A47EAA" w:rsidRDefault="00D57936" w:rsidP="00D57936">
      <w:pPr>
        <w:pStyle w:val="PKTpunkt"/>
      </w:pPr>
      <w:r w:rsidRPr="00A47EAA">
        <w:t>2)</w:t>
      </w:r>
      <w:r w:rsidRPr="00A47EAA">
        <w:tab/>
        <w:t>sprężonego gazu ziemnego, w tym pochodzącego z </w:t>
      </w:r>
      <w:proofErr w:type="spellStart"/>
      <w:r w:rsidRPr="00A47EAA">
        <w:t>biometanu</w:t>
      </w:r>
      <w:proofErr w:type="spellEnd"/>
      <w:r w:rsidRPr="00A47EAA">
        <w:t xml:space="preserve"> </w:t>
      </w:r>
      <w:r w:rsidR="002730A7" w:rsidRPr="00A47EAA">
        <w:noBreakHyphen/>
        <w:t xml:space="preserve"> </w:t>
      </w:r>
      <w:r w:rsidRPr="00A47EAA">
        <w:t>skrótem „CNG”;</w:t>
      </w:r>
    </w:p>
    <w:p w14:paraId="692BF74D" w14:textId="6529DC3D" w:rsidR="00D57936" w:rsidRPr="00A47EAA" w:rsidRDefault="00D57936" w:rsidP="00D57936">
      <w:pPr>
        <w:pStyle w:val="PKTpunkt"/>
      </w:pPr>
      <w:r w:rsidRPr="00A47EAA">
        <w:t>3)</w:t>
      </w:r>
      <w:r w:rsidRPr="00A47EAA">
        <w:tab/>
        <w:t>skroplonego gazu ziemnego, w tym pochodzącego z </w:t>
      </w:r>
      <w:proofErr w:type="spellStart"/>
      <w:r w:rsidRPr="00A47EAA">
        <w:t>biometanu</w:t>
      </w:r>
      <w:proofErr w:type="spellEnd"/>
      <w:r w:rsidRPr="00A47EAA">
        <w:t xml:space="preserve"> </w:t>
      </w:r>
      <w:r w:rsidR="002730A7" w:rsidRPr="00A47EAA">
        <w:noBreakHyphen/>
        <w:t xml:space="preserve"> </w:t>
      </w:r>
      <w:r w:rsidRPr="00A47EAA">
        <w:t>skrótem „LNG”;</w:t>
      </w:r>
    </w:p>
    <w:p w14:paraId="56BB3DE8" w14:textId="337460B8" w:rsidR="00D57936" w:rsidRPr="00A47EAA" w:rsidRDefault="00D57936" w:rsidP="00D57936">
      <w:pPr>
        <w:pStyle w:val="PKTpunkt"/>
      </w:pPr>
      <w:r w:rsidRPr="00A47EAA">
        <w:t>4)</w:t>
      </w:r>
      <w:r w:rsidRPr="00A47EAA">
        <w:tab/>
        <w:t xml:space="preserve">wodoru </w:t>
      </w:r>
      <w:r w:rsidR="002730A7" w:rsidRPr="00A47EAA">
        <w:noBreakHyphen/>
        <w:t xml:space="preserve"> </w:t>
      </w:r>
      <w:r w:rsidRPr="00A47EAA">
        <w:t>skrótem „H2”.</w:t>
      </w:r>
    </w:p>
    <w:p w14:paraId="6842CD90" w14:textId="77777777" w:rsidR="00D57936" w:rsidRPr="00A47EAA" w:rsidRDefault="00D57936" w:rsidP="00D57936">
      <w:pPr>
        <w:pStyle w:val="USTustnpkodeksu"/>
        <w:keepNext/>
      </w:pPr>
      <w:r w:rsidRPr="00A47EAA">
        <w:t>2. Długość boku identyfikatora umieszczonego:</w:t>
      </w:r>
    </w:p>
    <w:p w14:paraId="65D4F6CF" w14:textId="2DD4162F" w:rsidR="00D57936" w:rsidRPr="00A47EAA" w:rsidRDefault="00D57936" w:rsidP="00D57936">
      <w:pPr>
        <w:pStyle w:val="PKTpunkt"/>
      </w:pPr>
      <w:r w:rsidRPr="00A47EAA">
        <w:t>1)</w:t>
      </w:r>
      <w:r w:rsidRPr="00A47EAA">
        <w:tab/>
        <w:t>w instrukcji obsługi pojazdu samochodowego, na korku wlewu paliwa lub w jego pobliżu oraz na pistolecie wydawczym wynosi co najmniej 13 mm;</w:t>
      </w:r>
    </w:p>
    <w:p w14:paraId="360D59D0" w14:textId="17A7BB8C" w:rsidR="00D57936" w:rsidRPr="00A47EAA" w:rsidRDefault="00D57936" w:rsidP="00D57936">
      <w:pPr>
        <w:pStyle w:val="PKTpunkt"/>
      </w:pPr>
      <w:r w:rsidRPr="00A47EAA">
        <w:t>2)</w:t>
      </w:r>
      <w:r w:rsidRPr="00A47EAA">
        <w:tab/>
        <w:t>na terenie placówki handlowej prowadzącej sprzedaż pojazdów silnikowych oraz na urządzeniu, przez które paliwo jest dostarczane do pojazdu samochodowego, zwanym dalej „dystrybutorem”, wynosi co najmniej 30 mm.</w:t>
      </w:r>
    </w:p>
    <w:p w14:paraId="393B48A5" w14:textId="06A45956" w:rsidR="00D57936" w:rsidRPr="00A47EAA" w:rsidRDefault="00D57936" w:rsidP="00D57936">
      <w:pPr>
        <w:pStyle w:val="ARTartustawynprozporzdzenia"/>
        <w:keepNext/>
      </w:pPr>
      <w:r w:rsidRPr="00A47EAA">
        <w:rPr>
          <w:rStyle w:val="Ppogrubienie"/>
        </w:rPr>
        <w:t>§ 3.</w:t>
      </w:r>
      <w:r w:rsidRPr="00A47EAA">
        <w:t xml:space="preserve"> 1. Do formułowania i udostępniania informacji o energii elektrycznej jako paliwie alternatywnym wykorzystywanym do napędu pojazdu samochodowego oraz do oznakowania ogólnodostępnej stacji ładowania stosuje się identyfikator w kształcie sześciokąta foremnego o kącie wewnętrznym 120</w:t>
      </w:r>
      <w:r w:rsidRPr="00A47EAA">
        <w:rPr>
          <w:rStyle w:val="IGindeksgrny"/>
        </w:rPr>
        <w:t>o</w:t>
      </w:r>
      <w:r w:rsidRPr="00A47EAA">
        <w:t>, w środku którego zamieszcza się symbol „C”, przy czym symbol ten:</w:t>
      </w:r>
    </w:p>
    <w:p w14:paraId="325EB1BE" w14:textId="75C057A2" w:rsidR="00D57936" w:rsidRPr="00A47EAA" w:rsidRDefault="00D57936" w:rsidP="00D57936">
      <w:pPr>
        <w:pStyle w:val="PKTpunkt"/>
      </w:pPr>
      <w:r w:rsidRPr="00A47EAA">
        <w:t>1)</w:t>
      </w:r>
      <w:r w:rsidRPr="00A47EAA">
        <w:tab/>
        <w:t>w instrukcji obsługi pojazdu samochodowego, na gnieździe pojazdowym lub w jego pobliżu oznacza się kolorem białym lub srebrnym i zamieszcza na czarnym tle;</w:t>
      </w:r>
    </w:p>
    <w:p w14:paraId="75D58AA8" w14:textId="205A1C02" w:rsidR="00D57936" w:rsidRPr="00A47EAA" w:rsidRDefault="00D57936" w:rsidP="00D57936">
      <w:pPr>
        <w:pStyle w:val="PKTpunkt"/>
      </w:pPr>
      <w:r w:rsidRPr="00A47EAA">
        <w:t>2)</w:t>
      </w:r>
      <w:r w:rsidRPr="00A47EAA">
        <w:tab/>
        <w:t>na terenie placówki handlowej prowadzącej sprzedaż pojazdów silnikowych, na gnieździe punktu ładowania lub w jego pobliżu oraz na wtyczce punktu ładowania oznacza się kolorem czarnym i zamieszcza na białym albo srebrnym tle.</w:t>
      </w:r>
    </w:p>
    <w:p w14:paraId="1C35378F" w14:textId="0533AAE1" w:rsidR="00D57936" w:rsidRPr="00A47EAA" w:rsidRDefault="00D57936" w:rsidP="00D57936">
      <w:pPr>
        <w:pStyle w:val="USTustnpkodeksu"/>
        <w:keepNext/>
      </w:pPr>
      <w:r w:rsidRPr="00A47EAA">
        <w:t>2. Średnica okręgu opisanego na sześciokącie stanowiącym identyfikator umieszczony:</w:t>
      </w:r>
    </w:p>
    <w:p w14:paraId="40A12B69" w14:textId="61CD50F8" w:rsidR="00D57936" w:rsidRPr="00A47EAA" w:rsidRDefault="00D57936" w:rsidP="00D57936">
      <w:pPr>
        <w:pStyle w:val="PKTpunkt"/>
      </w:pPr>
      <w:r w:rsidRPr="00A47EAA">
        <w:t>1)</w:t>
      </w:r>
      <w:r w:rsidRPr="00A47EAA">
        <w:tab/>
        <w:t>w instrukcji obsługi pojazdu samochodowego, na gnieździe pojazdowym lub w jego pobliżu wynosi co najmniej 13 mm;</w:t>
      </w:r>
    </w:p>
    <w:p w14:paraId="020B3969" w14:textId="5068B3B2" w:rsidR="00D57936" w:rsidRPr="00A47EAA" w:rsidRDefault="00D57936" w:rsidP="00D57936">
      <w:pPr>
        <w:pStyle w:val="PKTpunkt"/>
      </w:pPr>
      <w:r w:rsidRPr="00A47EAA">
        <w:t>2)</w:t>
      </w:r>
      <w:r w:rsidRPr="00A47EAA">
        <w:tab/>
        <w:t>na terenie placówki handlowej prowadzącej sprzedaż pojazdów silnikowych, na gnieździe punktu ładowania lub w jego pobliżu oraz na wtyczce punktu ładowania wynosi co najmniej 30 mm.</w:t>
      </w:r>
    </w:p>
    <w:p w14:paraId="03A61198" w14:textId="547AA304" w:rsidR="00D57936" w:rsidRPr="00A47EAA" w:rsidRDefault="00D57936" w:rsidP="00D57936">
      <w:pPr>
        <w:pStyle w:val="ARTartustawynprozporzdzenia"/>
      </w:pPr>
      <w:r w:rsidRPr="00A47EAA">
        <w:rPr>
          <w:rStyle w:val="Ppogrubienie"/>
        </w:rPr>
        <w:t>§ 4.</w:t>
      </w:r>
      <w:r w:rsidRPr="00A47EAA">
        <w:t xml:space="preserve"> 1. Do formułowania i udostępniania informacji o rodzaju biopaliwa ciekłego typu oleju napędowego wykorzystywanego do napędu pojazdu samochodowego</w:t>
      </w:r>
      <w:r w:rsidR="00AA1218" w:rsidRPr="00A47EAA">
        <w:t xml:space="preserve">, z wyłączeniem </w:t>
      </w:r>
      <w:proofErr w:type="spellStart"/>
      <w:r w:rsidR="00AA1218" w:rsidRPr="00A47EAA">
        <w:t>biowęglowodorów</w:t>
      </w:r>
      <w:proofErr w:type="spellEnd"/>
      <w:r w:rsidR="00AA1218" w:rsidRPr="00A47EAA">
        <w:t xml:space="preserve"> ciekłych stanowiących samoistne paliwo i będących parafinowym olejem napędowym,</w:t>
      </w:r>
      <w:r w:rsidRPr="00A47EAA">
        <w:t xml:space="preserve"> oraz do oznakowania miejsc tankowania biopaliwem ciekłym tego typu</w:t>
      </w:r>
      <w:r w:rsidRPr="00A47EAA" w:rsidDel="002A585C">
        <w:t xml:space="preserve"> </w:t>
      </w:r>
      <w:r w:rsidRPr="00A47EAA">
        <w:t xml:space="preserve">stosuje </w:t>
      </w:r>
      <w:r w:rsidRPr="00A47EAA">
        <w:lastRenderedPageBreak/>
        <w:t>się identyfikator w kształcie kwadratu, w środku którego zamieszcza się symbol „BX</w:t>
      </w:r>
      <w:r w:rsidR="007737A6" w:rsidRPr="00A47EAA">
        <w:rPr>
          <w:rFonts w:cs="Times"/>
        </w:rPr>
        <w:t>”</w:t>
      </w:r>
      <w:r w:rsidRPr="00A47EAA">
        <w:t xml:space="preserve"> w kolorze czarnym na białym albo srebrnym tle, gdzie X oznacza miejsce, w którym określa się liczbę wskazującą maksymalną zawartość</w:t>
      </w:r>
      <w:r w:rsidR="003D6B3F" w:rsidRPr="00A47EAA">
        <w:t xml:space="preserve"> estrów metylowych kwasów tłuszczowych (FAME)</w:t>
      </w:r>
      <w:r w:rsidRPr="00A47EAA">
        <w:t xml:space="preserve"> w procentach objętościowych.</w:t>
      </w:r>
    </w:p>
    <w:p w14:paraId="14FD9A4A" w14:textId="181EB967" w:rsidR="00D57936" w:rsidRPr="00A47EAA" w:rsidRDefault="00D57936" w:rsidP="00D57936">
      <w:pPr>
        <w:pStyle w:val="USTustnpkodeksu"/>
        <w:keepNext/>
      </w:pPr>
      <w:r w:rsidRPr="00A47EAA">
        <w:t>2. Długość boku identyfikatora umieszczonego:</w:t>
      </w:r>
    </w:p>
    <w:p w14:paraId="6014B77A" w14:textId="5B08A9A1" w:rsidR="00D57936" w:rsidRPr="00A47EAA" w:rsidRDefault="00D57936" w:rsidP="00D57936">
      <w:pPr>
        <w:pStyle w:val="PKTpunkt"/>
      </w:pPr>
      <w:r w:rsidRPr="00A47EAA">
        <w:t>1)</w:t>
      </w:r>
      <w:r w:rsidRPr="00A47EAA">
        <w:tab/>
        <w:t>w instrukcji obsługi pojazdu samochodowego, na korku wlewu paliwa lub w jego pobliżu oraz na pistolecie wydawczym wynosi co najmniej 13 mm;</w:t>
      </w:r>
    </w:p>
    <w:p w14:paraId="15CFB387" w14:textId="751916DF" w:rsidR="00D57936" w:rsidRPr="00A47EAA" w:rsidRDefault="00D57936" w:rsidP="00D57936">
      <w:pPr>
        <w:pStyle w:val="PKTpunkt"/>
      </w:pPr>
      <w:r w:rsidRPr="00A47EAA">
        <w:t>2)</w:t>
      </w:r>
      <w:r w:rsidRPr="00A47EAA">
        <w:tab/>
        <w:t>na terenie placówki handlowej prowadzącej sprzedaż pojazdów silnikowych oraz na dystrybutorze wynosi co najmniej 30 mm.</w:t>
      </w:r>
    </w:p>
    <w:p w14:paraId="5C2708EC" w14:textId="77C1B8E3" w:rsidR="00D57936" w:rsidRPr="00A47EAA" w:rsidRDefault="00D57936" w:rsidP="00D57936">
      <w:pPr>
        <w:pStyle w:val="ARTartustawynprozporzdzenia"/>
      </w:pPr>
      <w:r w:rsidRPr="00A47EAA">
        <w:rPr>
          <w:rStyle w:val="Ppogrubienie"/>
        </w:rPr>
        <w:t xml:space="preserve">§ 5. </w:t>
      </w:r>
      <w:r w:rsidRPr="00A47EAA">
        <w:rPr>
          <w:rStyle w:val="Ppogrubienie"/>
          <w:b w:val="0"/>
        </w:rPr>
        <w:t>1.</w:t>
      </w:r>
      <w:r w:rsidRPr="00A47EAA">
        <w:t xml:space="preserve"> Do formułowania i udostępniania informacji o rodzaju biopaliwa ciekłego typu benzyny silnikowej wykorzystywanego do napędu pojazdu samochodowego oraz do oznakowania miejsc tankowania biopaliwami ciekłymi tego typu  stosuje się identyfikator w kształcie okręgu, w środku którego zamieszcza się symbol „EX</w:t>
      </w:r>
      <w:r w:rsidR="007737A6" w:rsidRPr="00A47EAA">
        <w:rPr>
          <w:rFonts w:cs="Times"/>
        </w:rPr>
        <w:t>”</w:t>
      </w:r>
      <w:r w:rsidRPr="00A47EAA">
        <w:t xml:space="preserve"> w kolorze czarnym na białym albo srebrnym tle, gdzie X oznacza miejsce, w którym określa się liczbę wskazującą maksymalną zawartość</w:t>
      </w:r>
      <w:r w:rsidR="00774F9B" w:rsidRPr="00A47EAA">
        <w:t xml:space="preserve"> etanolu</w:t>
      </w:r>
      <w:r w:rsidRPr="00A47EAA">
        <w:t xml:space="preserve"> w procentach objętościowych.</w:t>
      </w:r>
    </w:p>
    <w:p w14:paraId="608E3F7E" w14:textId="1B7FF5AD" w:rsidR="00D57936" w:rsidRPr="00A47EAA" w:rsidRDefault="00D57936" w:rsidP="00D57936">
      <w:pPr>
        <w:pStyle w:val="USTustnpkodeksu"/>
        <w:keepNext/>
      </w:pPr>
      <w:r w:rsidRPr="00A47EAA">
        <w:t>2. Średnica identyfikatora umieszczonego:</w:t>
      </w:r>
    </w:p>
    <w:p w14:paraId="4C26A4FB" w14:textId="758D3BE6" w:rsidR="00D57936" w:rsidRPr="00A47EAA" w:rsidRDefault="00D57936" w:rsidP="00D57936">
      <w:pPr>
        <w:pStyle w:val="PKTpunkt"/>
      </w:pPr>
      <w:r w:rsidRPr="00A47EAA">
        <w:t>1)</w:t>
      </w:r>
      <w:r w:rsidRPr="00A47EAA">
        <w:tab/>
        <w:t>w instrukcji obsługi pojazdu samochodowego, na korku wlewu paliwa lub w jego pobliżu oraz na pistolecie wydawczym wynosi co najmniej 13 mm;</w:t>
      </w:r>
    </w:p>
    <w:p w14:paraId="019413B8" w14:textId="0382C04D" w:rsidR="00D57936" w:rsidRPr="00A47EAA" w:rsidRDefault="00D57936" w:rsidP="00D57936">
      <w:pPr>
        <w:pStyle w:val="PKTpunkt"/>
      </w:pPr>
      <w:r w:rsidRPr="00A47EAA">
        <w:t>2)</w:t>
      </w:r>
      <w:r w:rsidRPr="00A47EAA">
        <w:tab/>
        <w:t>na terenie placówki handlowej prowadzącej sprzedaż pojazdów silnikowych oraz na dystrybutorze wynosi co najmniej 30 mm.</w:t>
      </w:r>
    </w:p>
    <w:p w14:paraId="28C527DA" w14:textId="5B2AD8F3" w:rsidR="00D57936" w:rsidRPr="00A47EAA" w:rsidRDefault="00D57936" w:rsidP="00D57936">
      <w:pPr>
        <w:pStyle w:val="ARTartustawynprozporzdzenia"/>
      </w:pPr>
      <w:r w:rsidRPr="00A47EAA">
        <w:rPr>
          <w:rStyle w:val="Ppogrubienie"/>
        </w:rPr>
        <w:t>§ 6.</w:t>
      </w:r>
      <w:r w:rsidRPr="00A47EAA">
        <w:t xml:space="preserve"> 1. Do formułowania i udostępniania informacji o parafinowym oleju napędowym</w:t>
      </w:r>
      <w:r w:rsidR="00B54FA4" w:rsidRPr="00A47EAA">
        <w:t xml:space="preserve">, w szczególności o </w:t>
      </w:r>
      <w:proofErr w:type="spellStart"/>
      <w:r w:rsidR="00B54FA4" w:rsidRPr="00A47EAA">
        <w:t>biowęglowodorach</w:t>
      </w:r>
      <w:proofErr w:type="spellEnd"/>
      <w:r w:rsidR="00B54FA4" w:rsidRPr="00A47EAA">
        <w:t xml:space="preserve"> ciekłych stanowiących samoistne paliwo i będących parafinowym olejem napędowym,</w:t>
      </w:r>
      <w:r w:rsidRPr="00A47EAA">
        <w:t xml:space="preserve"> pochodzącym z procesów syntezy lub uwodornienia wykorzystywanym do napędu pojazdu samochodowego oraz do oznakowania miejsc tankowania tego rodzaju paliwem stosuje się identyfikator w kształcie kwadratu zawierającego symbol „XTL</w:t>
      </w:r>
      <w:r w:rsidR="007737A6" w:rsidRPr="00A47EAA">
        <w:rPr>
          <w:rFonts w:cs="Times"/>
        </w:rPr>
        <w:t>”</w:t>
      </w:r>
      <w:r w:rsidRPr="00A47EAA">
        <w:t xml:space="preserve"> w kolorze czarnym na białym albo srebrnym tle.</w:t>
      </w:r>
    </w:p>
    <w:p w14:paraId="2E969DE7" w14:textId="2EDCD1CD" w:rsidR="00D57936" w:rsidRPr="00A47EAA" w:rsidRDefault="00D57936" w:rsidP="00D57936">
      <w:pPr>
        <w:pStyle w:val="USTustnpkodeksu"/>
        <w:keepNext/>
      </w:pPr>
      <w:r w:rsidRPr="00A47EAA">
        <w:t>2. Długość boku identyfikatora umieszczonego:</w:t>
      </w:r>
    </w:p>
    <w:p w14:paraId="633485BD" w14:textId="68EAB21C" w:rsidR="00D57936" w:rsidRPr="00A47EAA" w:rsidRDefault="00D57936" w:rsidP="00D57936">
      <w:pPr>
        <w:pStyle w:val="PKTpunkt"/>
      </w:pPr>
      <w:r w:rsidRPr="00A47EAA">
        <w:t>1)</w:t>
      </w:r>
      <w:r w:rsidRPr="00A47EAA">
        <w:tab/>
        <w:t>w instrukcji obsługi pojazdu samochodowego, na korku wlewu paliwa lub w jego pobliżu oraz na pistolecie wydawczym wynosi co najmniej 13 mm;</w:t>
      </w:r>
    </w:p>
    <w:p w14:paraId="70FB8B8C" w14:textId="635B50B9" w:rsidR="00D57936" w:rsidRPr="00A47EAA" w:rsidRDefault="00D57936" w:rsidP="00D57936">
      <w:pPr>
        <w:pStyle w:val="PKTpunkt"/>
      </w:pPr>
      <w:r w:rsidRPr="00A47EAA">
        <w:t>2)</w:t>
      </w:r>
      <w:r w:rsidRPr="00A47EAA">
        <w:tab/>
        <w:t>na terenie placówki handlowej prowadzącej sprzedaż pojazdów silnikowych oraz na dystrybutorze wynosi co najmniej 30 mm.</w:t>
      </w:r>
    </w:p>
    <w:p w14:paraId="59A875CE" w14:textId="77777777" w:rsidR="00B54FA4" w:rsidRPr="00A47EAA" w:rsidRDefault="00B54FA4" w:rsidP="00B54FA4">
      <w:pPr>
        <w:pStyle w:val="USTustnpkodeksu"/>
      </w:pPr>
      <w:r w:rsidRPr="00A47EAA">
        <w:lastRenderedPageBreak/>
        <w:t xml:space="preserve">3. Na dystrybutorach używanych do parafinowego oleju napędowego, w szczególności do </w:t>
      </w:r>
      <w:proofErr w:type="spellStart"/>
      <w:r w:rsidRPr="00A47EAA">
        <w:t>biowęglowodorów</w:t>
      </w:r>
      <w:proofErr w:type="spellEnd"/>
      <w:r w:rsidRPr="00A47EAA">
        <w:t xml:space="preserve"> ciekłych stanowiących samoistne paliwo i będących parafinowym olejem napędowym, należy umieścić w widocznym miejscu:</w:t>
      </w:r>
    </w:p>
    <w:p w14:paraId="2EBC5553" w14:textId="5E2C643C" w:rsidR="00B54FA4" w:rsidRPr="00A47EAA" w:rsidRDefault="00B54FA4" w:rsidP="00B54FA4">
      <w:pPr>
        <w:pStyle w:val="PKTpunkt"/>
      </w:pPr>
      <w:r w:rsidRPr="00A47EAA">
        <w:t>1)</w:t>
      </w:r>
      <w:r w:rsidRPr="00A47EAA">
        <w:tab/>
        <w:t>czytelne oznakowanie</w:t>
      </w:r>
      <w:r w:rsidR="00B24C80" w:rsidRPr="00A47EAA">
        <w:t>:</w:t>
      </w:r>
      <w:r w:rsidRPr="00A47EAA">
        <w:t xml:space="preserve"> „PARAFINOWY OLEJ NAPĘDOWY”;</w:t>
      </w:r>
    </w:p>
    <w:p w14:paraId="0A2223CD" w14:textId="3C1C5A8F" w:rsidR="00B54FA4" w:rsidRPr="00A47EAA" w:rsidRDefault="00B54FA4" w:rsidP="00B54FA4">
      <w:pPr>
        <w:pStyle w:val="PKTpunkt"/>
      </w:pPr>
      <w:r w:rsidRPr="00A47EAA">
        <w:t>2)</w:t>
      </w:r>
      <w:r w:rsidRPr="00A47EAA">
        <w:tab/>
        <w:t>czytelną informację o treści: „Nie nadaje się do wszystkich pojazdów; przed użyciem sprawdzić u producenta pojazdu lub w instrukcji obsługi</w:t>
      </w:r>
      <w:r w:rsidR="00B24C80" w:rsidRPr="00A47EAA">
        <w:t>.</w:t>
      </w:r>
      <w:r w:rsidRPr="00A47EAA">
        <w:t>”.</w:t>
      </w:r>
    </w:p>
    <w:p w14:paraId="396E26F8" w14:textId="5DDED446" w:rsidR="00B54FA4" w:rsidRPr="00A47EAA" w:rsidRDefault="00B54FA4" w:rsidP="00B54FA4">
      <w:pPr>
        <w:pStyle w:val="USTustnpkodeksu"/>
        <w:keepNext/>
      </w:pPr>
      <w:r w:rsidRPr="00A47EAA">
        <w:t xml:space="preserve">4. Dystrybutory używane do parafinowego oleju napędowego, w szczególności do </w:t>
      </w:r>
      <w:proofErr w:type="spellStart"/>
      <w:r w:rsidRPr="00A47EAA">
        <w:t>biowęglowodorów</w:t>
      </w:r>
      <w:proofErr w:type="spellEnd"/>
      <w:r w:rsidRPr="00A47EAA">
        <w:t xml:space="preserve"> ciekłych stanowiących samoistne paliwo i będących parafinowym olejem napędowym, zawierającego dodatki metaliczne należy oznakować, umieszczając na nich widoczną i czytelną informację o następującej treści: „Zawiera dodatki metaliczne</w:t>
      </w:r>
      <w:r w:rsidR="00B24C80" w:rsidRPr="00A47EAA">
        <w:t>.</w:t>
      </w:r>
      <w:r w:rsidRPr="00A47EAA">
        <w:t>”.</w:t>
      </w:r>
    </w:p>
    <w:p w14:paraId="7D2560F5" w14:textId="1C7BCDE9" w:rsidR="00D57936" w:rsidRPr="00A47EAA" w:rsidRDefault="00D57936" w:rsidP="00D57936">
      <w:pPr>
        <w:pStyle w:val="ARTartustawynprozporzdzenia"/>
        <w:keepNext/>
      </w:pPr>
      <w:r w:rsidRPr="00A47EAA">
        <w:rPr>
          <w:rStyle w:val="Ppogrubienie"/>
        </w:rPr>
        <w:t>§ 7.</w:t>
      </w:r>
      <w:r w:rsidRPr="00A47EAA">
        <w:t xml:space="preserve"> Grubość linii zewnętrznej identyfikatora wynosi:</w:t>
      </w:r>
    </w:p>
    <w:p w14:paraId="572AA223" w14:textId="21C1BB3F" w:rsidR="00D57936" w:rsidRPr="00A47EAA" w:rsidRDefault="00D57936" w:rsidP="00D57936">
      <w:pPr>
        <w:pStyle w:val="PKTpunkt"/>
      </w:pPr>
      <w:r w:rsidRPr="00A47EAA">
        <w:t>1)</w:t>
      </w:r>
      <w:r w:rsidRPr="00A47EAA">
        <w:tab/>
        <w:t>1,4 punktu w przypadku, o którym mowa</w:t>
      </w:r>
      <w:r w:rsidR="002730A7" w:rsidRPr="00A47EAA">
        <w:t xml:space="preserve"> w § 2 ust. 2 pkt </w:t>
      </w:r>
      <w:r w:rsidRPr="00A47EAA">
        <w:t>1,</w:t>
      </w:r>
      <w:r w:rsidR="002730A7" w:rsidRPr="00A47EAA">
        <w:t xml:space="preserve"> § 3 ust. 2 pkt </w:t>
      </w:r>
      <w:r w:rsidRPr="00A47EAA">
        <w:t>1,</w:t>
      </w:r>
      <w:r w:rsidR="002730A7" w:rsidRPr="00A47EAA">
        <w:t xml:space="preserve"> § </w:t>
      </w:r>
      <w:r w:rsidRPr="00A47EAA">
        <w:t>4 ust.</w:t>
      </w:r>
      <w:r w:rsidR="004B1CEA" w:rsidRPr="00A47EAA">
        <w:t> </w:t>
      </w:r>
      <w:r w:rsidR="002730A7" w:rsidRPr="00A47EAA">
        <w:t>2 pkt </w:t>
      </w:r>
      <w:r w:rsidRPr="00A47EAA">
        <w:t>1,</w:t>
      </w:r>
      <w:r w:rsidR="002730A7" w:rsidRPr="00A47EAA">
        <w:t xml:space="preserve"> § 5 ust. 2 pkt 1 i § 6 ust. 2 pkt </w:t>
      </w:r>
      <w:r w:rsidRPr="00A47EAA">
        <w:t>1;</w:t>
      </w:r>
    </w:p>
    <w:p w14:paraId="6BD5FB09" w14:textId="48EDA55A" w:rsidR="00D57936" w:rsidRPr="00A47EAA" w:rsidRDefault="00D57936" w:rsidP="00D57936">
      <w:pPr>
        <w:pStyle w:val="PKTpunkt"/>
      </w:pPr>
      <w:r w:rsidRPr="00A47EAA">
        <w:t>2)</w:t>
      </w:r>
      <w:r w:rsidRPr="00A47EAA">
        <w:tab/>
        <w:t>3,2 punktu w przypadku, o którym mowa</w:t>
      </w:r>
      <w:r w:rsidR="002730A7" w:rsidRPr="00A47EAA">
        <w:t xml:space="preserve"> w § 2 ust. 2 pkt </w:t>
      </w:r>
      <w:r w:rsidRPr="00A47EAA">
        <w:t>2,</w:t>
      </w:r>
      <w:r w:rsidR="002730A7" w:rsidRPr="00A47EAA">
        <w:t xml:space="preserve"> § 3 ust. 2 pkt </w:t>
      </w:r>
      <w:r w:rsidRPr="00A47EAA">
        <w:t>2,</w:t>
      </w:r>
      <w:r w:rsidR="002730A7" w:rsidRPr="00A47EAA">
        <w:t xml:space="preserve"> § </w:t>
      </w:r>
      <w:r w:rsidRPr="00A47EAA">
        <w:t>4 ust.</w:t>
      </w:r>
      <w:r w:rsidR="004B1CEA" w:rsidRPr="00A47EAA">
        <w:t> </w:t>
      </w:r>
      <w:r w:rsidR="002730A7" w:rsidRPr="00A47EAA">
        <w:t>2 pkt </w:t>
      </w:r>
      <w:r w:rsidRPr="00A47EAA">
        <w:t>2,</w:t>
      </w:r>
      <w:r w:rsidR="002730A7" w:rsidRPr="00A47EAA">
        <w:t xml:space="preserve"> § 5 ust. 2 pkt 2 i § 6 ust. 2 pkt </w:t>
      </w:r>
      <w:r w:rsidRPr="00A47EAA">
        <w:t>2.</w:t>
      </w:r>
    </w:p>
    <w:p w14:paraId="0B0C785E" w14:textId="0548A4CC" w:rsidR="00D57936" w:rsidRPr="00A47EAA" w:rsidRDefault="00D57936" w:rsidP="00D57936">
      <w:pPr>
        <w:pStyle w:val="ARTartustawynprozporzdzenia"/>
      </w:pPr>
      <w:r w:rsidRPr="00A47EAA">
        <w:rPr>
          <w:rStyle w:val="Ppogrubienie"/>
        </w:rPr>
        <w:t>§ 8.</w:t>
      </w:r>
      <w:r w:rsidRPr="00A47EAA">
        <w:t xml:space="preserve"> Rozmiar czcionki danego symbolu dostosowuje się do wielkości identyfikatora i nie może być mniejszy niż 14 punktów.</w:t>
      </w:r>
    </w:p>
    <w:p w14:paraId="7872576E" w14:textId="67571CB2" w:rsidR="00D57936" w:rsidRPr="00A47EAA" w:rsidRDefault="00D57936" w:rsidP="00D57936">
      <w:pPr>
        <w:pStyle w:val="ARTartustawynprozporzdzenia"/>
      </w:pPr>
      <w:r w:rsidRPr="00A47EAA">
        <w:rPr>
          <w:rStyle w:val="Ppogrubienie"/>
        </w:rPr>
        <w:t>§ 9.</w:t>
      </w:r>
      <w:r w:rsidRPr="00A47EAA">
        <w:t xml:space="preserve"> Wzory identyfikatorów określa załącznik do rozporządzenia.</w:t>
      </w:r>
    </w:p>
    <w:p w14:paraId="55911A62" w14:textId="0652967F" w:rsidR="00D57936" w:rsidRPr="00A47EAA" w:rsidRDefault="00D57936" w:rsidP="002D1FFA">
      <w:pPr>
        <w:pStyle w:val="ARTartustawynprozporzdzenia"/>
      </w:pPr>
      <w:r w:rsidRPr="00A47EAA">
        <w:rPr>
          <w:rStyle w:val="Ppogrubienie"/>
        </w:rPr>
        <w:t>§ 10.</w:t>
      </w:r>
      <w:r w:rsidRPr="00A47EAA">
        <w:t xml:space="preserve"> Rozporządzenie wchodzi w życie po upływie</w:t>
      </w:r>
      <w:r w:rsidR="00B54FA4" w:rsidRPr="00A47EAA">
        <w:t>14 dni od dnia ogłoszenia.</w:t>
      </w:r>
      <w:r w:rsidRPr="00A47EAA">
        <w:rPr>
          <w:rStyle w:val="IGindeksgrny"/>
        </w:rPr>
        <w:footnoteReference w:customMarkFollows="1" w:id="3"/>
        <w:t>3)</w:t>
      </w:r>
      <w:r w:rsidR="00E44925" w:rsidRPr="00A47EAA">
        <w:rPr>
          <w:rStyle w:val="IGindeksgrny"/>
        </w:rPr>
        <w:t xml:space="preserve"> </w:t>
      </w:r>
    </w:p>
    <w:p w14:paraId="4736B135" w14:textId="77777777" w:rsidR="00D57936" w:rsidRPr="00A47EAA" w:rsidRDefault="00D57936" w:rsidP="00D57936">
      <w:pPr>
        <w:pStyle w:val="ARTartustawynprozporzdzenia"/>
      </w:pPr>
    </w:p>
    <w:p w14:paraId="2DF3B813" w14:textId="77777777" w:rsidR="00B54FA4" w:rsidRDefault="00B54FA4" w:rsidP="00B54FA4">
      <w:pPr>
        <w:pStyle w:val="NAZORGWYDnazwaorganuwydajcegoprojektowanyakt"/>
      </w:pPr>
      <w:r w:rsidRPr="00A47EAA">
        <w:t>MINISTER KLIMATU I ŚRODOWISKA</w:t>
      </w:r>
    </w:p>
    <w:p w14:paraId="0C744982" w14:textId="77777777" w:rsidR="00871D19" w:rsidRPr="00782A34" w:rsidRDefault="00871D19" w:rsidP="00871D19">
      <w:pPr>
        <w:spacing w:line="240" w:lineRule="auto"/>
        <w:rPr>
          <w:rFonts w:eastAsia="Calibri" w:cs="Times New Roman"/>
          <w:sz w:val="20"/>
        </w:rPr>
      </w:pPr>
      <w:bookmarkStart w:id="4" w:name="_Hlk155269190"/>
      <w:r w:rsidRPr="00782A34">
        <w:rPr>
          <w:rFonts w:eastAsia="Calibri" w:cs="Times New Roman"/>
          <w:sz w:val="20"/>
        </w:rPr>
        <w:t>Za zgodność pod względem prawnym, legislacyjnym i redakcyjnym</w:t>
      </w:r>
    </w:p>
    <w:p w14:paraId="6434B19A" w14:textId="77777777" w:rsidR="00871D19" w:rsidRPr="00782A34" w:rsidRDefault="00871D19" w:rsidP="00871D19">
      <w:pPr>
        <w:spacing w:line="240" w:lineRule="auto"/>
        <w:rPr>
          <w:rFonts w:eastAsia="Calibri" w:cs="Times New Roman"/>
          <w:sz w:val="20"/>
        </w:rPr>
      </w:pPr>
      <w:r w:rsidRPr="00782A34">
        <w:rPr>
          <w:rFonts w:eastAsia="Calibri" w:cs="Times New Roman"/>
          <w:sz w:val="20"/>
        </w:rPr>
        <w:t>Dyrektor Departamentu Prawnego</w:t>
      </w:r>
    </w:p>
    <w:p w14:paraId="548E55AF" w14:textId="77777777" w:rsidR="00871D19" w:rsidRPr="00782A34" w:rsidRDefault="00871D19" w:rsidP="00871D19">
      <w:pPr>
        <w:spacing w:line="240" w:lineRule="auto"/>
        <w:rPr>
          <w:rFonts w:eastAsia="Calibri" w:cs="Times New Roman"/>
          <w:sz w:val="20"/>
        </w:rPr>
      </w:pPr>
      <w:r w:rsidRPr="00782A34">
        <w:rPr>
          <w:rFonts w:eastAsia="Calibri" w:cs="Times New Roman"/>
          <w:sz w:val="20"/>
        </w:rPr>
        <w:t>w Ministerstwie Klimatu i Środowiska</w:t>
      </w:r>
    </w:p>
    <w:p w14:paraId="7379F443" w14:textId="77777777" w:rsidR="00871D19" w:rsidRPr="00782A34" w:rsidRDefault="00871D19" w:rsidP="00871D19">
      <w:pPr>
        <w:spacing w:line="240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Izabela Wereśniak-Masri</w:t>
      </w:r>
    </w:p>
    <w:p w14:paraId="289C9871" w14:textId="77777777" w:rsidR="00871D19" w:rsidRPr="00782A34" w:rsidRDefault="00871D19" w:rsidP="00871D19">
      <w:pPr>
        <w:spacing w:line="240" w:lineRule="auto"/>
        <w:rPr>
          <w:rFonts w:eastAsia="Calibri" w:cs="Times New Roman"/>
          <w:sz w:val="20"/>
        </w:rPr>
      </w:pPr>
      <w:r w:rsidRPr="00782A34">
        <w:rPr>
          <w:rFonts w:eastAsia="Calibri" w:cs="Times New Roman"/>
          <w:sz w:val="20"/>
        </w:rPr>
        <w:t>(- podpisano kwalifikowanym podpisem elektronicznym)</w:t>
      </w:r>
    </w:p>
    <w:bookmarkEnd w:id="4"/>
    <w:p w14:paraId="30D103B1" w14:textId="77777777" w:rsidR="00D1016C" w:rsidRDefault="00D1016C" w:rsidP="00D1016C"/>
    <w:sectPr w:rsidR="00D1016C" w:rsidSect="00891AB3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C78E5" w14:textId="77777777" w:rsidR="00912CD5" w:rsidRDefault="00912CD5">
      <w:r>
        <w:separator/>
      </w:r>
    </w:p>
  </w:endnote>
  <w:endnote w:type="continuationSeparator" w:id="0">
    <w:p w14:paraId="6688423A" w14:textId="77777777" w:rsidR="00912CD5" w:rsidRDefault="0091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604E" w14:textId="77777777" w:rsidR="00912CD5" w:rsidRDefault="00912CD5">
      <w:r>
        <w:separator/>
      </w:r>
    </w:p>
  </w:footnote>
  <w:footnote w:type="continuationSeparator" w:id="0">
    <w:p w14:paraId="03017AB0" w14:textId="77777777" w:rsidR="00912CD5" w:rsidRDefault="00912CD5">
      <w:r>
        <w:continuationSeparator/>
      </w:r>
    </w:p>
  </w:footnote>
  <w:footnote w:id="1">
    <w:p w14:paraId="5617CBEB" w14:textId="27B6506D" w:rsidR="00D57936" w:rsidRPr="00802E51" w:rsidRDefault="00D57936" w:rsidP="00D57936">
      <w:pPr>
        <w:pStyle w:val="ODNONIKtreodnonika"/>
        <w:rPr>
          <w:rStyle w:val="IIGindeksgrnyindeksugrnego"/>
          <w:position w:val="0"/>
          <w:vertAlign w:val="baseline"/>
        </w:rPr>
      </w:pPr>
      <w:r w:rsidRPr="0019559A">
        <w:rPr>
          <w:rStyle w:val="IIGindeksgrnyindeksugrnego"/>
        </w:rPr>
        <w:footnoteRef/>
      </w:r>
      <w:r>
        <w:rPr>
          <w:rStyle w:val="IIGindeksgrnyindeksugrnego"/>
        </w:rPr>
        <w:t>)</w:t>
      </w:r>
      <w:r>
        <w:rPr>
          <w:rStyle w:val="IIGindeksgrnyindeksugrnego"/>
        </w:rPr>
        <w:tab/>
      </w:r>
      <w:r w:rsidR="00AA1218" w:rsidRPr="00D137DE">
        <w:t>Minister Klimatu i Środowiska kieruje dział</w:t>
      </w:r>
      <w:r w:rsidR="00AA1218">
        <w:t xml:space="preserve">em </w:t>
      </w:r>
      <w:r w:rsidR="00AA1218" w:rsidRPr="00D137DE">
        <w:t>administracji rządowej – energia na podstawie § 1 ust. 2 pkt 1</w:t>
      </w:r>
      <w:r w:rsidR="00AA1218">
        <w:t xml:space="preserve"> </w:t>
      </w:r>
      <w:r w:rsidR="00AA1218" w:rsidRPr="00D137DE">
        <w:t>rozporządzenia Prezesa Rady Ministrów z dnia 19 grudnia 2023 r. w sprawie szczegółowego zakresu działania Ministra Klimatu i Środowiska (Dz. U. poz. 2726).</w:t>
      </w:r>
    </w:p>
  </w:footnote>
  <w:footnote w:id="2">
    <w:p w14:paraId="69F6EB42" w14:textId="5864623A" w:rsidR="00D57936" w:rsidRDefault="00D57936" w:rsidP="00D57936">
      <w:pPr>
        <w:pStyle w:val="ODNONIKtreodnonika"/>
      </w:pPr>
      <w:r w:rsidRPr="0019559A">
        <w:rPr>
          <w:rStyle w:val="IIGindeksgrnyindeksugrnego"/>
        </w:rPr>
        <w:footnoteRef/>
      </w:r>
      <w:r>
        <w:rPr>
          <w:rStyle w:val="IIGindeksgrnyindeksugrnego"/>
        </w:rPr>
        <w:t>)</w:t>
      </w:r>
      <w:r>
        <w:rPr>
          <w:rStyle w:val="IIGindeksgrnyindeksugrnego"/>
        </w:rPr>
        <w:tab/>
      </w:r>
      <w:r w:rsidRPr="00AE4F0F">
        <w:t xml:space="preserve">Niniejsze rozporządzenie zostało notyfikowane Komisji Europejskiej w dniu </w:t>
      </w:r>
      <w:r w:rsidR="00AA1218">
        <w:t>…..</w:t>
      </w:r>
      <w:r w:rsidRPr="00AE4F0F">
        <w:t xml:space="preserve"> r. pod numerem </w:t>
      </w:r>
      <w:r w:rsidR="00AA1218">
        <w:t>…….</w:t>
      </w:r>
      <w:r w:rsidRPr="00AE4F0F">
        <w:t>, zgodnie z § 4 rozporządzenia Rady Ministrów z dnia 23 grudnia 2002 r. w sprawie sposobu funkcjonowania krajowego systemu notyfikacji norm i aktów prawnych (Dz. U. poz. 2039 oraz z 2004 r. poz. 597), które wdraża dyrektywę (UE) 2015/1535 Parlamentu Europejskiego i Rady z dnia 9 września 2015 r. ustanawiającą procedurę udzielania informacji w dziedzinie przepisów technicznych oraz zasad dotyczących usług społeczeństwa informatycznego (ujednolicenie) (Dz. Urz. UE L 241 z 17.09.2015, str. 1).</w:t>
      </w:r>
    </w:p>
  </w:footnote>
  <w:footnote w:id="3">
    <w:p w14:paraId="40AC2A9A" w14:textId="7D183CFB" w:rsidR="00D57936" w:rsidRDefault="00D57936" w:rsidP="00D57936">
      <w:pPr>
        <w:pStyle w:val="ODNONIKtreodnonika"/>
      </w:pPr>
      <w:r>
        <w:rPr>
          <w:rStyle w:val="Odwoanieprzypisudolnego"/>
        </w:rPr>
        <w:t>3)</w:t>
      </w:r>
      <w:r>
        <w:tab/>
        <w:t>Niniejsze rozporządzenie było poprzedzone rozporządzeniem</w:t>
      </w:r>
      <w:r w:rsidR="004861E6">
        <w:t xml:space="preserve"> Ministra Klimatu z dnia 27 sierpnia 2020 r. w sprawie </w:t>
      </w:r>
      <w:r w:rsidR="004861E6" w:rsidRPr="007535E1">
        <w:t xml:space="preserve">sposobu </w:t>
      </w:r>
      <w:r w:rsidR="004861E6" w:rsidRPr="0019559A">
        <w:t>inform</w:t>
      </w:r>
      <w:r w:rsidR="004861E6">
        <w:t>owania</w:t>
      </w:r>
      <w:r w:rsidR="004861E6" w:rsidRPr="0019559A">
        <w:t xml:space="preserve"> o</w:t>
      </w:r>
      <w:r w:rsidR="004861E6">
        <w:t xml:space="preserve"> rodzaju paliwa alternatywnego wykorzystywanego do napędu pojazdu samochodowego oraz </w:t>
      </w:r>
      <w:r w:rsidR="004861E6" w:rsidRPr="007535E1">
        <w:t xml:space="preserve">oznakowania miejsc tankowania lub ładowania pojazdu samochodowego </w:t>
      </w:r>
      <w:r w:rsidR="004861E6">
        <w:t xml:space="preserve">takim </w:t>
      </w:r>
      <w:r w:rsidR="004861E6" w:rsidRPr="0019559A">
        <w:t>paliwem</w:t>
      </w:r>
      <w:r w:rsidR="004861E6">
        <w:t xml:space="preserve"> (Dz. U. poz. 1560), które zgodnie z art. 38 ustawy z dnia 2 grudnia 2021 r. o zmianie ustawy o elektromobilności i paliwach alternatywnych oraz niektórych innych ustaw (Dz. U. poz. 2269</w:t>
      </w:r>
      <w:r w:rsidR="006C614A">
        <w:t xml:space="preserve"> oraz z 2023 r. poz. 1681</w:t>
      </w:r>
      <w:r w:rsidR="004861E6">
        <w:t xml:space="preserve">) </w:t>
      </w:r>
      <w:r>
        <w:t xml:space="preserve"> traci moc z dniem wejścia w życie niniejszego rozporządzenia</w:t>
      </w:r>
      <w:r w:rsidR="004861E6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9497" w14:textId="013EAB52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64116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25508472">
    <w:abstractNumId w:val="23"/>
  </w:num>
  <w:num w:numId="2" w16cid:durableId="1475873246">
    <w:abstractNumId w:val="23"/>
  </w:num>
  <w:num w:numId="3" w16cid:durableId="1654026605">
    <w:abstractNumId w:val="18"/>
  </w:num>
  <w:num w:numId="4" w16cid:durableId="2007395486">
    <w:abstractNumId w:val="18"/>
  </w:num>
  <w:num w:numId="5" w16cid:durableId="1885290099">
    <w:abstractNumId w:val="35"/>
  </w:num>
  <w:num w:numId="6" w16cid:durableId="256332274">
    <w:abstractNumId w:val="31"/>
  </w:num>
  <w:num w:numId="7" w16cid:durableId="2013750698">
    <w:abstractNumId w:val="35"/>
  </w:num>
  <w:num w:numId="8" w16cid:durableId="913275445">
    <w:abstractNumId w:val="31"/>
  </w:num>
  <w:num w:numId="9" w16cid:durableId="2082679313">
    <w:abstractNumId w:val="35"/>
  </w:num>
  <w:num w:numId="10" w16cid:durableId="225923368">
    <w:abstractNumId w:val="31"/>
  </w:num>
  <w:num w:numId="11" w16cid:durableId="1168666199">
    <w:abstractNumId w:val="14"/>
  </w:num>
  <w:num w:numId="12" w16cid:durableId="487282674">
    <w:abstractNumId w:val="10"/>
  </w:num>
  <w:num w:numId="13" w16cid:durableId="1776175339">
    <w:abstractNumId w:val="15"/>
  </w:num>
  <w:num w:numId="14" w16cid:durableId="1705212113">
    <w:abstractNumId w:val="26"/>
  </w:num>
  <w:num w:numId="15" w16cid:durableId="2078936666">
    <w:abstractNumId w:val="14"/>
  </w:num>
  <w:num w:numId="16" w16cid:durableId="1267925088">
    <w:abstractNumId w:val="16"/>
  </w:num>
  <w:num w:numId="17" w16cid:durableId="2014868999">
    <w:abstractNumId w:val="8"/>
  </w:num>
  <w:num w:numId="18" w16cid:durableId="249580202">
    <w:abstractNumId w:val="3"/>
  </w:num>
  <w:num w:numId="19" w16cid:durableId="1090078324">
    <w:abstractNumId w:val="2"/>
  </w:num>
  <w:num w:numId="20" w16cid:durableId="581835672">
    <w:abstractNumId w:val="1"/>
  </w:num>
  <w:num w:numId="21" w16cid:durableId="1896355789">
    <w:abstractNumId w:val="0"/>
  </w:num>
  <w:num w:numId="22" w16cid:durableId="823357625">
    <w:abstractNumId w:val="9"/>
  </w:num>
  <w:num w:numId="23" w16cid:durableId="207765627">
    <w:abstractNumId w:val="7"/>
  </w:num>
  <w:num w:numId="24" w16cid:durableId="1370183316">
    <w:abstractNumId w:val="6"/>
  </w:num>
  <w:num w:numId="25" w16cid:durableId="332218614">
    <w:abstractNumId w:val="5"/>
  </w:num>
  <w:num w:numId="26" w16cid:durableId="1066689630">
    <w:abstractNumId w:val="4"/>
  </w:num>
  <w:num w:numId="27" w16cid:durableId="1389256233">
    <w:abstractNumId w:val="33"/>
  </w:num>
  <w:num w:numId="28" w16cid:durableId="160586898">
    <w:abstractNumId w:val="25"/>
  </w:num>
  <w:num w:numId="29" w16cid:durableId="1755742113">
    <w:abstractNumId w:val="36"/>
  </w:num>
  <w:num w:numId="30" w16cid:durableId="1513760499">
    <w:abstractNumId w:val="32"/>
  </w:num>
  <w:num w:numId="31" w16cid:durableId="148523178">
    <w:abstractNumId w:val="19"/>
  </w:num>
  <w:num w:numId="32" w16cid:durableId="1805460909">
    <w:abstractNumId w:val="11"/>
  </w:num>
  <w:num w:numId="33" w16cid:durableId="1887568960">
    <w:abstractNumId w:val="30"/>
  </w:num>
  <w:num w:numId="34" w16cid:durableId="600332993">
    <w:abstractNumId w:val="20"/>
  </w:num>
  <w:num w:numId="35" w16cid:durableId="46690955">
    <w:abstractNumId w:val="17"/>
  </w:num>
  <w:num w:numId="36" w16cid:durableId="1247031251">
    <w:abstractNumId w:val="22"/>
  </w:num>
  <w:num w:numId="37" w16cid:durableId="1742410089">
    <w:abstractNumId w:val="27"/>
  </w:num>
  <w:num w:numId="38" w16cid:durableId="1908763424">
    <w:abstractNumId w:val="24"/>
  </w:num>
  <w:num w:numId="39" w16cid:durableId="1561794168">
    <w:abstractNumId w:val="13"/>
  </w:num>
  <w:num w:numId="40" w16cid:durableId="1153062188">
    <w:abstractNumId w:val="29"/>
  </w:num>
  <w:num w:numId="41" w16cid:durableId="1151558915">
    <w:abstractNumId w:val="28"/>
  </w:num>
  <w:num w:numId="42" w16cid:durableId="452989426">
    <w:abstractNumId w:val="21"/>
  </w:num>
  <w:num w:numId="43" w16cid:durableId="1469394014">
    <w:abstractNumId w:val="34"/>
  </w:num>
  <w:num w:numId="44" w16cid:durableId="21138897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36"/>
    <w:rsid w:val="000012DA"/>
    <w:rsid w:val="00001A02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CA"/>
    <w:rsid w:val="00036B63"/>
    <w:rsid w:val="00037E1A"/>
    <w:rsid w:val="00040739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7EC3"/>
    <w:rsid w:val="000B298D"/>
    <w:rsid w:val="000B43B0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1BFD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89D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1E44"/>
    <w:rsid w:val="001D1783"/>
    <w:rsid w:val="001D53CD"/>
    <w:rsid w:val="001D55A3"/>
    <w:rsid w:val="001D5AF5"/>
    <w:rsid w:val="001E1E73"/>
    <w:rsid w:val="001E4E0C"/>
    <w:rsid w:val="001E526D"/>
    <w:rsid w:val="001E5655"/>
    <w:rsid w:val="001E5BED"/>
    <w:rsid w:val="001F1832"/>
    <w:rsid w:val="001F220F"/>
    <w:rsid w:val="001F25B3"/>
    <w:rsid w:val="001F5A44"/>
    <w:rsid w:val="001F6616"/>
    <w:rsid w:val="00202BD4"/>
    <w:rsid w:val="00204A97"/>
    <w:rsid w:val="002076D3"/>
    <w:rsid w:val="002114EF"/>
    <w:rsid w:val="002166AD"/>
    <w:rsid w:val="00217871"/>
    <w:rsid w:val="00221ED8"/>
    <w:rsid w:val="002231EA"/>
    <w:rsid w:val="00223FDF"/>
    <w:rsid w:val="00226D7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0A7"/>
    <w:rsid w:val="00273FE4"/>
    <w:rsid w:val="00276417"/>
    <w:rsid w:val="002765B4"/>
    <w:rsid w:val="00276A94"/>
    <w:rsid w:val="002915AC"/>
    <w:rsid w:val="00292D72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14B0"/>
    <w:rsid w:val="002B23B8"/>
    <w:rsid w:val="002B4429"/>
    <w:rsid w:val="002B4EB1"/>
    <w:rsid w:val="002B68A6"/>
    <w:rsid w:val="002B7FAF"/>
    <w:rsid w:val="002D0C4F"/>
    <w:rsid w:val="002D1364"/>
    <w:rsid w:val="002D1FFA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2DA2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8F6"/>
    <w:rsid w:val="00394423"/>
    <w:rsid w:val="00396942"/>
    <w:rsid w:val="00396B49"/>
    <w:rsid w:val="00396E3E"/>
    <w:rsid w:val="003A01F3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267"/>
    <w:rsid w:val="003C35C4"/>
    <w:rsid w:val="003D12C2"/>
    <w:rsid w:val="003D31B9"/>
    <w:rsid w:val="003D3867"/>
    <w:rsid w:val="003D6B3F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565C"/>
    <w:rsid w:val="00407332"/>
    <w:rsid w:val="00407828"/>
    <w:rsid w:val="00407FA3"/>
    <w:rsid w:val="00412CD7"/>
    <w:rsid w:val="00413D8E"/>
    <w:rsid w:val="004140F2"/>
    <w:rsid w:val="00417B22"/>
    <w:rsid w:val="00421085"/>
    <w:rsid w:val="0042465E"/>
    <w:rsid w:val="00424DF7"/>
    <w:rsid w:val="004259AB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173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57D6"/>
    <w:rsid w:val="00480A58"/>
    <w:rsid w:val="00482151"/>
    <w:rsid w:val="00485FAD"/>
    <w:rsid w:val="004861E6"/>
    <w:rsid w:val="00487AED"/>
    <w:rsid w:val="00491EDF"/>
    <w:rsid w:val="004922AE"/>
    <w:rsid w:val="00492A3F"/>
    <w:rsid w:val="004932DC"/>
    <w:rsid w:val="00494F62"/>
    <w:rsid w:val="004A2001"/>
    <w:rsid w:val="004A3590"/>
    <w:rsid w:val="004B00A7"/>
    <w:rsid w:val="004B1CEA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66CA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4F7285"/>
    <w:rsid w:val="00500752"/>
    <w:rsid w:val="00501A50"/>
    <w:rsid w:val="0050222D"/>
    <w:rsid w:val="00503AF3"/>
    <w:rsid w:val="0050696D"/>
    <w:rsid w:val="0051094B"/>
    <w:rsid w:val="005110D7"/>
    <w:rsid w:val="00511815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41A9"/>
    <w:rsid w:val="0057547F"/>
    <w:rsid w:val="005754EE"/>
    <w:rsid w:val="0057617E"/>
    <w:rsid w:val="00576497"/>
    <w:rsid w:val="005835E7"/>
    <w:rsid w:val="0058397F"/>
    <w:rsid w:val="00583BF8"/>
    <w:rsid w:val="00584E03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4385"/>
    <w:rsid w:val="005C68E1"/>
    <w:rsid w:val="005D3763"/>
    <w:rsid w:val="005D55E1"/>
    <w:rsid w:val="005E19F7"/>
    <w:rsid w:val="005E4CB5"/>
    <w:rsid w:val="005E4F04"/>
    <w:rsid w:val="005E62C2"/>
    <w:rsid w:val="005E65E6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5A33"/>
    <w:rsid w:val="00617597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46C5A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14A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2AC2"/>
    <w:rsid w:val="0072457F"/>
    <w:rsid w:val="00725406"/>
    <w:rsid w:val="0072621B"/>
    <w:rsid w:val="00730555"/>
    <w:rsid w:val="007312CC"/>
    <w:rsid w:val="00736A64"/>
    <w:rsid w:val="00737F6A"/>
    <w:rsid w:val="007410B6"/>
    <w:rsid w:val="00743C6F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116"/>
    <w:rsid w:val="00764A67"/>
    <w:rsid w:val="00770F6B"/>
    <w:rsid w:val="00771883"/>
    <w:rsid w:val="007737A6"/>
    <w:rsid w:val="00774F9B"/>
    <w:rsid w:val="00776DC2"/>
    <w:rsid w:val="00780122"/>
    <w:rsid w:val="0078214B"/>
    <w:rsid w:val="0078498A"/>
    <w:rsid w:val="007849C8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1C38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1D19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1AB3"/>
    <w:rsid w:val="008920FF"/>
    <w:rsid w:val="008926E8"/>
    <w:rsid w:val="00894F19"/>
    <w:rsid w:val="008968BD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8A3"/>
    <w:rsid w:val="008F2E83"/>
    <w:rsid w:val="008F612A"/>
    <w:rsid w:val="0090293D"/>
    <w:rsid w:val="009034DE"/>
    <w:rsid w:val="00905396"/>
    <w:rsid w:val="0090605D"/>
    <w:rsid w:val="00906419"/>
    <w:rsid w:val="00912889"/>
    <w:rsid w:val="00912CD5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7E30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4F89"/>
    <w:rsid w:val="009E5B3F"/>
    <w:rsid w:val="009E7695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285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47EAA"/>
    <w:rsid w:val="00A50CD4"/>
    <w:rsid w:val="00A51191"/>
    <w:rsid w:val="00A54ADA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77DB5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218"/>
    <w:rsid w:val="00AA1AAE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6DF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538B"/>
    <w:rsid w:val="00B07700"/>
    <w:rsid w:val="00B13921"/>
    <w:rsid w:val="00B1528C"/>
    <w:rsid w:val="00B16ACD"/>
    <w:rsid w:val="00B21487"/>
    <w:rsid w:val="00B232D1"/>
    <w:rsid w:val="00B24C80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4FA4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825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7B36"/>
    <w:rsid w:val="00BF1DCC"/>
    <w:rsid w:val="00BF3DDE"/>
    <w:rsid w:val="00BF6589"/>
    <w:rsid w:val="00BF6F7F"/>
    <w:rsid w:val="00C00647"/>
    <w:rsid w:val="00C02764"/>
    <w:rsid w:val="00C04CEF"/>
    <w:rsid w:val="00C0662F"/>
    <w:rsid w:val="00C11943"/>
    <w:rsid w:val="00C124B4"/>
    <w:rsid w:val="00C12E96"/>
    <w:rsid w:val="00C14763"/>
    <w:rsid w:val="00C15316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6A64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89D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16C"/>
    <w:rsid w:val="00D10E06"/>
    <w:rsid w:val="00D133C7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52EA"/>
    <w:rsid w:val="00D47D7A"/>
    <w:rsid w:val="00D50ABD"/>
    <w:rsid w:val="00D55290"/>
    <w:rsid w:val="00D57791"/>
    <w:rsid w:val="00D57936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6753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1C76"/>
    <w:rsid w:val="00DE1554"/>
    <w:rsid w:val="00DE2901"/>
    <w:rsid w:val="00DE590F"/>
    <w:rsid w:val="00DE7C05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2F95"/>
    <w:rsid w:val="00E2396E"/>
    <w:rsid w:val="00E24728"/>
    <w:rsid w:val="00E276AC"/>
    <w:rsid w:val="00E34A35"/>
    <w:rsid w:val="00E37C2F"/>
    <w:rsid w:val="00E41C28"/>
    <w:rsid w:val="00E44925"/>
    <w:rsid w:val="00E44C52"/>
    <w:rsid w:val="00E45EE1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DA4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1EC0"/>
    <w:rsid w:val="00EF0B96"/>
    <w:rsid w:val="00EF3486"/>
    <w:rsid w:val="00EF47AF"/>
    <w:rsid w:val="00EF53B6"/>
    <w:rsid w:val="00EF629B"/>
    <w:rsid w:val="00F00B73"/>
    <w:rsid w:val="00F106D5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2776A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2EE4"/>
    <w:rsid w:val="00FD3689"/>
    <w:rsid w:val="00FD42A3"/>
    <w:rsid w:val="00FD7468"/>
    <w:rsid w:val="00FD7CE0"/>
    <w:rsid w:val="00FE0B3B"/>
    <w:rsid w:val="00FE1BE2"/>
    <w:rsid w:val="00FE49D6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016EB"/>
  <w15:docId w15:val="{A33CCBCE-2D05-422A-ABE9-437D69B7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16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2B14B0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lusarczy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075B6C-47CC-4AA3-A94B-15D0B39D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9</TotalTime>
  <Pages>4</Pages>
  <Words>1043</Words>
  <Characters>6262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Michał Nowak</dc:creator>
  <cp:lastModifiedBy>Zawadzki Kamil</cp:lastModifiedBy>
  <cp:revision>3</cp:revision>
  <cp:lastPrinted>2012-04-23T06:39:00Z</cp:lastPrinted>
  <dcterms:created xsi:type="dcterms:W3CDTF">2024-05-21T08:20:00Z</dcterms:created>
  <dcterms:modified xsi:type="dcterms:W3CDTF">2024-05-23T09:24:00Z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