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5E145" w14:textId="77777777" w:rsidR="003066A5" w:rsidRPr="007761E0" w:rsidRDefault="003066A5" w:rsidP="00264525">
      <w:pPr>
        <w:pStyle w:val="Bezodstpw"/>
        <w:spacing w:line="360" w:lineRule="auto"/>
        <w:jc w:val="center"/>
        <w:rPr>
          <w:rFonts w:ascii="Times New Roman" w:hAnsi="Times New Roman" w:cs="Times New Roman"/>
          <w:b/>
          <w:sz w:val="24"/>
          <w:szCs w:val="24"/>
        </w:rPr>
      </w:pPr>
      <w:bookmarkStart w:id="0" w:name="_GoBack"/>
      <w:bookmarkEnd w:id="0"/>
      <w:r w:rsidRPr="007761E0">
        <w:rPr>
          <w:rFonts w:ascii="Times New Roman" w:hAnsi="Times New Roman" w:cs="Times New Roman"/>
          <w:b/>
          <w:sz w:val="24"/>
          <w:szCs w:val="24"/>
        </w:rPr>
        <w:t>Uzasadnienie</w:t>
      </w:r>
    </w:p>
    <w:p w14:paraId="0BAFD5EF" w14:textId="77777777" w:rsidR="003066A5" w:rsidRPr="007761E0" w:rsidRDefault="003066A5" w:rsidP="007761E0">
      <w:pPr>
        <w:pStyle w:val="Bezodstpw"/>
        <w:spacing w:line="360" w:lineRule="auto"/>
        <w:jc w:val="both"/>
        <w:rPr>
          <w:rFonts w:ascii="Times New Roman" w:hAnsi="Times New Roman" w:cs="Times New Roman"/>
          <w:sz w:val="24"/>
          <w:szCs w:val="24"/>
        </w:rPr>
      </w:pPr>
    </w:p>
    <w:p w14:paraId="73AED856" w14:textId="77777777" w:rsidR="004077EF" w:rsidRPr="007761E0" w:rsidRDefault="004077EF" w:rsidP="007761E0">
      <w:pPr>
        <w:pStyle w:val="Bezodstpw"/>
        <w:numPr>
          <w:ilvl w:val="0"/>
          <w:numId w:val="24"/>
        </w:numPr>
        <w:spacing w:line="360" w:lineRule="auto"/>
        <w:ind w:left="720"/>
        <w:jc w:val="both"/>
        <w:rPr>
          <w:rFonts w:ascii="Times New Roman" w:hAnsi="Times New Roman" w:cs="Times New Roman"/>
          <w:b/>
          <w:bCs/>
          <w:sz w:val="24"/>
          <w:szCs w:val="24"/>
        </w:rPr>
      </w:pPr>
      <w:r w:rsidRPr="007761E0">
        <w:rPr>
          <w:rFonts w:ascii="Times New Roman" w:hAnsi="Times New Roman" w:cs="Times New Roman"/>
          <w:b/>
          <w:bCs/>
          <w:sz w:val="24"/>
          <w:szCs w:val="24"/>
        </w:rPr>
        <w:t>Potrzeba i cel wydania rozporządzenia.</w:t>
      </w:r>
    </w:p>
    <w:p w14:paraId="110F875C" w14:textId="52105B0F" w:rsidR="002E3139" w:rsidRDefault="004077EF" w:rsidP="007761E0">
      <w:pPr>
        <w:pStyle w:val="Bezodstpw"/>
        <w:spacing w:line="360" w:lineRule="auto"/>
        <w:jc w:val="both"/>
        <w:rPr>
          <w:rFonts w:ascii="Times New Roman" w:hAnsi="Times New Roman" w:cs="Times New Roman"/>
          <w:bCs/>
          <w:sz w:val="24"/>
          <w:szCs w:val="24"/>
        </w:rPr>
      </w:pPr>
      <w:r w:rsidRPr="007761E0">
        <w:rPr>
          <w:rFonts w:ascii="Times New Roman" w:hAnsi="Times New Roman" w:cs="Times New Roman"/>
          <w:bCs/>
          <w:sz w:val="24"/>
          <w:szCs w:val="24"/>
        </w:rPr>
        <w:t xml:space="preserve">Konieczność </w:t>
      </w:r>
      <w:r w:rsidR="009E0F86" w:rsidRPr="007761E0">
        <w:rPr>
          <w:rFonts w:ascii="Times New Roman" w:hAnsi="Times New Roman" w:cs="Times New Roman"/>
          <w:bCs/>
          <w:sz w:val="24"/>
          <w:szCs w:val="24"/>
        </w:rPr>
        <w:t xml:space="preserve">podjęcia prac zmierzających do wydania rozporządzenia wynika z </w:t>
      </w:r>
      <w:r w:rsidR="00896625" w:rsidRPr="007761E0">
        <w:rPr>
          <w:rFonts w:ascii="Times New Roman" w:hAnsi="Times New Roman" w:cs="Times New Roman"/>
          <w:bCs/>
          <w:sz w:val="24"/>
          <w:szCs w:val="24"/>
        </w:rPr>
        <w:t xml:space="preserve">wejścia w życie </w:t>
      </w:r>
      <w:r w:rsidR="00304125">
        <w:rPr>
          <w:rFonts w:ascii="Times New Roman" w:hAnsi="Times New Roman" w:cs="Times New Roman"/>
          <w:bCs/>
          <w:sz w:val="24"/>
          <w:szCs w:val="24"/>
        </w:rPr>
        <w:t xml:space="preserve">przepisów ustawy z dnia </w:t>
      </w:r>
      <w:r w:rsidR="00DA51E7">
        <w:rPr>
          <w:rFonts w:ascii="Times New Roman" w:hAnsi="Times New Roman" w:cs="Times New Roman"/>
          <w:bCs/>
          <w:sz w:val="24"/>
          <w:szCs w:val="24"/>
        </w:rPr>
        <w:t>16 sierpnia 2023 r.</w:t>
      </w:r>
      <w:r w:rsidR="00304125">
        <w:rPr>
          <w:rFonts w:ascii="Times New Roman" w:hAnsi="Times New Roman" w:cs="Times New Roman"/>
          <w:bCs/>
          <w:sz w:val="24"/>
          <w:szCs w:val="24"/>
        </w:rPr>
        <w:t xml:space="preserve"> </w:t>
      </w:r>
      <w:r w:rsidR="00304125" w:rsidRPr="00304125">
        <w:rPr>
          <w:rFonts w:ascii="Times New Roman" w:hAnsi="Times New Roman" w:cs="Times New Roman"/>
          <w:bCs/>
          <w:sz w:val="24"/>
          <w:szCs w:val="24"/>
        </w:rPr>
        <w:t>o zmianie niektórych ustaw w związku z zapewnieniem rozwoju rynku finansowego oraz ochrony inwestorów na tym rynku</w:t>
      </w:r>
      <w:r w:rsidR="00304125">
        <w:rPr>
          <w:rFonts w:ascii="Times New Roman" w:hAnsi="Times New Roman" w:cs="Times New Roman"/>
          <w:bCs/>
          <w:sz w:val="24"/>
          <w:szCs w:val="24"/>
        </w:rPr>
        <w:t xml:space="preserve"> (Dz. U. </w:t>
      </w:r>
      <w:r w:rsidR="00DA51E7">
        <w:rPr>
          <w:rFonts w:ascii="Times New Roman" w:hAnsi="Times New Roman" w:cs="Times New Roman"/>
          <w:bCs/>
          <w:sz w:val="24"/>
          <w:szCs w:val="24"/>
        </w:rPr>
        <w:t>poz. 1723</w:t>
      </w:r>
      <w:r w:rsidR="00304125">
        <w:rPr>
          <w:rFonts w:ascii="Times New Roman" w:hAnsi="Times New Roman" w:cs="Times New Roman"/>
          <w:bCs/>
          <w:sz w:val="24"/>
          <w:szCs w:val="24"/>
        </w:rPr>
        <w:t xml:space="preserve">), która to ustawa wprowadziła m.in. zmiany do przepisów ustawy z dnia 22 </w:t>
      </w:r>
      <w:r w:rsidR="00304125" w:rsidRPr="00304125">
        <w:rPr>
          <w:rFonts w:ascii="Times New Roman" w:hAnsi="Times New Roman" w:cs="Times New Roman"/>
          <w:bCs/>
          <w:sz w:val="24"/>
          <w:szCs w:val="24"/>
        </w:rPr>
        <w:t>maja 2003 r. o ubezpieczeniach obowiązkowych, Ubezpieczeniowym Funduszu Gwarancyjnym i Polskim Biurze Ubezpieczycieli Komunikacyjnych (Dz. U.</w:t>
      </w:r>
      <w:r w:rsidR="00304125">
        <w:rPr>
          <w:rFonts w:ascii="Times New Roman" w:hAnsi="Times New Roman" w:cs="Times New Roman"/>
          <w:bCs/>
          <w:sz w:val="24"/>
          <w:szCs w:val="24"/>
        </w:rPr>
        <w:t xml:space="preserve"> z 202</w:t>
      </w:r>
      <w:r w:rsidR="00DA51E7">
        <w:rPr>
          <w:rFonts w:ascii="Times New Roman" w:hAnsi="Times New Roman" w:cs="Times New Roman"/>
          <w:bCs/>
          <w:sz w:val="24"/>
          <w:szCs w:val="24"/>
        </w:rPr>
        <w:t xml:space="preserve">3 </w:t>
      </w:r>
      <w:r w:rsidR="00304125">
        <w:rPr>
          <w:rFonts w:ascii="Times New Roman" w:hAnsi="Times New Roman" w:cs="Times New Roman"/>
          <w:bCs/>
          <w:sz w:val="24"/>
          <w:szCs w:val="24"/>
        </w:rPr>
        <w:t>r. poz. 2</w:t>
      </w:r>
      <w:r w:rsidR="00DA51E7">
        <w:rPr>
          <w:rFonts w:ascii="Times New Roman" w:hAnsi="Times New Roman" w:cs="Times New Roman"/>
          <w:bCs/>
          <w:sz w:val="24"/>
          <w:szCs w:val="24"/>
        </w:rPr>
        <w:t>500</w:t>
      </w:r>
      <w:r w:rsidR="00304125">
        <w:rPr>
          <w:rFonts w:ascii="Times New Roman" w:hAnsi="Times New Roman" w:cs="Times New Roman"/>
          <w:bCs/>
          <w:sz w:val="24"/>
          <w:szCs w:val="24"/>
        </w:rPr>
        <w:t>)</w:t>
      </w:r>
      <w:r w:rsidR="002E3139">
        <w:rPr>
          <w:rFonts w:ascii="Times New Roman" w:hAnsi="Times New Roman" w:cs="Times New Roman"/>
          <w:bCs/>
          <w:sz w:val="24"/>
          <w:szCs w:val="24"/>
        </w:rPr>
        <w:t>, zwanej dalej „ustawą o ubezpieczeniach obowiązkowych”.</w:t>
      </w:r>
      <w:r w:rsidR="00304125">
        <w:rPr>
          <w:rFonts w:ascii="Times New Roman" w:hAnsi="Times New Roman" w:cs="Times New Roman"/>
          <w:bCs/>
          <w:sz w:val="24"/>
          <w:szCs w:val="24"/>
        </w:rPr>
        <w:t xml:space="preserve"> </w:t>
      </w:r>
      <w:r w:rsidR="00F36944">
        <w:rPr>
          <w:rFonts w:ascii="Times New Roman" w:hAnsi="Times New Roman" w:cs="Times New Roman"/>
          <w:bCs/>
          <w:sz w:val="24"/>
          <w:szCs w:val="24"/>
        </w:rPr>
        <w:t xml:space="preserve">Przedmiotowe zmiany dotyczyły m.in. </w:t>
      </w:r>
      <w:r w:rsidR="00F36944" w:rsidRPr="00F36944">
        <w:rPr>
          <w:rFonts w:ascii="Times New Roman" w:hAnsi="Times New Roman" w:cs="Times New Roman"/>
          <w:bCs/>
          <w:sz w:val="24"/>
          <w:szCs w:val="24"/>
        </w:rPr>
        <w:t>przekształceni</w:t>
      </w:r>
      <w:r w:rsidR="00F36944">
        <w:rPr>
          <w:rFonts w:ascii="Times New Roman" w:hAnsi="Times New Roman" w:cs="Times New Roman"/>
          <w:bCs/>
          <w:sz w:val="24"/>
          <w:szCs w:val="24"/>
        </w:rPr>
        <w:t>a</w:t>
      </w:r>
      <w:r w:rsidR="00F36944" w:rsidRPr="00F36944">
        <w:rPr>
          <w:rFonts w:ascii="Times New Roman" w:hAnsi="Times New Roman" w:cs="Times New Roman"/>
          <w:bCs/>
          <w:sz w:val="24"/>
          <w:szCs w:val="24"/>
        </w:rPr>
        <w:t xml:space="preserve"> członkostwa zakładów ubezpieczeń na uczestnictwo w informatycznej baz</w:t>
      </w:r>
      <w:r w:rsidR="00C75E90">
        <w:rPr>
          <w:rFonts w:ascii="Times New Roman" w:hAnsi="Times New Roman" w:cs="Times New Roman"/>
          <w:bCs/>
          <w:sz w:val="24"/>
          <w:szCs w:val="24"/>
        </w:rPr>
        <w:t>ie</w:t>
      </w:r>
      <w:r w:rsidR="00F36944" w:rsidRPr="00F36944">
        <w:rPr>
          <w:rFonts w:ascii="Times New Roman" w:hAnsi="Times New Roman" w:cs="Times New Roman"/>
          <w:bCs/>
          <w:sz w:val="24"/>
          <w:szCs w:val="24"/>
        </w:rPr>
        <w:t xml:space="preserve"> danych</w:t>
      </w:r>
      <w:r w:rsidR="00F36944">
        <w:rPr>
          <w:rFonts w:ascii="Times New Roman" w:hAnsi="Times New Roman" w:cs="Times New Roman"/>
          <w:bCs/>
          <w:sz w:val="24"/>
          <w:szCs w:val="24"/>
        </w:rPr>
        <w:t xml:space="preserve"> oraz związanego z tym zastąpienia pojęcia „składek” na „opłaty”</w:t>
      </w:r>
      <w:r w:rsidR="00DA51E7">
        <w:rPr>
          <w:rFonts w:ascii="Times New Roman" w:hAnsi="Times New Roman" w:cs="Times New Roman"/>
          <w:bCs/>
          <w:sz w:val="24"/>
          <w:szCs w:val="24"/>
        </w:rPr>
        <w:t>,</w:t>
      </w:r>
      <w:r w:rsidR="00F36944">
        <w:rPr>
          <w:rFonts w:ascii="Times New Roman" w:hAnsi="Times New Roman" w:cs="Times New Roman"/>
          <w:bCs/>
          <w:sz w:val="24"/>
          <w:szCs w:val="24"/>
        </w:rPr>
        <w:t xml:space="preserve"> jakie będą uiszczane </w:t>
      </w:r>
      <w:r w:rsidR="00DA51E7">
        <w:rPr>
          <w:rFonts w:ascii="Times New Roman" w:hAnsi="Times New Roman" w:cs="Times New Roman"/>
          <w:bCs/>
          <w:sz w:val="24"/>
          <w:szCs w:val="24"/>
        </w:rPr>
        <w:t xml:space="preserve">przez te zakłady ubezpieczeń </w:t>
      </w:r>
      <w:r w:rsidR="00F36944">
        <w:rPr>
          <w:rFonts w:ascii="Times New Roman" w:hAnsi="Times New Roman" w:cs="Times New Roman"/>
          <w:bCs/>
          <w:sz w:val="24"/>
          <w:szCs w:val="24"/>
        </w:rPr>
        <w:t xml:space="preserve">z tytułu uczestnictwa w </w:t>
      </w:r>
      <w:r w:rsidR="002E3139">
        <w:rPr>
          <w:rFonts w:ascii="Times New Roman" w:hAnsi="Times New Roman" w:cs="Times New Roman"/>
          <w:bCs/>
          <w:sz w:val="24"/>
          <w:szCs w:val="24"/>
        </w:rPr>
        <w:t xml:space="preserve">tej </w:t>
      </w:r>
      <w:r w:rsidR="00F36944">
        <w:rPr>
          <w:rFonts w:ascii="Times New Roman" w:hAnsi="Times New Roman" w:cs="Times New Roman"/>
          <w:bCs/>
          <w:sz w:val="24"/>
          <w:szCs w:val="24"/>
        </w:rPr>
        <w:t>bazie danych</w:t>
      </w:r>
      <w:r w:rsidR="002E3139">
        <w:rPr>
          <w:rFonts w:ascii="Times New Roman" w:hAnsi="Times New Roman" w:cs="Times New Roman"/>
          <w:bCs/>
          <w:sz w:val="24"/>
          <w:szCs w:val="24"/>
        </w:rPr>
        <w:t>.</w:t>
      </w:r>
    </w:p>
    <w:p w14:paraId="507886AE" w14:textId="27D8649A" w:rsidR="002E3139" w:rsidRDefault="002E3139" w:rsidP="007761E0">
      <w:pPr>
        <w:pStyle w:val="Bezodstpw"/>
        <w:spacing w:line="360" w:lineRule="auto"/>
        <w:jc w:val="both"/>
        <w:rPr>
          <w:rFonts w:ascii="Times New Roman" w:hAnsi="Times New Roman" w:cs="Times New Roman"/>
          <w:bCs/>
          <w:sz w:val="24"/>
          <w:szCs w:val="24"/>
        </w:rPr>
      </w:pPr>
      <w:r w:rsidRPr="002E3139">
        <w:rPr>
          <w:rFonts w:ascii="Times New Roman" w:hAnsi="Times New Roman" w:cs="Times New Roman"/>
          <w:bCs/>
          <w:sz w:val="24"/>
          <w:szCs w:val="24"/>
        </w:rPr>
        <w:t xml:space="preserve">Zgodnie z </w:t>
      </w:r>
      <w:r w:rsidR="00F36944">
        <w:rPr>
          <w:rFonts w:ascii="Times New Roman" w:hAnsi="Times New Roman" w:cs="Times New Roman"/>
          <w:bCs/>
          <w:sz w:val="24"/>
          <w:szCs w:val="24"/>
        </w:rPr>
        <w:t>art. 102a ust. 1 ustawy o ubezpieczeniach obowiązkowych</w:t>
      </w:r>
      <w:r w:rsidR="009C5AA7">
        <w:rPr>
          <w:rFonts w:ascii="Times New Roman" w:hAnsi="Times New Roman" w:cs="Times New Roman"/>
          <w:bCs/>
          <w:sz w:val="24"/>
          <w:szCs w:val="24"/>
        </w:rPr>
        <w:t xml:space="preserve">, do zadań Ubezpieczeniowego Funduszu Gwarancyjnego, zwanego dalej „Funduszem”, należy </w:t>
      </w:r>
      <w:r w:rsidR="009C5AA7" w:rsidRPr="009C5AA7">
        <w:rPr>
          <w:rFonts w:ascii="Times New Roman" w:hAnsi="Times New Roman" w:cs="Times New Roman"/>
          <w:bCs/>
          <w:sz w:val="24"/>
          <w:szCs w:val="24"/>
        </w:rPr>
        <w:t>tworzenie i prowadzenie informatycznej bazy danych w zakresie niezbędnym do identyfikacji, weryfikacji i przeciwdziałania naruszeniu interesów uczestników rynku ubezpieczeniowego, obejmującej w szczególności informacje o wypłaconych odszkodowaniach i świadczeniach z umów ubezpieczenia, o których mowa w dziale I lub II załącznika do ustawy o działalności ubezpieczeniowej.</w:t>
      </w:r>
      <w:r w:rsidR="009C5AA7">
        <w:rPr>
          <w:rFonts w:ascii="Times New Roman" w:hAnsi="Times New Roman" w:cs="Times New Roman"/>
          <w:bCs/>
          <w:sz w:val="24"/>
          <w:szCs w:val="24"/>
        </w:rPr>
        <w:t xml:space="preserve"> </w:t>
      </w:r>
      <w:r>
        <w:rPr>
          <w:rFonts w:ascii="Times New Roman" w:hAnsi="Times New Roman" w:cs="Times New Roman"/>
          <w:bCs/>
          <w:sz w:val="24"/>
          <w:szCs w:val="24"/>
        </w:rPr>
        <w:t>Jednocześnie z</w:t>
      </w:r>
      <w:r w:rsidRPr="002E3139">
        <w:rPr>
          <w:rFonts w:ascii="Times New Roman" w:hAnsi="Times New Roman" w:cs="Times New Roman"/>
          <w:bCs/>
          <w:sz w:val="24"/>
          <w:szCs w:val="24"/>
        </w:rPr>
        <w:t xml:space="preserve">akłady ubezpieczeń będące uczestnikami </w:t>
      </w:r>
      <w:r>
        <w:rPr>
          <w:rFonts w:ascii="Times New Roman" w:hAnsi="Times New Roman" w:cs="Times New Roman"/>
          <w:bCs/>
          <w:sz w:val="24"/>
          <w:szCs w:val="24"/>
        </w:rPr>
        <w:t xml:space="preserve">ww. </w:t>
      </w:r>
      <w:r w:rsidRPr="002E3139">
        <w:rPr>
          <w:rFonts w:ascii="Times New Roman" w:hAnsi="Times New Roman" w:cs="Times New Roman"/>
          <w:bCs/>
          <w:sz w:val="24"/>
          <w:szCs w:val="24"/>
        </w:rPr>
        <w:t>informatycznej bazy danych, z wyłączeniem członków Funduszu, o których mowa w art. 97 ust. 1 lub 2</w:t>
      </w:r>
      <w:r w:rsidR="00C75E90" w:rsidRPr="00C75E90">
        <w:rPr>
          <w:rFonts w:ascii="Times New Roman" w:hAnsi="Times New Roman" w:cs="Times New Roman"/>
          <w:bCs/>
          <w:sz w:val="24"/>
          <w:szCs w:val="24"/>
        </w:rPr>
        <w:t xml:space="preserve"> ustawy</w:t>
      </w:r>
      <w:r w:rsidR="009B27FE">
        <w:rPr>
          <w:rFonts w:ascii="Times New Roman" w:hAnsi="Times New Roman" w:cs="Times New Roman"/>
          <w:bCs/>
          <w:sz w:val="24"/>
          <w:szCs w:val="24"/>
        </w:rPr>
        <w:t xml:space="preserve"> z dnia 11 września 2015 r.</w:t>
      </w:r>
      <w:r w:rsidR="00C75E90" w:rsidRPr="00C75E90">
        <w:rPr>
          <w:rFonts w:ascii="Times New Roman" w:hAnsi="Times New Roman" w:cs="Times New Roman"/>
          <w:bCs/>
          <w:sz w:val="24"/>
          <w:szCs w:val="24"/>
        </w:rPr>
        <w:t xml:space="preserve"> o działalności ubezpieczeniowej</w:t>
      </w:r>
      <w:r w:rsidR="009B27FE">
        <w:rPr>
          <w:rFonts w:ascii="Times New Roman" w:hAnsi="Times New Roman" w:cs="Times New Roman"/>
          <w:bCs/>
          <w:sz w:val="24"/>
          <w:szCs w:val="24"/>
        </w:rPr>
        <w:t xml:space="preserve">  i reasekuracyjnej (Dz. U. z 2023 r. poz. 656, z późn. zm.)</w:t>
      </w:r>
      <w:r w:rsidRPr="002E3139">
        <w:rPr>
          <w:rFonts w:ascii="Times New Roman" w:hAnsi="Times New Roman" w:cs="Times New Roman"/>
          <w:bCs/>
          <w:sz w:val="24"/>
          <w:szCs w:val="24"/>
        </w:rPr>
        <w:t>, wnoszą na rzecz Funduszu opłatę z tytułu uczestnictwa w tej bazie</w:t>
      </w:r>
      <w:r>
        <w:rPr>
          <w:rFonts w:ascii="Times New Roman" w:hAnsi="Times New Roman" w:cs="Times New Roman"/>
          <w:bCs/>
          <w:sz w:val="24"/>
          <w:szCs w:val="24"/>
        </w:rPr>
        <w:t xml:space="preserve"> (art. 117 ust. 7 ustawy o ubezpieczeniach obowiązkowych). </w:t>
      </w:r>
      <w:r w:rsidRPr="002E3139">
        <w:rPr>
          <w:rFonts w:ascii="Times New Roman" w:hAnsi="Times New Roman" w:cs="Times New Roman"/>
          <w:bCs/>
          <w:sz w:val="24"/>
          <w:szCs w:val="24"/>
        </w:rPr>
        <w:t>Wysokość opłaty z tytułu uczestnictwa w informatycznej bazie danych jest wyliczana od składki przypisanej brutto</w:t>
      </w:r>
      <w:r>
        <w:rPr>
          <w:rFonts w:ascii="Times New Roman" w:hAnsi="Times New Roman" w:cs="Times New Roman"/>
          <w:bCs/>
          <w:sz w:val="24"/>
          <w:szCs w:val="24"/>
        </w:rPr>
        <w:t xml:space="preserve"> (</w:t>
      </w:r>
      <w:r w:rsidRPr="002E3139">
        <w:rPr>
          <w:rFonts w:ascii="Times New Roman" w:hAnsi="Times New Roman" w:cs="Times New Roman"/>
          <w:bCs/>
          <w:sz w:val="24"/>
          <w:szCs w:val="24"/>
        </w:rPr>
        <w:t xml:space="preserve">art. 117 ust. </w:t>
      </w:r>
      <w:r>
        <w:rPr>
          <w:rFonts w:ascii="Times New Roman" w:hAnsi="Times New Roman" w:cs="Times New Roman"/>
          <w:bCs/>
          <w:sz w:val="24"/>
          <w:szCs w:val="24"/>
        </w:rPr>
        <w:t>8</w:t>
      </w:r>
      <w:r w:rsidRPr="002E3139">
        <w:rPr>
          <w:rFonts w:ascii="Times New Roman" w:hAnsi="Times New Roman" w:cs="Times New Roman"/>
          <w:bCs/>
          <w:sz w:val="24"/>
          <w:szCs w:val="24"/>
        </w:rPr>
        <w:t xml:space="preserve"> ustawy o ubezpieczeniach obowiązkowych)</w:t>
      </w:r>
      <w:r>
        <w:rPr>
          <w:rFonts w:ascii="Times New Roman" w:hAnsi="Times New Roman" w:cs="Times New Roman"/>
          <w:bCs/>
          <w:sz w:val="24"/>
          <w:szCs w:val="24"/>
        </w:rPr>
        <w:t>.</w:t>
      </w:r>
    </w:p>
    <w:p w14:paraId="36157233" w14:textId="39ACE3F4" w:rsidR="00DA51E7" w:rsidRDefault="00F36944" w:rsidP="007761E0">
      <w:pPr>
        <w:pStyle w:val="Bezodstpw"/>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W wyniku wprowadzonych zmian </w:t>
      </w:r>
      <w:r w:rsidRPr="00C75E90">
        <w:rPr>
          <w:rFonts w:ascii="Times New Roman" w:hAnsi="Times New Roman" w:cs="Times New Roman"/>
          <w:bCs/>
          <w:sz w:val="24"/>
          <w:szCs w:val="24"/>
        </w:rPr>
        <w:t xml:space="preserve">nowe brzmienie otrzymał art. 117 ust. 9 ustawy o ubezpieczeniach obowiązkowych, zawierający upoważnienie ustawowe dla </w:t>
      </w:r>
      <w:r w:rsidR="00C75E90" w:rsidRPr="00C75E90">
        <w:rPr>
          <w:rFonts w:ascii="Times New Roman" w:hAnsi="Times New Roman" w:cs="Times New Roman"/>
          <w:bCs/>
          <w:sz w:val="24"/>
          <w:szCs w:val="24"/>
        </w:rPr>
        <w:t>m</w:t>
      </w:r>
      <w:r w:rsidR="00C75E90" w:rsidRPr="00C75E90">
        <w:rPr>
          <w:rFonts w:ascii="Times New Roman" w:hAnsi="Times New Roman" w:cs="Times New Roman"/>
          <w:sz w:val="24"/>
          <w:szCs w:val="24"/>
          <w:shd w:val="clear" w:color="auto" w:fill="FFFFFF"/>
        </w:rPr>
        <w:t>inistra właściwego do spraw instytucji finansowych</w:t>
      </w:r>
      <w:r w:rsidR="00C75E90" w:rsidRPr="00C75E90">
        <w:rPr>
          <w:rFonts w:ascii="Times New Roman" w:hAnsi="Times New Roman" w:cs="Times New Roman"/>
          <w:bCs/>
          <w:sz w:val="24"/>
          <w:szCs w:val="24"/>
        </w:rPr>
        <w:t xml:space="preserve"> </w:t>
      </w:r>
      <w:r w:rsidRPr="00C75E90">
        <w:rPr>
          <w:rFonts w:ascii="Times New Roman" w:hAnsi="Times New Roman" w:cs="Times New Roman"/>
          <w:bCs/>
          <w:sz w:val="24"/>
          <w:szCs w:val="24"/>
        </w:rPr>
        <w:t>do wydania rozporządzenia, które będzie regulowało wysokość opłaty wnoszonej przez zakł</w:t>
      </w:r>
      <w:r w:rsidRPr="00F36944">
        <w:rPr>
          <w:rFonts w:ascii="Times New Roman" w:hAnsi="Times New Roman" w:cs="Times New Roman"/>
          <w:bCs/>
          <w:sz w:val="24"/>
          <w:szCs w:val="24"/>
        </w:rPr>
        <w:t>ady ubezpieczeń na rzecz Funduszu oraz termin</w:t>
      </w:r>
      <w:r>
        <w:rPr>
          <w:rFonts w:ascii="Times New Roman" w:hAnsi="Times New Roman" w:cs="Times New Roman"/>
          <w:bCs/>
          <w:sz w:val="24"/>
          <w:szCs w:val="24"/>
        </w:rPr>
        <w:t xml:space="preserve">y </w:t>
      </w:r>
      <w:r w:rsidRPr="00F36944">
        <w:rPr>
          <w:rFonts w:ascii="Times New Roman" w:hAnsi="Times New Roman" w:cs="Times New Roman"/>
          <w:bCs/>
          <w:sz w:val="24"/>
          <w:szCs w:val="24"/>
        </w:rPr>
        <w:t xml:space="preserve">uiszczania tej </w:t>
      </w:r>
      <w:r>
        <w:rPr>
          <w:rFonts w:ascii="Times New Roman" w:hAnsi="Times New Roman" w:cs="Times New Roman"/>
          <w:bCs/>
          <w:sz w:val="24"/>
          <w:szCs w:val="24"/>
        </w:rPr>
        <w:t>opłaty.</w:t>
      </w:r>
    </w:p>
    <w:p w14:paraId="15AE4305" w14:textId="103AB270" w:rsidR="009E0F86" w:rsidRDefault="009E0F86" w:rsidP="007761E0">
      <w:pPr>
        <w:pStyle w:val="Bezodstpw"/>
        <w:spacing w:line="360" w:lineRule="auto"/>
        <w:jc w:val="both"/>
        <w:rPr>
          <w:rFonts w:ascii="Times New Roman" w:hAnsi="Times New Roman" w:cs="Times New Roman"/>
          <w:bCs/>
          <w:sz w:val="24"/>
          <w:szCs w:val="24"/>
        </w:rPr>
      </w:pPr>
      <w:r w:rsidRPr="007761E0">
        <w:rPr>
          <w:rFonts w:ascii="Times New Roman" w:hAnsi="Times New Roman" w:cs="Times New Roman"/>
          <w:bCs/>
          <w:sz w:val="24"/>
          <w:szCs w:val="24"/>
        </w:rPr>
        <w:t xml:space="preserve">W związku z tym powstaje konieczność wydania </w:t>
      </w:r>
      <w:r w:rsidR="009B27FE">
        <w:rPr>
          <w:rFonts w:ascii="Times New Roman" w:hAnsi="Times New Roman" w:cs="Times New Roman"/>
          <w:bCs/>
          <w:sz w:val="24"/>
          <w:szCs w:val="24"/>
        </w:rPr>
        <w:t xml:space="preserve">nowego </w:t>
      </w:r>
      <w:r w:rsidRPr="007761E0">
        <w:rPr>
          <w:rFonts w:ascii="Times New Roman" w:hAnsi="Times New Roman" w:cs="Times New Roman"/>
          <w:bCs/>
          <w:sz w:val="24"/>
          <w:szCs w:val="24"/>
        </w:rPr>
        <w:t xml:space="preserve">rozporządzenia </w:t>
      </w:r>
      <w:r w:rsidR="009B27FE">
        <w:rPr>
          <w:rFonts w:ascii="Times New Roman" w:hAnsi="Times New Roman" w:cs="Times New Roman"/>
          <w:bCs/>
          <w:sz w:val="24"/>
          <w:szCs w:val="24"/>
        </w:rPr>
        <w:t>ministra właściwego do spraw instytucji finansowych</w:t>
      </w:r>
      <w:r w:rsidRPr="007761E0">
        <w:rPr>
          <w:rFonts w:ascii="Times New Roman" w:hAnsi="Times New Roman" w:cs="Times New Roman"/>
          <w:bCs/>
          <w:sz w:val="24"/>
          <w:szCs w:val="24"/>
        </w:rPr>
        <w:t xml:space="preserve">. </w:t>
      </w:r>
    </w:p>
    <w:p w14:paraId="6119E04C" w14:textId="77777777" w:rsidR="00264525" w:rsidRPr="007761E0" w:rsidRDefault="00264525" w:rsidP="007761E0">
      <w:pPr>
        <w:pStyle w:val="Bezodstpw"/>
        <w:spacing w:line="360" w:lineRule="auto"/>
        <w:jc w:val="both"/>
        <w:rPr>
          <w:rFonts w:ascii="Times New Roman" w:hAnsi="Times New Roman" w:cs="Times New Roman"/>
          <w:bCs/>
          <w:sz w:val="24"/>
          <w:szCs w:val="24"/>
        </w:rPr>
      </w:pPr>
    </w:p>
    <w:p w14:paraId="1BA38AE6" w14:textId="77777777" w:rsidR="004077EF" w:rsidRPr="007761E0" w:rsidRDefault="004077EF" w:rsidP="007761E0">
      <w:pPr>
        <w:pStyle w:val="Bezodstpw"/>
        <w:numPr>
          <w:ilvl w:val="0"/>
          <w:numId w:val="24"/>
        </w:numPr>
        <w:spacing w:line="360" w:lineRule="auto"/>
        <w:ind w:left="720"/>
        <w:jc w:val="both"/>
        <w:rPr>
          <w:rFonts w:ascii="Times New Roman" w:hAnsi="Times New Roman" w:cs="Times New Roman"/>
          <w:b/>
          <w:bCs/>
          <w:sz w:val="24"/>
          <w:szCs w:val="24"/>
        </w:rPr>
      </w:pPr>
      <w:r w:rsidRPr="007761E0">
        <w:rPr>
          <w:rFonts w:ascii="Times New Roman" w:hAnsi="Times New Roman" w:cs="Times New Roman"/>
          <w:b/>
          <w:bCs/>
          <w:sz w:val="24"/>
          <w:szCs w:val="24"/>
        </w:rPr>
        <w:lastRenderedPageBreak/>
        <w:t>Rzeczywisty stan w dziedzinie, która ma być unormowana.</w:t>
      </w:r>
    </w:p>
    <w:p w14:paraId="6C145C9D" w14:textId="77777777" w:rsidR="00F36944" w:rsidRDefault="00BF61F7" w:rsidP="007761E0">
      <w:pPr>
        <w:pStyle w:val="Bezodstpw"/>
        <w:spacing w:line="360" w:lineRule="auto"/>
        <w:jc w:val="both"/>
        <w:rPr>
          <w:rFonts w:ascii="Times New Roman" w:hAnsi="Times New Roman" w:cs="Times New Roman"/>
          <w:bCs/>
          <w:sz w:val="24"/>
          <w:szCs w:val="24"/>
        </w:rPr>
      </w:pPr>
      <w:r w:rsidRPr="007761E0">
        <w:rPr>
          <w:rFonts w:ascii="Times New Roman" w:hAnsi="Times New Roman" w:cs="Times New Roman"/>
          <w:bCs/>
          <w:sz w:val="24"/>
          <w:szCs w:val="24"/>
        </w:rPr>
        <w:t xml:space="preserve">Obecnie przedmiotowe kwestie są regulowane przez rozporządzenie Ministra Finansów z dnia </w:t>
      </w:r>
      <w:r w:rsidR="00F36944" w:rsidRPr="00F36944">
        <w:rPr>
          <w:rFonts w:ascii="Times New Roman" w:hAnsi="Times New Roman" w:cs="Times New Roman"/>
          <w:bCs/>
          <w:sz w:val="24"/>
          <w:szCs w:val="24"/>
        </w:rPr>
        <w:t>11 marca 2020 r. w sprawie wysokości składki wnoszonej przez zakłady ubezpieczeń na rzecz Ubezpieczeniowego Funduszu Gwarancyjnego oraz terminów uiszczania tej składki (Dz. U. poz. 484).</w:t>
      </w:r>
    </w:p>
    <w:p w14:paraId="6431E2AD" w14:textId="77777777" w:rsidR="006B4E53" w:rsidRDefault="006B4E53" w:rsidP="007761E0">
      <w:pPr>
        <w:pStyle w:val="Bezodstpw"/>
        <w:spacing w:line="360" w:lineRule="auto"/>
        <w:jc w:val="both"/>
        <w:rPr>
          <w:rFonts w:ascii="Times New Roman" w:hAnsi="Times New Roman" w:cs="Times New Roman"/>
          <w:bCs/>
          <w:sz w:val="24"/>
          <w:szCs w:val="24"/>
        </w:rPr>
      </w:pPr>
    </w:p>
    <w:p w14:paraId="68D1F990" w14:textId="70443C7B" w:rsidR="004077EF" w:rsidRPr="007761E0" w:rsidRDefault="004077EF" w:rsidP="007761E0">
      <w:pPr>
        <w:pStyle w:val="Bezodstpw"/>
        <w:numPr>
          <w:ilvl w:val="0"/>
          <w:numId w:val="24"/>
        </w:numPr>
        <w:spacing w:line="360" w:lineRule="auto"/>
        <w:ind w:left="720"/>
        <w:jc w:val="both"/>
        <w:rPr>
          <w:rFonts w:ascii="Times New Roman" w:hAnsi="Times New Roman" w:cs="Times New Roman"/>
          <w:bCs/>
          <w:sz w:val="24"/>
          <w:szCs w:val="24"/>
        </w:rPr>
      </w:pPr>
      <w:r w:rsidRPr="007761E0">
        <w:rPr>
          <w:rFonts w:ascii="Times New Roman" w:hAnsi="Times New Roman" w:cs="Times New Roman"/>
          <w:b/>
          <w:bCs/>
          <w:sz w:val="24"/>
          <w:szCs w:val="24"/>
        </w:rPr>
        <w:t>Różnica pomiędzy dotychczasowym a projektowanym stanem prawnym</w:t>
      </w:r>
      <w:r w:rsidR="00264525">
        <w:rPr>
          <w:rFonts w:ascii="Times New Roman" w:hAnsi="Times New Roman" w:cs="Times New Roman"/>
          <w:b/>
          <w:bCs/>
          <w:sz w:val="24"/>
          <w:szCs w:val="24"/>
        </w:rPr>
        <w:t>.</w:t>
      </w:r>
    </w:p>
    <w:p w14:paraId="7F763D4E" w14:textId="749CF2D5" w:rsidR="003678CF" w:rsidRDefault="00DA51E7" w:rsidP="007761E0">
      <w:pPr>
        <w:pStyle w:val="Bezodstpw"/>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Mając na uwadze wprowadzone zmiany ustawowe polegające na zastąpieniu pojęcia „składek” </w:t>
      </w:r>
      <w:r w:rsidR="00D84EB0">
        <w:rPr>
          <w:rFonts w:ascii="Times New Roman" w:hAnsi="Times New Roman" w:cs="Times New Roman"/>
          <w:bCs/>
          <w:sz w:val="24"/>
          <w:szCs w:val="24"/>
        </w:rPr>
        <w:t xml:space="preserve">pojęciem </w:t>
      </w:r>
      <w:r w:rsidR="00680D70">
        <w:rPr>
          <w:rFonts w:ascii="Times New Roman" w:hAnsi="Times New Roman" w:cs="Times New Roman"/>
          <w:bCs/>
          <w:sz w:val="24"/>
          <w:szCs w:val="24"/>
        </w:rPr>
        <w:t>„</w:t>
      </w:r>
      <w:r w:rsidR="00D84EB0">
        <w:rPr>
          <w:rFonts w:ascii="Times New Roman" w:hAnsi="Times New Roman" w:cs="Times New Roman"/>
          <w:bCs/>
          <w:sz w:val="24"/>
          <w:szCs w:val="24"/>
        </w:rPr>
        <w:t>opłaty”, w</w:t>
      </w:r>
      <w:r w:rsidR="0008456C">
        <w:rPr>
          <w:rFonts w:ascii="Times New Roman" w:hAnsi="Times New Roman" w:cs="Times New Roman"/>
          <w:bCs/>
          <w:sz w:val="24"/>
          <w:szCs w:val="24"/>
        </w:rPr>
        <w:t xml:space="preserve"> projektowany</w:t>
      </w:r>
      <w:r w:rsidR="00D84EB0">
        <w:rPr>
          <w:rFonts w:ascii="Times New Roman" w:hAnsi="Times New Roman" w:cs="Times New Roman"/>
          <w:bCs/>
          <w:sz w:val="24"/>
          <w:szCs w:val="24"/>
        </w:rPr>
        <w:t>m</w:t>
      </w:r>
      <w:r w:rsidR="0008456C">
        <w:rPr>
          <w:rFonts w:ascii="Times New Roman" w:hAnsi="Times New Roman" w:cs="Times New Roman"/>
          <w:bCs/>
          <w:sz w:val="24"/>
          <w:szCs w:val="24"/>
        </w:rPr>
        <w:t xml:space="preserve"> </w:t>
      </w:r>
      <w:r w:rsidR="00D84EB0">
        <w:rPr>
          <w:rFonts w:ascii="Times New Roman" w:hAnsi="Times New Roman" w:cs="Times New Roman"/>
          <w:bCs/>
          <w:sz w:val="24"/>
          <w:szCs w:val="24"/>
        </w:rPr>
        <w:t xml:space="preserve">rozporządzeniu wprowadzono analogiczne zmiany, w wyniku których </w:t>
      </w:r>
      <w:r w:rsidR="009932A4">
        <w:rPr>
          <w:rFonts w:ascii="Times New Roman" w:hAnsi="Times New Roman" w:cs="Times New Roman"/>
          <w:bCs/>
          <w:sz w:val="24"/>
          <w:szCs w:val="24"/>
        </w:rPr>
        <w:t xml:space="preserve">w jednostkach redakcyjnych posługujących się </w:t>
      </w:r>
      <w:r w:rsidR="00D84EB0">
        <w:rPr>
          <w:rFonts w:ascii="Times New Roman" w:hAnsi="Times New Roman" w:cs="Times New Roman"/>
          <w:bCs/>
          <w:sz w:val="24"/>
          <w:szCs w:val="24"/>
        </w:rPr>
        <w:t>zwrot</w:t>
      </w:r>
      <w:r w:rsidR="009932A4">
        <w:rPr>
          <w:rFonts w:ascii="Times New Roman" w:hAnsi="Times New Roman" w:cs="Times New Roman"/>
          <w:bCs/>
          <w:sz w:val="24"/>
          <w:szCs w:val="24"/>
        </w:rPr>
        <w:t>em</w:t>
      </w:r>
      <w:r w:rsidR="00D84EB0">
        <w:rPr>
          <w:rFonts w:ascii="Times New Roman" w:hAnsi="Times New Roman" w:cs="Times New Roman"/>
          <w:bCs/>
          <w:sz w:val="24"/>
          <w:szCs w:val="24"/>
        </w:rPr>
        <w:t xml:space="preserve"> „składka” </w:t>
      </w:r>
      <w:r w:rsidR="009932A4">
        <w:rPr>
          <w:rFonts w:ascii="Times New Roman" w:hAnsi="Times New Roman" w:cs="Times New Roman"/>
          <w:bCs/>
          <w:sz w:val="24"/>
          <w:szCs w:val="24"/>
        </w:rPr>
        <w:t xml:space="preserve">wprowadzono </w:t>
      </w:r>
      <w:r w:rsidR="00111B83">
        <w:rPr>
          <w:rFonts w:ascii="Times New Roman" w:hAnsi="Times New Roman" w:cs="Times New Roman"/>
          <w:bCs/>
          <w:sz w:val="24"/>
          <w:szCs w:val="24"/>
        </w:rPr>
        <w:t xml:space="preserve">pojęcie </w:t>
      </w:r>
      <w:r w:rsidR="00D84EB0">
        <w:rPr>
          <w:rFonts w:ascii="Times New Roman" w:hAnsi="Times New Roman" w:cs="Times New Roman"/>
          <w:bCs/>
          <w:sz w:val="24"/>
          <w:szCs w:val="24"/>
        </w:rPr>
        <w:t>„opłat</w:t>
      </w:r>
      <w:r w:rsidR="00111B83">
        <w:rPr>
          <w:rFonts w:ascii="Times New Roman" w:hAnsi="Times New Roman" w:cs="Times New Roman"/>
          <w:bCs/>
          <w:sz w:val="24"/>
          <w:szCs w:val="24"/>
        </w:rPr>
        <w:t>y</w:t>
      </w:r>
      <w:r w:rsidR="00D84EB0">
        <w:rPr>
          <w:rFonts w:ascii="Times New Roman" w:hAnsi="Times New Roman" w:cs="Times New Roman"/>
          <w:bCs/>
          <w:sz w:val="24"/>
          <w:szCs w:val="24"/>
        </w:rPr>
        <w:t xml:space="preserve">”. </w:t>
      </w:r>
      <w:r w:rsidR="00111B83">
        <w:rPr>
          <w:rFonts w:ascii="Times New Roman" w:hAnsi="Times New Roman" w:cs="Times New Roman"/>
          <w:bCs/>
          <w:sz w:val="24"/>
          <w:szCs w:val="24"/>
        </w:rPr>
        <w:t xml:space="preserve">Regulacje dotyczące wysokości opłaty z tytułu uczestnictwa w informatycznej bazie danych </w:t>
      </w:r>
      <w:r w:rsidR="00AA1258">
        <w:rPr>
          <w:rFonts w:ascii="Times New Roman" w:hAnsi="Times New Roman" w:cs="Times New Roman"/>
          <w:bCs/>
          <w:sz w:val="24"/>
          <w:szCs w:val="24"/>
        </w:rPr>
        <w:t xml:space="preserve">oraz terminów jej uiszczania </w:t>
      </w:r>
      <w:r w:rsidR="003678CF">
        <w:rPr>
          <w:rFonts w:ascii="Times New Roman" w:hAnsi="Times New Roman" w:cs="Times New Roman"/>
          <w:bCs/>
          <w:sz w:val="24"/>
          <w:szCs w:val="24"/>
        </w:rPr>
        <w:t xml:space="preserve">zostały oparte o </w:t>
      </w:r>
      <w:r w:rsidR="00AA1258">
        <w:rPr>
          <w:rFonts w:ascii="Times New Roman" w:hAnsi="Times New Roman" w:cs="Times New Roman"/>
          <w:bCs/>
          <w:sz w:val="24"/>
          <w:szCs w:val="24"/>
        </w:rPr>
        <w:t xml:space="preserve">dotychczasowe </w:t>
      </w:r>
      <w:r w:rsidR="003678CF">
        <w:rPr>
          <w:rFonts w:ascii="Times New Roman" w:hAnsi="Times New Roman" w:cs="Times New Roman"/>
          <w:bCs/>
          <w:sz w:val="24"/>
          <w:szCs w:val="24"/>
        </w:rPr>
        <w:t xml:space="preserve">rozwiązania </w:t>
      </w:r>
      <w:r w:rsidR="00AA1258">
        <w:rPr>
          <w:rFonts w:ascii="Times New Roman" w:hAnsi="Times New Roman" w:cs="Times New Roman"/>
          <w:bCs/>
          <w:sz w:val="24"/>
          <w:szCs w:val="24"/>
        </w:rPr>
        <w:t xml:space="preserve">z uwzględnieniem nowych </w:t>
      </w:r>
      <w:r w:rsidR="003678CF">
        <w:rPr>
          <w:rFonts w:ascii="Times New Roman" w:hAnsi="Times New Roman" w:cs="Times New Roman"/>
          <w:bCs/>
          <w:sz w:val="24"/>
          <w:szCs w:val="24"/>
        </w:rPr>
        <w:t>pojęć</w:t>
      </w:r>
      <w:r w:rsidR="00D975CA">
        <w:rPr>
          <w:rFonts w:ascii="Times New Roman" w:hAnsi="Times New Roman" w:cs="Times New Roman"/>
          <w:bCs/>
          <w:sz w:val="24"/>
          <w:szCs w:val="24"/>
        </w:rPr>
        <w:t xml:space="preserve">. Dodatkowo przeformułowano brzmienie przepisu określającego wysokość opłaty </w:t>
      </w:r>
      <w:r w:rsidR="00D975CA" w:rsidRPr="00D975CA">
        <w:rPr>
          <w:rFonts w:ascii="Times New Roman" w:hAnsi="Times New Roman" w:cs="Times New Roman"/>
          <w:bCs/>
          <w:sz w:val="24"/>
          <w:szCs w:val="24"/>
        </w:rPr>
        <w:t>z tytułu uczestnictwa w informatycznej bazie danych</w:t>
      </w:r>
      <w:r w:rsidR="00D975CA">
        <w:rPr>
          <w:rFonts w:ascii="Times New Roman" w:hAnsi="Times New Roman" w:cs="Times New Roman"/>
          <w:bCs/>
          <w:sz w:val="24"/>
          <w:szCs w:val="24"/>
        </w:rPr>
        <w:t>.</w:t>
      </w:r>
    </w:p>
    <w:p w14:paraId="254EE428" w14:textId="77777777" w:rsidR="003D37A3" w:rsidRDefault="003678CF" w:rsidP="00C0735D">
      <w:pPr>
        <w:pStyle w:val="Bezodstpw"/>
        <w:spacing w:line="360" w:lineRule="auto"/>
        <w:jc w:val="both"/>
        <w:rPr>
          <w:rFonts w:ascii="Times New Roman" w:hAnsi="Times New Roman" w:cs="Times New Roman"/>
          <w:bCs/>
          <w:sz w:val="24"/>
          <w:szCs w:val="24"/>
        </w:rPr>
      </w:pPr>
      <w:r>
        <w:rPr>
          <w:rFonts w:ascii="Times New Roman" w:hAnsi="Times New Roman" w:cs="Times New Roman"/>
          <w:bCs/>
          <w:sz w:val="24"/>
          <w:szCs w:val="24"/>
        </w:rPr>
        <w:t>Zakłady ubezpieczeń</w:t>
      </w:r>
      <w:r w:rsidR="00AA1258">
        <w:rPr>
          <w:rFonts w:ascii="Times New Roman" w:hAnsi="Times New Roman" w:cs="Times New Roman"/>
          <w:bCs/>
          <w:sz w:val="24"/>
          <w:szCs w:val="24"/>
        </w:rPr>
        <w:t xml:space="preserve"> </w:t>
      </w:r>
      <w:r w:rsidR="008E3FE2" w:rsidRPr="008E3FE2">
        <w:rPr>
          <w:rFonts w:ascii="Times New Roman" w:hAnsi="Times New Roman" w:cs="Times New Roman"/>
          <w:bCs/>
          <w:sz w:val="24"/>
          <w:szCs w:val="24"/>
        </w:rPr>
        <w:t xml:space="preserve">będące uczestnikami informatycznej bazy danych, z wyłączeniem </w:t>
      </w:r>
      <w:r w:rsidR="008E3FE2">
        <w:rPr>
          <w:rFonts w:ascii="Times New Roman" w:hAnsi="Times New Roman" w:cs="Times New Roman"/>
          <w:bCs/>
          <w:sz w:val="24"/>
          <w:szCs w:val="24"/>
        </w:rPr>
        <w:t xml:space="preserve">określonej grupy zakładów ubezpieczeń, tj. wskazanych zakładów </w:t>
      </w:r>
      <w:r w:rsidR="003D101E">
        <w:rPr>
          <w:rFonts w:ascii="Times New Roman" w:hAnsi="Times New Roman" w:cs="Times New Roman"/>
          <w:bCs/>
          <w:sz w:val="24"/>
          <w:szCs w:val="24"/>
        </w:rPr>
        <w:t xml:space="preserve">ubezpieczeń </w:t>
      </w:r>
      <w:r w:rsidR="008E3FE2">
        <w:rPr>
          <w:rFonts w:ascii="Times New Roman" w:hAnsi="Times New Roman" w:cs="Times New Roman"/>
          <w:bCs/>
          <w:sz w:val="24"/>
          <w:szCs w:val="24"/>
        </w:rPr>
        <w:t xml:space="preserve">będących członkami </w:t>
      </w:r>
      <w:r w:rsidR="008E3FE2" w:rsidRPr="008E3FE2">
        <w:rPr>
          <w:rFonts w:ascii="Times New Roman" w:hAnsi="Times New Roman" w:cs="Times New Roman"/>
          <w:bCs/>
          <w:sz w:val="24"/>
          <w:szCs w:val="24"/>
        </w:rPr>
        <w:t>Funduszu,</w:t>
      </w:r>
      <w:r w:rsidR="008E3FE2">
        <w:rPr>
          <w:rFonts w:ascii="Times New Roman" w:hAnsi="Times New Roman" w:cs="Times New Roman"/>
          <w:bCs/>
          <w:sz w:val="24"/>
          <w:szCs w:val="24"/>
        </w:rPr>
        <w:t xml:space="preserve"> będą wnosiły </w:t>
      </w:r>
      <w:r w:rsidR="008E3FE2" w:rsidRPr="008E3FE2">
        <w:rPr>
          <w:rFonts w:ascii="Times New Roman" w:hAnsi="Times New Roman" w:cs="Times New Roman"/>
          <w:bCs/>
          <w:sz w:val="24"/>
          <w:szCs w:val="24"/>
        </w:rPr>
        <w:t>na rzecz Funduszu opłatę z tytułu uczestnictwa w tej bazie</w:t>
      </w:r>
      <w:r w:rsidR="008E3FE2">
        <w:rPr>
          <w:rFonts w:ascii="Times New Roman" w:hAnsi="Times New Roman" w:cs="Times New Roman"/>
          <w:bCs/>
          <w:sz w:val="24"/>
          <w:szCs w:val="24"/>
        </w:rPr>
        <w:t xml:space="preserve">. </w:t>
      </w:r>
    </w:p>
    <w:p w14:paraId="741E3995" w14:textId="2AD22E59" w:rsidR="00C0735D" w:rsidRDefault="002348F6" w:rsidP="00C0735D">
      <w:pPr>
        <w:pStyle w:val="Bezodstpw"/>
        <w:spacing w:line="360" w:lineRule="auto"/>
        <w:jc w:val="both"/>
        <w:rPr>
          <w:rFonts w:ascii="Times New Roman" w:hAnsi="Times New Roman" w:cs="Times New Roman"/>
          <w:bCs/>
          <w:sz w:val="24"/>
          <w:szCs w:val="24"/>
        </w:rPr>
      </w:pPr>
      <w:r>
        <w:rPr>
          <w:rFonts w:ascii="Times New Roman" w:hAnsi="Times New Roman" w:cs="Times New Roman"/>
          <w:bCs/>
          <w:sz w:val="24"/>
          <w:szCs w:val="24"/>
        </w:rPr>
        <w:t>Wysokość o</w:t>
      </w:r>
      <w:r w:rsidR="008E3FE2">
        <w:rPr>
          <w:rFonts w:ascii="Times New Roman" w:hAnsi="Times New Roman" w:cs="Times New Roman"/>
          <w:bCs/>
          <w:sz w:val="24"/>
          <w:szCs w:val="24"/>
        </w:rPr>
        <w:t>płat</w:t>
      </w:r>
      <w:r>
        <w:rPr>
          <w:rFonts w:ascii="Times New Roman" w:hAnsi="Times New Roman" w:cs="Times New Roman"/>
          <w:bCs/>
          <w:sz w:val="24"/>
          <w:szCs w:val="24"/>
        </w:rPr>
        <w:t xml:space="preserve">y została utrzymana na obecnie obowiązującym poziomie i będzie wynosiła </w:t>
      </w:r>
      <w:r w:rsidRPr="002348F6">
        <w:rPr>
          <w:rFonts w:ascii="Times New Roman" w:hAnsi="Times New Roman" w:cs="Times New Roman"/>
          <w:bCs/>
          <w:sz w:val="24"/>
          <w:szCs w:val="24"/>
        </w:rPr>
        <w:t>0,008% składki przypisanej brutto</w:t>
      </w:r>
      <w:r w:rsidR="002325D8">
        <w:rPr>
          <w:rFonts w:ascii="Times New Roman" w:hAnsi="Times New Roman" w:cs="Times New Roman"/>
          <w:bCs/>
          <w:sz w:val="24"/>
          <w:szCs w:val="24"/>
        </w:rPr>
        <w:t xml:space="preserve">, </w:t>
      </w:r>
      <w:r w:rsidR="003D37A3" w:rsidRPr="003D37A3">
        <w:rPr>
          <w:rFonts w:ascii="Times New Roman" w:hAnsi="Times New Roman" w:cs="Times New Roman"/>
          <w:bCs/>
          <w:sz w:val="24"/>
          <w:szCs w:val="24"/>
        </w:rPr>
        <w:t>w ubezpieczeniach, o których mowa w załączniku do ustawy z dnia 11 września 2015 r. o działalności ubezpieczeniowej i reasekuracyjnej</w:t>
      </w:r>
      <w:r w:rsidR="003D37A3">
        <w:rPr>
          <w:rFonts w:ascii="Times New Roman" w:hAnsi="Times New Roman" w:cs="Times New Roman"/>
          <w:bCs/>
          <w:sz w:val="24"/>
          <w:szCs w:val="24"/>
        </w:rPr>
        <w:t xml:space="preserve">, </w:t>
      </w:r>
      <w:r w:rsidR="002325D8">
        <w:rPr>
          <w:rFonts w:ascii="Times New Roman" w:hAnsi="Times New Roman" w:cs="Times New Roman"/>
          <w:bCs/>
          <w:sz w:val="24"/>
          <w:szCs w:val="24"/>
        </w:rPr>
        <w:t>w roku poprzedzającym rok, za który opłata b</w:t>
      </w:r>
      <w:r w:rsidR="00D975CA">
        <w:rPr>
          <w:rFonts w:ascii="Times New Roman" w:hAnsi="Times New Roman" w:cs="Times New Roman"/>
          <w:bCs/>
          <w:sz w:val="24"/>
          <w:szCs w:val="24"/>
        </w:rPr>
        <w:t xml:space="preserve">ędzie </w:t>
      </w:r>
      <w:r w:rsidR="002325D8">
        <w:rPr>
          <w:rFonts w:ascii="Times New Roman" w:hAnsi="Times New Roman" w:cs="Times New Roman"/>
          <w:bCs/>
          <w:sz w:val="24"/>
          <w:szCs w:val="24"/>
        </w:rPr>
        <w:t>uiszczana</w:t>
      </w:r>
      <w:r>
        <w:rPr>
          <w:rFonts w:ascii="Times New Roman" w:hAnsi="Times New Roman" w:cs="Times New Roman"/>
          <w:bCs/>
          <w:sz w:val="24"/>
          <w:szCs w:val="24"/>
        </w:rPr>
        <w:t xml:space="preserve">, nie mniej </w:t>
      </w:r>
      <w:r w:rsidR="003D37A3">
        <w:rPr>
          <w:rFonts w:ascii="Times New Roman" w:hAnsi="Times New Roman" w:cs="Times New Roman"/>
          <w:bCs/>
          <w:sz w:val="24"/>
          <w:szCs w:val="24"/>
        </w:rPr>
        <w:t xml:space="preserve">jednak </w:t>
      </w:r>
      <w:r>
        <w:rPr>
          <w:rFonts w:ascii="Times New Roman" w:hAnsi="Times New Roman" w:cs="Times New Roman"/>
          <w:bCs/>
          <w:sz w:val="24"/>
          <w:szCs w:val="24"/>
        </w:rPr>
        <w:t>niż 50 000 zł</w:t>
      </w:r>
      <w:r w:rsidR="00D975CA">
        <w:rPr>
          <w:rFonts w:ascii="Times New Roman" w:hAnsi="Times New Roman" w:cs="Times New Roman"/>
          <w:bCs/>
          <w:sz w:val="24"/>
          <w:szCs w:val="24"/>
        </w:rPr>
        <w:t xml:space="preserve">. W </w:t>
      </w:r>
      <w:r w:rsidR="00C0735D" w:rsidRPr="00C0735D">
        <w:rPr>
          <w:rFonts w:ascii="Times New Roman" w:hAnsi="Times New Roman" w:cs="Times New Roman"/>
          <w:bCs/>
          <w:sz w:val="24"/>
          <w:szCs w:val="24"/>
        </w:rPr>
        <w:t xml:space="preserve">pierwszym roku wykonywania przez zakład ubezpieczeń działalności ubezpieczeniowej opłata </w:t>
      </w:r>
      <w:r w:rsidR="00C0735D">
        <w:rPr>
          <w:rFonts w:ascii="Times New Roman" w:hAnsi="Times New Roman" w:cs="Times New Roman"/>
          <w:bCs/>
          <w:sz w:val="24"/>
          <w:szCs w:val="24"/>
        </w:rPr>
        <w:t xml:space="preserve">będzie </w:t>
      </w:r>
      <w:r w:rsidR="00C0735D" w:rsidRPr="00C0735D">
        <w:rPr>
          <w:rFonts w:ascii="Times New Roman" w:hAnsi="Times New Roman" w:cs="Times New Roman"/>
          <w:bCs/>
          <w:sz w:val="24"/>
          <w:szCs w:val="24"/>
        </w:rPr>
        <w:t>wynosi</w:t>
      </w:r>
      <w:r w:rsidR="00C0735D">
        <w:rPr>
          <w:rFonts w:ascii="Times New Roman" w:hAnsi="Times New Roman" w:cs="Times New Roman"/>
          <w:bCs/>
          <w:sz w:val="24"/>
          <w:szCs w:val="24"/>
        </w:rPr>
        <w:t>ła</w:t>
      </w:r>
      <w:r w:rsidR="00C0735D" w:rsidRPr="00C0735D">
        <w:rPr>
          <w:rFonts w:ascii="Times New Roman" w:hAnsi="Times New Roman" w:cs="Times New Roman"/>
          <w:bCs/>
          <w:sz w:val="24"/>
          <w:szCs w:val="24"/>
        </w:rPr>
        <w:t xml:space="preserve"> 50 000 zł.</w:t>
      </w:r>
      <w:r w:rsidR="00D753C7">
        <w:rPr>
          <w:rFonts w:ascii="Times New Roman" w:hAnsi="Times New Roman" w:cs="Times New Roman"/>
          <w:bCs/>
          <w:sz w:val="24"/>
          <w:szCs w:val="24"/>
        </w:rPr>
        <w:t xml:space="preserve"> </w:t>
      </w:r>
    </w:p>
    <w:p w14:paraId="38C870C9" w14:textId="59B7FF85" w:rsidR="005A3897" w:rsidRDefault="005A3897" w:rsidP="00EC491E">
      <w:pPr>
        <w:pStyle w:val="Bezodstpw"/>
        <w:spacing w:line="360" w:lineRule="auto"/>
        <w:jc w:val="both"/>
        <w:rPr>
          <w:rFonts w:ascii="Times New Roman" w:hAnsi="Times New Roman" w:cs="Times New Roman"/>
          <w:bCs/>
          <w:sz w:val="24"/>
          <w:szCs w:val="24"/>
        </w:rPr>
      </w:pPr>
      <w:r w:rsidRPr="005A3897">
        <w:rPr>
          <w:rFonts w:ascii="Times New Roman" w:hAnsi="Times New Roman" w:cs="Times New Roman"/>
          <w:bCs/>
          <w:sz w:val="24"/>
          <w:szCs w:val="24"/>
        </w:rPr>
        <w:t xml:space="preserve">Projekt rozporządzenia utrzymuje dotychczasowe regulacje </w:t>
      </w:r>
      <w:r w:rsidR="00B42814">
        <w:rPr>
          <w:rFonts w:ascii="Times New Roman" w:hAnsi="Times New Roman" w:cs="Times New Roman"/>
          <w:bCs/>
          <w:sz w:val="24"/>
          <w:szCs w:val="24"/>
        </w:rPr>
        <w:t xml:space="preserve">w zakresie wyznaczenia wysokości opłaty </w:t>
      </w:r>
      <w:r w:rsidRPr="005A3897">
        <w:rPr>
          <w:rFonts w:ascii="Times New Roman" w:hAnsi="Times New Roman" w:cs="Times New Roman"/>
          <w:bCs/>
          <w:sz w:val="24"/>
          <w:szCs w:val="24"/>
        </w:rPr>
        <w:t>za rok, w którym zakład ubezpieczeń po raz pierwszy przekazał do Funduszu lub otrzymał od Funduszu dane z informatycznej bazy danych</w:t>
      </w:r>
      <w:r w:rsidR="00B42814">
        <w:rPr>
          <w:rFonts w:ascii="Times New Roman" w:hAnsi="Times New Roman" w:cs="Times New Roman"/>
          <w:bCs/>
          <w:sz w:val="24"/>
          <w:szCs w:val="24"/>
        </w:rPr>
        <w:t xml:space="preserve">. </w:t>
      </w:r>
      <w:r w:rsidR="00B1742B">
        <w:rPr>
          <w:rFonts w:ascii="Times New Roman" w:hAnsi="Times New Roman" w:cs="Times New Roman"/>
          <w:bCs/>
          <w:sz w:val="24"/>
          <w:szCs w:val="24"/>
        </w:rPr>
        <w:t xml:space="preserve">W roku, w którym po raz pierwszy zostaną przekazane lub otrzymane ww. dane, wysokość opłaty za dany rok będzie stanowiła iloczyn opłaty należnej za pełny rok kalendarzowy oraz wartości współczynnika równego ilorazowi liczby pełnych miesięcy w roku kalendarzowym następującym po miesiącu, </w:t>
      </w:r>
      <w:r w:rsidR="00B1742B" w:rsidRPr="00B1742B">
        <w:rPr>
          <w:rFonts w:ascii="Times New Roman" w:hAnsi="Times New Roman" w:cs="Times New Roman"/>
          <w:bCs/>
          <w:sz w:val="24"/>
          <w:szCs w:val="24"/>
        </w:rPr>
        <w:t>od którego powstał obowiązek uiszczenia opłaty i liczby wszystkich miesięcy w roku kalendarzowym.</w:t>
      </w:r>
    </w:p>
    <w:p w14:paraId="659773B6" w14:textId="4A6EEE59" w:rsidR="006F35CB" w:rsidRPr="006F35CB" w:rsidRDefault="00EC491E" w:rsidP="00B437B4">
      <w:pPr>
        <w:pStyle w:val="Bezodstpw"/>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Projekt rozporządzenia </w:t>
      </w:r>
      <w:r w:rsidR="00997FDC">
        <w:rPr>
          <w:rFonts w:ascii="Times New Roman" w:hAnsi="Times New Roman" w:cs="Times New Roman"/>
          <w:bCs/>
          <w:sz w:val="24"/>
          <w:szCs w:val="24"/>
        </w:rPr>
        <w:t>u</w:t>
      </w:r>
      <w:r>
        <w:rPr>
          <w:rFonts w:ascii="Times New Roman" w:hAnsi="Times New Roman" w:cs="Times New Roman"/>
          <w:bCs/>
          <w:sz w:val="24"/>
          <w:szCs w:val="24"/>
        </w:rPr>
        <w:t xml:space="preserve">trzymuje dotychczasowe terminy uiszczania opłaty </w:t>
      </w:r>
      <w:r w:rsidR="006F35CB">
        <w:rPr>
          <w:rFonts w:ascii="Times New Roman" w:hAnsi="Times New Roman" w:cs="Times New Roman"/>
          <w:bCs/>
          <w:sz w:val="24"/>
          <w:szCs w:val="24"/>
        </w:rPr>
        <w:t>z tytułu uczestnictwa w informatycznej bazie danych. Co do zasady o</w:t>
      </w:r>
      <w:r w:rsidR="006F35CB" w:rsidRPr="006F35CB">
        <w:rPr>
          <w:rFonts w:ascii="Times New Roman" w:hAnsi="Times New Roman" w:cs="Times New Roman"/>
          <w:bCs/>
          <w:sz w:val="24"/>
          <w:szCs w:val="24"/>
        </w:rPr>
        <w:t>płat</w:t>
      </w:r>
      <w:r w:rsidR="006F35CB">
        <w:rPr>
          <w:rFonts w:ascii="Times New Roman" w:hAnsi="Times New Roman" w:cs="Times New Roman"/>
          <w:bCs/>
          <w:sz w:val="24"/>
          <w:szCs w:val="24"/>
        </w:rPr>
        <w:t>a</w:t>
      </w:r>
      <w:r w:rsidR="006F35CB" w:rsidRPr="006F35CB">
        <w:rPr>
          <w:rFonts w:ascii="Times New Roman" w:hAnsi="Times New Roman" w:cs="Times New Roman"/>
          <w:bCs/>
          <w:sz w:val="24"/>
          <w:szCs w:val="24"/>
        </w:rPr>
        <w:t xml:space="preserve"> za dany rok </w:t>
      </w:r>
      <w:r w:rsidR="006F35CB">
        <w:rPr>
          <w:rFonts w:ascii="Times New Roman" w:hAnsi="Times New Roman" w:cs="Times New Roman"/>
          <w:bCs/>
          <w:sz w:val="24"/>
          <w:szCs w:val="24"/>
        </w:rPr>
        <w:t xml:space="preserve">będzie </w:t>
      </w:r>
      <w:r w:rsidR="006F35CB" w:rsidRPr="006F35CB">
        <w:rPr>
          <w:rFonts w:ascii="Times New Roman" w:hAnsi="Times New Roman" w:cs="Times New Roman"/>
          <w:bCs/>
          <w:sz w:val="24"/>
          <w:szCs w:val="24"/>
        </w:rPr>
        <w:t>uiszcza</w:t>
      </w:r>
      <w:r w:rsidR="006F35CB">
        <w:rPr>
          <w:rFonts w:ascii="Times New Roman" w:hAnsi="Times New Roman" w:cs="Times New Roman"/>
          <w:bCs/>
          <w:sz w:val="24"/>
          <w:szCs w:val="24"/>
        </w:rPr>
        <w:t>na</w:t>
      </w:r>
      <w:r w:rsidR="006F35CB" w:rsidRPr="006F35CB">
        <w:rPr>
          <w:rFonts w:ascii="Times New Roman" w:hAnsi="Times New Roman" w:cs="Times New Roman"/>
          <w:bCs/>
          <w:sz w:val="24"/>
          <w:szCs w:val="24"/>
        </w:rPr>
        <w:t xml:space="preserve"> do dnia 31 stycznia roku, za który opłata jest należna.</w:t>
      </w:r>
      <w:r w:rsidR="006F35CB">
        <w:rPr>
          <w:rFonts w:ascii="Times New Roman" w:hAnsi="Times New Roman" w:cs="Times New Roman"/>
          <w:bCs/>
          <w:sz w:val="24"/>
          <w:szCs w:val="24"/>
        </w:rPr>
        <w:t xml:space="preserve"> Szczególna regulacja została </w:t>
      </w:r>
      <w:r w:rsidR="006F35CB">
        <w:rPr>
          <w:rFonts w:ascii="Times New Roman" w:hAnsi="Times New Roman" w:cs="Times New Roman"/>
          <w:bCs/>
          <w:sz w:val="24"/>
          <w:szCs w:val="24"/>
        </w:rPr>
        <w:lastRenderedPageBreak/>
        <w:t xml:space="preserve">przewidziana dla zakładów ubezpieczeń wykonujących działalność ubezpieczeniową w pierwszym roku oraz dla </w:t>
      </w:r>
      <w:r w:rsidR="006F35CB" w:rsidRPr="006F35CB">
        <w:rPr>
          <w:rFonts w:ascii="Times New Roman" w:hAnsi="Times New Roman" w:cs="Times New Roman"/>
          <w:bCs/>
          <w:sz w:val="24"/>
          <w:szCs w:val="24"/>
        </w:rPr>
        <w:t>zakład</w:t>
      </w:r>
      <w:r w:rsidR="00B1742B">
        <w:rPr>
          <w:rFonts w:ascii="Times New Roman" w:hAnsi="Times New Roman" w:cs="Times New Roman"/>
          <w:bCs/>
          <w:sz w:val="24"/>
          <w:szCs w:val="24"/>
        </w:rPr>
        <w:t>ów</w:t>
      </w:r>
      <w:r w:rsidR="006F35CB" w:rsidRPr="006F35CB">
        <w:rPr>
          <w:rFonts w:ascii="Times New Roman" w:hAnsi="Times New Roman" w:cs="Times New Roman"/>
          <w:bCs/>
          <w:sz w:val="24"/>
          <w:szCs w:val="24"/>
        </w:rPr>
        <w:t xml:space="preserve"> ubezpieczeń po raz pierwszy przekaz</w:t>
      </w:r>
      <w:r w:rsidR="006F35CB">
        <w:rPr>
          <w:rFonts w:ascii="Times New Roman" w:hAnsi="Times New Roman" w:cs="Times New Roman"/>
          <w:bCs/>
          <w:sz w:val="24"/>
          <w:szCs w:val="24"/>
        </w:rPr>
        <w:t xml:space="preserve">ujących </w:t>
      </w:r>
      <w:r w:rsidR="006F35CB" w:rsidRPr="006F35CB">
        <w:rPr>
          <w:rFonts w:ascii="Times New Roman" w:hAnsi="Times New Roman" w:cs="Times New Roman"/>
          <w:bCs/>
          <w:sz w:val="24"/>
          <w:szCs w:val="24"/>
        </w:rPr>
        <w:t>lub otrzym</w:t>
      </w:r>
      <w:r w:rsidR="006F35CB">
        <w:rPr>
          <w:rFonts w:ascii="Times New Roman" w:hAnsi="Times New Roman" w:cs="Times New Roman"/>
          <w:bCs/>
          <w:sz w:val="24"/>
          <w:szCs w:val="24"/>
        </w:rPr>
        <w:t xml:space="preserve">ujących </w:t>
      </w:r>
      <w:r w:rsidR="006F35CB" w:rsidRPr="006F35CB">
        <w:rPr>
          <w:rFonts w:ascii="Times New Roman" w:hAnsi="Times New Roman" w:cs="Times New Roman"/>
          <w:bCs/>
          <w:sz w:val="24"/>
          <w:szCs w:val="24"/>
        </w:rPr>
        <w:t>od Funduszu dane z informatycznej bazy danych</w:t>
      </w:r>
      <w:r w:rsidR="006F35CB">
        <w:rPr>
          <w:rFonts w:ascii="Times New Roman" w:hAnsi="Times New Roman" w:cs="Times New Roman"/>
          <w:bCs/>
          <w:sz w:val="24"/>
          <w:szCs w:val="24"/>
        </w:rPr>
        <w:t xml:space="preserve">. </w:t>
      </w:r>
      <w:r w:rsidR="00B437B4">
        <w:rPr>
          <w:rFonts w:ascii="Times New Roman" w:hAnsi="Times New Roman" w:cs="Times New Roman"/>
          <w:bCs/>
          <w:sz w:val="24"/>
          <w:szCs w:val="24"/>
        </w:rPr>
        <w:t xml:space="preserve">W takich przypadkach opłata będzie </w:t>
      </w:r>
      <w:r w:rsidR="006F35CB" w:rsidRPr="006F35CB">
        <w:rPr>
          <w:rFonts w:ascii="Times New Roman" w:hAnsi="Times New Roman" w:cs="Times New Roman"/>
          <w:bCs/>
          <w:sz w:val="24"/>
          <w:szCs w:val="24"/>
          <w:lang w:val="pl"/>
        </w:rPr>
        <w:t>uiszcza</w:t>
      </w:r>
      <w:r w:rsidR="00B437B4">
        <w:rPr>
          <w:rFonts w:ascii="Times New Roman" w:hAnsi="Times New Roman" w:cs="Times New Roman"/>
          <w:bCs/>
          <w:sz w:val="24"/>
          <w:szCs w:val="24"/>
          <w:lang w:val="pl"/>
        </w:rPr>
        <w:t>na</w:t>
      </w:r>
      <w:r w:rsidR="006F35CB" w:rsidRPr="006F35CB">
        <w:rPr>
          <w:rFonts w:ascii="Times New Roman" w:hAnsi="Times New Roman" w:cs="Times New Roman"/>
          <w:bCs/>
          <w:sz w:val="24"/>
          <w:szCs w:val="24"/>
          <w:lang w:val="pl"/>
        </w:rPr>
        <w:t xml:space="preserve"> do dnia 31 stycznia roku następującego po roku, w którym zakład ubezpieczeń po raz pierwszy przekazał do Funduszu dane lub otrzymał </w:t>
      </w:r>
      <w:r w:rsidR="006F35CB" w:rsidRPr="006F35CB">
        <w:rPr>
          <w:rFonts w:ascii="Times New Roman" w:hAnsi="Times New Roman" w:cs="Times New Roman"/>
          <w:bCs/>
          <w:sz w:val="24"/>
          <w:szCs w:val="24"/>
        </w:rPr>
        <w:t xml:space="preserve">te dane </w:t>
      </w:r>
      <w:r w:rsidR="006F35CB" w:rsidRPr="006F35CB">
        <w:rPr>
          <w:rFonts w:ascii="Times New Roman" w:hAnsi="Times New Roman" w:cs="Times New Roman"/>
          <w:bCs/>
          <w:sz w:val="24"/>
          <w:szCs w:val="24"/>
          <w:lang w:val="pl"/>
        </w:rPr>
        <w:t>od Funduszu</w:t>
      </w:r>
      <w:r w:rsidR="006F35CB" w:rsidRPr="006F35CB">
        <w:rPr>
          <w:rFonts w:ascii="Times New Roman" w:hAnsi="Times New Roman" w:cs="Times New Roman"/>
          <w:bCs/>
          <w:sz w:val="24"/>
          <w:szCs w:val="24"/>
        </w:rPr>
        <w:t xml:space="preserve">. </w:t>
      </w:r>
    </w:p>
    <w:p w14:paraId="2C213AC3" w14:textId="77777777" w:rsidR="006B4E53" w:rsidRDefault="006B4E53" w:rsidP="007761E0">
      <w:pPr>
        <w:pStyle w:val="Bezodstpw"/>
        <w:spacing w:line="360" w:lineRule="auto"/>
        <w:jc w:val="both"/>
        <w:rPr>
          <w:rFonts w:ascii="Times New Roman" w:hAnsi="Times New Roman" w:cs="Times New Roman"/>
          <w:bCs/>
          <w:sz w:val="24"/>
          <w:szCs w:val="24"/>
        </w:rPr>
      </w:pPr>
    </w:p>
    <w:p w14:paraId="11D8225C" w14:textId="2594889B" w:rsidR="004077EF" w:rsidRPr="007761E0" w:rsidRDefault="004077EF" w:rsidP="007761E0">
      <w:pPr>
        <w:pStyle w:val="Bezodstpw"/>
        <w:numPr>
          <w:ilvl w:val="0"/>
          <w:numId w:val="24"/>
        </w:numPr>
        <w:spacing w:line="360" w:lineRule="auto"/>
        <w:ind w:left="720"/>
        <w:jc w:val="both"/>
        <w:rPr>
          <w:rFonts w:ascii="Times New Roman" w:hAnsi="Times New Roman" w:cs="Times New Roman"/>
          <w:b/>
          <w:bCs/>
          <w:sz w:val="24"/>
          <w:szCs w:val="24"/>
        </w:rPr>
      </w:pPr>
      <w:r w:rsidRPr="007761E0">
        <w:rPr>
          <w:rFonts w:ascii="Times New Roman" w:hAnsi="Times New Roman" w:cs="Times New Roman"/>
          <w:b/>
          <w:bCs/>
          <w:sz w:val="24"/>
          <w:szCs w:val="24"/>
        </w:rPr>
        <w:t>Wejście w życie</w:t>
      </w:r>
      <w:r w:rsidR="00264525">
        <w:rPr>
          <w:rFonts w:ascii="Times New Roman" w:hAnsi="Times New Roman" w:cs="Times New Roman"/>
          <w:b/>
          <w:bCs/>
          <w:sz w:val="24"/>
          <w:szCs w:val="24"/>
        </w:rPr>
        <w:t>.</w:t>
      </w:r>
    </w:p>
    <w:p w14:paraId="2CAF7AD8" w14:textId="0AE70A1E" w:rsidR="00795510" w:rsidRDefault="004077EF" w:rsidP="007761E0">
      <w:pPr>
        <w:pStyle w:val="Bezodstpw"/>
        <w:spacing w:line="360" w:lineRule="auto"/>
        <w:jc w:val="both"/>
        <w:rPr>
          <w:rFonts w:ascii="Times New Roman" w:hAnsi="Times New Roman" w:cs="Times New Roman"/>
          <w:bCs/>
          <w:sz w:val="24"/>
          <w:szCs w:val="24"/>
        </w:rPr>
      </w:pPr>
      <w:r w:rsidRPr="007761E0">
        <w:rPr>
          <w:rFonts w:ascii="Times New Roman" w:hAnsi="Times New Roman" w:cs="Times New Roman"/>
          <w:bCs/>
          <w:sz w:val="24"/>
          <w:szCs w:val="24"/>
        </w:rPr>
        <w:t xml:space="preserve">Projekt zakłada, że rozporządzenie wejdzie w życie </w:t>
      </w:r>
      <w:r w:rsidR="001F2D0A" w:rsidRPr="007761E0">
        <w:rPr>
          <w:rFonts w:ascii="Times New Roman" w:hAnsi="Times New Roman" w:cs="Times New Roman"/>
          <w:bCs/>
          <w:sz w:val="24"/>
          <w:szCs w:val="24"/>
        </w:rPr>
        <w:t xml:space="preserve">po upływie 14 dni od dnia ogłoszenia. </w:t>
      </w:r>
      <w:r w:rsidR="00795510">
        <w:rPr>
          <w:rFonts w:ascii="Times New Roman" w:hAnsi="Times New Roman" w:cs="Times New Roman"/>
          <w:bCs/>
          <w:sz w:val="24"/>
          <w:szCs w:val="24"/>
        </w:rPr>
        <w:t xml:space="preserve">W przepisach ustawy </w:t>
      </w:r>
      <w:r w:rsidR="00795510" w:rsidRPr="00795510">
        <w:rPr>
          <w:rFonts w:ascii="Times New Roman" w:hAnsi="Times New Roman" w:cs="Times New Roman"/>
          <w:bCs/>
          <w:sz w:val="24"/>
          <w:szCs w:val="24"/>
        </w:rPr>
        <w:t>z dnia 16 sierpnia 2023 r. o zmianie niektórych ustaw w związku z zapewnieniem rozwoju rynku finansowego oraz ochrony inwestorów na tym rynku</w:t>
      </w:r>
      <w:r w:rsidR="00C75E90">
        <w:rPr>
          <w:rFonts w:ascii="Times New Roman" w:hAnsi="Times New Roman" w:cs="Times New Roman"/>
          <w:bCs/>
          <w:sz w:val="24"/>
          <w:szCs w:val="24"/>
        </w:rPr>
        <w:t xml:space="preserve"> </w:t>
      </w:r>
      <w:r w:rsidR="00C75E90" w:rsidRPr="00C75E90">
        <w:rPr>
          <w:rFonts w:ascii="Times New Roman" w:hAnsi="Times New Roman" w:cs="Times New Roman"/>
          <w:sz w:val="24"/>
          <w:szCs w:val="24"/>
        </w:rPr>
        <w:t>(Dz. U. poz. 1723)</w:t>
      </w:r>
      <w:r w:rsidR="00C75E90">
        <w:rPr>
          <w:rFonts w:ascii="Times New Roman" w:hAnsi="Times New Roman" w:cs="Times New Roman"/>
          <w:sz w:val="24"/>
          <w:szCs w:val="24"/>
        </w:rPr>
        <w:t>,</w:t>
      </w:r>
      <w:r w:rsidR="00795510" w:rsidRPr="00C75E90">
        <w:rPr>
          <w:rFonts w:ascii="Times New Roman" w:hAnsi="Times New Roman" w:cs="Times New Roman"/>
          <w:bCs/>
          <w:sz w:val="24"/>
          <w:szCs w:val="24"/>
        </w:rPr>
        <w:t xml:space="preserve"> która wprowadziła zmiany do obecnie obowiązującej ustawy o </w:t>
      </w:r>
      <w:r w:rsidR="00795510">
        <w:rPr>
          <w:rFonts w:ascii="Times New Roman" w:hAnsi="Times New Roman" w:cs="Times New Roman"/>
          <w:bCs/>
          <w:sz w:val="24"/>
          <w:szCs w:val="24"/>
        </w:rPr>
        <w:t>ubezpieczeniach obowiązkowych, został zawarty przepis przejściowy, który utrzymał czasowo w mocy obecnie obowiązujące rozporządzenie w tej sprawie</w:t>
      </w:r>
      <w:r w:rsidR="00795510" w:rsidRPr="00795510">
        <w:rPr>
          <w:rFonts w:ascii="Times New Roman" w:hAnsi="Times New Roman" w:cs="Times New Roman"/>
          <w:bCs/>
          <w:sz w:val="24"/>
          <w:szCs w:val="24"/>
        </w:rPr>
        <w:t>.</w:t>
      </w:r>
      <w:r w:rsidR="00795510">
        <w:rPr>
          <w:rFonts w:ascii="Times New Roman" w:hAnsi="Times New Roman" w:cs="Times New Roman"/>
          <w:bCs/>
          <w:sz w:val="24"/>
          <w:szCs w:val="24"/>
        </w:rPr>
        <w:t xml:space="preserve"> </w:t>
      </w:r>
      <w:r w:rsidR="00C46524">
        <w:rPr>
          <w:rFonts w:ascii="Times New Roman" w:hAnsi="Times New Roman" w:cs="Times New Roman"/>
          <w:bCs/>
          <w:sz w:val="24"/>
          <w:szCs w:val="24"/>
        </w:rPr>
        <w:t>Na podstawie tego przepisu dotychczasowe rozporządzenie zachowuje moc do dnia wejścia w życie nowego rozporządzenia</w:t>
      </w:r>
      <w:r w:rsidR="006B59E3">
        <w:rPr>
          <w:rFonts w:ascii="Times New Roman" w:hAnsi="Times New Roman" w:cs="Times New Roman"/>
          <w:bCs/>
          <w:sz w:val="24"/>
          <w:szCs w:val="24"/>
        </w:rPr>
        <w:t>, jednak nie dłużej niż do dnia 2</w:t>
      </w:r>
      <w:r w:rsidR="00B1742B">
        <w:rPr>
          <w:rFonts w:ascii="Times New Roman" w:hAnsi="Times New Roman" w:cs="Times New Roman"/>
          <w:bCs/>
          <w:sz w:val="24"/>
          <w:szCs w:val="24"/>
        </w:rPr>
        <w:t>8</w:t>
      </w:r>
      <w:r w:rsidR="006B59E3">
        <w:rPr>
          <w:rFonts w:ascii="Times New Roman" w:hAnsi="Times New Roman" w:cs="Times New Roman"/>
          <w:bCs/>
          <w:sz w:val="24"/>
          <w:szCs w:val="24"/>
        </w:rPr>
        <w:t xml:space="preserve"> września 2024 r.</w:t>
      </w:r>
    </w:p>
    <w:p w14:paraId="54E8FCE1" w14:textId="77777777" w:rsidR="004077EF" w:rsidRPr="007761E0" w:rsidRDefault="004077EF" w:rsidP="007761E0">
      <w:pPr>
        <w:pStyle w:val="Bezodstpw"/>
        <w:spacing w:line="360" w:lineRule="auto"/>
        <w:jc w:val="both"/>
        <w:rPr>
          <w:rFonts w:ascii="Times New Roman" w:hAnsi="Times New Roman" w:cs="Times New Roman"/>
          <w:bCs/>
          <w:sz w:val="24"/>
          <w:szCs w:val="24"/>
        </w:rPr>
      </w:pPr>
    </w:p>
    <w:p w14:paraId="093A2CB7" w14:textId="07D58679" w:rsidR="004077EF" w:rsidRPr="007761E0" w:rsidRDefault="004322D3" w:rsidP="005A00A2">
      <w:pPr>
        <w:pStyle w:val="Bezodstpw"/>
        <w:spacing w:line="360" w:lineRule="auto"/>
        <w:jc w:val="both"/>
        <w:rPr>
          <w:rFonts w:ascii="Times New Roman" w:hAnsi="Times New Roman" w:cs="Times New Roman"/>
          <w:bCs/>
          <w:sz w:val="24"/>
          <w:szCs w:val="24"/>
        </w:rPr>
      </w:pPr>
      <w:r w:rsidRPr="007761E0">
        <w:rPr>
          <w:rFonts w:ascii="Times New Roman" w:hAnsi="Times New Roman" w:cs="Times New Roman"/>
          <w:b/>
          <w:bCs/>
          <w:sz w:val="24"/>
          <w:szCs w:val="24"/>
        </w:rPr>
        <w:t>V.</w:t>
      </w:r>
      <w:r w:rsidRPr="007761E0">
        <w:rPr>
          <w:rFonts w:ascii="Times New Roman" w:hAnsi="Times New Roman" w:cs="Times New Roman"/>
          <w:b/>
          <w:bCs/>
          <w:sz w:val="24"/>
          <w:szCs w:val="24"/>
        </w:rPr>
        <w:tab/>
      </w:r>
      <w:r w:rsidR="004077EF" w:rsidRPr="007761E0">
        <w:rPr>
          <w:rFonts w:ascii="Times New Roman" w:hAnsi="Times New Roman" w:cs="Times New Roman"/>
          <w:b/>
          <w:bCs/>
          <w:sz w:val="24"/>
          <w:szCs w:val="24"/>
        </w:rPr>
        <w:t>Oświadczenie o zgodności projektu rozporządzenia z prawem Unii Europejskiej albo oświadczenie, że przedmiot projektowanej regulacji nie jest objęty prawem Unii Europejskiej oraz informacja o przedstawieniu projektu właściwym organom i instytucjom Unii Europejskiej</w:t>
      </w:r>
      <w:r w:rsidR="00264525">
        <w:rPr>
          <w:rFonts w:ascii="Times New Roman" w:hAnsi="Times New Roman" w:cs="Times New Roman"/>
          <w:b/>
          <w:bCs/>
          <w:sz w:val="24"/>
          <w:szCs w:val="24"/>
        </w:rPr>
        <w:t>.</w:t>
      </w:r>
    </w:p>
    <w:p w14:paraId="17D22E51" w14:textId="77777777" w:rsidR="004077EF" w:rsidRPr="007761E0" w:rsidRDefault="004077EF" w:rsidP="007761E0">
      <w:pPr>
        <w:pStyle w:val="Bezodstpw"/>
        <w:spacing w:line="360" w:lineRule="auto"/>
        <w:jc w:val="both"/>
        <w:rPr>
          <w:rFonts w:ascii="Times New Roman" w:hAnsi="Times New Roman" w:cs="Times New Roman"/>
          <w:bCs/>
          <w:sz w:val="24"/>
          <w:szCs w:val="24"/>
        </w:rPr>
      </w:pPr>
      <w:r w:rsidRPr="007761E0">
        <w:rPr>
          <w:rFonts w:ascii="Times New Roman" w:hAnsi="Times New Roman" w:cs="Times New Roman"/>
          <w:bCs/>
          <w:sz w:val="24"/>
          <w:szCs w:val="24"/>
        </w:rPr>
        <w:t>Projekt rozporządzenia nie jest objęty prawem Unii Europejskiej.</w:t>
      </w:r>
    </w:p>
    <w:p w14:paraId="754797FD" w14:textId="5C7BCA55" w:rsidR="004077EF" w:rsidRDefault="004077EF" w:rsidP="007761E0">
      <w:pPr>
        <w:pStyle w:val="Bezodstpw"/>
        <w:spacing w:line="360" w:lineRule="auto"/>
        <w:jc w:val="both"/>
        <w:rPr>
          <w:rFonts w:ascii="Times New Roman" w:hAnsi="Times New Roman" w:cs="Times New Roman"/>
          <w:bCs/>
          <w:sz w:val="24"/>
          <w:szCs w:val="24"/>
        </w:rPr>
      </w:pPr>
      <w:r w:rsidRPr="007761E0">
        <w:rPr>
          <w:rFonts w:ascii="Times New Roman" w:hAnsi="Times New Roman" w:cs="Times New Roman"/>
          <w:bCs/>
          <w:sz w:val="24"/>
          <w:szCs w:val="24"/>
        </w:rPr>
        <w:t>Projektowane rozporządzenie nie wymaga przedstawiania organom i instytucjom Unii Europejskiej w celu uzyskania opinii, dokonania powiadomienia, konsultacji albo uzgodnienia. W szczególności, zgodnie z art. 2 ust. 1 decyzji Rady 98/415/WE z dnia 29 czerwca 1998 r. w sprawie konsultacji Europejskiego Banku Centralnego udzielanych władzom krajowym w sprawie projektów przepisów prawnych (Dz. Urz. WE L 189 z 03.07.1998, str. 42 – Dz. Urz. UE Polskie Wydanie Specjalne rozdz. 1, t. 1, str. 446), projekt rozporządzenia nie podlega konsultacji z Europejskim Bankiem Centralnym.</w:t>
      </w:r>
    </w:p>
    <w:p w14:paraId="140E09E1" w14:textId="77777777" w:rsidR="009B27FE" w:rsidRDefault="009B27FE" w:rsidP="007761E0">
      <w:pPr>
        <w:pStyle w:val="Bezodstpw"/>
        <w:spacing w:line="360" w:lineRule="auto"/>
        <w:jc w:val="both"/>
        <w:rPr>
          <w:rFonts w:ascii="Times New Roman" w:hAnsi="Times New Roman" w:cs="Times New Roman"/>
          <w:bCs/>
          <w:sz w:val="24"/>
          <w:szCs w:val="24"/>
        </w:rPr>
      </w:pPr>
    </w:p>
    <w:p w14:paraId="2216F137" w14:textId="5E7D8813" w:rsidR="004077EF" w:rsidRPr="007761E0" w:rsidRDefault="004322D3" w:rsidP="005A00A2">
      <w:pPr>
        <w:pStyle w:val="Bezodstpw"/>
        <w:spacing w:line="360" w:lineRule="auto"/>
        <w:jc w:val="both"/>
        <w:rPr>
          <w:rFonts w:ascii="Times New Roman" w:hAnsi="Times New Roman" w:cs="Times New Roman"/>
          <w:bCs/>
          <w:sz w:val="24"/>
          <w:szCs w:val="24"/>
        </w:rPr>
      </w:pPr>
      <w:r w:rsidRPr="007761E0">
        <w:rPr>
          <w:rFonts w:ascii="Times New Roman" w:hAnsi="Times New Roman" w:cs="Times New Roman"/>
          <w:b/>
          <w:bCs/>
          <w:sz w:val="24"/>
          <w:szCs w:val="24"/>
        </w:rPr>
        <w:t>VI.</w:t>
      </w:r>
      <w:r w:rsidRPr="007761E0">
        <w:rPr>
          <w:rFonts w:ascii="Times New Roman" w:hAnsi="Times New Roman" w:cs="Times New Roman"/>
          <w:b/>
          <w:bCs/>
          <w:sz w:val="24"/>
          <w:szCs w:val="24"/>
        </w:rPr>
        <w:tab/>
      </w:r>
      <w:r w:rsidR="004077EF" w:rsidRPr="007761E0">
        <w:rPr>
          <w:rFonts w:ascii="Times New Roman" w:hAnsi="Times New Roman" w:cs="Times New Roman"/>
          <w:b/>
          <w:bCs/>
          <w:sz w:val="24"/>
          <w:szCs w:val="24"/>
        </w:rPr>
        <w:t>P</w:t>
      </w:r>
      <w:r w:rsidR="00C75E90">
        <w:rPr>
          <w:rFonts w:ascii="Times New Roman" w:hAnsi="Times New Roman" w:cs="Times New Roman"/>
          <w:b/>
          <w:bCs/>
          <w:sz w:val="24"/>
          <w:szCs w:val="24"/>
        </w:rPr>
        <w:t>rocedura</w:t>
      </w:r>
      <w:r w:rsidR="004077EF" w:rsidRPr="007761E0">
        <w:rPr>
          <w:rFonts w:ascii="Times New Roman" w:hAnsi="Times New Roman" w:cs="Times New Roman"/>
          <w:b/>
          <w:bCs/>
          <w:sz w:val="24"/>
          <w:szCs w:val="24"/>
        </w:rPr>
        <w:t xml:space="preserve"> notyfikacji</w:t>
      </w:r>
    </w:p>
    <w:p w14:paraId="13589EAF" w14:textId="799DBEE6" w:rsidR="006B4E53" w:rsidRPr="007761E0" w:rsidRDefault="004077EF" w:rsidP="007761E0">
      <w:pPr>
        <w:pStyle w:val="Bezodstpw"/>
        <w:spacing w:line="360" w:lineRule="auto"/>
        <w:jc w:val="both"/>
        <w:rPr>
          <w:rFonts w:ascii="Times New Roman" w:hAnsi="Times New Roman" w:cs="Times New Roman"/>
          <w:bCs/>
          <w:sz w:val="24"/>
          <w:szCs w:val="24"/>
        </w:rPr>
      </w:pPr>
      <w:r w:rsidRPr="007761E0">
        <w:rPr>
          <w:rFonts w:ascii="Times New Roman" w:hAnsi="Times New Roman" w:cs="Times New Roman"/>
          <w:bCs/>
          <w:sz w:val="24"/>
          <w:szCs w:val="24"/>
        </w:rPr>
        <w:t>Zawarte w projekcie regulacje nie stanowią przepisów technicznych w rozumieniu rozporządzenia Rady Ministrów z dnia 23 grudnia 2002 r. w sprawie sposobu funkcjonowania krajowego systemu notyfikacji norm i aktów prawnych (Dz. U. poz. 2039, z późn. zm.), dlatego też projekt rozporządzenia nie podlega procedurze notyfikacji.</w:t>
      </w:r>
    </w:p>
    <w:p w14:paraId="49CC596B" w14:textId="77777777" w:rsidR="004077EF" w:rsidRPr="007761E0" w:rsidRDefault="004322D3" w:rsidP="005A00A2">
      <w:pPr>
        <w:pStyle w:val="Bezodstpw"/>
        <w:spacing w:line="360" w:lineRule="auto"/>
        <w:jc w:val="both"/>
        <w:rPr>
          <w:rFonts w:ascii="Times New Roman" w:hAnsi="Times New Roman" w:cs="Times New Roman"/>
          <w:b/>
          <w:bCs/>
          <w:sz w:val="24"/>
          <w:szCs w:val="24"/>
        </w:rPr>
      </w:pPr>
      <w:r w:rsidRPr="007761E0">
        <w:rPr>
          <w:rFonts w:ascii="Times New Roman" w:hAnsi="Times New Roman" w:cs="Times New Roman"/>
          <w:b/>
          <w:bCs/>
          <w:sz w:val="24"/>
          <w:szCs w:val="24"/>
        </w:rPr>
        <w:lastRenderedPageBreak/>
        <w:t>VII.</w:t>
      </w:r>
      <w:r w:rsidRPr="007761E0">
        <w:rPr>
          <w:rFonts w:ascii="Times New Roman" w:hAnsi="Times New Roman" w:cs="Times New Roman"/>
          <w:b/>
          <w:bCs/>
          <w:sz w:val="24"/>
          <w:szCs w:val="24"/>
        </w:rPr>
        <w:tab/>
      </w:r>
      <w:r w:rsidR="004077EF" w:rsidRPr="007761E0">
        <w:rPr>
          <w:rFonts w:ascii="Times New Roman" w:hAnsi="Times New Roman" w:cs="Times New Roman"/>
          <w:b/>
          <w:bCs/>
          <w:sz w:val="24"/>
          <w:szCs w:val="24"/>
        </w:rPr>
        <w:t>Jawność działalności lobbingowej.</w:t>
      </w:r>
    </w:p>
    <w:p w14:paraId="3F8F4067" w14:textId="3E2CC72D" w:rsidR="004077EF" w:rsidRDefault="004077EF" w:rsidP="007761E0">
      <w:pPr>
        <w:pStyle w:val="Bezodstpw"/>
        <w:spacing w:line="360" w:lineRule="auto"/>
        <w:jc w:val="both"/>
        <w:rPr>
          <w:rFonts w:ascii="Times New Roman" w:hAnsi="Times New Roman" w:cs="Times New Roman"/>
          <w:bCs/>
          <w:sz w:val="24"/>
          <w:szCs w:val="24"/>
        </w:rPr>
      </w:pPr>
      <w:r w:rsidRPr="007761E0">
        <w:rPr>
          <w:rFonts w:ascii="Times New Roman" w:hAnsi="Times New Roman" w:cs="Times New Roman"/>
          <w:bCs/>
          <w:sz w:val="24"/>
          <w:szCs w:val="24"/>
        </w:rPr>
        <w:t>Stosownie do art. 4 ustawy z dnia 7 lipca 2005 r. o działalności lobbingowej w procesie stanowienia prawa (Dz. U. z 2017 r. poz. 248) projekt zosta</w:t>
      </w:r>
      <w:r w:rsidR="00997FDC">
        <w:rPr>
          <w:rFonts w:ascii="Times New Roman" w:hAnsi="Times New Roman" w:cs="Times New Roman"/>
          <w:bCs/>
          <w:sz w:val="24"/>
          <w:szCs w:val="24"/>
        </w:rPr>
        <w:t>ł</w:t>
      </w:r>
      <w:r w:rsidR="006B4E53">
        <w:rPr>
          <w:rFonts w:ascii="Times New Roman" w:hAnsi="Times New Roman" w:cs="Times New Roman"/>
          <w:bCs/>
          <w:sz w:val="24"/>
          <w:szCs w:val="24"/>
        </w:rPr>
        <w:t xml:space="preserve"> </w:t>
      </w:r>
      <w:r w:rsidRPr="007761E0">
        <w:rPr>
          <w:rFonts w:ascii="Times New Roman" w:hAnsi="Times New Roman" w:cs="Times New Roman"/>
          <w:bCs/>
          <w:sz w:val="24"/>
          <w:szCs w:val="24"/>
        </w:rPr>
        <w:t xml:space="preserve">zamieszczony w wykazie prac legislacyjnych Ministra Finansów. </w:t>
      </w:r>
    </w:p>
    <w:p w14:paraId="75A683C9" w14:textId="77777777" w:rsidR="006B4E53" w:rsidRPr="007761E0" w:rsidRDefault="006B4E53" w:rsidP="007761E0">
      <w:pPr>
        <w:pStyle w:val="Bezodstpw"/>
        <w:spacing w:line="360" w:lineRule="auto"/>
        <w:jc w:val="both"/>
        <w:rPr>
          <w:rFonts w:ascii="Times New Roman" w:hAnsi="Times New Roman" w:cs="Times New Roman"/>
          <w:bCs/>
          <w:sz w:val="24"/>
          <w:szCs w:val="24"/>
        </w:rPr>
      </w:pPr>
    </w:p>
    <w:p w14:paraId="101AA418" w14:textId="04D122C3" w:rsidR="004077EF" w:rsidRPr="007761E0" w:rsidRDefault="004322D3" w:rsidP="005A00A2">
      <w:pPr>
        <w:pStyle w:val="Bezodstpw"/>
        <w:spacing w:line="360" w:lineRule="auto"/>
        <w:jc w:val="both"/>
        <w:rPr>
          <w:rFonts w:ascii="Times New Roman" w:hAnsi="Times New Roman" w:cs="Times New Roman"/>
          <w:bCs/>
          <w:sz w:val="24"/>
          <w:szCs w:val="24"/>
        </w:rPr>
      </w:pPr>
      <w:r w:rsidRPr="007761E0">
        <w:rPr>
          <w:rFonts w:ascii="Times New Roman" w:hAnsi="Times New Roman" w:cs="Times New Roman"/>
          <w:b/>
          <w:bCs/>
          <w:sz w:val="24"/>
          <w:szCs w:val="24"/>
        </w:rPr>
        <w:t>VIII.</w:t>
      </w:r>
      <w:r w:rsidRPr="007761E0">
        <w:rPr>
          <w:rFonts w:ascii="Times New Roman" w:hAnsi="Times New Roman" w:cs="Times New Roman"/>
          <w:b/>
          <w:bCs/>
          <w:sz w:val="24"/>
          <w:szCs w:val="24"/>
        </w:rPr>
        <w:tab/>
      </w:r>
      <w:r w:rsidR="004077EF" w:rsidRPr="007761E0">
        <w:rPr>
          <w:rFonts w:ascii="Times New Roman" w:hAnsi="Times New Roman" w:cs="Times New Roman"/>
          <w:b/>
          <w:bCs/>
          <w:sz w:val="24"/>
          <w:szCs w:val="24"/>
        </w:rPr>
        <w:t>Udostępnienie projektu w BIP RCL</w:t>
      </w:r>
      <w:r w:rsidR="00264525">
        <w:rPr>
          <w:rFonts w:ascii="Times New Roman" w:hAnsi="Times New Roman" w:cs="Times New Roman"/>
          <w:b/>
          <w:bCs/>
          <w:sz w:val="24"/>
          <w:szCs w:val="24"/>
        </w:rPr>
        <w:t>.</w:t>
      </w:r>
    </w:p>
    <w:p w14:paraId="6915D9C0" w14:textId="551DBAA1" w:rsidR="004077EF" w:rsidRDefault="004077EF" w:rsidP="007761E0">
      <w:pPr>
        <w:pStyle w:val="Bezodstpw"/>
        <w:spacing w:line="360" w:lineRule="auto"/>
        <w:jc w:val="both"/>
        <w:rPr>
          <w:rFonts w:ascii="Times New Roman" w:hAnsi="Times New Roman" w:cs="Times New Roman"/>
          <w:bCs/>
          <w:sz w:val="24"/>
          <w:szCs w:val="24"/>
        </w:rPr>
      </w:pPr>
      <w:r w:rsidRPr="007761E0">
        <w:rPr>
          <w:rFonts w:ascii="Times New Roman" w:hAnsi="Times New Roman" w:cs="Times New Roman"/>
          <w:bCs/>
          <w:sz w:val="24"/>
          <w:szCs w:val="24"/>
        </w:rPr>
        <w:t xml:space="preserve">Zgodnie z art. 5 ustawy z dnia 7 lipca 2005 r. o działalności lobbingowej w procesie stanowienia prawa w związku z § 52 uchwały </w:t>
      </w:r>
      <w:r w:rsidR="00C75E90">
        <w:rPr>
          <w:rFonts w:ascii="Times New Roman" w:hAnsi="Times New Roman" w:cs="Times New Roman"/>
          <w:bCs/>
          <w:sz w:val="24"/>
          <w:szCs w:val="24"/>
        </w:rPr>
        <w:t>n</w:t>
      </w:r>
      <w:r w:rsidRPr="007761E0">
        <w:rPr>
          <w:rFonts w:ascii="Times New Roman" w:hAnsi="Times New Roman" w:cs="Times New Roman"/>
          <w:bCs/>
          <w:sz w:val="24"/>
          <w:szCs w:val="24"/>
        </w:rPr>
        <w:t xml:space="preserve">r 190 Rady Ministrów z dnia 29 października 2013 r. – Regulamin pracy Rady Ministrów (M.P. z </w:t>
      </w:r>
      <w:r w:rsidR="00BC6FA9" w:rsidRPr="007761E0">
        <w:rPr>
          <w:rFonts w:ascii="Times New Roman" w:hAnsi="Times New Roman" w:cs="Times New Roman"/>
          <w:bCs/>
          <w:sz w:val="24"/>
          <w:szCs w:val="24"/>
        </w:rPr>
        <w:t>2022 r. poz. 348)</w:t>
      </w:r>
      <w:r w:rsidRPr="007761E0">
        <w:rPr>
          <w:rFonts w:ascii="Times New Roman" w:hAnsi="Times New Roman" w:cs="Times New Roman"/>
          <w:bCs/>
          <w:sz w:val="24"/>
          <w:szCs w:val="24"/>
        </w:rPr>
        <w:t xml:space="preserve"> projekt zosta</w:t>
      </w:r>
      <w:r w:rsidR="009B27FE">
        <w:rPr>
          <w:rFonts w:ascii="Times New Roman" w:hAnsi="Times New Roman" w:cs="Times New Roman"/>
          <w:bCs/>
          <w:sz w:val="24"/>
          <w:szCs w:val="24"/>
        </w:rPr>
        <w:t xml:space="preserve">ł </w:t>
      </w:r>
      <w:r w:rsidRPr="007761E0">
        <w:rPr>
          <w:rFonts w:ascii="Times New Roman" w:hAnsi="Times New Roman" w:cs="Times New Roman"/>
          <w:bCs/>
          <w:sz w:val="24"/>
          <w:szCs w:val="24"/>
        </w:rPr>
        <w:t xml:space="preserve">udostępniony w Biuletynie Informacji Publicznej na stronie podmiotowej Rządowego Centrum Legislacji, w serwisie Rządowy Proces Legislacyjny. </w:t>
      </w:r>
    </w:p>
    <w:p w14:paraId="064F7AF6" w14:textId="77777777" w:rsidR="006B4E53" w:rsidRPr="007761E0" w:rsidRDefault="006B4E53" w:rsidP="007761E0">
      <w:pPr>
        <w:pStyle w:val="Bezodstpw"/>
        <w:spacing w:line="360" w:lineRule="auto"/>
        <w:jc w:val="both"/>
        <w:rPr>
          <w:rFonts w:ascii="Times New Roman" w:hAnsi="Times New Roman" w:cs="Times New Roman"/>
          <w:bCs/>
          <w:sz w:val="24"/>
          <w:szCs w:val="24"/>
        </w:rPr>
      </w:pPr>
    </w:p>
    <w:p w14:paraId="322CEB89" w14:textId="539695CF" w:rsidR="004077EF" w:rsidRPr="007761E0" w:rsidRDefault="004322D3" w:rsidP="005A00A2">
      <w:pPr>
        <w:pStyle w:val="Bezodstpw"/>
        <w:spacing w:line="360" w:lineRule="auto"/>
        <w:jc w:val="both"/>
        <w:rPr>
          <w:rFonts w:ascii="Times New Roman" w:hAnsi="Times New Roman" w:cs="Times New Roman"/>
          <w:bCs/>
          <w:sz w:val="24"/>
          <w:szCs w:val="24"/>
        </w:rPr>
      </w:pPr>
      <w:r w:rsidRPr="007761E0">
        <w:rPr>
          <w:rFonts w:ascii="Times New Roman" w:hAnsi="Times New Roman" w:cs="Times New Roman"/>
          <w:b/>
          <w:bCs/>
          <w:sz w:val="24"/>
          <w:szCs w:val="24"/>
        </w:rPr>
        <w:t>IX.</w:t>
      </w:r>
      <w:r w:rsidRPr="007761E0">
        <w:rPr>
          <w:rFonts w:ascii="Times New Roman" w:hAnsi="Times New Roman" w:cs="Times New Roman"/>
          <w:b/>
          <w:bCs/>
          <w:sz w:val="24"/>
          <w:szCs w:val="24"/>
        </w:rPr>
        <w:tab/>
      </w:r>
      <w:r w:rsidR="004077EF" w:rsidRPr="007761E0">
        <w:rPr>
          <w:rFonts w:ascii="Times New Roman" w:hAnsi="Times New Roman" w:cs="Times New Roman"/>
          <w:b/>
          <w:bCs/>
          <w:sz w:val="24"/>
          <w:szCs w:val="24"/>
        </w:rPr>
        <w:t>Wpływ na działalność mikro</w:t>
      </w:r>
      <w:r w:rsidR="00C75E90">
        <w:rPr>
          <w:rFonts w:ascii="Times New Roman" w:hAnsi="Times New Roman" w:cs="Times New Roman"/>
          <w:b/>
          <w:bCs/>
          <w:sz w:val="24"/>
          <w:szCs w:val="24"/>
        </w:rPr>
        <w:t>-</w:t>
      </w:r>
      <w:r w:rsidR="004077EF" w:rsidRPr="007761E0">
        <w:rPr>
          <w:rFonts w:ascii="Times New Roman" w:hAnsi="Times New Roman" w:cs="Times New Roman"/>
          <w:b/>
          <w:bCs/>
          <w:sz w:val="24"/>
          <w:szCs w:val="24"/>
        </w:rPr>
        <w:t>, małych i średnich przedsiębiorców.</w:t>
      </w:r>
    </w:p>
    <w:p w14:paraId="78E2C157" w14:textId="31B6CCFB" w:rsidR="00304125" w:rsidRDefault="004077EF" w:rsidP="007761E0">
      <w:pPr>
        <w:pStyle w:val="Bezodstpw"/>
        <w:spacing w:line="360" w:lineRule="auto"/>
        <w:jc w:val="both"/>
        <w:rPr>
          <w:rFonts w:ascii="Times New Roman" w:hAnsi="Times New Roman" w:cs="Times New Roman"/>
          <w:bCs/>
          <w:sz w:val="24"/>
          <w:szCs w:val="24"/>
        </w:rPr>
      </w:pPr>
      <w:r w:rsidRPr="007761E0">
        <w:rPr>
          <w:rFonts w:ascii="Times New Roman" w:hAnsi="Times New Roman" w:cs="Times New Roman"/>
          <w:bCs/>
          <w:sz w:val="24"/>
          <w:szCs w:val="24"/>
        </w:rPr>
        <w:t>Zawarte w projekcie regulacje nie będą miały wpływu na działalność mikro</w:t>
      </w:r>
      <w:r w:rsidR="00C75E90">
        <w:rPr>
          <w:rFonts w:ascii="Times New Roman" w:hAnsi="Times New Roman" w:cs="Times New Roman"/>
          <w:bCs/>
          <w:sz w:val="24"/>
          <w:szCs w:val="24"/>
        </w:rPr>
        <w:t>-</w:t>
      </w:r>
      <w:r w:rsidRPr="007761E0">
        <w:rPr>
          <w:rFonts w:ascii="Times New Roman" w:hAnsi="Times New Roman" w:cs="Times New Roman"/>
          <w:bCs/>
          <w:sz w:val="24"/>
          <w:szCs w:val="24"/>
        </w:rPr>
        <w:t>, małych i średnich przedsiębiorców zgodnie z ustawą z dnia 6 marca 2018 r. – Prawo przedsiębi</w:t>
      </w:r>
      <w:r w:rsidR="00BC6FA9" w:rsidRPr="007761E0">
        <w:rPr>
          <w:rFonts w:ascii="Times New Roman" w:hAnsi="Times New Roman" w:cs="Times New Roman"/>
          <w:bCs/>
          <w:sz w:val="24"/>
          <w:szCs w:val="24"/>
        </w:rPr>
        <w:t>orców (Dz. U. z 202</w:t>
      </w:r>
      <w:r w:rsidR="00C75E90">
        <w:rPr>
          <w:rFonts w:ascii="Times New Roman" w:hAnsi="Times New Roman" w:cs="Times New Roman"/>
          <w:bCs/>
          <w:sz w:val="24"/>
          <w:szCs w:val="24"/>
        </w:rPr>
        <w:t>4</w:t>
      </w:r>
      <w:r w:rsidR="00BC6FA9" w:rsidRPr="007761E0">
        <w:rPr>
          <w:rFonts w:ascii="Times New Roman" w:hAnsi="Times New Roman" w:cs="Times New Roman"/>
          <w:bCs/>
          <w:sz w:val="24"/>
          <w:szCs w:val="24"/>
        </w:rPr>
        <w:t xml:space="preserve"> r. poz. </w:t>
      </w:r>
      <w:r w:rsidR="00C75E90">
        <w:rPr>
          <w:rFonts w:ascii="Times New Roman" w:hAnsi="Times New Roman" w:cs="Times New Roman"/>
          <w:bCs/>
          <w:sz w:val="24"/>
          <w:szCs w:val="24"/>
        </w:rPr>
        <w:t>236</w:t>
      </w:r>
      <w:r w:rsidRPr="007761E0">
        <w:rPr>
          <w:rFonts w:ascii="Times New Roman" w:hAnsi="Times New Roman" w:cs="Times New Roman"/>
          <w:bCs/>
          <w:sz w:val="24"/>
          <w:szCs w:val="24"/>
        </w:rPr>
        <w:t>).</w:t>
      </w:r>
    </w:p>
    <w:sectPr w:rsidR="003041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D36DD" w14:textId="77777777" w:rsidR="00133B03" w:rsidRDefault="00133B03" w:rsidP="001A1791">
      <w:pPr>
        <w:spacing w:after="0" w:line="240" w:lineRule="auto"/>
      </w:pPr>
      <w:r>
        <w:separator/>
      </w:r>
    </w:p>
  </w:endnote>
  <w:endnote w:type="continuationSeparator" w:id="0">
    <w:p w14:paraId="6F02AC7A" w14:textId="77777777" w:rsidR="00133B03" w:rsidRDefault="00133B03" w:rsidP="001A1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ヒラギノ角ゴ Pro W3">
    <w:charset w:val="00"/>
    <w:family w:val="roman"/>
    <w:pitch w:val="default"/>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5AA5C" w14:textId="77777777" w:rsidR="00133B03" w:rsidRDefault="00133B03" w:rsidP="001A1791">
      <w:pPr>
        <w:spacing w:after="0" w:line="240" w:lineRule="auto"/>
      </w:pPr>
      <w:r>
        <w:separator/>
      </w:r>
    </w:p>
  </w:footnote>
  <w:footnote w:type="continuationSeparator" w:id="0">
    <w:p w14:paraId="0F5C445E" w14:textId="77777777" w:rsidR="00133B03" w:rsidRDefault="00133B03" w:rsidP="001A17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1877"/>
    <w:multiLevelType w:val="hybridMultilevel"/>
    <w:tmpl w:val="54E6623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7B3BE3"/>
    <w:multiLevelType w:val="hybridMultilevel"/>
    <w:tmpl w:val="6068EE2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FF60FC"/>
    <w:multiLevelType w:val="hybridMultilevel"/>
    <w:tmpl w:val="FDC29ACE"/>
    <w:lvl w:ilvl="0" w:tplc="0415000F">
      <w:start w:val="1"/>
      <w:numFmt w:val="decimal"/>
      <w:lvlText w:val="%1."/>
      <w:lvlJc w:val="left"/>
      <w:pPr>
        <w:ind w:left="720" w:hanging="360"/>
      </w:pPr>
    </w:lvl>
    <w:lvl w:ilvl="1" w:tplc="892CF216">
      <w:start w:val="1"/>
      <w:numFmt w:val="lowerLetter"/>
      <w:lvlText w:val="%2)"/>
      <w:lvlJc w:val="left"/>
      <w:pPr>
        <w:ind w:left="1440" w:hanging="360"/>
      </w:pPr>
      <w:rPr>
        <w:rFonts w:ascii="Times New Roman" w:eastAsiaTheme="minorHAnsi" w:hAnsi="Times New Roman" w:cs="Times New Roman"/>
      </w:rPr>
    </w:lvl>
    <w:lvl w:ilvl="2" w:tplc="755EF92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9856C5"/>
    <w:multiLevelType w:val="hybridMultilevel"/>
    <w:tmpl w:val="0D18AE14"/>
    <w:lvl w:ilvl="0" w:tplc="BC9E74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DF4A90"/>
    <w:multiLevelType w:val="hybridMultilevel"/>
    <w:tmpl w:val="FA7603E4"/>
    <w:lvl w:ilvl="0" w:tplc="B3345E34">
      <w:start w:val="1"/>
      <w:numFmt w:val="upperRoman"/>
      <w:lvlText w:val="%1."/>
      <w:lvlJc w:val="left"/>
      <w:pPr>
        <w:tabs>
          <w:tab w:val="num" w:pos="851"/>
        </w:tabs>
        <w:ind w:left="1288" w:hanging="720"/>
      </w:pPr>
      <w:rPr>
        <w:rFonts w:ascii="Times New Roman" w:eastAsia="Times New Roman" w:hAnsi="Times New Roman" w:cs="Times New Roman" w:hint="default"/>
        <w:b/>
        <w:sz w:val="24"/>
        <w:szCs w:val="24"/>
      </w:rPr>
    </w:lvl>
    <w:lvl w:ilvl="1" w:tplc="C10EC67E">
      <w:start w:val="2"/>
      <w:numFmt w:val="decimal"/>
      <w:lvlText w:val="%2)"/>
      <w:lvlJc w:val="left"/>
      <w:pPr>
        <w:tabs>
          <w:tab w:val="num" w:pos="1455"/>
        </w:tabs>
        <w:ind w:left="1455" w:hanging="37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68F17B9"/>
    <w:multiLevelType w:val="hybridMultilevel"/>
    <w:tmpl w:val="FA7603E4"/>
    <w:lvl w:ilvl="0" w:tplc="B3345E34">
      <w:start w:val="1"/>
      <w:numFmt w:val="upperRoman"/>
      <w:lvlText w:val="%1."/>
      <w:lvlJc w:val="left"/>
      <w:pPr>
        <w:tabs>
          <w:tab w:val="num" w:pos="851"/>
        </w:tabs>
        <w:ind w:left="1288" w:hanging="720"/>
      </w:pPr>
      <w:rPr>
        <w:rFonts w:ascii="Times New Roman" w:eastAsia="Times New Roman" w:hAnsi="Times New Roman" w:cs="Times New Roman" w:hint="default"/>
        <w:b/>
        <w:sz w:val="24"/>
        <w:szCs w:val="24"/>
      </w:rPr>
    </w:lvl>
    <w:lvl w:ilvl="1" w:tplc="C10EC67E">
      <w:start w:val="2"/>
      <w:numFmt w:val="decimal"/>
      <w:lvlText w:val="%2)"/>
      <w:lvlJc w:val="left"/>
      <w:pPr>
        <w:tabs>
          <w:tab w:val="num" w:pos="1455"/>
        </w:tabs>
        <w:ind w:left="1455" w:hanging="37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7C75761"/>
    <w:multiLevelType w:val="hybridMultilevel"/>
    <w:tmpl w:val="C1508A2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nsid w:val="1ADC328B"/>
    <w:multiLevelType w:val="hybridMultilevel"/>
    <w:tmpl w:val="A4026F0A"/>
    <w:lvl w:ilvl="0" w:tplc="83584DE4">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C7974C9"/>
    <w:multiLevelType w:val="hybridMultilevel"/>
    <w:tmpl w:val="FA7603E4"/>
    <w:lvl w:ilvl="0" w:tplc="B3345E34">
      <w:start w:val="1"/>
      <w:numFmt w:val="upperRoman"/>
      <w:lvlText w:val="%1."/>
      <w:lvlJc w:val="left"/>
      <w:pPr>
        <w:tabs>
          <w:tab w:val="num" w:pos="851"/>
        </w:tabs>
        <w:ind w:left="1288" w:hanging="720"/>
      </w:pPr>
      <w:rPr>
        <w:rFonts w:ascii="Times New Roman" w:eastAsia="Times New Roman" w:hAnsi="Times New Roman" w:cs="Times New Roman" w:hint="default"/>
        <w:b/>
        <w:sz w:val="24"/>
        <w:szCs w:val="24"/>
      </w:rPr>
    </w:lvl>
    <w:lvl w:ilvl="1" w:tplc="C10EC67E">
      <w:start w:val="2"/>
      <w:numFmt w:val="decimal"/>
      <w:lvlText w:val="%2)"/>
      <w:lvlJc w:val="left"/>
      <w:pPr>
        <w:tabs>
          <w:tab w:val="num" w:pos="1455"/>
        </w:tabs>
        <w:ind w:left="1455" w:hanging="37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F9F4F20"/>
    <w:multiLevelType w:val="hybridMultilevel"/>
    <w:tmpl w:val="FA7603E4"/>
    <w:lvl w:ilvl="0" w:tplc="B3345E34">
      <w:start w:val="1"/>
      <w:numFmt w:val="upperRoman"/>
      <w:lvlText w:val="%1."/>
      <w:lvlJc w:val="left"/>
      <w:pPr>
        <w:tabs>
          <w:tab w:val="num" w:pos="851"/>
        </w:tabs>
        <w:ind w:left="1288" w:hanging="720"/>
      </w:pPr>
      <w:rPr>
        <w:rFonts w:ascii="Times New Roman" w:eastAsia="Times New Roman" w:hAnsi="Times New Roman" w:cs="Times New Roman" w:hint="default"/>
        <w:b/>
        <w:sz w:val="24"/>
        <w:szCs w:val="24"/>
      </w:rPr>
    </w:lvl>
    <w:lvl w:ilvl="1" w:tplc="C10EC67E">
      <w:start w:val="2"/>
      <w:numFmt w:val="decimal"/>
      <w:lvlText w:val="%2)"/>
      <w:lvlJc w:val="left"/>
      <w:pPr>
        <w:tabs>
          <w:tab w:val="num" w:pos="1455"/>
        </w:tabs>
        <w:ind w:left="1455" w:hanging="37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1FF52059"/>
    <w:multiLevelType w:val="hybridMultilevel"/>
    <w:tmpl w:val="6EFC40EA"/>
    <w:lvl w:ilvl="0" w:tplc="B3345E34">
      <w:start w:val="1"/>
      <w:numFmt w:val="upperRoman"/>
      <w:lvlText w:val="%1."/>
      <w:lvlJc w:val="left"/>
      <w:pPr>
        <w:tabs>
          <w:tab w:val="num" w:pos="851"/>
        </w:tabs>
        <w:ind w:left="1288" w:hanging="720"/>
      </w:pPr>
      <w:rPr>
        <w:rFonts w:ascii="Times New Roman" w:eastAsia="Times New Roman" w:hAnsi="Times New Roman" w:cs="Times New Roman" w:hint="default"/>
        <w:b/>
        <w:sz w:val="24"/>
        <w:szCs w:val="24"/>
      </w:rPr>
    </w:lvl>
    <w:lvl w:ilvl="1" w:tplc="C10EC67E">
      <w:start w:val="2"/>
      <w:numFmt w:val="decimal"/>
      <w:lvlText w:val="%2)"/>
      <w:lvlJc w:val="left"/>
      <w:pPr>
        <w:tabs>
          <w:tab w:val="num" w:pos="1455"/>
        </w:tabs>
        <w:ind w:left="1455" w:hanging="37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26FC463E"/>
    <w:multiLevelType w:val="hybridMultilevel"/>
    <w:tmpl w:val="DDE06E4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2">
    <w:nsid w:val="2CB96E6F"/>
    <w:multiLevelType w:val="hybridMultilevel"/>
    <w:tmpl w:val="FA7603E4"/>
    <w:lvl w:ilvl="0" w:tplc="B3345E34">
      <w:start w:val="1"/>
      <w:numFmt w:val="upperRoman"/>
      <w:lvlText w:val="%1."/>
      <w:lvlJc w:val="left"/>
      <w:pPr>
        <w:tabs>
          <w:tab w:val="num" w:pos="851"/>
        </w:tabs>
        <w:ind w:left="1288" w:hanging="720"/>
      </w:pPr>
      <w:rPr>
        <w:rFonts w:ascii="Times New Roman" w:eastAsia="Times New Roman" w:hAnsi="Times New Roman" w:cs="Times New Roman" w:hint="default"/>
        <w:b/>
        <w:sz w:val="24"/>
        <w:szCs w:val="24"/>
      </w:rPr>
    </w:lvl>
    <w:lvl w:ilvl="1" w:tplc="C10EC67E">
      <w:start w:val="2"/>
      <w:numFmt w:val="decimal"/>
      <w:lvlText w:val="%2)"/>
      <w:lvlJc w:val="left"/>
      <w:pPr>
        <w:tabs>
          <w:tab w:val="num" w:pos="1455"/>
        </w:tabs>
        <w:ind w:left="1455" w:hanging="37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30975A02"/>
    <w:multiLevelType w:val="hybridMultilevel"/>
    <w:tmpl w:val="C1B0385C"/>
    <w:lvl w:ilvl="0" w:tplc="82464C04">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2AE01A8"/>
    <w:multiLevelType w:val="hybridMultilevel"/>
    <w:tmpl w:val="FA7603E4"/>
    <w:lvl w:ilvl="0" w:tplc="B3345E34">
      <w:start w:val="1"/>
      <w:numFmt w:val="upperRoman"/>
      <w:lvlText w:val="%1."/>
      <w:lvlJc w:val="left"/>
      <w:pPr>
        <w:tabs>
          <w:tab w:val="num" w:pos="851"/>
        </w:tabs>
        <w:ind w:left="1288" w:hanging="720"/>
      </w:pPr>
      <w:rPr>
        <w:rFonts w:ascii="Times New Roman" w:eastAsia="Times New Roman" w:hAnsi="Times New Roman" w:cs="Times New Roman" w:hint="default"/>
        <w:b/>
        <w:sz w:val="24"/>
        <w:szCs w:val="24"/>
      </w:rPr>
    </w:lvl>
    <w:lvl w:ilvl="1" w:tplc="C10EC67E">
      <w:start w:val="2"/>
      <w:numFmt w:val="decimal"/>
      <w:lvlText w:val="%2)"/>
      <w:lvlJc w:val="left"/>
      <w:pPr>
        <w:tabs>
          <w:tab w:val="num" w:pos="1455"/>
        </w:tabs>
        <w:ind w:left="1455" w:hanging="37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35AC41D5"/>
    <w:multiLevelType w:val="hybridMultilevel"/>
    <w:tmpl w:val="8D28C28C"/>
    <w:lvl w:ilvl="0" w:tplc="BC9E74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D2A3EA8"/>
    <w:multiLevelType w:val="hybridMultilevel"/>
    <w:tmpl w:val="0F604254"/>
    <w:lvl w:ilvl="0" w:tplc="B3345E34">
      <w:start w:val="1"/>
      <w:numFmt w:val="upperRoman"/>
      <w:lvlText w:val="%1."/>
      <w:lvlJc w:val="left"/>
      <w:pPr>
        <w:tabs>
          <w:tab w:val="num" w:pos="851"/>
        </w:tabs>
        <w:ind w:left="1288" w:hanging="720"/>
      </w:pPr>
      <w:rPr>
        <w:rFonts w:ascii="Times New Roman" w:eastAsia="Times New Roman" w:hAnsi="Times New Roman" w:cs="Times New Roman" w:hint="default"/>
        <w:b/>
        <w:sz w:val="24"/>
        <w:szCs w:val="24"/>
      </w:rPr>
    </w:lvl>
    <w:lvl w:ilvl="1" w:tplc="C10EC67E">
      <w:start w:val="2"/>
      <w:numFmt w:val="decimal"/>
      <w:lvlText w:val="%2)"/>
      <w:lvlJc w:val="left"/>
      <w:pPr>
        <w:tabs>
          <w:tab w:val="num" w:pos="1455"/>
        </w:tabs>
        <w:ind w:left="1455" w:hanging="37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43211CAB"/>
    <w:multiLevelType w:val="hybridMultilevel"/>
    <w:tmpl w:val="40649B3A"/>
    <w:lvl w:ilvl="0" w:tplc="0415000F">
      <w:start w:val="1"/>
      <w:numFmt w:val="decimal"/>
      <w:lvlText w:val="%1."/>
      <w:lvlJc w:val="left"/>
      <w:pPr>
        <w:ind w:left="720" w:hanging="360"/>
      </w:pPr>
    </w:lvl>
    <w:lvl w:ilvl="1" w:tplc="A16E9C90">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8D96947"/>
    <w:multiLevelType w:val="hybridMultilevel"/>
    <w:tmpl w:val="FA7603E4"/>
    <w:lvl w:ilvl="0" w:tplc="B3345E34">
      <w:start w:val="1"/>
      <w:numFmt w:val="upperRoman"/>
      <w:lvlText w:val="%1."/>
      <w:lvlJc w:val="left"/>
      <w:pPr>
        <w:tabs>
          <w:tab w:val="num" w:pos="851"/>
        </w:tabs>
        <w:ind w:left="1288" w:hanging="720"/>
      </w:pPr>
      <w:rPr>
        <w:rFonts w:ascii="Times New Roman" w:eastAsia="Times New Roman" w:hAnsi="Times New Roman" w:cs="Times New Roman" w:hint="default"/>
        <w:b/>
        <w:sz w:val="24"/>
        <w:szCs w:val="24"/>
      </w:rPr>
    </w:lvl>
    <w:lvl w:ilvl="1" w:tplc="C10EC67E">
      <w:start w:val="2"/>
      <w:numFmt w:val="decimal"/>
      <w:lvlText w:val="%2)"/>
      <w:lvlJc w:val="left"/>
      <w:pPr>
        <w:tabs>
          <w:tab w:val="num" w:pos="1455"/>
        </w:tabs>
        <w:ind w:left="1455" w:hanging="37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54A87329"/>
    <w:multiLevelType w:val="hybridMultilevel"/>
    <w:tmpl w:val="0F604254"/>
    <w:lvl w:ilvl="0" w:tplc="B3345E34">
      <w:start w:val="1"/>
      <w:numFmt w:val="upperRoman"/>
      <w:lvlText w:val="%1."/>
      <w:lvlJc w:val="left"/>
      <w:pPr>
        <w:tabs>
          <w:tab w:val="num" w:pos="851"/>
        </w:tabs>
        <w:ind w:left="1288" w:hanging="720"/>
      </w:pPr>
      <w:rPr>
        <w:rFonts w:ascii="Times New Roman" w:eastAsia="Times New Roman" w:hAnsi="Times New Roman" w:cs="Times New Roman" w:hint="default"/>
        <w:b/>
        <w:sz w:val="24"/>
        <w:szCs w:val="24"/>
      </w:rPr>
    </w:lvl>
    <w:lvl w:ilvl="1" w:tplc="C10EC67E">
      <w:start w:val="2"/>
      <w:numFmt w:val="decimal"/>
      <w:lvlText w:val="%2)"/>
      <w:lvlJc w:val="left"/>
      <w:pPr>
        <w:tabs>
          <w:tab w:val="num" w:pos="1455"/>
        </w:tabs>
        <w:ind w:left="1455" w:hanging="37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55DA5A11"/>
    <w:multiLevelType w:val="hybridMultilevel"/>
    <w:tmpl w:val="6EDEBEEC"/>
    <w:lvl w:ilvl="0" w:tplc="EAFA0D28">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6B64BE6"/>
    <w:multiLevelType w:val="hybridMultilevel"/>
    <w:tmpl w:val="E03859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897610F"/>
    <w:multiLevelType w:val="hybridMultilevel"/>
    <w:tmpl w:val="6EFC40EA"/>
    <w:lvl w:ilvl="0" w:tplc="B3345E34">
      <w:start w:val="1"/>
      <w:numFmt w:val="upperRoman"/>
      <w:lvlText w:val="%1."/>
      <w:lvlJc w:val="left"/>
      <w:pPr>
        <w:tabs>
          <w:tab w:val="num" w:pos="851"/>
        </w:tabs>
        <w:ind w:left="1288" w:hanging="720"/>
      </w:pPr>
      <w:rPr>
        <w:rFonts w:ascii="Times New Roman" w:eastAsia="Times New Roman" w:hAnsi="Times New Roman" w:cs="Times New Roman" w:hint="default"/>
        <w:b/>
        <w:sz w:val="24"/>
        <w:szCs w:val="24"/>
      </w:rPr>
    </w:lvl>
    <w:lvl w:ilvl="1" w:tplc="C10EC67E">
      <w:start w:val="2"/>
      <w:numFmt w:val="decimal"/>
      <w:lvlText w:val="%2)"/>
      <w:lvlJc w:val="left"/>
      <w:pPr>
        <w:tabs>
          <w:tab w:val="num" w:pos="1455"/>
        </w:tabs>
        <w:ind w:left="1455" w:hanging="37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66F5098E"/>
    <w:multiLevelType w:val="hybridMultilevel"/>
    <w:tmpl w:val="B94AE386"/>
    <w:lvl w:ilvl="0" w:tplc="0415000F">
      <w:start w:val="1"/>
      <w:numFmt w:val="decimal"/>
      <w:lvlText w:val="%1."/>
      <w:lvlJc w:val="left"/>
      <w:pPr>
        <w:ind w:left="720" w:hanging="360"/>
      </w:pPr>
    </w:lvl>
    <w:lvl w:ilvl="1" w:tplc="1B5E31F6">
      <w:start w:val="1"/>
      <w:numFmt w:val="lowerLetter"/>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812447E"/>
    <w:multiLevelType w:val="hybridMultilevel"/>
    <w:tmpl w:val="CB54E86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0"/>
  </w:num>
  <w:num w:numId="4">
    <w:abstractNumId w:val="24"/>
  </w:num>
  <w:num w:numId="5">
    <w:abstractNumId w:val="2"/>
  </w:num>
  <w:num w:numId="6">
    <w:abstractNumId w:val="23"/>
  </w:num>
  <w:num w:numId="7">
    <w:abstractNumId w:val="1"/>
  </w:num>
  <w:num w:numId="8">
    <w:abstractNumId w:val="6"/>
  </w:num>
  <w:num w:numId="9">
    <w:abstractNumId w:val="11"/>
  </w:num>
  <w:num w:numId="10">
    <w:abstractNumId w:val="7"/>
  </w:num>
  <w:num w:numId="11">
    <w:abstractNumId w:val="21"/>
  </w:num>
  <w:num w:numId="12">
    <w:abstractNumId w:val="3"/>
  </w:num>
  <w:num w:numId="13">
    <w:abstractNumId w:val="15"/>
  </w:num>
  <w:num w:numId="14">
    <w:abstractNumId w:val="16"/>
  </w:num>
  <w:num w:numId="15">
    <w:abstractNumId w:val="22"/>
  </w:num>
  <w:num w:numId="16">
    <w:abstractNumId w:val="10"/>
  </w:num>
  <w:num w:numId="17">
    <w:abstractNumId w:val="9"/>
  </w:num>
  <w:num w:numId="18">
    <w:abstractNumId w:val="18"/>
  </w:num>
  <w:num w:numId="19">
    <w:abstractNumId w:val="14"/>
  </w:num>
  <w:num w:numId="20">
    <w:abstractNumId w:val="12"/>
  </w:num>
  <w:num w:numId="21">
    <w:abstractNumId w:val="4"/>
  </w:num>
  <w:num w:numId="22">
    <w:abstractNumId w:val="8"/>
  </w:num>
  <w:num w:numId="23">
    <w:abstractNumId w:val="5"/>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A5"/>
    <w:rsid w:val="00000068"/>
    <w:rsid w:val="0002025A"/>
    <w:rsid w:val="00035039"/>
    <w:rsid w:val="000452C4"/>
    <w:rsid w:val="00047756"/>
    <w:rsid w:val="000513E0"/>
    <w:rsid w:val="0008152F"/>
    <w:rsid w:val="0008456C"/>
    <w:rsid w:val="00090ED3"/>
    <w:rsid w:val="00091B2D"/>
    <w:rsid w:val="00091B93"/>
    <w:rsid w:val="000941CE"/>
    <w:rsid w:val="000F1AE1"/>
    <w:rsid w:val="000F2A4C"/>
    <w:rsid w:val="000F7616"/>
    <w:rsid w:val="00106C83"/>
    <w:rsid w:val="00111B83"/>
    <w:rsid w:val="00125915"/>
    <w:rsid w:val="00133B03"/>
    <w:rsid w:val="001429C5"/>
    <w:rsid w:val="00143EEC"/>
    <w:rsid w:val="001624A1"/>
    <w:rsid w:val="00176BE5"/>
    <w:rsid w:val="00180C8C"/>
    <w:rsid w:val="001975A8"/>
    <w:rsid w:val="001A1791"/>
    <w:rsid w:val="001A2CB6"/>
    <w:rsid w:val="001C5E25"/>
    <w:rsid w:val="001D6CEB"/>
    <w:rsid w:val="001F2D0A"/>
    <w:rsid w:val="00227010"/>
    <w:rsid w:val="002325D8"/>
    <w:rsid w:val="002348F6"/>
    <w:rsid w:val="00240E1D"/>
    <w:rsid w:val="00243355"/>
    <w:rsid w:val="00264525"/>
    <w:rsid w:val="002662CB"/>
    <w:rsid w:val="00270D4D"/>
    <w:rsid w:val="00286266"/>
    <w:rsid w:val="002953E4"/>
    <w:rsid w:val="002A2DC0"/>
    <w:rsid w:val="002C3597"/>
    <w:rsid w:val="002E10E7"/>
    <w:rsid w:val="002E3139"/>
    <w:rsid w:val="002E3650"/>
    <w:rsid w:val="002E4516"/>
    <w:rsid w:val="002E71D4"/>
    <w:rsid w:val="002E71FC"/>
    <w:rsid w:val="002E7D82"/>
    <w:rsid w:val="002F09F7"/>
    <w:rsid w:val="002F3236"/>
    <w:rsid w:val="00302B0A"/>
    <w:rsid w:val="00304125"/>
    <w:rsid w:val="003066A5"/>
    <w:rsid w:val="00311802"/>
    <w:rsid w:val="00317066"/>
    <w:rsid w:val="00330E05"/>
    <w:rsid w:val="00331E5C"/>
    <w:rsid w:val="003426A7"/>
    <w:rsid w:val="003517CA"/>
    <w:rsid w:val="00352E52"/>
    <w:rsid w:val="00357318"/>
    <w:rsid w:val="00366B3D"/>
    <w:rsid w:val="003678CF"/>
    <w:rsid w:val="00372BA0"/>
    <w:rsid w:val="0039061D"/>
    <w:rsid w:val="00394C1B"/>
    <w:rsid w:val="003B7F44"/>
    <w:rsid w:val="003C218B"/>
    <w:rsid w:val="003C34E5"/>
    <w:rsid w:val="003D101E"/>
    <w:rsid w:val="003D37A3"/>
    <w:rsid w:val="003D5776"/>
    <w:rsid w:val="003E435C"/>
    <w:rsid w:val="003E71E4"/>
    <w:rsid w:val="004077EF"/>
    <w:rsid w:val="004322D3"/>
    <w:rsid w:val="00445E76"/>
    <w:rsid w:val="00460242"/>
    <w:rsid w:val="004632C5"/>
    <w:rsid w:val="00490C38"/>
    <w:rsid w:val="0049424D"/>
    <w:rsid w:val="004D0E11"/>
    <w:rsid w:val="004E244C"/>
    <w:rsid w:val="004E6E5F"/>
    <w:rsid w:val="004F6898"/>
    <w:rsid w:val="004F6C4A"/>
    <w:rsid w:val="0050706C"/>
    <w:rsid w:val="00537D22"/>
    <w:rsid w:val="0055153D"/>
    <w:rsid w:val="0055184C"/>
    <w:rsid w:val="00556C2F"/>
    <w:rsid w:val="00562B16"/>
    <w:rsid w:val="00565F5D"/>
    <w:rsid w:val="00593EB2"/>
    <w:rsid w:val="005A00A2"/>
    <w:rsid w:val="005A3897"/>
    <w:rsid w:val="005A4C65"/>
    <w:rsid w:val="005C6D06"/>
    <w:rsid w:val="005D2DBF"/>
    <w:rsid w:val="005D4135"/>
    <w:rsid w:val="005F1790"/>
    <w:rsid w:val="005F2EFE"/>
    <w:rsid w:val="0060277D"/>
    <w:rsid w:val="00621B81"/>
    <w:rsid w:val="00647787"/>
    <w:rsid w:val="0067435C"/>
    <w:rsid w:val="00680D70"/>
    <w:rsid w:val="006A7842"/>
    <w:rsid w:val="006A7CC4"/>
    <w:rsid w:val="006B4E53"/>
    <w:rsid w:val="006B59E3"/>
    <w:rsid w:val="006C0B35"/>
    <w:rsid w:val="006C440E"/>
    <w:rsid w:val="006F35CB"/>
    <w:rsid w:val="00701843"/>
    <w:rsid w:val="0070395B"/>
    <w:rsid w:val="007058A0"/>
    <w:rsid w:val="00707099"/>
    <w:rsid w:val="00712B59"/>
    <w:rsid w:val="00724946"/>
    <w:rsid w:val="00732055"/>
    <w:rsid w:val="007349F2"/>
    <w:rsid w:val="00750DCD"/>
    <w:rsid w:val="00754A5D"/>
    <w:rsid w:val="007761E0"/>
    <w:rsid w:val="00776D2F"/>
    <w:rsid w:val="00777DC0"/>
    <w:rsid w:val="0078352C"/>
    <w:rsid w:val="00793541"/>
    <w:rsid w:val="00795510"/>
    <w:rsid w:val="007A3A15"/>
    <w:rsid w:val="007B5ACC"/>
    <w:rsid w:val="007C661F"/>
    <w:rsid w:val="007D38EF"/>
    <w:rsid w:val="008055A4"/>
    <w:rsid w:val="0080749C"/>
    <w:rsid w:val="00810613"/>
    <w:rsid w:val="008310C0"/>
    <w:rsid w:val="00832CD2"/>
    <w:rsid w:val="00852326"/>
    <w:rsid w:val="008813A8"/>
    <w:rsid w:val="00896625"/>
    <w:rsid w:val="008C1A52"/>
    <w:rsid w:val="008D58F8"/>
    <w:rsid w:val="008E3FE2"/>
    <w:rsid w:val="008F2618"/>
    <w:rsid w:val="0090177B"/>
    <w:rsid w:val="00903491"/>
    <w:rsid w:val="00903BCC"/>
    <w:rsid w:val="00906E5B"/>
    <w:rsid w:val="00911F3A"/>
    <w:rsid w:val="00914A58"/>
    <w:rsid w:val="00916F65"/>
    <w:rsid w:val="009226D5"/>
    <w:rsid w:val="00942EC7"/>
    <w:rsid w:val="00971844"/>
    <w:rsid w:val="009742BD"/>
    <w:rsid w:val="009750C5"/>
    <w:rsid w:val="0097623B"/>
    <w:rsid w:val="00980861"/>
    <w:rsid w:val="00981855"/>
    <w:rsid w:val="00990505"/>
    <w:rsid w:val="009932A4"/>
    <w:rsid w:val="00995E1D"/>
    <w:rsid w:val="00996BD4"/>
    <w:rsid w:val="00997FDC"/>
    <w:rsid w:val="009A7481"/>
    <w:rsid w:val="009B27FE"/>
    <w:rsid w:val="009B6ABD"/>
    <w:rsid w:val="009C135E"/>
    <w:rsid w:val="009C5AA7"/>
    <w:rsid w:val="009D2C6C"/>
    <w:rsid w:val="009E0F86"/>
    <w:rsid w:val="00A15281"/>
    <w:rsid w:val="00A329DA"/>
    <w:rsid w:val="00A329F2"/>
    <w:rsid w:val="00A50830"/>
    <w:rsid w:val="00A70577"/>
    <w:rsid w:val="00A740C2"/>
    <w:rsid w:val="00A94A0E"/>
    <w:rsid w:val="00A96544"/>
    <w:rsid w:val="00AA1258"/>
    <w:rsid w:val="00AB5842"/>
    <w:rsid w:val="00AD5889"/>
    <w:rsid w:val="00AE25FB"/>
    <w:rsid w:val="00AE2A8D"/>
    <w:rsid w:val="00AE4564"/>
    <w:rsid w:val="00AF1A75"/>
    <w:rsid w:val="00B11C39"/>
    <w:rsid w:val="00B1742B"/>
    <w:rsid w:val="00B22580"/>
    <w:rsid w:val="00B22F3C"/>
    <w:rsid w:val="00B2417E"/>
    <w:rsid w:val="00B30081"/>
    <w:rsid w:val="00B31DE4"/>
    <w:rsid w:val="00B42814"/>
    <w:rsid w:val="00B437B4"/>
    <w:rsid w:val="00B6417E"/>
    <w:rsid w:val="00B76371"/>
    <w:rsid w:val="00B90395"/>
    <w:rsid w:val="00B90EFC"/>
    <w:rsid w:val="00BB671B"/>
    <w:rsid w:val="00BC1414"/>
    <w:rsid w:val="00BC6FA9"/>
    <w:rsid w:val="00BD56AC"/>
    <w:rsid w:val="00BF5DD2"/>
    <w:rsid w:val="00BF61F7"/>
    <w:rsid w:val="00C01B76"/>
    <w:rsid w:val="00C04585"/>
    <w:rsid w:val="00C0735D"/>
    <w:rsid w:val="00C46524"/>
    <w:rsid w:val="00C642D0"/>
    <w:rsid w:val="00C75E90"/>
    <w:rsid w:val="00C80D8E"/>
    <w:rsid w:val="00CA10D6"/>
    <w:rsid w:val="00CC7771"/>
    <w:rsid w:val="00CD1CE5"/>
    <w:rsid w:val="00CE4147"/>
    <w:rsid w:val="00CF1364"/>
    <w:rsid w:val="00D17622"/>
    <w:rsid w:val="00D375BF"/>
    <w:rsid w:val="00D53CC8"/>
    <w:rsid w:val="00D7145D"/>
    <w:rsid w:val="00D71B11"/>
    <w:rsid w:val="00D753C7"/>
    <w:rsid w:val="00D819A2"/>
    <w:rsid w:val="00D82194"/>
    <w:rsid w:val="00D84EB0"/>
    <w:rsid w:val="00D975CA"/>
    <w:rsid w:val="00DA51E7"/>
    <w:rsid w:val="00E16549"/>
    <w:rsid w:val="00E37B53"/>
    <w:rsid w:val="00E44361"/>
    <w:rsid w:val="00E45CEC"/>
    <w:rsid w:val="00E54B26"/>
    <w:rsid w:val="00E8252E"/>
    <w:rsid w:val="00E82EAB"/>
    <w:rsid w:val="00EC491E"/>
    <w:rsid w:val="00ED20C4"/>
    <w:rsid w:val="00ED21DB"/>
    <w:rsid w:val="00EE0608"/>
    <w:rsid w:val="00EE4A09"/>
    <w:rsid w:val="00EF2F00"/>
    <w:rsid w:val="00F0226E"/>
    <w:rsid w:val="00F13532"/>
    <w:rsid w:val="00F17214"/>
    <w:rsid w:val="00F207B5"/>
    <w:rsid w:val="00F239C4"/>
    <w:rsid w:val="00F36944"/>
    <w:rsid w:val="00F37A3C"/>
    <w:rsid w:val="00F47AF2"/>
    <w:rsid w:val="00F559AA"/>
    <w:rsid w:val="00F609A1"/>
    <w:rsid w:val="00F86B09"/>
    <w:rsid w:val="00FA3795"/>
    <w:rsid w:val="00FA412C"/>
    <w:rsid w:val="00FB0470"/>
    <w:rsid w:val="00FB2EDF"/>
    <w:rsid w:val="00FD6CA3"/>
    <w:rsid w:val="00FE1BB7"/>
    <w:rsid w:val="00FE3F1C"/>
    <w:rsid w:val="00FF0F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7E902"/>
  <w15:chartTrackingRefBased/>
  <w15:docId w15:val="{C3808282-6609-454B-87B0-79AA4F89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25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066A5"/>
    <w:pPr>
      <w:spacing w:after="0" w:line="240" w:lineRule="auto"/>
    </w:pPr>
  </w:style>
  <w:style w:type="character" w:styleId="Odwoaniedokomentarza">
    <w:name w:val="annotation reference"/>
    <w:basedOn w:val="Domylnaczcionkaakapitu"/>
    <w:uiPriority w:val="99"/>
    <w:semiHidden/>
    <w:unhideWhenUsed/>
    <w:rsid w:val="003066A5"/>
    <w:rPr>
      <w:sz w:val="16"/>
      <w:szCs w:val="16"/>
    </w:rPr>
  </w:style>
  <w:style w:type="paragraph" w:styleId="Tekstkomentarza">
    <w:name w:val="annotation text"/>
    <w:basedOn w:val="Normalny"/>
    <w:link w:val="TekstkomentarzaZnak"/>
    <w:uiPriority w:val="99"/>
    <w:unhideWhenUsed/>
    <w:rsid w:val="003066A5"/>
    <w:pPr>
      <w:spacing w:line="240" w:lineRule="auto"/>
    </w:pPr>
    <w:rPr>
      <w:sz w:val="20"/>
      <w:szCs w:val="20"/>
    </w:rPr>
  </w:style>
  <w:style w:type="character" w:customStyle="1" w:styleId="TekstkomentarzaZnak">
    <w:name w:val="Tekst komentarza Znak"/>
    <w:basedOn w:val="Domylnaczcionkaakapitu"/>
    <w:link w:val="Tekstkomentarza"/>
    <w:uiPriority w:val="99"/>
    <w:rsid w:val="003066A5"/>
    <w:rPr>
      <w:sz w:val="20"/>
      <w:szCs w:val="20"/>
    </w:rPr>
  </w:style>
  <w:style w:type="paragraph" w:styleId="Tekstdymka">
    <w:name w:val="Balloon Text"/>
    <w:basedOn w:val="Normalny"/>
    <w:link w:val="TekstdymkaZnak"/>
    <w:uiPriority w:val="99"/>
    <w:semiHidden/>
    <w:unhideWhenUsed/>
    <w:rsid w:val="003066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66A5"/>
    <w:rPr>
      <w:rFonts w:ascii="Segoe UI" w:hAnsi="Segoe UI" w:cs="Segoe UI"/>
      <w:sz w:val="18"/>
      <w:szCs w:val="18"/>
    </w:rPr>
  </w:style>
  <w:style w:type="character" w:styleId="Hipercze">
    <w:name w:val="Hyperlink"/>
    <w:basedOn w:val="Domylnaczcionkaakapitu"/>
    <w:uiPriority w:val="99"/>
    <w:unhideWhenUsed/>
    <w:rsid w:val="003517CA"/>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8813A8"/>
    <w:rPr>
      <w:b/>
      <w:bCs/>
    </w:rPr>
  </w:style>
  <w:style w:type="character" w:customStyle="1" w:styleId="TematkomentarzaZnak">
    <w:name w:val="Temat komentarza Znak"/>
    <w:basedOn w:val="TekstkomentarzaZnak"/>
    <w:link w:val="Tematkomentarza"/>
    <w:uiPriority w:val="99"/>
    <w:semiHidden/>
    <w:rsid w:val="008813A8"/>
    <w:rPr>
      <w:b/>
      <w:bCs/>
      <w:sz w:val="20"/>
      <w:szCs w:val="20"/>
    </w:rPr>
  </w:style>
  <w:style w:type="character" w:customStyle="1" w:styleId="footnote">
    <w:name w:val="footnote"/>
    <w:basedOn w:val="Domylnaczcionkaakapitu"/>
    <w:rsid w:val="00914A58"/>
  </w:style>
  <w:style w:type="paragraph" w:customStyle="1" w:styleId="Normalny1">
    <w:name w:val="Normalny1"/>
    <w:rsid w:val="00E8252E"/>
    <w:pPr>
      <w:spacing w:after="0" w:line="240" w:lineRule="auto"/>
    </w:pPr>
    <w:rPr>
      <w:rFonts w:ascii="Times New Roman" w:eastAsia="ヒラギノ角ゴ Pro W3" w:hAnsi="Times New Roman" w:cs="Times New Roman"/>
      <w:color w:val="000000"/>
      <w:sz w:val="24"/>
      <w:szCs w:val="20"/>
      <w:lang w:eastAsia="pl-PL"/>
    </w:rPr>
  </w:style>
  <w:style w:type="paragraph" w:styleId="Akapitzlist">
    <w:name w:val="List Paragraph"/>
    <w:basedOn w:val="Normalny"/>
    <w:uiPriority w:val="34"/>
    <w:qFormat/>
    <w:rsid w:val="00E8252E"/>
    <w:pPr>
      <w:ind w:left="720"/>
      <w:contextualSpacing/>
    </w:pPr>
  </w:style>
  <w:style w:type="paragraph" w:customStyle="1" w:styleId="ARTartustawynprozporzdzenia">
    <w:name w:val="ART(§) – art. ustawy (§ np. rozporządzenia)"/>
    <w:uiPriority w:val="99"/>
    <w:rsid w:val="00995E1D"/>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Akapitzlist1">
    <w:name w:val="Akapit z listą1"/>
    <w:basedOn w:val="Normalny"/>
    <w:rsid w:val="00995E1D"/>
    <w:pPr>
      <w:suppressAutoHyphens/>
      <w:spacing w:line="240" w:lineRule="auto"/>
      <w:ind w:left="720"/>
    </w:pPr>
    <w:rPr>
      <w:rFonts w:ascii="Calibri" w:eastAsia="SimSun" w:hAnsi="Calibri" w:cs="Tahoma"/>
      <w:kern w:val="1"/>
      <w:lang w:eastAsia="ar-SA"/>
    </w:rPr>
  </w:style>
  <w:style w:type="character" w:customStyle="1" w:styleId="UnresolvedMention">
    <w:name w:val="Unresolved Mention"/>
    <w:basedOn w:val="Domylnaczcionkaakapitu"/>
    <w:uiPriority w:val="99"/>
    <w:semiHidden/>
    <w:unhideWhenUsed/>
    <w:rsid w:val="00795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12066">
      <w:bodyDiv w:val="1"/>
      <w:marLeft w:val="0"/>
      <w:marRight w:val="0"/>
      <w:marTop w:val="0"/>
      <w:marBottom w:val="0"/>
      <w:divBdr>
        <w:top w:val="none" w:sz="0" w:space="0" w:color="auto"/>
        <w:left w:val="none" w:sz="0" w:space="0" w:color="auto"/>
        <w:bottom w:val="none" w:sz="0" w:space="0" w:color="auto"/>
        <w:right w:val="none" w:sz="0" w:space="0" w:color="auto"/>
      </w:divBdr>
    </w:div>
    <w:div w:id="558829155">
      <w:bodyDiv w:val="1"/>
      <w:marLeft w:val="0"/>
      <w:marRight w:val="0"/>
      <w:marTop w:val="0"/>
      <w:marBottom w:val="0"/>
      <w:divBdr>
        <w:top w:val="none" w:sz="0" w:space="0" w:color="auto"/>
        <w:left w:val="none" w:sz="0" w:space="0" w:color="auto"/>
        <w:bottom w:val="none" w:sz="0" w:space="0" w:color="auto"/>
        <w:right w:val="none" w:sz="0" w:space="0" w:color="auto"/>
      </w:divBdr>
    </w:div>
    <w:div w:id="1027220243">
      <w:bodyDiv w:val="1"/>
      <w:marLeft w:val="0"/>
      <w:marRight w:val="0"/>
      <w:marTop w:val="0"/>
      <w:marBottom w:val="0"/>
      <w:divBdr>
        <w:top w:val="none" w:sz="0" w:space="0" w:color="auto"/>
        <w:left w:val="none" w:sz="0" w:space="0" w:color="auto"/>
        <w:bottom w:val="none" w:sz="0" w:space="0" w:color="auto"/>
        <w:right w:val="none" w:sz="0" w:space="0" w:color="auto"/>
      </w:divBdr>
    </w:div>
    <w:div w:id="1182864428">
      <w:bodyDiv w:val="1"/>
      <w:marLeft w:val="0"/>
      <w:marRight w:val="0"/>
      <w:marTop w:val="0"/>
      <w:marBottom w:val="0"/>
      <w:divBdr>
        <w:top w:val="none" w:sz="0" w:space="0" w:color="auto"/>
        <w:left w:val="none" w:sz="0" w:space="0" w:color="auto"/>
        <w:bottom w:val="none" w:sz="0" w:space="0" w:color="auto"/>
        <w:right w:val="none" w:sz="0" w:space="0" w:color="auto"/>
      </w:divBdr>
      <w:divsChild>
        <w:div w:id="1594313838">
          <w:marLeft w:val="0"/>
          <w:marRight w:val="0"/>
          <w:marTop w:val="0"/>
          <w:marBottom w:val="0"/>
          <w:divBdr>
            <w:top w:val="single" w:sz="6" w:space="0" w:color="BCBCBC"/>
            <w:left w:val="single" w:sz="6" w:space="0" w:color="BCBCBC"/>
            <w:bottom w:val="single" w:sz="6" w:space="0" w:color="BCBCBC"/>
            <w:right w:val="single" w:sz="6" w:space="0" w:color="BCBCBC"/>
          </w:divBdr>
        </w:div>
      </w:divsChild>
    </w:div>
    <w:div w:id="124151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347C6-C64A-418D-AC31-2403D2750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7192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Litwiniuk Piotr</dc:creator>
  <cp:keywords/>
  <dc:description/>
  <cp:lastModifiedBy>KGHM</cp:lastModifiedBy>
  <cp:revision>2</cp:revision>
  <cp:lastPrinted>2021-01-27T10:48:00Z</cp:lastPrinted>
  <dcterms:created xsi:type="dcterms:W3CDTF">2024-05-15T12:40:00Z</dcterms:created>
  <dcterms:modified xsi:type="dcterms:W3CDTF">2024-05-15T12:40:00Z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InformacjePubliczneInformacjeSektoraPublicznego</vt:lpwstr>
  </property>
  <property fmtid="{D5CDD505-2E9C-101B-9397-08002B2CF9AE}" pid="3" name="MFClassifiedBy">
    <vt:lpwstr>UxC4dwLulzfINJ8nQH+xvX5LNGipWa4BRSZhPgxsCvmw/5N3DDDo2fMXGSKe1zQjeLHcz0b6ggYcYT892qSgvA==</vt:lpwstr>
  </property>
  <property fmtid="{D5CDD505-2E9C-101B-9397-08002B2CF9AE}" pid="4" name="MFClassificationDate">
    <vt:lpwstr>2022-02-27T11:29:34.4124197+01:00</vt:lpwstr>
  </property>
  <property fmtid="{D5CDD505-2E9C-101B-9397-08002B2CF9AE}" pid="5" name="MFClassifiedBySID">
    <vt:lpwstr>UxC4dwLulzfINJ8nQH+xvX5LNGipWa4BRSZhPgxsCvm42mrIC/DSDv0ggS+FjUN/2v1BBotkLlY5aAiEhoi6ucLpuYK9RJ3K98HfavWhPJ706wQDJgi8Soxr8eHRWRi4</vt:lpwstr>
  </property>
  <property fmtid="{D5CDD505-2E9C-101B-9397-08002B2CF9AE}" pid="6" name="MFGRNItemId">
    <vt:lpwstr>GRN-30a99ff3-0f98-4bcf-a2a3-142002f92503</vt:lpwstr>
  </property>
  <property fmtid="{D5CDD505-2E9C-101B-9397-08002B2CF9AE}" pid="7" name="MFHash">
    <vt:lpwstr>x94TF7MSq04b8vFqFGGdXNfh/60Ja9JSvYY99ROAujs=</vt:lpwstr>
  </property>
  <property fmtid="{D5CDD505-2E9C-101B-9397-08002B2CF9AE}" pid="8" name="MFVisualMarkingsSettings">
    <vt:lpwstr>HeaderAlignment=1;FooterAlignment=1</vt:lpwstr>
  </property>
  <property fmtid="{D5CDD505-2E9C-101B-9397-08002B2CF9AE}" pid="9" name="DLPManualFileClassification">
    <vt:lpwstr>{2755b7d9-e53d-4779-a40c-03797dcf43b3}</vt:lpwstr>
  </property>
  <property fmtid="{D5CDD505-2E9C-101B-9397-08002B2CF9AE}" pid="10" name="MFRefresh">
    <vt:lpwstr>False</vt:lpwstr>
  </property>
</Properties>
</file>