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F3" w:rsidRDefault="007931F3" w:rsidP="007931F3">
      <w:pPr>
        <w:ind w:left="420"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OBJAŚNIENIA</w:t>
      </w:r>
    </w:p>
    <w:p w:rsidR="007931F3" w:rsidRDefault="007931F3" w:rsidP="007931F3">
      <w:pPr>
        <w:ind w:left="420"/>
        <w:jc w:val="center"/>
        <w:rPr>
          <w:b/>
          <w:szCs w:val="28"/>
        </w:rPr>
      </w:pPr>
    </w:p>
    <w:p w:rsidR="007931F3" w:rsidRDefault="007931F3" w:rsidP="007931F3">
      <w:pPr>
        <w:ind w:left="420"/>
        <w:rPr>
          <w:b/>
          <w:szCs w:val="28"/>
        </w:rPr>
      </w:pPr>
    </w:p>
    <w:p w:rsidR="007931F3" w:rsidRDefault="00B473A2" w:rsidP="007931F3">
      <w:pPr>
        <w:spacing w:after="120"/>
        <w:jc w:val="both"/>
        <w:rPr>
          <w:szCs w:val="28"/>
        </w:rPr>
      </w:pPr>
      <w:r>
        <w:rPr>
          <w:szCs w:val="28"/>
        </w:rPr>
        <w:t xml:space="preserve">1. </w:t>
      </w:r>
      <w:r w:rsidR="007931F3">
        <w:rPr>
          <w:szCs w:val="28"/>
        </w:rPr>
        <w:t xml:space="preserve">Licencja na wykonywanie krajowego transportu drogowego w zakresie przewozu osób taksówką uprawnia do wykonywania przewozów wyłącznie na obszarze określonym w licencji. Dopuszcza się wykonywanie przewozu z obszaru określonego w licencji poza ten obszar, lecz bez prawa świadczenia usług przewozowych poza obszarem określonym w tej licencji, </w:t>
      </w:r>
      <w:r w:rsidR="007931F3">
        <w:rPr>
          <w:szCs w:val="28"/>
        </w:rPr>
        <w:br/>
        <w:t xml:space="preserve">z wyjątkiem przewozu wykonywanego w drodze powrotnej lub w przypadku złożenia zamówienia przez klienta z innego obszaru.    </w:t>
      </w:r>
    </w:p>
    <w:p w:rsidR="007931F3" w:rsidRDefault="00B473A2" w:rsidP="00B473A2">
      <w:pPr>
        <w:spacing w:after="120"/>
        <w:jc w:val="both"/>
        <w:rPr>
          <w:szCs w:val="28"/>
        </w:rPr>
      </w:pPr>
      <w:r>
        <w:rPr>
          <w:szCs w:val="28"/>
        </w:rPr>
        <w:t xml:space="preserve">2. </w:t>
      </w:r>
      <w:r w:rsidR="007931F3">
        <w:rPr>
          <w:szCs w:val="28"/>
        </w:rPr>
        <w:t xml:space="preserve">Przedsiębiorca jest obowiązany zgłaszać na piśmie lub w postaci  dokumentu elektronicznego organowi, który udzielił licencji na wykonywanie krajowego transportu drogowego w zakresie przewozu osób taksówką, wszelkie zmiany danych, o których mowa w art. 8 ustawy z dnia 6 września 2001 r. o transporcie drogowym, nie później niż w terminie 28 dni od dnia ich powstania. </w:t>
      </w:r>
    </w:p>
    <w:p w:rsidR="007931F3" w:rsidRDefault="007931F3" w:rsidP="007931F3">
      <w:pPr>
        <w:spacing w:after="120"/>
        <w:jc w:val="both"/>
        <w:rPr>
          <w:szCs w:val="28"/>
        </w:rPr>
      </w:pPr>
      <w:r>
        <w:rPr>
          <w:szCs w:val="28"/>
        </w:rPr>
        <w:t xml:space="preserve">Jeżeli zmiany obejmują dane zawarte w licencji, przedsiębiorca jest obowiązany wystąpić </w:t>
      </w:r>
      <w:r>
        <w:rPr>
          <w:szCs w:val="28"/>
        </w:rPr>
        <w:br/>
        <w:t xml:space="preserve">z wnioskiem o zmianę treści licencji. </w:t>
      </w:r>
    </w:p>
    <w:p w:rsidR="007931F3" w:rsidRDefault="00B473A2" w:rsidP="00B473A2">
      <w:pPr>
        <w:spacing w:after="120"/>
        <w:jc w:val="both"/>
        <w:rPr>
          <w:szCs w:val="28"/>
        </w:rPr>
      </w:pPr>
      <w:r>
        <w:rPr>
          <w:szCs w:val="28"/>
        </w:rPr>
        <w:t xml:space="preserve">3. </w:t>
      </w:r>
      <w:r w:rsidR="007931F3">
        <w:rPr>
          <w:szCs w:val="28"/>
        </w:rPr>
        <w:t>Zabrania się wykonywania transportu drogowego taksówką pojazdem niewpisanym do licencji, z wyłączeniem sytuacji, gdy przedsiębiorca wystąpił o nową licencję lub o zmianę licencji przed wykonaniem przewozu.</w:t>
      </w:r>
    </w:p>
    <w:p w:rsidR="007931F3" w:rsidRDefault="007931F3" w:rsidP="007931F3">
      <w:pPr>
        <w:ind w:left="420"/>
        <w:jc w:val="both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6F2301" w:rsidRDefault="006F2301" w:rsidP="007931F3">
      <w:pPr>
        <w:ind w:left="420"/>
        <w:rPr>
          <w:szCs w:val="28"/>
        </w:rPr>
      </w:pPr>
    </w:p>
    <w:p w:rsidR="006F2301" w:rsidRDefault="006F2301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ind w:left="420"/>
        <w:rPr>
          <w:szCs w:val="28"/>
        </w:rPr>
      </w:pPr>
    </w:p>
    <w:p w:rsidR="007931F3" w:rsidRDefault="007931F3" w:rsidP="007931F3">
      <w:pPr>
        <w:jc w:val="both"/>
        <w:rPr>
          <w:b/>
          <w:szCs w:val="28"/>
        </w:rPr>
      </w:pPr>
      <w:r w:rsidRPr="00D80ED9">
        <w:rPr>
          <w:szCs w:val="28"/>
        </w:rPr>
        <w:t xml:space="preserve">Opis  </w:t>
      </w:r>
      <w:r>
        <w:rPr>
          <w:szCs w:val="28"/>
        </w:rPr>
        <w:t>blankietu licencji:</w:t>
      </w:r>
    </w:p>
    <w:p w:rsidR="007931F3" w:rsidRDefault="007931F3" w:rsidP="007931F3">
      <w:pPr>
        <w:ind w:left="709" w:hanging="349"/>
        <w:jc w:val="both"/>
      </w:pPr>
      <w:r>
        <w:t xml:space="preserve">–   </w:t>
      </w:r>
      <w:r>
        <w:tab/>
        <w:t>format A4,</w:t>
      </w:r>
    </w:p>
    <w:p w:rsidR="007931F3" w:rsidRPr="007931F3" w:rsidRDefault="007931F3" w:rsidP="007931F3">
      <w:pPr>
        <w:ind w:left="709" w:hanging="349"/>
        <w:jc w:val="both"/>
      </w:pPr>
      <w:r>
        <w:t>–</w:t>
      </w:r>
      <w:r>
        <w:tab/>
      </w:r>
      <w:r>
        <w:rPr>
          <w:szCs w:val="28"/>
        </w:rPr>
        <w:t xml:space="preserve">kolor tła giloszowego utworzony </w:t>
      </w:r>
      <w:r w:rsidRPr="00CB4643">
        <w:rPr>
          <w:szCs w:val="28"/>
        </w:rPr>
        <w:t xml:space="preserve">przez linie krzywe o zmiennej grubości tworzące wzory nieregularne, wykonany z zastosowaniem druku </w:t>
      </w:r>
      <w:r>
        <w:rPr>
          <w:szCs w:val="28"/>
        </w:rPr>
        <w:t xml:space="preserve"> </w:t>
      </w:r>
      <w:r w:rsidRPr="00CB4643">
        <w:rPr>
          <w:szCs w:val="28"/>
        </w:rPr>
        <w:t>irysowego, utr</w:t>
      </w:r>
      <w:r w:rsidR="006F2301">
        <w:rPr>
          <w:szCs w:val="28"/>
        </w:rPr>
        <w:t>zymany w tonacji beżowo-</w:t>
      </w:r>
      <w:r>
        <w:rPr>
          <w:szCs w:val="28"/>
        </w:rPr>
        <w:t>zielonej</w:t>
      </w:r>
      <w:r w:rsidRPr="00CB4643">
        <w:rPr>
          <w:szCs w:val="28"/>
        </w:rPr>
        <w:t>, ramka giloszowa,</w:t>
      </w:r>
    </w:p>
    <w:p w:rsidR="007931F3" w:rsidRDefault="007931F3" w:rsidP="007931F3">
      <w:pPr>
        <w:ind w:left="709" w:hanging="349"/>
        <w:jc w:val="both"/>
      </w:pPr>
      <w:r>
        <w:t>–</w:t>
      </w:r>
      <w:r>
        <w:tab/>
      </w:r>
      <w:r w:rsidRPr="00CB4643">
        <w:rPr>
          <w:szCs w:val="28"/>
        </w:rPr>
        <w:t>mikrodruk pozytywowo</w:t>
      </w:r>
      <w:r>
        <w:rPr>
          <w:szCs w:val="28"/>
        </w:rPr>
        <w:t xml:space="preserve"> </w:t>
      </w:r>
      <w:r w:rsidRPr="00CB4643">
        <w:rPr>
          <w:szCs w:val="28"/>
        </w:rPr>
        <w:t xml:space="preserve">- negatywowy z napisem </w:t>
      </w:r>
      <w:r w:rsidRPr="00CB4643">
        <w:t>„RZECZPOSPOLITA</w:t>
      </w:r>
      <w:r>
        <w:t xml:space="preserve"> </w:t>
      </w:r>
      <w:r w:rsidRPr="009B5A4F">
        <w:t>P</w:t>
      </w:r>
      <w:r w:rsidRPr="00CB4643">
        <w:t>OLSKA”,</w:t>
      </w:r>
    </w:p>
    <w:p w:rsidR="007931F3" w:rsidRDefault="007931F3" w:rsidP="007931F3">
      <w:pPr>
        <w:ind w:left="709" w:hanging="349"/>
        <w:jc w:val="both"/>
        <w:rPr>
          <w:szCs w:val="28"/>
        </w:rPr>
      </w:pPr>
      <w:r>
        <w:t>–</w:t>
      </w:r>
      <w:r>
        <w:tab/>
      </w:r>
      <w:r>
        <w:rPr>
          <w:szCs w:val="28"/>
        </w:rPr>
        <w:t>świecące włókna w kolorach</w:t>
      </w:r>
      <w:r w:rsidRPr="00CB4643">
        <w:rPr>
          <w:szCs w:val="28"/>
        </w:rPr>
        <w:t xml:space="preserve"> żółtym i niebieskim rozmieszczone nieregularnie, widoczne tylko w świetle UV,</w:t>
      </w:r>
    </w:p>
    <w:p w:rsidR="007931F3" w:rsidRDefault="007931F3" w:rsidP="007931F3">
      <w:pPr>
        <w:ind w:left="709" w:hanging="349"/>
        <w:jc w:val="both"/>
        <w:rPr>
          <w:szCs w:val="28"/>
        </w:rPr>
      </w:pPr>
      <w:r>
        <w:t>–</w:t>
      </w:r>
      <w:r>
        <w:tab/>
      </w:r>
      <w:r>
        <w:rPr>
          <w:szCs w:val="28"/>
        </w:rPr>
        <w:t xml:space="preserve">suche tłoczenie </w:t>
      </w:r>
      <w:r w:rsidRPr="00CB4643">
        <w:rPr>
          <w:szCs w:val="28"/>
        </w:rPr>
        <w:t>wizerunku orła ustalonego dla godła pań</w:t>
      </w:r>
      <w:r>
        <w:rPr>
          <w:szCs w:val="28"/>
        </w:rPr>
        <w:t xml:space="preserve">stwa </w:t>
      </w:r>
      <w:r w:rsidRPr="00CB4643">
        <w:rPr>
          <w:szCs w:val="28"/>
        </w:rPr>
        <w:t>w lewej górnej części blankietu,</w:t>
      </w:r>
    </w:p>
    <w:p w:rsidR="007931F3" w:rsidRDefault="007931F3" w:rsidP="007931F3">
      <w:pPr>
        <w:ind w:left="709" w:hanging="349"/>
        <w:jc w:val="both"/>
        <w:rPr>
          <w:szCs w:val="28"/>
        </w:rPr>
      </w:pPr>
      <w:r>
        <w:t>–</w:t>
      </w:r>
      <w:r>
        <w:tab/>
      </w:r>
      <w:r w:rsidRPr="00CB4643">
        <w:rPr>
          <w:szCs w:val="28"/>
        </w:rPr>
        <w:t>napisy w kolorze czarnym,</w:t>
      </w:r>
    </w:p>
    <w:p w:rsidR="007931F3" w:rsidRDefault="007931F3" w:rsidP="007931F3">
      <w:pPr>
        <w:ind w:left="709" w:hanging="349"/>
        <w:jc w:val="both"/>
        <w:rPr>
          <w:szCs w:val="28"/>
        </w:rPr>
      </w:pPr>
      <w:r>
        <w:t>–</w:t>
      </w:r>
      <w:r>
        <w:tab/>
      </w:r>
      <w:r>
        <w:rPr>
          <w:szCs w:val="28"/>
        </w:rPr>
        <w:t>z</w:t>
      </w:r>
      <w:r w:rsidRPr="00CB4643">
        <w:rPr>
          <w:szCs w:val="28"/>
        </w:rPr>
        <w:t>nak wodny,</w:t>
      </w:r>
      <w:r>
        <w:rPr>
          <w:szCs w:val="28"/>
        </w:rPr>
        <w:t xml:space="preserve"> przeznaczony wyłącznie do </w:t>
      </w:r>
      <w:r w:rsidRPr="00CB4643">
        <w:rPr>
          <w:szCs w:val="28"/>
        </w:rPr>
        <w:t xml:space="preserve">produkcji podłoża papierniczego dla wykonawcy blankietów, zabezpieczony chemicznie przed próbami zmian zapisów </w:t>
      </w:r>
      <w:r>
        <w:rPr>
          <w:szCs w:val="28"/>
        </w:rPr>
        <w:br/>
      </w:r>
      <w:r w:rsidRPr="00CB4643">
        <w:rPr>
          <w:szCs w:val="28"/>
        </w:rPr>
        <w:t>w dokumencie,</w:t>
      </w:r>
    </w:p>
    <w:p w:rsidR="007931F3" w:rsidRDefault="007931F3" w:rsidP="007931F3">
      <w:pPr>
        <w:ind w:left="709" w:hanging="349"/>
        <w:jc w:val="both"/>
      </w:pPr>
      <w:r>
        <w:t>–</w:t>
      </w:r>
      <w:r>
        <w:tab/>
      </w:r>
      <w:r w:rsidRPr="00CB4643">
        <w:t>znacznik (marker) umożliwiający jednoznaczną identyfikację autentyczności dokumentu w trakcie badań nieniszczących</w:t>
      </w:r>
      <w:r>
        <w:t>,</w:t>
      </w:r>
    </w:p>
    <w:p w:rsidR="0045562A" w:rsidRDefault="007931F3" w:rsidP="007931F3">
      <w:pPr>
        <w:ind w:left="705" w:hanging="705"/>
        <w:jc w:val="both"/>
      </w:pPr>
      <w:r>
        <w:t>–</w:t>
      </w:r>
      <w:r>
        <w:tab/>
      </w:r>
      <w:r w:rsidRPr="00CB4643">
        <w:rPr>
          <w:szCs w:val="28"/>
        </w:rPr>
        <w:t>se</w:t>
      </w:r>
      <w:r>
        <w:rPr>
          <w:szCs w:val="28"/>
        </w:rPr>
        <w:t>ria i numer blankietu licencji</w:t>
      </w:r>
      <w:r w:rsidRPr="00CB4643">
        <w:rPr>
          <w:szCs w:val="28"/>
        </w:rPr>
        <w:t xml:space="preserve"> (niepowtarza</w:t>
      </w:r>
      <w:r>
        <w:rPr>
          <w:szCs w:val="28"/>
        </w:rPr>
        <w:t xml:space="preserve">lny i ciągły) wykonane techniką  </w:t>
      </w:r>
      <w:r w:rsidRPr="00CB4643">
        <w:rPr>
          <w:szCs w:val="28"/>
        </w:rPr>
        <w:t>typograficzną farbą koloru czerwonego aktywną w świetle UV na pomarańczowo.</w:t>
      </w:r>
      <w:r w:rsidRPr="00CB4643">
        <w:rPr>
          <w:b/>
          <w:szCs w:val="28"/>
        </w:rPr>
        <w:t xml:space="preserve">            </w:t>
      </w:r>
      <w:r w:rsidRPr="00A200FC">
        <w:rPr>
          <w:b/>
          <w:szCs w:val="28"/>
        </w:rPr>
        <w:t xml:space="preserve">                                   </w:t>
      </w:r>
    </w:p>
    <w:sectPr w:rsidR="0045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34" w:rsidRDefault="00D23F34" w:rsidP="00ED6F56">
      <w:r>
        <w:separator/>
      </w:r>
    </w:p>
  </w:endnote>
  <w:endnote w:type="continuationSeparator" w:id="0">
    <w:p w:rsidR="00D23F34" w:rsidRDefault="00D23F34" w:rsidP="00ED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6" w:rsidRDefault="00ED6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6" w:rsidRDefault="00ED6F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6" w:rsidRDefault="00ED6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34" w:rsidRDefault="00D23F34" w:rsidP="00ED6F56">
      <w:r>
        <w:separator/>
      </w:r>
    </w:p>
  </w:footnote>
  <w:footnote w:type="continuationSeparator" w:id="0">
    <w:p w:rsidR="00D23F34" w:rsidRDefault="00D23F34" w:rsidP="00ED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6" w:rsidRDefault="00ED6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6" w:rsidRDefault="00ED6F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6" w:rsidRDefault="00ED6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A"/>
    <w:rsid w:val="0064032A"/>
    <w:rsid w:val="00677417"/>
    <w:rsid w:val="006F2301"/>
    <w:rsid w:val="007931F3"/>
    <w:rsid w:val="00A909A5"/>
    <w:rsid w:val="00B473A2"/>
    <w:rsid w:val="00D23F34"/>
    <w:rsid w:val="00E47EEA"/>
    <w:rsid w:val="00EC3DDF"/>
    <w:rsid w:val="00E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F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2024-05-14T12:59:00Z</dcterms:created>
  <dcterms:modified xsi:type="dcterms:W3CDTF">2024-05-14T12:59:00Z</dcterms:modified>
</cp:coreProperties>
</file>